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47310" w:rsidRPr="00CD387E" w14:paraId="1CA3E97A" w14:textId="77777777" w:rsidTr="00A37A98">
        <w:trPr>
          <w:trHeight w:hRule="exact" w:val="418"/>
          <w:jc w:val="center"/>
        </w:trPr>
        <w:tc>
          <w:tcPr>
            <w:tcW w:w="8721" w:type="dxa"/>
            <w:gridSpan w:val="2"/>
          </w:tcPr>
          <w:p w14:paraId="760E4617" w14:textId="77777777" w:rsidR="00947310" w:rsidRPr="00CD387E" w:rsidRDefault="00947310" w:rsidP="00BF1736">
            <w:pPr>
              <w:pStyle w:val="a3"/>
              <w:jc w:val="center"/>
              <w:rPr>
                <w:rFonts w:ascii="Tahoma" w:hAnsi="Tahoma"/>
                <w:b/>
                <w:bCs/>
                <w:color w:val="000080"/>
                <w:rtl/>
              </w:rPr>
            </w:pPr>
            <w:r w:rsidRPr="00CD387E">
              <w:rPr>
                <w:rFonts w:ascii="Tahoma" w:hAnsi="Tahoma"/>
                <w:b/>
                <w:bCs/>
                <w:color w:val="000080"/>
                <w:rtl/>
              </w:rPr>
              <w:t>בית המשפט המחוזי בבאר שבע</w:t>
            </w:r>
          </w:p>
        </w:tc>
      </w:tr>
      <w:tr w:rsidR="00947310" w:rsidRPr="00CD387E" w14:paraId="5EF8A5FF" w14:textId="77777777" w:rsidTr="00A37A98">
        <w:trPr>
          <w:trHeight w:val="337"/>
          <w:jc w:val="center"/>
        </w:trPr>
        <w:tc>
          <w:tcPr>
            <w:tcW w:w="5048" w:type="dxa"/>
          </w:tcPr>
          <w:p w14:paraId="5740B061" w14:textId="77777777" w:rsidR="00947310" w:rsidRPr="00CD387E" w:rsidRDefault="00947310" w:rsidP="00BF1736">
            <w:pPr>
              <w:rPr>
                <w:b/>
                <w:bCs/>
                <w:sz w:val="28"/>
                <w:szCs w:val="28"/>
                <w:rtl/>
              </w:rPr>
            </w:pPr>
            <w:r w:rsidRPr="00CD387E">
              <w:rPr>
                <w:rFonts w:hint="cs"/>
                <w:b/>
                <w:bCs/>
                <w:sz w:val="28"/>
                <w:szCs w:val="28"/>
                <w:rtl/>
              </w:rPr>
              <w:t>בפני:כב' השופט אריאל ואגו- אב"ד</w:t>
            </w:r>
          </w:p>
          <w:p w14:paraId="67BB68E1" w14:textId="77777777" w:rsidR="00947310" w:rsidRPr="00CD387E" w:rsidRDefault="00947310" w:rsidP="00BF1736">
            <w:pPr>
              <w:rPr>
                <w:b/>
                <w:bCs/>
                <w:sz w:val="28"/>
                <w:szCs w:val="28"/>
                <w:rtl/>
              </w:rPr>
            </w:pPr>
            <w:r w:rsidRPr="00CD387E">
              <w:rPr>
                <w:rFonts w:hint="cs"/>
                <w:b/>
                <w:bCs/>
                <w:sz w:val="28"/>
                <w:szCs w:val="28"/>
                <w:rtl/>
              </w:rPr>
              <w:t>כב' השופט אלון אינפלד</w:t>
            </w:r>
          </w:p>
          <w:p w14:paraId="1BB3724E" w14:textId="77777777" w:rsidR="00947310" w:rsidRPr="00CD387E" w:rsidRDefault="00947310" w:rsidP="00BF1736">
            <w:pPr>
              <w:rPr>
                <w:b/>
                <w:bCs/>
                <w:sz w:val="28"/>
                <w:szCs w:val="28"/>
                <w:rtl/>
              </w:rPr>
            </w:pPr>
            <w:r w:rsidRPr="00CD387E">
              <w:rPr>
                <w:rFonts w:hint="cs"/>
                <w:b/>
                <w:bCs/>
                <w:sz w:val="28"/>
                <w:szCs w:val="28"/>
                <w:rtl/>
              </w:rPr>
              <w:t xml:space="preserve">כב' השופט אריאל חזק </w:t>
            </w:r>
          </w:p>
        </w:tc>
        <w:tc>
          <w:tcPr>
            <w:tcW w:w="3673" w:type="dxa"/>
          </w:tcPr>
          <w:p w14:paraId="4E34E9C2" w14:textId="77777777" w:rsidR="00947310" w:rsidRPr="00CD387E" w:rsidRDefault="00947310" w:rsidP="00BF1736">
            <w:pPr>
              <w:pStyle w:val="a3"/>
              <w:jc w:val="right"/>
              <w:rPr>
                <w:b/>
                <w:bCs/>
                <w:sz w:val="28"/>
                <w:szCs w:val="28"/>
                <w:rtl/>
              </w:rPr>
            </w:pPr>
            <w:r w:rsidRPr="00CD387E">
              <w:rPr>
                <w:b/>
                <w:bCs/>
                <w:sz w:val="28"/>
                <w:szCs w:val="28"/>
                <w:rtl/>
              </w:rPr>
              <w:t>תפ"ח</w:t>
            </w:r>
            <w:r w:rsidRPr="00CD387E">
              <w:rPr>
                <w:rFonts w:hint="cs"/>
                <w:b/>
                <w:bCs/>
                <w:sz w:val="28"/>
                <w:szCs w:val="28"/>
                <w:rtl/>
              </w:rPr>
              <w:t xml:space="preserve"> </w:t>
            </w:r>
            <w:r w:rsidRPr="00CD387E">
              <w:rPr>
                <w:b/>
                <w:bCs/>
                <w:sz w:val="28"/>
                <w:szCs w:val="28"/>
                <w:rtl/>
              </w:rPr>
              <w:t>12549-10-17</w:t>
            </w:r>
          </w:p>
        </w:tc>
      </w:tr>
    </w:tbl>
    <w:p w14:paraId="0404FE68" w14:textId="77777777" w:rsidR="00947310" w:rsidRPr="00CD387E" w:rsidRDefault="00947310" w:rsidP="00947310">
      <w:pPr>
        <w:pStyle w:val="a3"/>
        <w:rPr>
          <w:rtl/>
        </w:rPr>
      </w:pPr>
      <w:bookmarkStart w:id="0" w:name="LastJudge"/>
      <w:bookmarkEnd w:id="0"/>
      <w:r w:rsidRPr="00CD387E">
        <w:rPr>
          <w:rFonts w:hint="cs"/>
          <w:rtl/>
        </w:rPr>
        <w:t xml:space="preserve"> </w:t>
      </w:r>
    </w:p>
    <w:p w14:paraId="4EA09C4B" w14:textId="77777777" w:rsidR="00947310" w:rsidRPr="00CD387E" w:rsidRDefault="00947310" w:rsidP="0094731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47310" w:rsidRPr="00CD387E" w14:paraId="259F4ACA" w14:textId="77777777" w:rsidTr="00947310">
        <w:trPr>
          <w:trHeight w:val="355"/>
          <w:jc w:val="center"/>
        </w:trPr>
        <w:tc>
          <w:tcPr>
            <w:tcW w:w="923" w:type="dxa"/>
            <w:tcBorders>
              <w:top w:val="nil"/>
              <w:left w:val="nil"/>
              <w:bottom w:val="nil"/>
              <w:right w:val="nil"/>
            </w:tcBorders>
            <w:shd w:val="clear" w:color="auto" w:fill="auto"/>
          </w:tcPr>
          <w:p w14:paraId="0298D226" w14:textId="77777777" w:rsidR="00947310" w:rsidRPr="00CD387E" w:rsidRDefault="00947310" w:rsidP="00947310">
            <w:pPr>
              <w:jc w:val="both"/>
              <w:rPr>
                <w:rFonts w:ascii="Arial" w:hAnsi="Arial"/>
                <w:b/>
                <w:bCs/>
                <w:sz w:val="28"/>
                <w:szCs w:val="28"/>
              </w:rPr>
            </w:pPr>
            <w:bookmarkStart w:id="1" w:name="FirstAppellant"/>
            <w:r w:rsidRPr="00CD387E">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BC2BAAC" w14:textId="77777777" w:rsidR="00947310" w:rsidRPr="00CD387E" w:rsidRDefault="00947310" w:rsidP="00BF1736">
            <w:pPr>
              <w:rPr>
                <w:b/>
                <w:bCs/>
                <w:sz w:val="28"/>
                <w:szCs w:val="28"/>
              </w:rPr>
            </w:pPr>
            <w:r w:rsidRPr="00CD387E">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38801B2C" w14:textId="77777777" w:rsidR="00947310" w:rsidRPr="00CD387E" w:rsidRDefault="00947310" w:rsidP="00947310">
            <w:pPr>
              <w:jc w:val="both"/>
              <w:rPr>
                <w:rFonts w:ascii="Arial" w:hAnsi="Arial"/>
                <w:b/>
                <w:bCs/>
                <w:sz w:val="28"/>
                <w:szCs w:val="28"/>
              </w:rPr>
            </w:pPr>
          </w:p>
        </w:tc>
      </w:tr>
      <w:tr w:rsidR="00947310" w:rsidRPr="00CD387E" w14:paraId="27E2C3C7" w14:textId="77777777" w:rsidTr="00947310">
        <w:trPr>
          <w:trHeight w:val="355"/>
          <w:jc w:val="center"/>
        </w:trPr>
        <w:tc>
          <w:tcPr>
            <w:tcW w:w="923" w:type="dxa"/>
            <w:tcBorders>
              <w:top w:val="nil"/>
              <w:left w:val="nil"/>
              <w:bottom w:val="nil"/>
              <w:right w:val="nil"/>
            </w:tcBorders>
            <w:shd w:val="clear" w:color="auto" w:fill="auto"/>
          </w:tcPr>
          <w:p w14:paraId="6B04FF1F" w14:textId="77777777" w:rsidR="00947310" w:rsidRPr="00CD387E" w:rsidRDefault="00947310" w:rsidP="00947310">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39BC3D00" w14:textId="77777777" w:rsidR="00947310" w:rsidRPr="00CD387E" w:rsidRDefault="00947310" w:rsidP="00947310">
            <w:pPr>
              <w:jc w:val="both"/>
              <w:rPr>
                <w:b/>
                <w:bCs/>
                <w:sz w:val="28"/>
                <w:szCs w:val="28"/>
                <w:rtl/>
              </w:rPr>
            </w:pPr>
            <w:r w:rsidRPr="00CD387E">
              <w:rPr>
                <w:rFonts w:hint="cs"/>
                <w:b/>
                <w:bCs/>
                <w:sz w:val="28"/>
                <w:szCs w:val="28"/>
                <w:rtl/>
              </w:rPr>
              <w:t xml:space="preserve">ע"י ב"כ עו"ד יריב צרי </w:t>
            </w:r>
            <w:r w:rsidRPr="00CD387E">
              <w:rPr>
                <w:b/>
                <w:bCs/>
                <w:sz w:val="28"/>
                <w:szCs w:val="28"/>
                <w:rtl/>
              </w:rPr>
              <w:t>–</w:t>
            </w:r>
            <w:r w:rsidRPr="00CD387E">
              <w:rPr>
                <w:rFonts w:hint="cs"/>
                <w:b/>
                <w:bCs/>
                <w:sz w:val="28"/>
                <w:szCs w:val="28"/>
                <w:rtl/>
              </w:rPr>
              <w:t xml:space="preserve"> פמ"ד </w:t>
            </w:r>
          </w:p>
        </w:tc>
        <w:tc>
          <w:tcPr>
            <w:tcW w:w="3771" w:type="dxa"/>
            <w:tcBorders>
              <w:top w:val="nil"/>
              <w:left w:val="nil"/>
              <w:bottom w:val="nil"/>
              <w:right w:val="nil"/>
            </w:tcBorders>
            <w:shd w:val="clear" w:color="auto" w:fill="auto"/>
          </w:tcPr>
          <w:p w14:paraId="057D02D8" w14:textId="77777777" w:rsidR="00947310" w:rsidRPr="00CD387E" w:rsidRDefault="00947310" w:rsidP="00947310">
            <w:pPr>
              <w:jc w:val="right"/>
              <w:rPr>
                <w:rFonts w:ascii="Arial" w:hAnsi="Arial"/>
                <w:b/>
                <w:bCs/>
                <w:sz w:val="28"/>
                <w:szCs w:val="28"/>
                <w:rtl/>
              </w:rPr>
            </w:pPr>
            <w:r w:rsidRPr="00CD387E">
              <w:rPr>
                <w:rFonts w:ascii="Arial" w:hAnsi="Arial" w:hint="cs"/>
                <w:b/>
                <w:bCs/>
                <w:sz w:val="28"/>
                <w:szCs w:val="28"/>
                <w:rtl/>
              </w:rPr>
              <w:t>ה</w:t>
            </w:r>
            <w:r w:rsidRPr="00CD387E">
              <w:rPr>
                <w:rFonts w:ascii="Arial" w:hAnsi="Arial"/>
                <w:b/>
                <w:bCs/>
                <w:sz w:val="28"/>
                <w:szCs w:val="28"/>
                <w:rtl/>
              </w:rPr>
              <w:t>מאשימה</w:t>
            </w:r>
          </w:p>
        </w:tc>
      </w:tr>
      <w:bookmarkEnd w:id="2"/>
      <w:tr w:rsidR="00947310" w:rsidRPr="00CD387E" w14:paraId="1509FF3F" w14:textId="77777777" w:rsidTr="00947310">
        <w:trPr>
          <w:trHeight w:val="355"/>
          <w:jc w:val="center"/>
        </w:trPr>
        <w:tc>
          <w:tcPr>
            <w:tcW w:w="923" w:type="dxa"/>
            <w:tcBorders>
              <w:top w:val="nil"/>
              <w:left w:val="nil"/>
              <w:bottom w:val="nil"/>
              <w:right w:val="nil"/>
            </w:tcBorders>
            <w:shd w:val="clear" w:color="auto" w:fill="auto"/>
          </w:tcPr>
          <w:p w14:paraId="417D82AF" w14:textId="77777777" w:rsidR="00947310" w:rsidRPr="00CD387E" w:rsidRDefault="00947310" w:rsidP="00947310">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70B41CE" w14:textId="77777777" w:rsidR="00947310" w:rsidRPr="00CD387E" w:rsidRDefault="00947310" w:rsidP="00947310">
            <w:pPr>
              <w:jc w:val="center"/>
              <w:rPr>
                <w:rFonts w:ascii="Arial" w:hAnsi="Arial"/>
                <w:b/>
                <w:bCs/>
                <w:sz w:val="28"/>
                <w:szCs w:val="28"/>
                <w:rtl/>
              </w:rPr>
            </w:pPr>
          </w:p>
          <w:p w14:paraId="55E82139" w14:textId="77777777" w:rsidR="00947310" w:rsidRPr="00CD387E" w:rsidRDefault="00947310" w:rsidP="00947310">
            <w:pPr>
              <w:jc w:val="center"/>
              <w:rPr>
                <w:rFonts w:ascii="Arial" w:hAnsi="Arial"/>
                <w:b/>
                <w:bCs/>
                <w:sz w:val="28"/>
                <w:szCs w:val="28"/>
                <w:rtl/>
              </w:rPr>
            </w:pPr>
            <w:r w:rsidRPr="00CD387E">
              <w:rPr>
                <w:rFonts w:ascii="Arial" w:hAnsi="Arial"/>
                <w:b/>
                <w:bCs/>
                <w:sz w:val="28"/>
                <w:szCs w:val="28"/>
                <w:rtl/>
              </w:rPr>
              <w:t>נגד</w:t>
            </w:r>
          </w:p>
          <w:p w14:paraId="454F7A0C" w14:textId="77777777" w:rsidR="00947310" w:rsidRPr="00CD387E" w:rsidRDefault="00947310" w:rsidP="00947310">
            <w:pPr>
              <w:jc w:val="both"/>
              <w:rPr>
                <w:rFonts w:ascii="Arial" w:hAnsi="Arial"/>
                <w:b/>
                <w:bCs/>
                <w:sz w:val="28"/>
                <w:szCs w:val="28"/>
              </w:rPr>
            </w:pPr>
          </w:p>
        </w:tc>
      </w:tr>
      <w:tr w:rsidR="00947310" w:rsidRPr="00CD387E" w14:paraId="27438A06" w14:textId="77777777" w:rsidTr="00947310">
        <w:trPr>
          <w:trHeight w:val="355"/>
          <w:jc w:val="center"/>
        </w:trPr>
        <w:tc>
          <w:tcPr>
            <w:tcW w:w="923" w:type="dxa"/>
            <w:tcBorders>
              <w:top w:val="nil"/>
              <w:left w:val="nil"/>
              <w:bottom w:val="nil"/>
              <w:right w:val="nil"/>
            </w:tcBorders>
            <w:shd w:val="clear" w:color="auto" w:fill="auto"/>
          </w:tcPr>
          <w:p w14:paraId="3B91C20B" w14:textId="77777777" w:rsidR="00947310" w:rsidRPr="00CD387E" w:rsidRDefault="00947310" w:rsidP="00BF1736">
            <w:pPr>
              <w:rPr>
                <w:rFonts w:ascii="Arial" w:hAnsi="Arial"/>
                <w:b/>
                <w:bCs/>
                <w:sz w:val="28"/>
                <w:szCs w:val="28"/>
                <w:rtl/>
              </w:rPr>
            </w:pPr>
          </w:p>
        </w:tc>
        <w:tc>
          <w:tcPr>
            <w:tcW w:w="4126" w:type="dxa"/>
            <w:tcBorders>
              <w:top w:val="nil"/>
              <w:left w:val="nil"/>
              <w:bottom w:val="nil"/>
              <w:right w:val="nil"/>
            </w:tcBorders>
            <w:shd w:val="clear" w:color="auto" w:fill="auto"/>
          </w:tcPr>
          <w:p w14:paraId="61CDF5A3" w14:textId="77777777" w:rsidR="00947310" w:rsidRPr="00CD387E" w:rsidRDefault="00947310" w:rsidP="00BF1736">
            <w:pPr>
              <w:rPr>
                <w:b/>
                <w:bCs/>
                <w:sz w:val="28"/>
                <w:szCs w:val="28"/>
                <w:rtl/>
              </w:rPr>
            </w:pPr>
            <w:r w:rsidRPr="00CD387E">
              <w:rPr>
                <w:rFonts w:ascii="Arial" w:hAnsi="Arial"/>
                <w:b/>
                <w:bCs/>
                <w:sz w:val="28"/>
                <w:szCs w:val="28"/>
                <w:rtl/>
              </w:rPr>
              <w:t xml:space="preserve">פדל אבו חצירא </w:t>
            </w:r>
          </w:p>
        </w:tc>
        <w:tc>
          <w:tcPr>
            <w:tcW w:w="3771" w:type="dxa"/>
            <w:tcBorders>
              <w:top w:val="nil"/>
              <w:left w:val="nil"/>
              <w:bottom w:val="nil"/>
              <w:right w:val="nil"/>
            </w:tcBorders>
            <w:shd w:val="clear" w:color="auto" w:fill="auto"/>
          </w:tcPr>
          <w:p w14:paraId="35555FA8" w14:textId="77777777" w:rsidR="00947310" w:rsidRPr="00CD387E" w:rsidRDefault="00947310" w:rsidP="00947310">
            <w:pPr>
              <w:jc w:val="right"/>
              <w:rPr>
                <w:rFonts w:ascii="Arial" w:hAnsi="Arial"/>
                <w:b/>
                <w:bCs/>
                <w:sz w:val="28"/>
                <w:szCs w:val="28"/>
              </w:rPr>
            </w:pPr>
          </w:p>
        </w:tc>
      </w:tr>
      <w:tr w:rsidR="00947310" w:rsidRPr="00CD387E" w14:paraId="7B92457E" w14:textId="77777777" w:rsidTr="00947310">
        <w:trPr>
          <w:trHeight w:val="355"/>
          <w:jc w:val="center"/>
        </w:trPr>
        <w:tc>
          <w:tcPr>
            <w:tcW w:w="923" w:type="dxa"/>
            <w:tcBorders>
              <w:top w:val="nil"/>
              <w:left w:val="nil"/>
              <w:bottom w:val="nil"/>
              <w:right w:val="nil"/>
            </w:tcBorders>
            <w:shd w:val="clear" w:color="auto" w:fill="auto"/>
          </w:tcPr>
          <w:p w14:paraId="6512C16C" w14:textId="77777777" w:rsidR="00947310" w:rsidRPr="00CD387E" w:rsidRDefault="00947310" w:rsidP="00947310">
            <w:pPr>
              <w:jc w:val="both"/>
              <w:rPr>
                <w:rFonts w:ascii="Arial" w:hAnsi="Arial"/>
                <w:b/>
                <w:bCs/>
                <w:sz w:val="28"/>
                <w:szCs w:val="28"/>
                <w:rtl/>
              </w:rPr>
            </w:pPr>
          </w:p>
        </w:tc>
        <w:tc>
          <w:tcPr>
            <w:tcW w:w="4126" w:type="dxa"/>
            <w:tcBorders>
              <w:top w:val="nil"/>
              <w:left w:val="nil"/>
              <w:bottom w:val="nil"/>
              <w:right w:val="nil"/>
            </w:tcBorders>
            <w:shd w:val="clear" w:color="auto" w:fill="auto"/>
          </w:tcPr>
          <w:p w14:paraId="1B9343BF" w14:textId="77777777" w:rsidR="00947310" w:rsidRPr="00CD387E" w:rsidRDefault="00947310" w:rsidP="00947310">
            <w:pPr>
              <w:jc w:val="both"/>
              <w:rPr>
                <w:b/>
                <w:bCs/>
                <w:sz w:val="28"/>
                <w:szCs w:val="28"/>
                <w:rtl/>
              </w:rPr>
            </w:pPr>
            <w:r w:rsidRPr="00CD387E">
              <w:rPr>
                <w:rFonts w:hint="cs"/>
                <w:b/>
                <w:bCs/>
                <w:sz w:val="28"/>
                <w:szCs w:val="28"/>
                <w:rtl/>
              </w:rPr>
              <w:t xml:space="preserve">ע"י ב"כ עו"ד מחמד ג'בארין  </w:t>
            </w:r>
          </w:p>
        </w:tc>
        <w:tc>
          <w:tcPr>
            <w:tcW w:w="3771" w:type="dxa"/>
            <w:tcBorders>
              <w:top w:val="nil"/>
              <w:left w:val="nil"/>
              <w:bottom w:val="nil"/>
              <w:right w:val="nil"/>
            </w:tcBorders>
            <w:shd w:val="clear" w:color="auto" w:fill="auto"/>
          </w:tcPr>
          <w:p w14:paraId="7B9AC55C" w14:textId="77777777" w:rsidR="00947310" w:rsidRPr="00CD387E" w:rsidRDefault="00947310" w:rsidP="00947310">
            <w:pPr>
              <w:jc w:val="right"/>
              <w:rPr>
                <w:rFonts w:ascii="Arial" w:hAnsi="Arial"/>
                <w:b/>
                <w:bCs/>
                <w:sz w:val="28"/>
                <w:szCs w:val="28"/>
              </w:rPr>
            </w:pPr>
            <w:r w:rsidRPr="00CD387E">
              <w:rPr>
                <w:rFonts w:ascii="Arial" w:hAnsi="Arial" w:hint="cs"/>
                <w:b/>
                <w:bCs/>
                <w:sz w:val="28"/>
                <w:szCs w:val="28"/>
                <w:rtl/>
              </w:rPr>
              <w:t>ה</w:t>
            </w:r>
            <w:r w:rsidRPr="00CD387E">
              <w:rPr>
                <w:rFonts w:ascii="Arial" w:hAnsi="Arial"/>
                <w:b/>
                <w:bCs/>
                <w:sz w:val="28"/>
                <w:szCs w:val="28"/>
                <w:rtl/>
              </w:rPr>
              <w:t>נאש</w:t>
            </w:r>
            <w:r w:rsidRPr="00CD387E">
              <w:rPr>
                <w:rFonts w:ascii="Arial" w:hAnsi="Arial" w:hint="cs"/>
                <w:b/>
                <w:bCs/>
                <w:sz w:val="28"/>
                <w:szCs w:val="28"/>
                <w:rtl/>
              </w:rPr>
              <w:t>ם:</w:t>
            </w:r>
          </w:p>
        </w:tc>
      </w:tr>
    </w:tbl>
    <w:p w14:paraId="3580E258" w14:textId="77777777" w:rsidR="00A91FB6" w:rsidRDefault="00A91FB6" w:rsidP="00947310">
      <w:pPr>
        <w:rPr>
          <w:sz w:val="28"/>
          <w:szCs w:val="28"/>
          <w:rtl/>
        </w:rPr>
      </w:pPr>
      <w:bookmarkStart w:id="3" w:name="LawTable"/>
      <w:bookmarkEnd w:id="3"/>
    </w:p>
    <w:p w14:paraId="2C780F47" w14:textId="77777777" w:rsidR="00A91FB6" w:rsidRPr="00A91FB6" w:rsidRDefault="00A91FB6" w:rsidP="00A91FB6">
      <w:pPr>
        <w:spacing w:after="120" w:line="240" w:lineRule="exact"/>
        <w:ind w:left="283" w:hanging="283"/>
        <w:jc w:val="both"/>
        <w:rPr>
          <w:rFonts w:ascii="FrankRuehl" w:hAnsi="FrankRuehl" w:cs="FrankRuehl"/>
          <w:rtl/>
        </w:rPr>
      </w:pPr>
    </w:p>
    <w:p w14:paraId="14EEF14F" w14:textId="77777777" w:rsidR="00A91FB6" w:rsidRPr="00A91FB6" w:rsidRDefault="00A91FB6" w:rsidP="00A91FB6">
      <w:pPr>
        <w:spacing w:after="120" w:line="240" w:lineRule="exact"/>
        <w:ind w:left="283" w:hanging="283"/>
        <w:jc w:val="both"/>
        <w:rPr>
          <w:rFonts w:ascii="FrankRuehl" w:hAnsi="FrankRuehl" w:cs="FrankRuehl"/>
          <w:rtl/>
        </w:rPr>
      </w:pPr>
      <w:r w:rsidRPr="00A91FB6">
        <w:rPr>
          <w:rFonts w:ascii="FrankRuehl" w:hAnsi="FrankRuehl" w:cs="FrankRuehl"/>
          <w:rtl/>
        </w:rPr>
        <w:t xml:space="preserve">חקיקה שאוזכרה: </w:t>
      </w:r>
    </w:p>
    <w:p w14:paraId="2DAC275C" w14:textId="77777777" w:rsidR="00A91FB6" w:rsidRPr="00A91FB6" w:rsidRDefault="00A91FB6" w:rsidP="00A91FB6">
      <w:pPr>
        <w:spacing w:after="120" w:line="240" w:lineRule="exact"/>
        <w:ind w:left="283" w:hanging="283"/>
        <w:jc w:val="both"/>
        <w:rPr>
          <w:rFonts w:ascii="FrankRuehl" w:hAnsi="FrankRuehl" w:cs="FrankRuehl"/>
          <w:rtl/>
        </w:rPr>
      </w:pPr>
      <w:hyperlink r:id="rId6" w:history="1">
        <w:r w:rsidRPr="00A91FB6">
          <w:rPr>
            <w:rFonts w:ascii="FrankRuehl" w:hAnsi="FrankRuehl" w:cs="FrankRuehl"/>
            <w:color w:val="0000FF"/>
            <w:u w:val="single"/>
            <w:rtl/>
          </w:rPr>
          <w:t>תקנות ההגנה (שעת-חירום), 1945</w:t>
        </w:r>
      </w:hyperlink>
      <w:r w:rsidRPr="00A91FB6">
        <w:rPr>
          <w:rFonts w:ascii="FrankRuehl" w:hAnsi="FrankRuehl" w:cs="FrankRuehl"/>
          <w:rtl/>
        </w:rPr>
        <w:t xml:space="preserve">: סע'  </w:t>
      </w:r>
      <w:hyperlink r:id="rId7" w:history="1">
        <w:r w:rsidRPr="00A91FB6">
          <w:rPr>
            <w:rFonts w:ascii="FrankRuehl" w:hAnsi="FrankRuehl" w:cs="FrankRuehl"/>
            <w:color w:val="0000FF"/>
            <w:u w:val="single"/>
            <w:rtl/>
          </w:rPr>
          <w:t>85 (א)(1)</w:t>
        </w:r>
      </w:hyperlink>
    </w:p>
    <w:p w14:paraId="406ECF16" w14:textId="77777777" w:rsidR="00A91FB6" w:rsidRPr="00A91FB6" w:rsidRDefault="00A91FB6" w:rsidP="00A91FB6">
      <w:pPr>
        <w:spacing w:after="120" w:line="240" w:lineRule="exact"/>
        <w:ind w:left="283" w:hanging="283"/>
        <w:jc w:val="both"/>
        <w:rPr>
          <w:rFonts w:ascii="FrankRuehl" w:hAnsi="FrankRuehl" w:cs="FrankRuehl"/>
          <w:rtl/>
        </w:rPr>
      </w:pPr>
      <w:hyperlink r:id="rId8" w:history="1">
        <w:r w:rsidRPr="00A91FB6">
          <w:rPr>
            <w:rFonts w:ascii="FrankRuehl" w:hAnsi="FrankRuehl" w:cs="FrankRuehl"/>
            <w:color w:val="0000FF"/>
            <w:u w:val="single"/>
            <w:rtl/>
          </w:rPr>
          <w:t>חוק המאבק בטרור, תשע"ו-2016</w:t>
        </w:r>
      </w:hyperlink>
      <w:r w:rsidRPr="00A91FB6">
        <w:rPr>
          <w:rFonts w:ascii="FrankRuehl" w:hAnsi="FrankRuehl" w:cs="FrankRuehl"/>
          <w:rtl/>
        </w:rPr>
        <w:t xml:space="preserve">: סע'  </w:t>
      </w:r>
      <w:hyperlink r:id="rId9" w:history="1">
        <w:r w:rsidRPr="00A91FB6">
          <w:rPr>
            <w:rFonts w:ascii="FrankRuehl" w:hAnsi="FrankRuehl" w:cs="FrankRuehl"/>
            <w:color w:val="0000FF"/>
            <w:u w:val="single"/>
            <w:rtl/>
          </w:rPr>
          <w:t>22(ב)</w:t>
        </w:r>
      </w:hyperlink>
    </w:p>
    <w:p w14:paraId="760B5096" w14:textId="77777777" w:rsidR="00A91FB6" w:rsidRPr="00A91FB6" w:rsidRDefault="00A91FB6" w:rsidP="00A91FB6">
      <w:pPr>
        <w:spacing w:after="120" w:line="240" w:lineRule="exact"/>
        <w:ind w:left="283" w:hanging="283"/>
        <w:jc w:val="both"/>
        <w:rPr>
          <w:rFonts w:ascii="FrankRuehl" w:hAnsi="FrankRuehl" w:cs="FrankRuehl"/>
          <w:rtl/>
        </w:rPr>
      </w:pPr>
      <w:hyperlink r:id="rId10" w:history="1">
        <w:r w:rsidRPr="00A91FB6">
          <w:rPr>
            <w:rFonts w:ascii="FrankRuehl" w:hAnsi="FrankRuehl" w:cs="FrankRuehl"/>
            <w:color w:val="0000FF"/>
            <w:u w:val="single"/>
            <w:rtl/>
          </w:rPr>
          <w:t>חוק העונשין, תשל"ז-1977</w:t>
        </w:r>
      </w:hyperlink>
      <w:r w:rsidRPr="00A91FB6">
        <w:rPr>
          <w:rFonts w:ascii="FrankRuehl" w:hAnsi="FrankRuehl" w:cs="FrankRuehl"/>
          <w:rtl/>
        </w:rPr>
        <w:t xml:space="preserve">: סע'  </w:t>
      </w:r>
      <w:hyperlink r:id="rId11" w:history="1">
        <w:r w:rsidRPr="00A91FB6">
          <w:rPr>
            <w:rFonts w:ascii="FrankRuehl" w:hAnsi="FrankRuehl" w:cs="FrankRuehl"/>
            <w:color w:val="0000FF"/>
            <w:u w:val="single"/>
            <w:rtl/>
          </w:rPr>
          <w:t>143(ב)</w:t>
        </w:r>
      </w:hyperlink>
      <w:r w:rsidRPr="00A91FB6">
        <w:rPr>
          <w:rFonts w:ascii="FrankRuehl" w:hAnsi="FrankRuehl" w:cs="FrankRuehl"/>
          <w:rtl/>
        </w:rPr>
        <w:t xml:space="preserve">, </w:t>
      </w:r>
      <w:hyperlink r:id="rId12" w:history="1">
        <w:r w:rsidRPr="00A91FB6">
          <w:rPr>
            <w:rFonts w:ascii="FrankRuehl" w:hAnsi="FrankRuehl" w:cs="FrankRuehl"/>
            <w:color w:val="0000FF"/>
            <w:u w:val="single"/>
            <w:rtl/>
          </w:rPr>
          <w:t>144 (א)</w:t>
        </w:r>
      </w:hyperlink>
      <w:r w:rsidRPr="00A91FB6">
        <w:rPr>
          <w:rFonts w:ascii="FrankRuehl" w:hAnsi="FrankRuehl" w:cs="FrankRuehl"/>
          <w:rtl/>
        </w:rPr>
        <w:t xml:space="preserve">, </w:t>
      </w:r>
      <w:hyperlink r:id="rId13" w:history="1">
        <w:r w:rsidRPr="00A91FB6">
          <w:rPr>
            <w:rFonts w:ascii="FrankRuehl" w:hAnsi="FrankRuehl" w:cs="FrankRuehl"/>
            <w:color w:val="0000FF"/>
            <w:u w:val="single"/>
            <w:rtl/>
          </w:rPr>
          <w:t>144(ב)</w:t>
        </w:r>
      </w:hyperlink>
    </w:p>
    <w:p w14:paraId="2B1F8347" w14:textId="77777777" w:rsidR="00A91FB6" w:rsidRPr="00A91FB6" w:rsidRDefault="00A91FB6" w:rsidP="00A91FB6">
      <w:pPr>
        <w:spacing w:after="120" w:line="240" w:lineRule="exact"/>
        <w:ind w:left="283" w:hanging="283"/>
        <w:jc w:val="both"/>
        <w:rPr>
          <w:rFonts w:ascii="FrankRuehl" w:hAnsi="FrankRuehl" w:cs="FrankRuehl"/>
          <w:rtl/>
        </w:rPr>
      </w:pPr>
    </w:p>
    <w:p w14:paraId="72FC0D23" w14:textId="77777777" w:rsidR="00A91FB6" w:rsidRPr="00A91FB6" w:rsidRDefault="00A91FB6" w:rsidP="00947310">
      <w:pPr>
        <w:rPr>
          <w:sz w:val="28"/>
          <w:szCs w:val="28"/>
          <w:rtl/>
        </w:rPr>
      </w:pPr>
      <w:bookmarkStart w:id="4" w:name="LawTable_End"/>
      <w:bookmarkEnd w:id="4"/>
    </w:p>
    <w:p w14:paraId="4A90E975" w14:textId="77777777" w:rsidR="00CD387E" w:rsidRPr="00CD387E" w:rsidRDefault="00CD387E" w:rsidP="00947310">
      <w:pPr>
        <w:rPr>
          <w:sz w:val="28"/>
          <w:szCs w:val="28"/>
          <w:rtl/>
        </w:rPr>
      </w:pPr>
    </w:p>
    <w:p w14:paraId="3458FD27" w14:textId="77777777" w:rsidR="00947310" w:rsidRPr="00CD387E" w:rsidRDefault="00947310" w:rsidP="00947310">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7310" w:rsidRPr="00AD7161" w14:paraId="56A484BE" w14:textId="77777777" w:rsidTr="00947310">
        <w:trPr>
          <w:trHeight w:val="355"/>
          <w:jc w:val="center"/>
        </w:trPr>
        <w:tc>
          <w:tcPr>
            <w:tcW w:w="8820" w:type="dxa"/>
            <w:tcBorders>
              <w:top w:val="nil"/>
              <w:left w:val="nil"/>
              <w:bottom w:val="nil"/>
              <w:right w:val="nil"/>
            </w:tcBorders>
            <w:shd w:val="clear" w:color="auto" w:fill="auto"/>
          </w:tcPr>
          <w:p w14:paraId="54F49E3A" w14:textId="77777777" w:rsidR="00CD387E" w:rsidRPr="00CD387E" w:rsidRDefault="00CD387E" w:rsidP="00CD387E">
            <w:pPr>
              <w:jc w:val="center"/>
              <w:rPr>
                <w:rFonts w:ascii="Arial" w:hAnsi="Arial"/>
                <w:b/>
                <w:bCs/>
                <w:sz w:val="32"/>
                <w:szCs w:val="32"/>
                <w:u w:val="single"/>
                <w:rtl/>
              </w:rPr>
            </w:pPr>
            <w:bookmarkStart w:id="5" w:name="PsakDin" w:colFirst="0" w:colLast="0"/>
            <w:r w:rsidRPr="00CD387E">
              <w:rPr>
                <w:rFonts w:ascii="Arial" w:hAnsi="Arial"/>
                <w:b/>
                <w:bCs/>
                <w:sz w:val="32"/>
                <w:szCs w:val="32"/>
                <w:u w:val="single"/>
                <w:rtl/>
              </w:rPr>
              <w:t>גזר דין</w:t>
            </w:r>
          </w:p>
          <w:p w14:paraId="476707D6" w14:textId="77777777" w:rsidR="00947310" w:rsidRPr="00CD387E" w:rsidRDefault="00947310" w:rsidP="00CD387E">
            <w:pPr>
              <w:jc w:val="center"/>
              <w:rPr>
                <w:rFonts w:ascii="Arial" w:hAnsi="Arial"/>
                <w:bCs/>
                <w:u w:val="single"/>
                <w:rtl/>
              </w:rPr>
            </w:pPr>
          </w:p>
        </w:tc>
      </w:tr>
      <w:bookmarkEnd w:id="5"/>
    </w:tbl>
    <w:p w14:paraId="00854B5D" w14:textId="77777777" w:rsidR="00947310" w:rsidRPr="00AD7161" w:rsidRDefault="00947310" w:rsidP="00947310">
      <w:pPr>
        <w:rPr>
          <w:rFonts w:ascii="Arial" w:hAnsi="Arial"/>
          <w:rtl/>
        </w:rPr>
      </w:pPr>
    </w:p>
    <w:p w14:paraId="14A8D633" w14:textId="77777777" w:rsidR="00947310" w:rsidRPr="00256531" w:rsidRDefault="00947310" w:rsidP="00947310">
      <w:pPr>
        <w:rPr>
          <w:rFonts w:ascii="Arial" w:hAnsi="Arial"/>
          <w:b/>
          <w:bCs/>
          <w:u w:val="single"/>
          <w:rtl/>
        </w:rPr>
      </w:pPr>
      <w:r w:rsidRPr="00256531">
        <w:rPr>
          <w:rFonts w:ascii="Arial" w:hAnsi="Arial" w:hint="cs"/>
          <w:b/>
          <w:bCs/>
          <w:u w:val="single"/>
          <w:rtl/>
        </w:rPr>
        <w:t>השופט א. ואגו- אב"ד:</w:t>
      </w:r>
    </w:p>
    <w:p w14:paraId="2C2E2AD6" w14:textId="77777777" w:rsidR="00947310" w:rsidRDefault="00947310" w:rsidP="00947310">
      <w:pPr>
        <w:rPr>
          <w:rtl/>
        </w:rPr>
      </w:pPr>
    </w:p>
    <w:p w14:paraId="022E1D97" w14:textId="77777777" w:rsidR="00947310" w:rsidRDefault="00947310" w:rsidP="00947310">
      <w:pPr>
        <w:spacing w:line="360" w:lineRule="auto"/>
        <w:jc w:val="both"/>
        <w:rPr>
          <w:rtl/>
        </w:rPr>
      </w:pPr>
      <w:bookmarkStart w:id="6" w:name="ABSTRACT_START"/>
      <w:bookmarkEnd w:id="6"/>
      <w:r>
        <w:rPr>
          <w:rFonts w:hint="cs"/>
          <w:rtl/>
        </w:rPr>
        <w:t xml:space="preserve">הנאשם, יליד 1990, תושב עזה, הורשע, לפי הודאתו, במסגרת הסדר טיעון, שלא כלל הסכמה עונשית, בכתב אישום מתוקן אשר מייחס לו עבירות נגד בטחון המדינה. עניינו של גזר דין זה </w:t>
      </w:r>
      <w:r>
        <w:rPr>
          <w:rtl/>
        </w:rPr>
        <w:t>–</w:t>
      </w:r>
      <w:r>
        <w:rPr>
          <w:rFonts w:hint="cs"/>
          <w:rtl/>
        </w:rPr>
        <w:t xml:space="preserve"> הטלת העונש ההולם בגין העבירות הללו. </w:t>
      </w:r>
    </w:p>
    <w:p w14:paraId="3E31CA6A" w14:textId="77777777" w:rsidR="00947310" w:rsidRDefault="00947310" w:rsidP="00947310">
      <w:pPr>
        <w:spacing w:line="360" w:lineRule="auto"/>
        <w:jc w:val="both"/>
        <w:rPr>
          <w:rtl/>
        </w:rPr>
      </w:pPr>
    </w:p>
    <w:p w14:paraId="172F0836" w14:textId="77777777" w:rsidR="00947310" w:rsidRDefault="00947310" w:rsidP="00947310">
      <w:pPr>
        <w:spacing w:line="360" w:lineRule="auto"/>
        <w:jc w:val="both"/>
        <w:rPr>
          <w:rtl/>
        </w:rPr>
      </w:pPr>
      <w:r>
        <w:rPr>
          <w:rFonts w:hint="cs"/>
          <w:rtl/>
        </w:rPr>
        <w:t xml:space="preserve">הנאשם נעצר ביום 10.9.17, והוגש נגדו כתב אישום </w:t>
      </w:r>
      <w:r w:rsidRPr="003B22AC">
        <w:rPr>
          <w:rFonts w:hint="cs"/>
          <w:sz w:val="22"/>
          <w:szCs w:val="22"/>
          <w:rtl/>
        </w:rPr>
        <w:t>(שתוקן בעקבות הסדר הטיעון)</w:t>
      </w:r>
      <w:r>
        <w:rPr>
          <w:rFonts w:hint="cs"/>
          <w:rtl/>
        </w:rPr>
        <w:t xml:space="preserve"> בחודש אוקטובר 2017, בגין העבירות, שמועד ביצוען מסוף 2013 ועד יולי 2014. </w:t>
      </w:r>
    </w:p>
    <w:p w14:paraId="025ABB30" w14:textId="77777777" w:rsidR="00947310" w:rsidRDefault="00947310" w:rsidP="00947310">
      <w:pPr>
        <w:spacing w:line="360" w:lineRule="auto"/>
        <w:jc w:val="both"/>
        <w:rPr>
          <w:rtl/>
        </w:rPr>
      </w:pPr>
      <w:bookmarkStart w:id="7" w:name="ABSTRACT_END"/>
      <w:bookmarkEnd w:id="7"/>
    </w:p>
    <w:p w14:paraId="6DCBE36C" w14:textId="77777777" w:rsidR="00947310" w:rsidRDefault="00947310" w:rsidP="00947310">
      <w:pPr>
        <w:spacing w:line="360" w:lineRule="auto"/>
        <w:jc w:val="both"/>
        <w:rPr>
          <w:rtl/>
        </w:rPr>
      </w:pPr>
      <w:r>
        <w:rPr>
          <w:rFonts w:hint="cs"/>
          <w:b/>
          <w:bCs/>
          <w:u w:val="single"/>
          <w:rtl/>
        </w:rPr>
        <w:t>כתב האישום המתוקן</w:t>
      </w:r>
    </w:p>
    <w:p w14:paraId="41E08EE9" w14:textId="77777777" w:rsidR="00947310" w:rsidRDefault="00947310" w:rsidP="00947310">
      <w:pPr>
        <w:spacing w:line="360" w:lineRule="auto"/>
        <w:jc w:val="both"/>
        <w:rPr>
          <w:rtl/>
        </w:rPr>
      </w:pPr>
      <w:r>
        <w:rPr>
          <w:rFonts w:hint="cs"/>
          <w:rtl/>
        </w:rPr>
        <w:t xml:space="preserve">לפי </w:t>
      </w:r>
      <w:r w:rsidRPr="00263355">
        <w:rPr>
          <w:rFonts w:hint="cs"/>
          <w:u w:val="single"/>
          <w:rtl/>
        </w:rPr>
        <w:t>האישום הראשון</w:t>
      </w:r>
      <w:r>
        <w:rPr>
          <w:rFonts w:hint="cs"/>
          <w:rtl/>
        </w:rPr>
        <w:t xml:space="preserve">, שבעובדותיו הודה הנאשם, וכעולה מהחלק הכללי של כתב האישום, פגש הנאשם בשנת 2013, בעזה, פעיל של ארגון הג'יהאד האיסלאמי הפלסטיני, שהוא התאחדות בלתי מותרת, והפעיל </w:t>
      </w:r>
      <w:r>
        <w:rPr>
          <w:rtl/>
        </w:rPr>
        <w:t>–</w:t>
      </w:r>
      <w:r>
        <w:rPr>
          <w:rFonts w:hint="cs"/>
          <w:rtl/>
        </w:rPr>
        <w:t xml:space="preserve"> עומאר רבאעי, הציע לו להצטרף לארגון. בתחילה הוא דחה ההצעה, אך לאחר </w:t>
      </w:r>
      <w:r>
        <w:rPr>
          <w:rFonts w:hint="cs"/>
          <w:rtl/>
        </w:rPr>
        <w:lastRenderedPageBreak/>
        <w:t xml:space="preserve">פגישות נוספות, הסכים והצטרף. פעילותו של הנאשם בארגון כללה השתתפות בטקס אזכרה לאחד מהחללים, ופרסום פוסט זיכרון למייסד הארגון, פתחי שקאקי </w:t>
      </w:r>
      <w:r w:rsidRPr="003B22AC">
        <w:rPr>
          <w:rFonts w:hint="cs"/>
          <w:sz w:val="22"/>
          <w:szCs w:val="22"/>
          <w:rtl/>
        </w:rPr>
        <w:t xml:space="preserve">(זאת </w:t>
      </w:r>
      <w:r w:rsidRPr="003B22AC">
        <w:rPr>
          <w:sz w:val="22"/>
          <w:szCs w:val="22"/>
          <w:rtl/>
        </w:rPr>
        <w:t>–</w:t>
      </w:r>
      <w:r w:rsidRPr="003B22AC">
        <w:rPr>
          <w:rFonts w:hint="cs"/>
          <w:sz w:val="22"/>
          <w:szCs w:val="22"/>
          <w:rtl/>
        </w:rPr>
        <w:t xml:space="preserve"> באוקטובר 2013)</w:t>
      </w:r>
      <w:r>
        <w:rPr>
          <w:rFonts w:hint="cs"/>
          <w:rtl/>
        </w:rPr>
        <w:t xml:space="preserve">. כמו כן, במהלך שנת 2013, צורף הנאשם, ביוזמת פעיל אחר, חבר של הנאשם </w:t>
      </w:r>
      <w:r>
        <w:rPr>
          <w:rtl/>
        </w:rPr>
        <w:t>–</w:t>
      </w:r>
      <w:r>
        <w:rPr>
          <w:rFonts w:hint="cs"/>
          <w:rtl/>
        </w:rPr>
        <w:t xml:space="preserve"> טארק, לקבוצת לימודי דת </w:t>
      </w:r>
      <w:r w:rsidRPr="003B22AC">
        <w:rPr>
          <w:rFonts w:hint="cs"/>
          <w:sz w:val="22"/>
          <w:szCs w:val="22"/>
          <w:rtl/>
        </w:rPr>
        <w:t xml:space="preserve">(אוסרה) </w:t>
      </w:r>
      <w:r>
        <w:rPr>
          <w:rFonts w:hint="cs"/>
          <w:rtl/>
        </w:rPr>
        <w:t xml:space="preserve">של הארגון, כדי להכשירו לפעילות שמירה ("ריבאט") ובמסגרת זו קיבל שיעורי דת ולמד על פעילות הזרוע הצבאית של הארגון </w:t>
      </w:r>
      <w:r>
        <w:rPr>
          <w:rtl/>
        </w:rPr>
        <w:t>–</w:t>
      </w:r>
      <w:r>
        <w:rPr>
          <w:rFonts w:hint="cs"/>
          <w:rtl/>
        </w:rPr>
        <w:t xml:space="preserve"> סראיא אל-קודס. בתחילת שנת 2014, עומאר הנ"ל הציע לנאשם להצטרף לאימון צבאי באותה זרוע צבאית, ואכן, במשך שעה, בשעות הלילה, בתקופה של שבועיים, התקיים אימון כזה, אך, הנאשם נטל בו חלק רק בארבעה מפגשים. האימון כלל כושר גופני, זחילות, קפיצות מעל שקי חול, שיעורים בהרכבת ופירוק רובה סער וירי ברובה זה. </w:t>
      </w:r>
    </w:p>
    <w:p w14:paraId="5ED767F8" w14:textId="77777777" w:rsidR="00947310" w:rsidRDefault="00947310" w:rsidP="00947310">
      <w:pPr>
        <w:spacing w:line="360" w:lineRule="auto"/>
        <w:jc w:val="both"/>
        <w:rPr>
          <w:rtl/>
        </w:rPr>
      </w:pPr>
    </w:p>
    <w:p w14:paraId="08BC8172" w14:textId="77777777" w:rsidR="00947310" w:rsidRDefault="00947310" w:rsidP="00947310">
      <w:pPr>
        <w:spacing w:line="360" w:lineRule="auto"/>
        <w:jc w:val="both"/>
        <w:rPr>
          <w:rtl/>
        </w:rPr>
      </w:pPr>
      <w:r>
        <w:rPr>
          <w:rFonts w:hint="cs"/>
          <w:rtl/>
        </w:rPr>
        <w:t xml:space="preserve">לפיכך </w:t>
      </w:r>
      <w:r>
        <w:rPr>
          <w:rtl/>
        </w:rPr>
        <w:t>–</w:t>
      </w:r>
      <w:r>
        <w:rPr>
          <w:rFonts w:hint="cs"/>
          <w:rtl/>
        </w:rPr>
        <w:t xml:space="preserve"> הורשע הנאשם בעבירות של </w:t>
      </w:r>
      <w:r w:rsidRPr="00922362">
        <w:rPr>
          <w:rFonts w:hint="cs"/>
          <w:b/>
          <w:bCs/>
          <w:rtl/>
        </w:rPr>
        <w:t>חברות בהתאחדות בלתי מותרת</w:t>
      </w:r>
      <w:r>
        <w:rPr>
          <w:rFonts w:hint="cs"/>
          <w:rtl/>
        </w:rPr>
        <w:t xml:space="preserve"> לפי </w:t>
      </w:r>
      <w:r w:rsidRPr="00922362">
        <w:rPr>
          <w:rFonts w:hint="cs"/>
          <w:b/>
          <w:bCs/>
          <w:rtl/>
        </w:rPr>
        <w:t xml:space="preserve">תקנה </w:t>
      </w:r>
      <w:hyperlink r:id="rId14" w:history="1">
        <w:r w:rsidR="00A37A98" w:rsidRPr="00A37A98">
          <w:rPr>
            <w:b/>
            <w:bCs/>
            <w:color w:val="0000FF"/>
            <w:u w:val="single"/>
            <w:rtl/>
          </w:rPr>
          <w:t>85 (א)(1)</w:t>
        </w:r>
      </w:hyperlink>
      <w:r>
        <w:rPr>
          <w:rFonts w:hint="cs"/>
          <w:rtl/>
        </w:rPr>
        <w:t xml:space="preserve"> ל</w:t>
      </w:r>
      <w:hyperlink r:id="rId15" w:history="1">
        <w:r w:rsidR="00CD387E" w:rsidRPr="00CD387E">
          <w:rPr>
            <w:rStyle w:val="Hyperlink"/>
            <w:rFonts w:hint="eastAsia"/>
            <w:b/>
            <w:bCs/>
            <w:color w:val="0000FF"/>
            <w:rtl/>
          </w:rPr>
          <w:t>תקנות</w:t>
        </w:r>
        <w:r w:rsidR="00CD387E" w:rsidRPr="00CD387E">
          <w:rPr>
            <w:rStyle w:val="Hyperlink"/>
            <w:b/>
            <w:bCs/>
            <w:color w:val="0000FF"/>
            <w:rtl/>
          </w:rPr>
          <w:t xml:space="preserve"> ההגנה (שעת חירום)</w:t>
        </w:r>
      </w:hyperlink>
      <w:r w:rsidRPr="00922362">
        <w:rPr>
          <w:rFonts w:hint="cs"/>
          <w:b/>
          <w:bCs/>
          <w:rtl/>
        </w:rPr>
        <w:t xml:space="preserve"> 1945</w:t>
      </w:r>
      <w:r>
        <w:rPr>
          <w:rFonts w:hint="cs"/>
          <w:rtl/>
        </w:rPr>
        <w:t xml:space="preserve">, שהוחלפה </w:t>
      </w:r>
      <w:hyperlink r:id="rId16" w:history="1">
        <w:r w:rsidR="00A91FB6" w:rsidRPr="00A91FB6">
          <w:rPr>
            <w:b/>
            <w:bCs/>
            <w:color w:val="0000FF"/>
            <w:u w:val="single"/>
            <w:rtl/>
          </w:rPr>
          <w:t>בסעיף 22(ב)</w:t>
        </w:r>
      </w:hyperlink>
      <w:r w:rsidRPr="00922362">
        <w:rPr>
          <w:rFonts w:hint="cs"/>
          <w:b/>
          <w:bCs/>
          <w:rtl/>
        </w:rPr>
        <w:t xml:space="preserve"> </w:t>
      </w:r>
      <w:hyperlink r:id="rId17" w:history="1">
        <w:r w:rsidR="00A91FB6" w:rsidRPr="00A91FB6">
          <w:rPr>
            <w:b/>
            <w:bCs/>
            <w:color w:val="0000FF"/>
            <w:u w:val="single"/>
            <w:rtl/>
          </w:rPr>
          <w:t>לחוק המאבק בטרור</w:t>
        </w:r>
      </w:hyperlink>
      <w:r>
        <w:rPr>
          <w:rFonts w:hint="cs"/>
          <w:b/>
          <w:bCs/>
          <w:rtl/>
        </w:rPr>
        <w:t xml:space="preserve">, </w:t>
      </w:r>
      <w:r w:rsidRPr="00263355">
        <w:rPr>
          <w:rFonts w:hint="cs"/>
          <w:b/>
          <w:bCs/>
          <w:rtl/>
        </w:rPr>
        <w:t>אימונים צבאיים אסורים</w:t>
      </w:r>
      <w:r>
        <w:rPr>
          <w:rFonts w:hint="cs"/>
          <w:rtl/>
        </w:rPr>
        <w:t xml:space="preserve"> לפי </w:t>
      </w:r>
      <w:hyperlink r:id="rId18" w:history="1">
        <w:r w:rsidR="00A91FB6" w:rsidRPr="00A91FB6">
          <w:rPr>
            <w:b/>
            <w:bCs/>
            <w:color w:val="0000FF"/>
            <w:u w:val="single"/>
            <w:rtl/>
          </w:rPr>
          <w:t>סעיף 143(ב)</w:t>
        </w:r>
      </w:hyperlink>
      <w:r w:rsidRPr="00263355">
        <w:rPr>
          <w:rFonts w:hint="cs"/>
          <w:b/>
          <w:bCs/>
          <w:rtl/>
        </w:rPr>
        <w:t xml:space="preserve"> ל</w:t>
      </w:r>
      <w:hyperlink r:id="rId19" w:history="1">
        <w:r w:rsidR="00CD387E" w:rsidRPr="00CD387E">
          <w:rPr>
            <w:rStyle w:val="Hyperlink"/>
            <w:rFonts w:hint="eastAsia"/>
            <w:b/>
            <w:bCs/>
            <w:color w:val="0000FF"/>
            <w:rtl/>
          </w:rPr>
          <w:t>חוק</w:t>
        </w:r>
        <w:r w:rsidR="00CD387E" w:rsidRPr="00CD387E">
          <w:rPr>
            <w:rStyle w:val="Hyperlink"/>
            <w:b/>
            <w:bCs/>
            <w:color w:val="0000FF"/>
            <w:rtl/>
          </w:rPr>
          <w:t xml:space="preserve"> העונשין</w:t>
        </w:r>
      </w:hyperlink>
      <w:r w:rsidRPr="00263355">
        <w:rPr>
          <w:rFonts w:hint="cs"/>
          <w:b/>
          <w:bCs/>
          <w:rtl/>
        </w:rPr>
        <w:t xml:space="preserve"> תשל"ז </w:t>
      </w:r>
      <w:r w:rsidRPr="00263355">
        <w:rPr>
          <w:b/>
          <w:bCs/>
          <w:rtl/>
        </w:rPr>
        <w:t>–</w:t>
      </w:r>
      <w:r w:rsidRPr="00263355">
        <w:rPr>
          <w:rFonts w:hint="cs"/>
          <w:b/>
          <w:bCs/>
          <w:rtl/>
        </w:rPr>
        <w:t xml:space="preserve"> 1977</w:t>
      </w:r>
      <w:r>
        <w:rPr>
          <w:rFonts w:hint="cs"/>
          <w:rtl/>
        </w:rPr>
        <w:t>, ו-</w:t>
      </w:r>
      <w:r w:rsidRPr="00263355">
        <w:rPr>
          <w:rFonts w:hint="cs"/>
          <w:b/>
          <w:bCs/>
          <w:rtl/>
        </w:rPr>
        <w:t xml:space="preserve">עבירות נשק (נשיאת נשק) לפי </w:t>
      </w:r>
      <w:hyperlink r:id="rId20" w:history="1">
        <w:r w:rsidR="00A91FB6" w:rsidRPr="00A91FB6">
          <w:rPr>
            <w:b/>
            <w:bCs/>
            <w:color w:val="0000FF"/>
            <w:u w:val="single"/>
            <w:rtl/>
          </w:rPr>
          <w:t>סעיף 144(ב)</w:t>
        </w:r>
      </w:hyperlink>
      <w:r w:rsidRPr="00263355">
        <w:rPr>
          <w:rFonts w:hint="cs"/>
          <w:b/>
          <w:bCs/>
          <w:rtl/>
        </w:rPr>
        <w:t xml:space="preserve"> רישא לחוק העונשין</w:t>
      </w:r>
      <w:r>
        <w:rPr>
          <w:rFonts w:hint="cs"/>
          <w:rtl/>
        </w:rPr>
        <w:t xml:space="preserve">. </w:t>
      </w:r>
    </w:p>
    <w:p w14:paraId="42BE988D" w14:textId="77777777" w:rsidR="00947310" w:rsidRDefault="00947310" w:rsidP="00947310">
      <w:pPr>
        <w:spacing w:line="360" w:lineRule="auto"/>
        <w:jc w:val="both"/>
        <w:rPr>
          <w:rtl/>
        </w:rPr>
      </w:pPr>
    </w:p>
    <w:p w14:paraId="24EF4486" w14:textId="77777777" w:rsidR="00947310" w:rsidRDefault="00947310" w:rsidP="00947310">
      <w:pPr>
        <w:spacing w:line="360" w:lineRule="auto"/>
        <w:jc w:val="both"/>
        <w:rPr>
          <w:rtl/>
        </w:rPr>
      </w:pPr>
      <w:r>
        <w:rPr>
          <w:rFonts w:hint="cs"/>
          <w:rtl/>
        </w:rPr>
        <w:t xml:space="preserve">לפי </w:t>
      </w:r>
      <w:r>
        <w:rPr>
          <w:rFonts w:hint="cs"/>
          <w:u w:val="single"/>
          <w:rtl/>
        </w:rPr>
        <w:t>האישום השני</w:t>
      </w:r>
      <w:r>
        <w:rPr>
          <w:rFonts w:hint="cs"/>
          <w:rtl/>
        </w:rPr>
        <w:t>,</w:t>
      </w:r>
      <w:r w:rsidRPr="00263355">
        <w:rPr>
          <w:rFonts w:hint="cs"/>
          <w:rtl/>
        </w:rPr>
        <w:t xml:space="preserve"> שבע</w:t>
      </w:r>
      <w:r>
        <w:rPr>
          <w:rFonts w:hint="cs"/>
          <w:rtl/>
        </w:rPr>
        <w:t xml:space="preserve">ובדותיו הודה הנאשם, במהלך מבצע "צוק איתן", בחודש יולי 2014, הוא התבקש, בידי פעיל הארגון, שהשתמש במילת קוד, להעביר אמל"ח לטארק, שאוזכר באישום הראשון. לביתו של הנאשם הגיעו שני פעילים והביאו 12 מטעני חבלה, שלאחר מכן הועברו, בידי טארק והנאשם, לביתו של טארק. המטענים חולקו בין הנאשם לבין שלושה אחרים, כשכל אחד מקבל שלושה מטענים, והנאשם לקח לביתו את המטענים שקיבל. לאחר חמישה ימים, שבהם אחסן אותם בבית, המטענים הועברו, על ידי הנאשם, לפעיל בשם פארוק חבוש </w:t>
      </w:r>
      <w:r w:rsidRPr="003B22AC">
        <w:rPr>
          <w:rFonts w:hint="cs"/>
          <w:sz w:val="22"/>
          <w:szCs w:val="22"/>
          <w:rtl/>
        </w:rPr>
        <w:t>(שהיה אחד מהשלושה שקיבלו מטענים יחד עם הנאשם).</w:t>
      </w:r>
      <w:r>
        <w:rPr>
          <w:rFonts w:hint="cs"/>
          <w:rtl/>
        </w:rPr>
        <w:t xml:space="preserve"> לאחר אירועים אלה חדל הנאשם להיות פעיל בארגון הג'יהאד האיסלאמי.</w:t>
      </w:r>
    </w:p>
    <w:p w14:paraId="0A24805B" w14:textId="77777777" w:rsidR="00947310" w:rsidRDefault="00947310" w:rsidP="00947310">
      <w:pPr>
        <w:spacing w:line="360" w:lineRule="auto"/>
        <w:jc w:val="both"/>
        <w:rPr>
          <w:rtl/>
        </w:rPr>
      </w:pPr>
    </w:p>
    <w:p w14:paraId="355CD4F6" w14:textId="77777777" w:rsidR="00947310" w:rsidRDefault="00947310" w:rsidP="00947310">
      <w:pPr>
        <w:spacing w:line="360" w:lineRule="auto"/>
        <w:jc w:val="both"/>
        <w:rPr>
          <w:rtl/>
        </w:rPr>
      </w:pPr>
      <w:r>
        <w:rPr>
          <w:rFonts w:hint="cs"/>
          <w:rtl/>
        </w:rPr>
        <w:t xml:space="preserve">לפיכך </w:t>
      </w:r>
      <w:r>
        <w:rPr>
          <w:rtl/>
        </w:rPr>
        <w:t>–</w:t>
      </w:r>
      <w:r>
        <w:rPr>
          <w:rFonts w:hint="cs"/>
          <w:rtl/>
        </w:rPr>
        <w:t xml:space="preserve"> הורשע הנאשם, באישום השני, בעבירות של </w:t>
      </w:r>
      <w:r w:rsidRPr="003B22AC">
        <w:rPr>
          <w:rFonts w:hint="cs"/>
          <w:b/>
          <w:bCs/>
          <w:rtl/>
        </w:rPr>
        <w:t xml:space="preserve">החזקת נשק, לפי סעיף </w:t>
      </w:r>
      <w:hyperlink r:id="rId21" w:history="1">
        <w:r w:rsidR="00A91FB6" w:rsidRPr="00A91FB6">
          <w:rPr>
            <w:b/>
            <w:bCs/>
            <w:color w:val="0000FF"/>
            <w:u w:val="single"/>
            <w:rtl/>
          </w:rPr>
          <w:t>144 (א)</w:t>
        </w:r>
      </w:hyperlink>
      <w:r w:rsidRPr="003B22AC">
        <w:rPr>
          <w:rFonts w:hint="cs"/>
          <w:b/>
          <w:bCs/>
          <w:rtl/>
        </w:rPr>
        <w:t xml:space="preserve"> רישא ל</w:t>
      </w:r>
      <w:hyperlink r:id="rId22" w:history="1">
        <w:r w:rsidR="00CD387E" w:rsidRPr="00CD387E">
          <w:rPr>
            <w:rStyle w:val="Hyperlink"/>
            <w:rFonts w:hint="eastAsia"/>
            <w:b/>
            <w:bCs/>
            <w:color w:val="0000FF"/>
            <w:rtl/>
          </w:rPr>
          <w:t>חוק</w:t>
        </w:r>
        <w:r w:rsidR="00CD387E" w:rsidRPr="00CD387E">
          <w:rPr>
            <w:rStyle w:val="Hyperlink"/>
            <w:b/>
            <w:bCs/>
            <w:color w:val="0000FF"/>
            <w:rtl/>
          </w:rPr>
          <w:t xml:space="preserve"> העונשין</w:t>
        </w:r>
      </w:hyperlink>
      <w:r w:rsidRPr="003B22AC">
        <w:rPr>
          <w:rFonts w:hint="cs"/>
          <w:b/>
          <w:bCs/>
          <w:rtl/>
        </w:rPr>
        <w:t xml:space="preserve">, ובעבירות נשק (נשיאת נשק) לפי סעיף </w:t>
      </w:r>
      <w:hyperlink r:id="rId23" w:history="1">
        <w:r w:rsidR="00A91FB6" w:rsidRPr="00A91FB6">
          <w:rPr>
            <w:b/>
            <w:bCs/>
            <w:color w:val="0000FF"/>
            <w:u w:val="single"/>
            <w:rtl/>
          </w:rPr>
          <w:t>144 (ב)</w:t>
        </w:r>
      </w:hyperlink>
      <w:r>
        <w:rPr>
          <w:rFonts w:hint="cs"/>
          <w:rtl/>
        </w:rPr>
        <w:t xml:space="preserve"> לחוק הנ"ל. </w:t>
      </w:r>
    </w:p>
    <w:p w14:paraId="4562BA28" w14:textId="77777777" w:rsidR="00947310" w:rsidRDefault="00947310" w:rsidP="00947310">
      <w:pPr>
        <w:spacing w:line="360" w:lineRule="auto"/>
        <w:jc w:val="both"/>
        <w:rPr>
          <w:rtl/>
        </w:rPr>
      </w:pPr>
    </w:p>
    <w:p w14:paraId="778C73BC" w14:textId="77777777" w:rsidR="00947310" w:rsidRDefault="00947310" w:rsidP="00947310">
      <w:pPr>
        <w:spacing w:line="360" w:lineRule="auto"/>
        <w:jc w:val="both"/>
        <w:rPr>
          <w:b/>
          <w:bCs/>
          <w:u w:val="single"/>
          <w:rtl/>
        </w:rPr>
      </w:pPr>
      <w:r>
        <w:rPr>
          <w:rFonts w:hint="cs"/>
          <w:b/>
          <w:bCs/>
          <w:u w:val="single"/>
          <w:rtl/>
        </w:rPr>
        <w:t>ראיות לעונש</w:t>
      </w:r>
    </w:p>
    <w:p w14:paraId="6240E004" w14:textId="77777777" w:rsidR="00947310" w:rsidRDefault="00947310" w:rsidP="00947310">
      <w:pPr>
        <w:spacing w:line="360" w:lineRule="auto"/>
        <w:jc w:val="both"/>
        <w:rPr>
          <w:rtl/>
        </w:rPr>
      </w:pPr>
      <w:r>
        <w:rPr>
          <w:rFonts w:hint="cs"/>
          <w:rtl/>
        </w:rPr>
        <w:t xml:space="preserve">התביעה לא הגישה ראיות לעונש, ואין לנאשם הרשעות קודמות. </w:t>
      </w:r>
    </w:p>
    <w:p w14:paraId="6DDEE8DE" w14:textId="77777777" w:rsidR="00947310" w:rsidRDefault="00947310" w:rsidP="00947310">
      <w:pPr>
        <w:spacing w:line="360" w:lineRule="auto"/>
        <w:jc w:val="both"/>
        <w:rPr>
          <w:rtl/>
        </w:rPr>
      </w:pPr>
    </w:p>
    <w:p w14:paraId="1B9890AD" w14:textId="77777777" w:rsidR="00947310" w:rsidRPr="00E940F4" w:rsidRDefault="00947310" w:rsidP="00947310">
      <w:pPr>
        <w:spacing w:line="360" w:lineRule="auto"/>
        <w:jc w:val="both"/>
        <w:rPr>
          <w:rtl/>
        </w:rPr>
      </w:pPr>
      <w:r>
        <w:rPr>
          <w:rFonts w:hint="cs"/>
          <w:rtl/>
        </w:rPr>
        <w:t>ההגנה הגישה לעיוננו את תיקו הרפואי של הנאשם, משב"ס, (</w:t>
      </w:r>
      <w:r w:rsidRPr="00E940F4">
        <w:rPr>
          <w:rFonts w:hint="cs"/>
          <w:b/>
          <w:bCs/>
          <w:rtl/>
        </w:rPr>
        <w:t>נ/1 לעונש)</w:t>
      </w:r>
      <w:r>
        <w:rPr>
          <w:rFonts w:hint="cs"/>
          <w:rtl/>
        </w:rPr>
        <w:t xml:space="preserve">, לביסוס מצבו הרפואי, ולהיותו של הנאשם מטופל בגין פגיעה בקרסולו, בתאונת עבודה, שארעה קודם למעצרו. </w:t>
      </w:r>
    </w:p>
    <w:p w14:paraId="46F2F26C" w14:textId="77777777" w:rsidR="00947310" w:rsidRDefault="00947310" w:rsidP="00947310">
      <w:pPr>
        <w:spacing w:line="360" w:lineRule="auto"/>
        <w:jc w:val="both"/>
        <w:rPr>
          <w:rtl/>
        </w:rPr>
      </w:pPr>
    </w:p>
    <w:p w14:paraId="714AEE33" w14:textId="77777777" w:rsidR="00947310" w:rsidRDefault="00947310" w:rsidP="00947310">
      <w:pPr>
        <w:spacing w:line="360" w:lineRule="auto"/>
        <w:jc w:val="both"/>
        <w:rPr>
          <w:rtl/>
        </w:rPr>
      </w:pPr>
      <w:r>
        <w:rPr>
          <w:rFonts w:hint="cs"/>
          <w:b/>
          <w:bCs/>
          <w:u w:val="single"/>
          <w:rtl/>
        </w:rPr>
        <w:t>טיעוני המאשימה לעונש</w:t>
      </w:r>
    </w:p>
    <w:p w14:paraId="62A119FB" w14:textId="77777777" w:rsidR="00947310" w:rsidRPr="00E940F4" w:rsidRDefault="00947310" w:rsidP="00947310">
      <w:pPr>
        <w:spacing w:line="360" w:lineRule="auto"/>
        <w:jc w:val="both"/>
        <w:rPr>
          <w:rtl/>
        </w:rPr>
      </w:pPr>
      <w:r>
        <w:rPr>
          <w:rFonts w:hint="cs"/>
          <w:rtl/>
        </w:rPr>
        <w:t xml:space="preserve">טיעוני התביעה הוגשו בכתב, והתובע, עו"ד יריב צרי, השלימם בפנינו, בדיון מיום 17.4.18. נטען, להלך רוח עברייני מסוכן, מצד הנאשם, שבחר בדרך האידיאולוגית המסוכנת של הארגון הנדון, </w:t>
      </w:r>
      <w:r>
        <w:rPr>
          <w:rFonts w:hint="cs"/>
          <w:rtl/>
        </w:rPr>
        <w:lastRenderedPageBreak/>
        <w:t xml:space="preserve">והסלים פעילותו, מהשתתפות פאסיבית, דרך אימונים צבאיים, ועד לשליטה אקטיבית במספר רב של מטעני חבלה. הוטעם, שאפילו עצם החברות בהתאחדות בלתי מותרת, הינה עבירת ביטחון </w:t>
      </w:r>
      <w:r w:rsidRPr="003B22AC">
        <w:rPr>
          <w:rFonts w:hint="cs"/>
          <w:sz w:val="22"/>
          <w:szCs w:val="22"/>
          <w:rtl/>
        </w:rPr>
        <w:t>(שעונשה 5 שנות מאסר),</w:t>
      </w:r>
      <w:r>
        <w:rPr>
          <w:rFonts w:hint="cs"/>
          <w:rtl/>
        </w:rPr>
        <w:t xml:space="preserve"> לא כל שכן - נטילת חלק פעיל, אימונים והחזקת מטענים מסוכנים ביותר </w:t>
      </w:r>
      <w:r w:rsidRPr="003B22AC">
        <w:rPr>
          <w:rFonts w:hint="cs"/>
          <w:sz w:val="22"/>
          <w:szCs w:val="22"/>
          <w:rtl/>
        </w:rPr>
        <w:t>(כשהעונש המירבי  על כך הינו 10 שנות מאסר).</w:t>
      </w:r>
      <w:r>
        <w:rPr>
          <w:rFonts w:hint="cs"/>
          <w:rtl/>
        </w:rPr>
        <w:t xml:space="preserve">  בכך יש לראות התפתחות לחומרה, כאשר, הנאשם, ביודעין, מסלים את אופי פעילותו.</w:t>
      </w:r>
    </w:p>
    <w:p w14:paraId="596E8AF9" w14:textId="77777777" w:rsidR="00947310" w:rsidRDefault="00947310" w:rsidP="00947310">
      <w:pPr>
        <w:spacing w:line="360" w:lineRule="auto"/>
        <w:jc w:val="both"/>
        <w:rPr>
          <w:rtl/>
        </w:rPr>
      </w:pPr>
      <w:r>
        <w:rPr>
          <w:rFonts w:hint="cs"/>
          <w:rtl/>
        </w:rPr>
        <w:t xml:space="preserve">בהינתן תקופת הפעילות הארוכה, לשיטת המאשימה, התבקשנו לקבוע כמה מתחמי ענישה ולהטיל תקופת מאסר אחת חופפת </w:t>
      </w:r>
      <w:r w:rsidRPr="003B22AC">
        <w:rPr>
          <w:rFonts w:hint="cs"/>
          <w:sz w:val="22"/>
          <w:szCs w:val="22"/>
          <w:rtl/>
        </w:rPr>
        <w:t>(לפי המבוקש בסיפא של הטיעון הכתוב לעונש. בגוף הטיעון מופיעה, אומנם, עתירה להטלת עונשים מצטברים, אך, לנוכח הסתירה, יש לראות את המאשימה כאוחזת בטיעון היותר מקל עם הנאשם)</w:t>
      </w:r>
      <w:r>
        <w:rPr>
          <w:rFonts w:hint="cs"/>
          <w:rtl/>
        </w:rPr>
        <w:t xml:space="preserve">. התובע ציין, שבניגוד למקרים אחרים של החזקת נשק, לא ניתן לטעון ליעוד הגנתי, בהקשר זה, בשל אופי הנשק כאן </w:t>
      </w:r>
      <w:r>
        <w:rPr>
          <w:rtl/>
        </w:rPr>
        <w:t>–</w:t>
      </w:r>
      <w:r>
        <w:rPr>
          <w:rFonts w:hint="cs"/>
          <w:rtl/>
        </w:rPr>
        <w:t xml:space="preserve"> מטעני חבלה, שהם התקפיים, ומטרתם </w:t>
      </w:r>
      <w:r>
        <w:rPr>
          <w:rtl/>
        </w:rPr>
        <w:t>–</w:t>
      </w:r>
      <w:r>
        <w:rPr>
          <w:rFonts w:hint="cs"/>
          <w:rtl/>
        </w:rPr>
        <w:t xml:space="preserve"> הרג. </w:t>
      </w:r>
    </w:p>
    <w:p w14:paraId="00D655AB" w14:textId="77777777" w:rsidR="00947310" w:rsidRDefault="00947310" w:rsidP="00947310">
      <w:pPr>
        <w:spacing w:line="360" w:lineRule="auto"/>
        <w:jc w:val="both"/>
        <w:rPr>
          <w:rtl/>
        </w:rPr>
      </w:pPr>
      <w:r>
        <w:rPr>
          <w:rFonts w:hint="cs"/>
          <w:rtl/>
        </w:rPr>
        <w:t xml:space="preserve">הרקע האידיאולוגי בעבירות הביטחון, לפי טיעון התובע, מייצג סכנה מוגברת לציבור, מעבר למקרים של עבריינות "רגילה". הופנינו </w:t>
      </w:r>
      <w:r w:rsidRPr="00F47982">
        <w:rPr>
          <w:rFonts w:hint="cs"/>
          <w:rtl/>
        </w:rPr>
        <w:t>לפסק דינו של ביהמ"ש העליון</w:t>
      </w:r>
      <w:r>
        <w:rPr>
          <w:rFonts w:hint="cs"/>
          <w:b/>
          <w:bCs/>
          <w:rtl/>
        </w:rPr>
        <w:t xml:space="preserve"> </w:t>
      </w:r>
      <w:r w:rsidRPr="00F47982">
        <w:rPr>
          <w:rFonts w:hint="cs"/>
          <w:rtl/>
        </w:rPr>
        <w:t>ב</w:t>
      </w:r>
      <w:hyperlink r:id="rId24" w:history="1">
        <w:r w:rsidR="00CD387E" w:rsidRPr="00CD387E">
          <w:rPr>
            <w:rStyle w:val="Hyperlink"/>
            <w:rFonts w:hint="eastAsia"/>
            <w:b/>
            <w:bCs/>
            <w:color w:val="0000FF"/>
            <w:rtl/>
          </w:rPr>
          <w:t>ע</w:t>
        </w:r>
        <w:r w:rsidR="00CD387E" w:rsidRPr="00CD387E">
          <w:rPr>
            <w:rStyle w:val="Hyperlink"/>
            <w:b/>
            <w:bCs/>
            <w:color w:val="0000FF"/>
            <w:rtl/>
          </w:rPr>
          <w:t>"פ 1220/08</w:t>
        </w:r>
      </w:hyperlink>
      <w:r>
        <w:rPr>
          <w:rFonts w:hint="cs"/>
          <w:rtl/>
        </w:rPr>
        <w:t xml:space="preserve"> </w:t>
      </w:r>
      <w:r w:rsidRPr="003B22AC">
        <w:rPr>
          <w:rFonts w:hint="cs"/>
          <w:sz w:val="22"/>
          <w:szCs w:val="22"/>
          <w:rtl/>
        </w:rPr>
        <w:t xml:space="preserve">(בעניין </w:t>
      </w:r>
      <w:r w:rsidRPr="003B22AC">
        <w:rPr>
          <w:rFonts w:hint="cs"/>
          <w:b/>
          <w:bCs/>
          <w:sz w:val="22"/>
          <w:szCs w:val="22"/>
          <w:rtl/>
        </w:rPr>
        <w:t>פלוני נ' מדינת ישראל</w:t>
      </w:r>
      <w:r w:rsidRPr="003B22AC">
        <w:rPr>
          <w:rFonts w:hint="cs"/>
          <w:sz w:val="22"/>
          <w:szCs w:val="22"/>
          <w:rtl/>
        </w:rPr>
        <w:t>, מיום 31.1.10, ערעור על גזר הדין של ביהמ"ש מחוזי באר-שבע, מיום 7.1.108 ב</w:t>
      </w:r>
      <w:r w:rsidRPr="003B22AC">
        <w:rPr>
          <w:rFonts w:hint="cs"/>
          <w:b/>
          <w:bCs/>
          <w:sz w:val="22"/>
          <w:szCs w:val="22"/>
          <w:rtl/>
        </w:rPr>
        <w:t>תפ"ח 1143/06</w:t>
      </w:r>
      <w:r w:rsidRPr="003B22AC">
        <w:rPr>
          <w:rFonts w:hint="cs"/>
          <w:sz w:val="22"/>
          <w:szCs w:val="22"/>
          <w:rtl/>
        </w:rPr>
        <w:t>)</w:t>
      </w:r>
      <w:r>
        <w:rPr>
          <w:rFonts w:hint="cs"/>
          <w:rtl/>
        </w:rPr>
        <w:t xml:space="preserve">. שם </w:t>
      </w:r>
      <w:r>
        <w:rPr>
          <w:rtl/>
        </w:rPr>
        <w:t>–</w:t>
      </w:r>
      <w:r>
        <w:rPr>
          <w:rFonts w:hint="cs"/>
          <w:rtl/>
        </w:rPr>
        <w:t xml:space="preserve"> אושר עונש של 10 שנות מאסר בפועל, שנגזר על נאשם, שהצטרף לארגון הג'יהאד האיסלאמי, החל בהדבקת כרוזים, והמשיך באימונים צבאיים  ולימים </w:t>
      </w:r>
      <w:r>
        <w:rPr>
          <w:rtl/>
        </w:rPr>
        <w:t>–</w:t>
      </w:r>
      <w:r>
        <w:rPr>
          <w:rFonts w:hint="cs"/>
          <w:rtl/>
        </w:rPr>
        <w:t xml:space="preserve"> ביצע תצפיות על כוחות צה"ל והוביל מטען חבלה במשקל כ-50 ק"ג, שנועד להפעלה נגד טנקים ישראליים, אולם, הנאשם חזר בו ולא השלים את ההובלה, נוכח דרישת תושב רצועת עזה שהבחין בו. ביהמ"ש העליון ציין את הסכנה הרבה מאותו מטען רב עוצמה, לו הופעל, ואת הצורך בענישה מחמירה, מתוך שיקולי גמול והרתעת הרבים. עו"ד צרי רואה בענייננו של </w:t>
      </w:r>
      <w:r w:rsidRPr="003B22AC">
        <w:rPr>
          <w:rFonts w:hint="cs"/>
          <w:b/>
          <w:bCs/>
          <w:rtl/>
        </w:rPr>
        <w:t>"פלוני"</w:t>
      </w:r>
      <w:r>
        <w:rPr>
          <w:rFonts w:hint="cs"/>
          <w:rtl/>
        </w:rPr>
        <w:t xml:space="preserve"> דמיון לפרשה הנדונה, גם מהיבט אותה הסלמה הדרגתית של אופי הפעילות בארגון וחומרתה. </w:t>
      </w:r>
    </w:p>
    <w:p w14:paraId="39A1211E" w14:textId="77777777" w:rsidR="00947310" w:rsidRDefault="00947310" w:rsidP="00947310">
      <w:pPr>
        <w:spacing w:line="360" w:lineRule="auto"/>
        <w:jc w:val="both"/>
        <w:rPr>
          <w:rtl/>
        </w:rPr>
      </w:pPr>
    </w:p>
    <w:p w14:paraId="758044E0" w14:textId="77777777" w:rsidR="00947310" w:rsidRDefault="00947310" w:rsidP="00947310">
      <w:pPr>
        <w:spacing w:line="360" w:lineRule="auto"/>
        <w:jc w:val="both"/>
        <w:rPr>
          <w:rtl/>
        </w:rPr>
      </w:pPr>
      <w:r>
        <w:rPr>
          <w:rFonts w:hint="cs"/>
          <w:rtl/>
        </w:rPr>
        <w:t xml:space="preserve">התביעה גרסה, שמתחם העונש ההולם בגין מעשי הנאשם הוא בין 8 ל-12 שנות מאסר, וכי העונש הראוי, לכל עבירה בפני עצמה, הינו 5 שנות מאסר בגין החברות בהתאחדות בלתי מותרת, 3 שנות מאסר בגין האימונים </w:t>
      </w:r>
      <w:r w:rsidRPr="003B22AC">
        <w:rPr>
          <w:rFonts w:hint="cs"/>
          <w:sz w:val="22"/>
          <w:szCs w:val="22"/>
          <w:rtl/>
        </w:rPr>
        <w:t>(בטיעון הכתוב נאמר בטעות "עבירת איומים". כזו לא מיוחסת לנאשם, אין ספק, שמדובר בטעות סופר)</w:t>
      </w:r>
      <w:r>
        <w:rPr>
          <w:rFonts w:hint="cs"/>
          <w:rtl/>
        </w:rPr>
        <w:t xml:space="preserve">, ו-10 שנות מאסר בגין עבירות הנשק, בנסיבות בהן עסקינן. </w:t>
      </w:r>
    </w:p>
    <w:p w14:paraId="54DF4DE5" w14:textId="77777777" w:rsidR="00947310" w:rsidRDefault="00947310" w:rsidP="00947310">
      <w:pPr>
        <w:spacing w:line="360" w:lineRule="auto"/>
        <w:jc w:val="both"/>
        <w:rPr>
          <w:rtl/>
        </w:rPr>
      </w:pPr>
    </w:p>
    <w:p w14:paraId="15BC223C" w14:textId="77777777" w:rsidR="00947310" w:rsidRDefault="00947310" w:rsidP="00947310">
      <w:pPr>
        <w:spacing w:line="360" w:lineRule="auto"/>
        <w:jc w:val="both"/>
        <w:rPr>
          <w:rtl/>
        </w:rPr>
      </w:pPr>
      <w:r>
        <w:rPr>
          <w:rFonts w:hint="cs"/>
          <w:rtl/>
        </w:rPr>
        <w:t xml:space="preserve">לפי, שלבסוף, המטענים לא הוטמנו והוחזרו לפארוק, ומאחר שהנאשם הודה וחסך זמן, ומשאין לו הרשעות קודמות, סברה המאשימה, שנכון לחפוף את העונשים המומלצים הללו </w:t>
      </w:r>
      <w:r w:rsidRPr="003B22AC">
        <w:rPr>
          <w:rFonts w:hint="cs"/>
          <w:sz w:val="22"/>
          <w:szCs w:val="22"/>
          <w:rtl/>
        </w:rPr>
        <w:t>(ראה ההערה שלעיל ביחס לסתירה מסוימת בטיעון הכתוב של התביעה)</w:t>
      </w:r>
      <w:r>
        <w:rPr>
          <w:rFonts w:hint="cs"/>
          <w:rtl/>
        </w:rPr>
        <w:t xml:space="preserve">, ובסופו של יום, עתרה להטיל על הנאשם 10 שנות מאסר בפועל ומאסר מותנה לפי שיקול דעת בית המשפט. </w:t>
      </w:r>
    </w:p>
    <w:p w14:paraId="6D7A1BAE" w14:textId="77777777" w:rsidR="00947310" w:rsidRDefault="00947310" w:rsidP="00947310">
      <w:pPr>
        <w:spacing w:line="360" w:lineRule="auto"/>
        <w:jc w:val="both"/>
        <w:rPr>
          <w:rtl/>
        </w:rPr>
      </w:pPr>
    </w:p>
    <w:p w14:paraId="0084D1C9" w14:textId="77777777" w:rsidR="00947310" w:rsidRPr="007E02C8" w:rsidRDefault="00947310" w:rsidP="00947310">
      <w:pPr>
        <w:spacing w:line="360" w:lineRule="auto"/>
        <w:jc w:val="both"/>
        <w:rPr>
          <w:b/>
          <w:bCs/>
          <w:u w:val="single"/>
          <w:rtl/>
        </w:rPr>
      </w:pPr>
      <w:r>
        <w:rPr>
          <w:rFonts w:hint="cs"/>
          <w:b/>
          <w:bCs/>
          <w:u w:val="single"/>
          <w:rtl/>
        </w:rPr>
        <w:t>טיעוני ההגנה לעונש</w:t>
      </w:r>
    </w:p>
    <w:p w14:paraId="0270AAF8" w14:textId="77777777" w:rsidR="00947310" w:rsidRDefault="00947310" w:rsidP="00947310">
      <w:pPr>
        <w:spacing w:line="360" w:lineRule="auto"/>
        <w:jc w:val="both"/>
        <w:rPr>
          <w:rtl/>
        </w:rPr>
      </w:pPr>
      <w:r>
        <w:rPr>
          <w:rFonts w:hint="cs"/>
          <w:rtl/>
        </w:rPr>
        <w:t xml:space="preserve">הסנגור, עו"ד מוחמד ג'בארין, פתח טיעונו בהטעימו, שאומנם הנאשם הצטרף לארגון הג'יהאד האיסלאמי, אך ללא מוטיבציה או אידאולוגיה, ונעתר רק לאחר מספר ניסיונות לגייסו. פעילותו הייתה מינורית, בוודאי לעניין ההשתתפות בטקסים או פרסום בפייסבוק, ואף באימון שבו השתתף בחר להיות נוכח רק במשך ארבעה ימים, ובסך הכל רק ארבע שעות. אף זה - אימון ראשוני ולא מתוחכם. ביחס לאישום השני, הודגש, שלמרות שמדובר בתקופת מערכה </w:t>
      </w:r>
      <w:r>
        <w:rPr>
          <w:rtl/>
        </w:rPr>
        <w:t>–</w:t>
      </w:r>
      <w:r>
        <w:rPr>
          <w:rFonts w:hint="cs"/>
          <w:rtl/>
        </w:rPr>
        <w:t xml:space="preserve"> "צוק איתן", הוא לא נטל חלק פעיל בלחימה, כגון הטמנת מטענים בפועל, ירי, או תצפיות, אלא, חלקו התמצה בהחזקת המטענים בבית למשך 5 ימים, בלא שנעשה בהם שימוש כלשהו, ואין ראיה לנזק שנגרם.  לאחר תקופת פעילות, קצרה יחסית, של כ </w:t>
      </w:r>
      <w:r>
        <w:rPr>
          <w:rtl/>
        </w:rPr>
        <w:t>–</w:t>
      </w:r>
      <w:r>
        <w:rPr>
          <w:rFonts w:hint="cs"/>
          <w:rtl/>
        </w:rPr>
        <w:t xml:space="preserve"> 9 חודשים, הוא הפסיק ביוזמתו, ולא בשל מעצרו, שהתבצע לאחר שקיבל אישור כניסה לישראל, לטיפול רפואי </w:t>
      </w:r>
      <w:r w:rsidRPr="003B22AC">
        <w:rPr>
          <w:rFonts w:hint="cs"/>
          <w:sz w:val="22"/>
          <w:szCs w:val="22"/>
          <w:rtl/>
        </w:rPr>
        <w:t>(בעקבות תאונת עבודה, שבמהלכה שבר את קרסולו, הסנגור הפנה לחומר הרפואי, נשוא האסופה נ/1)</w:t>
      </w:r>
      <w:r>
        <w:rPr>
          <w:rFonts w:hint="cs"/>
          <w:rtl/>
        </w:rPr>
        <w:t xml:space="preserve">. המעצר היה כ </w:t>
      </w:r>
      <w:r>
        <w:rPr>
          <w:rtl/>
        </w:rPr>
        <w:t>–</w:t>
      </w:r>
      <w:r>
        <w:rPr>
          <w:rFonts w:hint="cs"/>
          <w:rtl/>
        </w:rPr>
        <w:t xml:space="preserve"> 3 שנים לאחר חדילת פעילותו הבטחונית.  </w:t>
      </w:r>
    </w:p>
    <w:p w14:paraId="375BA03F" w14:textId="77777777" w:rsidR="00947310" w:rsidRDefault="00947310" w:rsidP="00947310">
      <w:pPr>
        <w:spacing w:line="360" w:lineRule="auto"/>
        <w:jc w:val="both"/>
        <w:rPr>
          <w:rtl/>
        </w:rPr>
      </w:pPr>
    </w:p>
    <w:p w14:paraId="511F600C" w14:textId="77777777" w:rsidR="00947310" w:rsidRDefault="00947310" w:rsidP="00947310">
      <w:pPr>
        <w:spacing w:line="360" w:lineRule="auto"/>
        <w:jc w:val="both"/>
        <w:rPr>
          <w:rtl/>
        </w:rPr>
      </w:pPr>
      <w:r>
        <w:rPr>
          <w:rFonts w:hint="cs"/>
          <w:rtl/>
        </w:rPr>
        <w:t xml:space="preserve">עו"ד ג'בארין ציין עוד, שמרשו כבן 28, מפרנס יחיד במשפחתו, ויש לו שלושה ילדים. מדובר, לדבריו, בנאשם שאינו מסכן עוד את בטחון המדינה, משפעילותו בארגון הופסקה זה מכבר, ביוזמתו, וכן, עסקינן במי ששיתף פעולה בחקירתו, הודה בכתב האישום המתוקן וחסך זמן שיפוטי, ובאדם שאין לו עבר פלילי. </w:t>
      </w:r>
    </w:p>
    <w:p w14:paraId="3BB47EB5" w14:textId="77777777" w:rsidR="00947310" w:rsidRDefault="00947310" w:rsidP="00947310">
      <w:pPr>
        <w:spacing w:line="360" w:lineRule="auto"/>
        <w:jc w:val="both"/>
        <w:rPr>
          <w:rtl/>
        </w:rPr>
      </w:pPr>
    </w:p>
    <w:p w14:paraId="166DB122" w14:textId="77777777" w:rsidR="00947310" w:rsidRDefault="00947310" w:rsidP="00947310">
      <w:pPr>
        <w:spacing w:line="360" w:lineRule="auto"/>
        <w:jc w:val="both"/>
        <w:rPr>
          <w:rtl/>
        </w:rPr>
      </w:pPr>
      <w:r>
        <w:rPr>
          <w:rFonts w:hint="cs"/>
          <w:rtl/>
        </w:rPr>
        <w:t xml:space="preserve">לטענת ההגנה, הפסיקה שהגיש התובע, ובעקבותיה </w:t>
      </w:r>
      <w:r>
        <w:rPr>
          <w:rtl/>
        </w:rPr>
        <w:t>–</w:t>
      </w:r>
      <w:r>
        <w:rPr>
          <w:rFonts w:hint="cs"/>
          <w:rtl/>
        </w:rPr>
        <w:t xml:space="preserve"> המתחם שעתר לו, מופרזים ואינם מתיישבים עם עובדות עניינו. כך, ביקש הסנגור לאבחן את העניין שנדון ב</w:t>
      </w:r>
      <w:hyperlink r:id="rId25" w:history="1">
        <w:r w:rsidR="00CD387E" w:rsidRPr="00CD387E">
          <w:rPr>
            <w:rStyle w:val="Hyperlink"/>
            <w:rFonts w:hint="eastAsia"/>
            <w:color w:val="0000FF"/>
            <w:rtl/>
          </w:rPr>
          <w:t>ע</w:t>
        </w:r>
        <w:r w:rsidR="00CD387E" w:rsidRPr="00CD387E">
          <w:rPr>
            <w:rStyle w:val="Hyperlink"/>
            <w:color w:val="0000FF"/>
            <w:rtl/>
          </w:rPr>
          <w:t>"פ 1220/08</w:t>
        </w:r>
      </w:hyperlink>
      <w:r>
        <w:rPr>
          <w:rFonts w:hint="cs"/>
          <w:rtl/>
        </w:rPr>
        <w:t xml:space="preserve"> הנ"ל, שם הנאשם תצפת על כוחות צה"ל כדי לפוצץ מטען, וזו הייתה הכוונה, על כן ההרשעה שם היא גם בקשירת קשר לפשע, דברים שאינם קיימים בעניינו. </w:t>
      </w:r>
    </w:p>
    <w:p w14:paraId="093134DB" w14:textId="77777777" w:rsidR="00947310" w:rsidRDefault="00947310" w:rsidP="00947310">
      <w:pPr>
        <w:spacing w:line="360" w:lineRule="auto"/>
        <w:jc w:val="both"/>
        <w:rPr>
          <w:rtl/>
        </w:rPr>
      </w:pPr>
    </w:p>
    <w:p w14:paraId="3FC55E52" w14:textId="77777777" w:rsidR="00947310" w:rsidRDefault="00947310" w:rsidP="00947310">
      <w:pPr>
        <w:spacing w:line="360" w:lineRule="auto"/>
        <w:jc w:val="both"/>
        <w:rPr>
          <w:rtl/>
        </w:rPr>
      </w:pPr>
      <w:r>
        <w:rPr>
          <w:rFonts w:hint="cs"/>
          <w:rtl/>
        </w:rPr>
        <w:t xml:space="preserve">הסנגור הגיש לעיוננו מספר פסקי דין שהוא סבור שהאנלוגיה מהם לעניינו הולמת יותר. </w:t>
      </w:r>
    </w:p>
    <w:p w14:paraId="11C04270" w14:textId="77777777" w:rsidR="00947310" w:rsidRDefault="00947310" w:rsidP="00947310">
      <w:pPr>
        <w:spacing w:line="360" w:lineRule="auto"/>
        <w:jc w:val="both"/>
        <w:rPr>
          <w:rtl/>
        </w:rPr>
      </w:pPr>
      <w:r>
        <w:rPr>
          <w:rFonts w:hint="cs"/>
          <w:rtl/>
        </w:rPr>
        <w:t>ב</w:t>
      </w:r>
      <w:hyperlink r:id="rId26" w:history="1">
        <w:r w:rsidR="00CD387E" w:rsidRPr="00CD387E">
          <w:rPr>
            <w:rStyle w:val="Hyperlink"/>
            <w:rFonts w:hint="eastAsia"/>
            <w:b/>
            <w:bCs/>
            <w:color w:val="0000FF"/>
            <w:rtl/>
          </w:rPr>
          <w:t>ת</w:t>
        </w:r>
        <w:r w:rsidR="00CD387E" w:rsidRPr="00CD387E">
          <w:rPr>
            <w:rStyle w:val="Hyperlink"/>
            <w:b/>
            <w:bCs/>
            <w:color w:val="0000FF"/>
            <w:rtl/>
          </w:rPr>
          <w:t>"פ 27714-08-14</w:t>
        </w:r>
      </w:hyperlink>
      <w:r>
        <w:rPr>
          <w:rFonts w:hint="cs"/>
          <w:b/>
          <w:bCs/>
          <w:rtl/>
        </w:rPr>
        <w:t xml:space="preserve"> </w:t>
      </w:r>
      <w:r w:rsidRPr="003B22AC">
        <w:rPr>
          <w:rFonts w:hint="cs"/>
          <w:sz w:val="22"/>
          <w:szCs w:val="22"/>
          <w:rtl/>
        </w:rPr>
        <w:t>(</w:t>
      </w:r>
      <w:r w:rsidRPr="003B22AC">
        <w:rPr>
          <w:rFonts w:hint="cs"/>
          <w:b/>
          <w:bCs/>
          <w:sz w:val="22"/>
          <w:szCs w:val="22"/>
          <w:rtl/>
        </w:rPr>
        <w:t xml:space="preserve">מ"י נ' נג'אר, </w:t>
      </w:r>
      <w:r w:rsidRPr="003B22AC">
        <w:rPr>
          <w:rFonts w:hint="cs"/>
          <w:sz w:val="22"/>
          <w:szCs w:val="22"/>
          <w:rtl/>
        </w:rPr>
        <w:t>בימ"ש מחוזי ב"ש, גז"ד מיום 27.1.15)</w:t>
      </w:r>
      <w:r>
        <w:rPr>
          <w:rFonts w:hint="cs"/>
          <w:rtl/>
        </w:rPr>
        <w:t xml:space="preserve">, הורשע הנאשם, פעיל ג'יאד איסלאמי, בין היתר, בכך, שבמהלך מבצע "צוק איתן", הוביל מטען חבלה במשקל בין 15 ל </w:t>
      </w:r>
      <w:r>
        <w:rPr>
          <w:rtl/>
        </w:rPr>
        <w:t>–</w:t>
      </w:r>
      <w:r>
        <w:rPr>
          <w:rFonts w:hint="cs"/>
          <w:rtl/>
        </w:rPr>
        <w:t xml:space="preserve"> 25 קילוגרם, לאתר שבו אחרים עמדו להפעילו, ומסר להם את המטען. הוא נדון למאסר של 45 חודשים, במסגרת הסדר טיעון, שכלל הסכמה "סגורה" לעונש. בית המשפט, הגם שציין שההסדר אינו מכביד, כתב בגזר הדין, שהוא מצוי בתוך מתחם העונש הראוי. לטעמו של הסנגור, ענייננו פחות חמור, שכן, לנאשם דכאן לא הייתה כוונה להטמין את המטענים, וכן </w:t>
      </w:r>
      <w:r>
        <w:rPr>
          <w:rtl/>
        </w:rPr>
        <w:t>–</w:t>
      </w:r>
      <w:r>
        <w:rPr>
          <w:rFonts w:hint="cs"/>
          <w:rtl/>
        </w:rPr>
        <w:t xml:space="preserve"> הנאשם נג'אר נעצר תוך כדי המבצע ובמהלך לחימה. </w:t>
      </w:r>
    </w:p>
    <w:p w14:paraId="17C18394" w14:textId="77777777" w:rsidR="00947310" w:rsidRDefault="00947310" w:rsidP="00947310">
      <w:pPr>
        <w:spacing w:line="360" w:lineRule="auto"/>
        <w:jc w:val="both"/>
        <w:rPr>
          <w:rtl/>
        </w:rPr>
      </w:pPr>
    </w:p>
    <w:p w14:paraId="75E183C7" w14:textId="77777777" w:rsidR="00947310" w:rsidRDefault="00947310" w:rsidP="00947310">
      <w:pPr>
        <w:spacing w:line="360" w:lineRule="auto"/>
        <w:jc w:val="both"/>
        <w:rPr>
          <w:rtl/>
        </w:rPr>
      </w:pPr>
      <w:r>
        <w:rPr>
          <w:rFonts w:hint="cs"/>
          <w:rtl/>
        </w:rPr>
        <w:t xml:space="preserve">בהתייחס לאישום הראשון, של חברות והתאחדות בלתי מותרת ואימונים בנשק, הציג עו"ד ג'בארין בפנינו את </w:t>
      </w:r>
      <w:r w:rsidRPr="00647078">
        <w:rPr>
          <w:rFonts w:hint="cs"/>
          <w:b/>
          <w:bCs/>
          <w:rtl/>
        </w:rPr>
        <w:t>גז"ד ב</w:t>
      </w:r>
      <w:hyperlink r:id="rId27" w:history="1">
        <w:r w:rsidR="00CD387E" w:rsidRPr="00CD387E">
          <w:rPr>
            <w:rStyle w:val="Hyperlink"/>
            <w:rFonts w:hint="eastAsia"/>
            <w:b/>
            <w:bCs/>
            <w:color w:val="0000FF"/>
            <w:rtl/>
          </w:rPr>
          <w:t>ת</w:t>
        </w:r>
        <w:r w:rsidR="00CD387E" w:rsidRPr="00CD387E">
          <w:rPr>
            <w:rStyle w:val="Hyperlink"/>
            <w:b/>
            <w:bCs/>
            <w:color w:val="0000FF"/>
            <w:rtl/>
          </w:rPr>
          <w:t>"פ 27424-12-14</w:t>
        </w:r>
      </w:hyperlink>
      <w:r w:rsidRPr="00647078">
        <w:rPr>
          <w:rFonts w:hint="cs"/>
          <w:b/>
          <w:bCs/>
          <w:rtl/>
        </w:rPr>
        <w:t>,</w:t>
      </w:r>
      <w:r>
        <w:rPr>
          <w:rFonts w:hint="cs"/>
          <w:rtl/>
        </w:rPr>
        <w:t xml:space="preserve"> </w:t>
      </w:r>
      <w:r w:rsidRPr="003B22AC">
        <w:rPr>
          <w:rFonts w:hint="cs"/>
          <w:sz w:val="22"/>
          <w:szCs w:val="22"/>
          <w:rtl/>
        </w:rPr>
        <w:t>(</w:t>
      </w:r>
      <w:r w:rsidRPr="003B22AC">
        <w:rPr>
          <w:rFonts w:hint="cs"/>
          <w:b/>
          <w:bCs/>
          <w:sz w:val="22"/>
          <w:szCs w:val="22"/>
          <w:rtl/>
        </w:rPr>
        <w:t xml:space="preserve">מ"י נ' אבו מנדיל, </w:t>
      </w:r>
      <w:r w:rsidRPr="003B22AC">
        <w:rPr>
          <w:rFonts w:hint="cs"/>
          <w:sz w:val="22"/>
          <w:szCs w:val="22"/>
          <w:rtl/>
        </w:rPr>
        <w:t xml:space="preserve">בימ"ש מחוזי באר שבע, מיום 3.2.16), </w:t>
      </w:r>
      <w:r>
        <w:rPr>
          <w:rFonts w:hint="cs"/>
          <w:rtl/>
        </w:rPr>
        <w:t xml:space="preserve">הנאשם הסתנן לישראל מעזה, נעצר, והתברר שהוא היה פעיל בג'יהאד </w:t>
      </w:r>
      <w:r>
        <w:rPr>
          <w:rFonts w:hint="cs"/>
        </w:rPr>
        <w:t xml:space="preserve"> </w:t>
      </w:r>
      <w:r>
        <w:rPr>
          <w:rFonts w:hint="cs"/>
          <w:rtl/>
        </w:rPr>
        <w:t xml:space="preserve">האיסלאמי בשנת 2013, השתתף בלימודי דת במסגרת "אוסרה", וכן, התאמן בפירוק והרכבה של רובה סער. הוא הורשע לאחר ניהול הוכחות, כאשר, מאישומים אחרים </w:t>
      </w:r>
      <w:r>
        <w:rPr>
          <w:rtl/>
        </w:rPr>
        <w:t>–</w:t>
      </w:r>
      <w:r>
        <w:rPr>
          <w:rFonts w:hint="cs"/>
          <w:rtl/>
        </w:rPr>
        <w:t xml:space="preserve"> חמורים יותר - זוכה בהכרעת הדין. בגין האישומים של פעילות בהתאחדות בלתי מותרת, אימונים צבאים אסורים, ומגע עם סוכן חוץ </w:t>
      </w:r>
      <w:r w:rsidRPr="003B22AC">
        <w:rPr>
          <w:rFonts w:hint="cs"/>
          <w:sz w:val="22"/>
          <w:szCs w:val="22"/>
          <w:rtl/>
        </w:rPr>
        <w:t>(עבירה שבתיק הנוכחי אינה מיוחסת לנאשם, אולם, ביהמ"ש</w:t>
      </w:r>
      <w:r>
        <w:rPr>
          <w:rFonts w:hint="cs"/>
          <w:sz w:val="22"/>
          <w:szCs w:val="22"/>
          <w:rtl/>
        </w:rPr>
        <w:t>, שדן בעניינו,</w:t>
      </w:r>
      <w:r w:rsidRPr="003B22AC">
        <w:rPr>
          <w:rFonts w:hint="cs"/>
          <w:sz w:val="22"/>
          <w:szCs w:val="22"/>
          <w:rtl/>
        </w:rPr>
        <w:t xml:space="preserve"> העיר, שלא היה מקום ליחסה גם לנאשם אבו מנדיל)</w:t>
      </w:r>
      <w:r>
        <w:rPr>
          <w:rFonts w:hint="cs"/>
          <w:rtl/>
        </w:rPr>
        <w:t xml:space="preserve">, נקבע מתחם ענישה של בין מספר חודשי מאסר בפועל לשנה וחצי.  דינו נגזר, כאשר, כאמור, יוחסה לו גם עבירת הסתננות, למאסר של 15 חודשים בפועל, לצד מאסר מותנה. </w:t>
      </w:r>
    </w:p>
    <w:p w14:paraId="67896047" w14:textId="77777777" w:rsidR="00947310" w:rsidRDefault="00947310" w:rsidP="00947310">
      <w:pPr>
        <w:spacing w:line="360" w:lineRule="auto"/>
        <w:jc w:val="both"/>
        <w:rPr>
          <w:rtl/>
        </w:rPr>
      </w:pPr>
    </w:p>
    <w:p w14:paraId="1C3F6EB8" w14:textId="77777777" w:rsidR="00947310" w:rsidRDefault="00947310" w:rsidP="00947310">
      <w:pPr>
        <w:spacing w:line="360" w:lineRule="auto"/>
        <w:jc w:val="both"/>
        <w:rPr>
          <w:rtl/>
        </w:rPr>
      </w:pPr>
      <w:r>
        <w:rPr>
          <w:rFonts w:hint="cs"/>
          <w:rtl/>
        </w:rPr>
        <w:t xml:space="preserve">לעניין הובלת מטעני חבלה, אזכר הסנגור שני גזרי דין, </w:t>
      </w:r>
      <w:hyperlink r:id="rId28" w:history="1">
        <w:r w:rsidR="00CD387E" w:rsidRPr="00CD387E">
          <w:rPr>
            <w:rStyle w:val="Hyperlink"/>
            <w:rFonts w:hint="eastAsia"/>
            <w:b/>
            <w:bCs/>
            <w:color w:val="0000FF"/>
            <w:rtl/>
          </w:rPr>
          <w:t>תפ</w:t>
        </w:r>
        <w:r w:rsidR="00CD387E" w:rsidRPr="00CD387E">
          <w:rPr>
            <w:rStyle w:val="Hyperlink"/>
            <w:b/>
            <w:bCs/>
            <w:color w:val="0000FF"/>
            <w:rtl/>
          </w:rPr>
          <w:t>"ח 35233-04-10</w:t>
        </w:r>
      </w:hyperlink>
      <w:r>
        <w:rPr>
          <w:rFonts w:hint="cs"/>
          <w:b/>
          <w:bCs/>
          <w:rtl/>
        </w:rPr>
        <w:t xml:space="preserve"> </w:t>
      </w:r>
      <w:r>
        <w:rPr>
          <w:rFonts w:hint="cs"/>
          <w:rtl/>
        </w:rPr>
        <w:t>(</w:t>
      </w:r>
      <w:r>
        <w:rPr>
          <w:rFonts w:hint="cs"/>
          <w:b/>
          <w:bCs/>
          <w:rtl/>
        </w:rPr>
        <w:t xml:space="preserve">מ"י נ' מערוף, </w:t>
      </w:r>
      <w:r>
        <w:rPr>
          <w:rFonts w:hint="cs"/>
          <w:rtl/>
        </w:rPr>
        <w:t xml:space="preserve">בימ"ש מחוזי באר שבע, מיום 6.7.10) ו </w:t>
      </w:r>
      <w:r>
        <w:rPr>
          <w:rtl/>
        </w:rPr>
        <w:t>–</w:t>
      </w:r>
      <w:r>
        <w:rPr>
          <w:rFonts w:hint="cs"/>
          <w:rtl/>
        </w:rPr>
        <w:t xml:space="preserve"> </w:t>
      </w:r>
      <w:hyperlink r:id="rId29" w:history="1">
        <w:r w:rsidR="00CD387E" w:rsidRPr="00CD387E">
          <w:rPr>
            <w:rStyle w:val="Hyperlink"/>
            <w:rFonts w:hint="eastAsia"/>
            <w:b/>
            <w:bCs/>
            <w:color w:val="0000FF"/>
            <w:rtl/>
          </w:rPr>
          <w:t>ת</w:t>
        </w:r>
        <w:r w:rsidR="00CD387E" w:rsidRPr="00CD387E">
          <w:rPr>
            <w:rStyle w:val="Hyperlink"/>
            <w:b/>
            <w:bCs/>
            <w:color w:val="0000FF"/>
            <w:rtl/>
          </w:rPr>
          <w:t>"פ 8204/06</w:t>
        </w:r>
      </w:hyperlink>
      <w:r>
        <w:rPr>
          <w:rFonts w:hint="cs"/>
          <w:b/>
          <w:bCs/>
          <w:rtl/>
        </w:rPr>
        <w:t xml:space="preserve"> </w:t>
      </w:r>
      <w:r>
        <w:rPr>
          <w:rFonts w:hint="cs"/>
          <w:rtl/>
        </w:rPr>
        <w:t>(</w:t>
      </w:r>
      <w:r>
        <w:rPr>
          <w:rFonts w:hint="cs"/>
          <w:b/>
          <w:bCs/>
          <w:rtl/>
        </w:rPr>
        <w:t xml:space="preserve">מ"י נ' איימן, </w:t>
      </w:r>
      <w:r>
        <w:rPr>
          <w:rFonts w:hint="cs"/>
          <w:rtl/>
        </w:rPr>
        <w:t xml:space="preserve">בימ"ש מחוזי באר שבע, מיום 27.6.07). במקרה הראשון, סייע הנאשם בהובלת מטען חבלה, בהיותו קטין, בתחומי רצועת עזה, ביודעו שהמטען מיועד לפעולות איבה, אם כי לא הוברר מה נעשה בו בסופו של יום. הוא נדון לשנת מאסר בפועל. במקרה השני </w:t>
      </w:r>
      <w:r>
        <w:rPr>
          <w:rtl/>
        </w:rPr>
        <w:t>–</w:t>
      </w:r>
      <w:r>
        <w:rPr>
          <w:rFonts w:hint="cs"/>
          <w:rtl/>
        </w:rPr>
        <w:t xml:space="preserve"> הנאשם הוביל מטען חבלה במשקל כ </w:t>
      </w:r>
      <w:r>
        <w:rPr>
          <w:rtl/>
        </w:rPr>
        <w:t>–</w:t>
      </w:r>
      <w:r>
        <w:rPr>
          <w:rFonts w:hint="cs"/>
          <w:rtl/>
        </w:rPr>
        <w:t xml:space="preserve"> 15 קילוגרם, בתחומי הרצועה, ומסר אותו לאחר. גזר הדין כלל גם עונש על עבירות נוספות, של הסתייעות ברכב לביצוע פשע, והסתננות. העונש שנגזר עמד על 30 חודשי מאסר בפועל. </w:t>
      </w:r>
    </w:p>
    <w:p w14:paraId="48874409" w14:textId="77777777" w:rsidR="00947310" w:rsidRDefault="00947310" w:rsidP="00947310">
      <w:pPr>
        <w:spacing w:line="360" w:lineRule="auto"/>
        <w:rPr>
          <w:rtl/>
        </w:rPr>
      </w:pPr>
    </w:p>
    <w:p w14:paraId="0849FA25" w14:textId="77777777" w:rsidR="00947310" w:rsidRDefault="00947310" w:rsidP="00947310">
      <w:pPr>
        <w:spacing w:line="360" w:lineRule="auto"/>
        <w:jc w:val="both"/>
        <w:rPr>
          <w:rtl/>
        </w:rPr>
      </w:pPr>
      <w:r>
        <w:rPr>
          <w:rFonts w:hint="cs"/>
          <w:rtl/>
        </w:rPr>
        <w:t xml:space="preserve">מכל אלה </w:t>
      </w:r>
      <w:r>
        <w:rPr>
          <w:rtl/>
        </w:rPr>
        <w:t>–</w:t>
      </w:r>
      <w:r>
        <w:rPr>
          <w:rFonts w:hint="cs"/>
          <w:rtl/>
        </w:rPr>
        <w:t xml:space="preserve"> הסנגור גורס, שבהינתן נסיבות ענייננו, כאשר, הנאשם חדל להיות פעיל בארגון ביוזמתו, ומצבו בחיים לעת הזו שונה לחלוטין, אין להחמיר עמו, ויש אף להסתפק בעונש קל ביותר, כהגדרתו, של שנת מאסר בודדת, ובכך, גם יועבר מסר של עידוד לאלה שיפסיקו פעילותם מרצונם ויתרחקו מארגוני הטרור.</w:t>
      </w:r>
    </w:p>
    <w:p w14:paraId="190E0DFF" w14:textId="77777777" w:rsidR="00947310" w:rsidRDefault="00947310" w:rsidP="00947310">
      <w:pPr>
        <w:spacing w:line="360" w:lineRule="auto"/>
        <w:jc w:val="both"/>
        <w:rPr>
          <w:rtl/>
        </w:rPr>
      </w:pPr>
    </w:p>
    <w:p w14:paraId="4B3BBE16" w14:textId="77777777" w:rsidR="00947310" w:rsidRPr="00647078" w:rsidRDefault="00947310" w:rsidP="00947310">
      <w:pPr>
        <w:spacing w:line="360" w:lineRule="auto"/>
        <w:jc w:val="both"/>
        <w:rPr>
          <w:rtl/>
        </w:rPr>
      </w:pPr>
      <w:r>
        <w:rPr>
          <w:rFonts w:hint="cs"/>
          <w:rtl/>
        </w:rPr>
        <w:t>מדובר, לפי הטענה, באירוע אחד, שנעשה בתוך תקופת פעילות קצרה בארגון, ועל כן, אין להפריד, לצורך מתחמי הענישה בין עצם החברות והפעילות בארגון לבין האירוע הבודד של אחסון המטענים.</w:t>
      </w:r>
    </w:p>
    <w:p w14:paraId="4DF832A6" w14:textId="77777777" w:rsidR="00947310" w:rsidRDefault="00947310" w:rsidP="00947310">
      <w:pPr>
        <w:spacing w:line="360" w:lineRule="auto"/>
        <w:jc w:val="both"/>
        <w:rPr>
          <w:rtl/>
        </w:rPr>
      </w:pPr>
    </w:p>
    <w:p w14:paraId="45BBF048" w14:textId="77777777" w:rsidR="00947310" w:rsidRDefault="00947310" w:rsidP="00947310">
      <w:pPr>
        <w:spacing w:line="360" w:lineRule="auto"/>
        <w:jc w:val="both"/>
        <w:rPr>
          <w:rtl/>
        </w:rPr>
      </w:pPr>
      <w:r>
        <w:rPr>
          <w:rFonts w:hint="cs"/>
          <w:rtl/>
        </w:rPr>
        <w:t xml:space="preserve">הנאשם, כפי זכותו, נשא דברים בפנינו, הביע צער על מה שהיה ועל חברותו בג'יהאד האיסלאמי, ציין שיש לו אישה ושלושה ילדים אותם הוא רוצה לפרנס, ואף חפץ בטיפול ברגלו הפגועה, וביקש סליחה. </w:t>
      </w:r>
    </w:p>
    <w:p w14:paraId="55FDDC29" w14:textId="77777777" w:rsidR="00947310" w:rsidRDefault="00947310" w:rsidP="00947310">
      <w:pPr>
        <w:spacing w:line="360" w:lineRule="auto"/>
        <w:rPr>
          <w:rtl/>
        </w:rPr>
      </w:pPr>
    </w:p>
    <w:p w14:paraId="06F40137" w14:textId="77777777" w:rsidR="00947310" w:rsidRDefault="00947310" w:rsidP="00947310">
      <w:pPr>
        <w:spacing w:line="360" w:lineRule="auto"/>
        <w:rPr>
          <w:b/>
          <w:bCs/>
          <w:u w:val="single"/>
          <w:rtl/>
        </w:rPr>
      </w:pPr>
      <w:r w:rsidRPr="00647078">
        <w:rPr>
          <w:rFonts w:hint="cs"/>
          <w:b/>
          <w:bCs/>
          <w:u w:val="single"/>
          <w:rtl/>
        </w:rPr>
        <w:t>דיון והכרעה:</w:t>
      </w:r>
    </w:p>
    <w:p w14:paraId="59DF592B" w14:textId="77777777" w:rsidR="00947310" w:rsidRDefault="00947310" w:rsidP="00947310">
      <w:pPr>
        <w:spacing w:line="360" w:lineRule="auto"/>
        <w:rPr>
          <w:rtl/>
        </w:rPr>
      </w:pPr>
      <w:r>
        <w:rPr>
          <w:rFonts w:hint="cs"/>
          <w:rtl/>
        </w:rPr>
        <w:t xml:space="preserve">ההכרעה ואמות המידה לקביעת הענישה בענייננו הן כפי המותווה </w:t>
      </w:r>
      <w:r w:rsidRPr="003B22AC">
        <w:rPr>
          <w:rFonts w:hint="cs"/>
          <w:b/>
          <w:bCs/>
          <w:rtl/>
        </w:rPr>
        <w:t>בתיקון</w:t>
      </w:r>
      <w:r>
        <w:rPr>
          <w:rFonts w:hint="cs"/>
          <w:rtl/>
        </w:rPr>
        <w:t xml:space="preserve"> </w:t>
      </w:r>
      <w:r w:rsidRPr="003B22AC">
        <w:rPr>
          <w:rFonts w:hint="cs"/>
          <w:b/>
          <w:bCs/>
          <w:rtl/>
        </w:rPr>
        <w:t xml:space="preserve">113 </w:t>
      </w:r>
      <w:r>
        <w:rPr>
          <w:rFonts w:hint="cs"/>
          <w:rtl/>
        </w:rPr>
        <w:t xml:space="preserve">של </w:t>
      </w:r>
      <w:hyperlink r:id="rId30" w:history="1">
        <w:r w:rsidR="00CD387E" w:rsidRPr="00CD387E">
          <w:rPr>
            <w:rStyle w:val="Hyperlink"/>
            <w:rFonts w:hint="eastAsia"/>
            <w:color w:val="0000FF"/>
            <w:rtl/>
          </w:rPr>
          <w:t>חוק</w:t>
        </w:r>
        <w:r w:rsidR="00CD387E" w:rsidRPr="00CD387E">
          <w:rPr>
            <w:rStyle w:val="Hyperlink"/>
            <w:color w:val="0000FF"/>
            <w:rtl/>
          </w:rPr>
          <w:t xml:space="preserve"> העונשין</w:t>
        </w:r>
      </w:hyperlink>
      <w:r>
        <w:rPr>
          <w:rFonts w:hint="cs"/>
          <w:rtl/>
        </w:rPr>
        <w:t>.</w:t>
      </w:r>
    </w:p>
    <w:p w14:paraId="686CBDAE" w14:textId="77777777" w:rsidR="00947310" w:rsidRPr="007E0B99" w:rsidRDefault="00947310" w:rsidP="00947310">
      <w:pPr>
        <w:spacing w:line="360" w:lineRule="auto"/>
        <w:rPr>
          <w:u w:val="single"/>
          <w:rtl/>
        </w:rPr>
      </w:pPr>
    </w:p>
    <w:p w14:paraId="2EB5AE1A" w14:textId="77777777" w:rsidR="00947310" w:rsidRDefault="00947310" w:rsidP="00947310">
      <w:pPr>
        <w:spacing w:line="360" w:lineRule="auto"/>
        <w:jc w:val="both"/>
        <w:rPr>
          <w:rtl/>
        </w:rPr>
      </w:pPr>
      <w:r w:rsidRPr="007E0B99">
        <w:rPr>
          <w:rFonts w:hint="cs"/>
          <w:u w:val="single"/>
          <w:rtl/>
        </w:rPr>
        <w:t>הערך החברתי שנפגע מביצוע העבירות-</w:t>
      </w:r>
      <w:r>
        <w:rPr>
          <w:rFonts w:hint="cs"/>
          <w:u w:val="single"/>
          <w:rtl/>
        </w:rPr>
        <w:t xml:space="preserve"> </w:t>
      </w:r>
      <w:r>
        <w:rPr>
          <w:rFonts w:hint="cs"/>
          <w:rtl/>
        </w:rPr>
        <w:t xml:space="preserve"> עניינו בהגנה על בטחון המדינה וחיי אזרחיה וחייליה. חברות בארגון טרור, שבסיסו ברצועת עזה, אימונים במסגרתו, לא כל שכן- נשיאת נשק ואחסון מטעני חבלה בשרותו של הארגון, מגלמים, ברמה העקרונית, פגיעה קשה בערך מוגן זה, בשים לב לפוטנציאל הנזק, גם בחיי אדם, מפעילות כזו. עם זאת- מידת הפגיעה , ברמה הפרטנית, נגזרת מהנסיבות הספציפיות, שאליהן נתייחס בהמשך. מהיבט זה- וכפי שיפורט-הפגיעה בערך החברתי המוגן, בידי הנאשם, בהקשר האישום הראשון- אינה במדרג גבוה, ואילו בהקשר האישום השני- מדובר בפגיעה קשה יותר, אך, לא ברף העליון של חומרה. </w:t>
      </w:r>
    </w:p>
    <w:p w14:paraId="0AE4F8E2" w14:textId="77777777" w:rsidR="00947310" w:rsidRDefault="00947310" w:rsidP="00947310">
      <w:pPr>
        <w:spacing w:line="360" w:lineRule="auto"/>
        <w:jc w:val="both"/>
        <w:rPr>
          <w:rtl/>
        </w:rPr>
      </w:pPr>
    </w:p>
    <w:p w14:paraId="0D2CBCFD" w14:textId="77777777" w:rsidR="00947310" w:rsidRDefault="00947310" w:rsidP="00947310">
      <w:pPr>
        <w:spacing w:line="360" w:lineRule="auto"/>
        <w:jc w:val="both"/>
        <w:rPr>
          <w:rtl/>
        </w:rPr>
      </w:pPr>
      <w:r w:rsidRPr="007E0B99">
        <w:rPr>
          <w:rFonts w:hint="cs"/>
          <w:u w:val="single"/>
          <w:rtl/>
        </w:rPr>
        <w:t>מדיניות הענישה</w:t>
      </w:r>
      <w:r>
        <w:rPr>
          <w:rFonts w:hint="cs"/>
          <w:rtl/>
        </w:rPr>
        <w:t xml:space="preserve">- הננקטת, באורח עקבי, בידי בתי משפט, בעבירות בטחון, מסוג זה, הינה מחמירה, ונומקה, לא אחת, בעיקר לפני חקיקת תיקון 113,בשיקולי גמול והרתעת הרבים כאחד </w:t>
      </w:r>
      <w:r w:rsidRPr="003B22AC">
        <w:rPr>
          <w:rFonts w:hint="cs"/>
          <w:sz w:val="22"/>
          <w:szCs w:val="22"/>
          <w:rtl/>
        </w:rPr>
        <w:t xml:space="preserve">(כך גם, למשל, בפסק הדין בעניינו של </w:t>
      </w:r>
      <w:r w:rsidRPr="003B22AC">
        <w:rPr>
          <w:rFonts w:hint="cs"/>
          <w:b/>
          <w:bCs/>
          <w:sz w:val="22"/>
          <w:szCs w:val="22"/>
          <w:rtl/>
        </w:rPr>
        <w:t>"פלוני"-</w:t>
      </w:r>
      <w:r w:rsidRPr="003B22AC">
        <w:rPr>
          <w:rFonts w:hint="cs"/>
          <w:sz w:val="22"/>
          <w:szCs w:val="22"/>
          <w:rtl/>
        </w:rPr>
        <w:t xml:space="preserve"> </w:t>
      </w:r>
      <w:hyperlink r:id="rId31" w:history="1">
        <w:r w:rsidR="00CD387E" w:rsidRPr="00CD387E">
          <w:rPr>
            <w:rStyle w:val="Hyperlink"/>
            <w:rFonts w:hint="eastAsia"/>
            <w:b/>
            <w:bCs/>
            <w:color w:val="0000FF"/>
            <w:sz w:val="22"/>
            <w:szCs w:val="22"/>
            <w:rtl/>
          </w:rPr>
          <w:t>ע</w:t>
        </w:r>
        <w:r w:rsidR="00CD387E" w:rsidRPr="00CD387E">
          <w:rPr>
            <w:rStyle w:val="Hyperlink"/>
            <w:b/>
            <w:bCs/>
            <w:color w:val="0000FF"/>
            <w:sz w:val="22"/>
            <w:szCs w:val="22"/>
            <w:rtl/>
          </w:rPr>
          <w:t>"פ 1220/08</w:t>
        </w:r>
      </w:hyperlink>
      <w:r w:rsidRPr="003B22AC">
        <w:rPr>
          <w:rFonts w:hint="cs"/>
          <w:sz w:val="22"/>
          <w:szCs w:val="22"/>
          <w:rtl/>
        </w:rPr>
        <w:t>, שעליו נסמך התובע המלומד בטיעוניו)</w:t>
      </w:r>
      <w:r>
        <w:rPr>
          <w:rFonts w:hint="cs"/>
          <w:rtl/>
        </w:rPr>
        <w:t>. המשקל הניתן לאינטרס הציבורי , ולהגנת שלומם ושלוותם של תושבי ישראל וכוחות הבטחון שלה, הינו משמעותי ודומיננטי, ואילו שיקולים של נסיבות אישיות ומצב סוציו- אקונומי של הנאשם, על פי רוב, נסוגים מפניהם. המבחנים המיושמים לאחר התיקון, מצריכים, אולי שקלול מעט שונה, אך הרציונל ההחמרתי- בעינו.</w:t>
      </w:r>
    </w:p>
    <w:p w14:paraId="085AE2F2" w14:textId="77777777" w:rsidR="00947310" w:rsidRDefault="00947310" w:rsidP="00947310">
      <w:pPr>
        <w:spacing w:line="360" w:lineRule="auto"/>
        <w:jc w:val="both"/>
        <w:rPr>
          <w:rtl/>
        </w:rPr>
      </w:pPr>
    </w:p>
    <w:p w14:paraId="21C117C3" w14:textId="77777777" w:rsidR="00947310" w:rsidRDefault="00947310" w:rsidP="00947310">
      <w:pPr>
        <w:spacing w:line="360" w:lineRule="auto"/>
        <w:jc w:val="both"/>
        <w:rPr>
          <w:rtl/>
        </w:rPr>
      </w:pPr>
      <w:r w:rsidRPr="007E0B99">
        <w:rPr>
          <w:rFonts w:hint="cs"/>
          <w:u w:val="single"/>
          <w:rtl/>
        </w:rPr>
        <w:t>הנסיבות הקשורות בבצוע העבירה</w:t>
      </w:r>
      <w:r>
        <w:rPr>
          <w:rFonts w:hint="cs"/>
          <w:rtl/>
        </w:rPr>
        <w:t xml:space="preserve">-  מכלול הנסיבות, בכל האמור באישום הראשון, אינו מעלה חומרה יתרה, מהפן של שיקולי קביעת מתחם העונש ההולם, כאשר, מדובר במי שהצטרף לארגון הטרור, שלא מתוך מוטיבציה גבוהה ובחפץ לב, אלא, רק לאחר פניות ושידול. בשלב הראשון, של תקופת הפעילות הכוללת, היחסית קצרה, בת כ- 9 חודשים, מעורבות הנאשם היתה יחסית מינורית- השתתפות בטקס אזכרה ל"שאהיד", פרסום פוסט אוהד בפייסבוק, ונטילת חלק בישיבות ה"אוסרה", שכללו גם לימוד על הפעילות הצבאית של הארגון, והכשרה לפעילות שמירה </w:t>
      </w:r>
      <w:r w:rsidRPr="003B22AC">
        <w:rPr>
          <w:rFonts w:hint="cs"/>
          <w:sz w:val="22"/>
          <w:szCs w:val="22"/>
          <w:rtl/>
        </w:rPr>
        <w:t>( "ריבאט")</w:t>
      </w:r>
      <w:r>
        <w:rPr>
          <w:rFonts w:hint="cs"/>
          <w:rtl/>
        </w:rPr>
        <w:t xml:space="preserve">. בשלב שלאחר מכן, שהוא בבחינת עליית מדרגה, מצוי האימון הצבאי, כשאף כאן- השתתפותו היתה רק בארבעה מפגשים, בני שעה כל אחד, מתוך שבועיים שתוכננו, האימון היה בסיסי מאד </w:t>
      </w:r>
      <w:r w:rsidRPr="003B22AC">
        <w:rPr>
          <w:rFonts w:hint="cs"/>
          <w:sz w:val="22"/>
          <w:szCs w:val="22"/>
          <w:rtl/>
        </w:rPr>
        <w:t>(כושר גופני, זחילות, קפיצה מעל שקי חול, נשק קל)</w:t>
      </w:r>
      <w:r>
        <w:rPr>
          <w:rFonts w:hint="cs"/>
          <w:rtl/>
        </w:rPr>
        <w:t xml:space="preserve"> ולא הכשירו את משתתפיו בתפעול אמצעים מתוחכמים או נשק כבד. חדילת הפעילות בארגון, ביוזמת הנאשם, מיד לאחר ארועי האישום השני, אף היא נסיבה שיש ליתן לה משקל, לקולא, בבחינת הנסיבות.  לצורך קביעת מתחם הענישה, ניתן לראות במקטעי הפעילות הללו, של הנאשם, בשלב היחסית מינורי הזה, משום "אירוע אחד". ברם, אין לקבל טענת הסנגור, שלפיה, העבירות בשני האישומים הינם בגדר אירוע אחד. אמנם, על פניו, רצף פעילות, של חבר בארגון, לאורך 9 חודשים, יכול שיתפס כ "אירוע אחד", אולם, בענייננו- מדובר במעבר לאופי פעילות שונה וחמור יותר ( המטענים- הובלה ואחסון), ובעליית מדרגה "איכותית", המצדיקה התיחסות מבדלת ושונה, כאל אירוע נוסף.</w:t>
      </w:r>
    </w:p>
    <w:p w14:paraId="07B95003" w14:textId="77777777" w:rsidR="00947310" w:rsidRDefault="00947310" w:rsidP="00947310">
      <w:pPr>
        <w:spacing w:line="360" w:lineRule="auto"/>
        <w:jc w:val="both"/>
        <w:rPr>
          <w:rtl/>
        </w:rPr>
      </w:pPr>
      <w:r>
        <w:rPr>
          <w:rFonts w:hint="cs"/>
          <w:rtl/>
        </w:rPr>
        <w:t xml:space="preserve">ברי, שנסיבות בצוע עבירות הנשק באישום השני, מגלמות פן לא מבוטל של חומרה. בתחילה, אחסן הנאשם בביתו כמות נכבדה של מטעני חבלה- 12 במספר, ואח"כ נותר עם 3 מטענים, שאותם החזיק במשך 5 ימים. העיתוי- במהלך מבצע "צוק איתן", אופי האמל"ח, וכמותו, אינם מותירים ספק בכך, שהנאשם, ככל בר דעת, בוודאי כחבר בארגון טרור, באותה עת,  ידע, מהו השימוש הקטלני , ובטווח הזמן המידי, שניתן לעשות במטענים, ועד כמה נשקף מכך סיכון לחיי אדם. כמובן, יש לזכור, שהנאשם שימש אך כחוליית ביניים "לוגיסטית", בדרך לשימוש אפשרי באותם מטענים, הנחתם והפעלתם, ואין מיוחסת לו ידיעה ספציפית אודות יעודם או גורלם, בפועל, או מעורבות מעבר להעברתם, כתום מספר ימים, לאותו פארוק. כתב האישום אף אינו מפרט את סוגם וגודלם- משקלם, של המטענים.  חלקו היחסי של הנאשם בתהליך שינוע המטענים ובאחסונם אינו דומיננטי ויוזם, אלא, הוא מופעל בידי פעילים אחרים, שההחלטה בכך מסורה בידם. </w:t>
      </w:r>
    </w:p>
    <w:p w14:paraId="6B3F3118" w14:textId="77777777" w:rsidR="00947310" w:rsidRDefault="00947310" w:rsidP="00947310">
      <w:pPr>
        <w:spacing w:line="360" w:lineRule="auto"/>
        <w:jc w:val="both"/>
        <w:rPr>
          <w:rtl/>
        </w:rPr>
      </w:pPr>
      <w:r>
        <w:rPr>
          <w:rFonts w:hint="cs"/>
          <w:rtl/>
        </w:rPr>
        <w:t>קביעת המתחם העונשי  ההולם, לפיכך, תגלם שקלול מכלול הנסיבות הללו.</w:t>
      </w:r>
    </w:p>
    <w:p w14:paraId="724B53C9" w14:textId="77777777" w:rsidR="00947310" w:rsidRDefault="00947310" w:rsidP="00947310">
      <w:pPr>
        <w:spacing w:line="360" w:lineRule="auto"/>
        <w:jc w:val="both"/>
        <w:rPr>
          <w:rtl/>
        </w:rPr>
      </w:pPr>
      <w:r>
        <w:rPr>
          <w:rFonts w:hint="cs"/>
          <w:rtl/>
        </w:rPr>
        <w:t xml:space="preserve"> </w:t>
      </w:r>
    </w:p>
    <w:p w14:paraId="4EDA3FC7" w14:textId="77777777" w:rsidR="00947310" w:rsidRDefault="00947310" w:rsidP="00947310">
      <w:pPr>
        <w:spacing w:line="360" w:lineRule="auto"/>
        <w:jc w:val="both"/>
        <w:rPr>
          <w:rtl/>
        </w:rPr>
      </w:pPr>
      <w:r>
        <w:rPr>
          <w:rFonts w:hint="cs"/>
          <w:rtl/>
        </w:rPr>
        <w:t xml:space="preserve">מכל האמור- מתחם העונש ההולם, בהתאם לעקרונות המנחים בחוק, ומתוך ישומם על עובדות ונסיבות עניינו, ובהתחשב בפסיקה, שהצדדים הגישו, יהא, ביחס </w:t>
      </w:r>
      <w:r w:rsidRPr="00256531">
        <w:rPr>
          <w:rFonts w:hint="cs"/>
          <w:u w:val="single"/>
          <w:rtl/>
        </w:rPr>
        <w:t>לאישום הראשון</w:t>
      </w:r>
      <w:r>
        <w:rPr>
          <w:rFonts w:hint="cs"/>
          <w:rtl/>
        </w:rPr>
        <w:t xml:space="preserve"> - </w:t>
      </w:r>
      <w:r w:rsidRPr="00256531">
        <w:rPr>
          <w:rFonts w:hint="cs"/>
          <w:b/>
          <w:bCs/>
          <w:rtl/>
        </w:rPr>
        <w:t>בין שנת מאסר בפועל ל- 3 שנות מאסר,</w:t>
      </w:r>
      <w:r>
        <w:rPr>
          <w:rFonts w:hint="cs"/>
          <w:rtl/>
        </w:rPr>
        <w:t xml:space="preserve"> וביחס </w:t>
      </w:r>
      <w:r w:rsidRPr="00256531">
        <w:rPr>
          <w:rFonts w:hint="cs"/>
          <w:u w:val="single"/>
          <w:rtl/>
        </w:rPr>
        <w:t>לאישום השני</w:t>
      </w:r>
      <w:r>
        <w:rPr>
          <w:rFonts w:hint="cs"/>
          <w:rtl/>
        </w:rPr>
        <w:t xml:space="preserve">- </w:t>
      </w:r>
      <w:r w:rsidRPr="00256531">
        <w:rPr>
          <w:rFonts w:hint="cs"/>
          <w:b/>
          <w:bCs/>
          <w:rtl/>
        </w:rPr>
        <w:t xml:space="preserve">בין </w:t>
      </w:r>
      <w:r>
        <w:rPr>
          <w:rFonts w:hint="cs"/>
          <w:b/>
          <w:bCs/>
          <w:rtl/>
        </w:rPr>
        <w:t xml:space="preserve">3 </w:t>
      </w:r>
      <w:r w:rsidRPr="00256531">
        <w:rPr>
          <w:rFonts w:hint="cs"/>
          <w:b/>
          <w:bCs/>
          <w:rtl/>
        </w:rPr>
        <w:t>ל- 7 שנות מאסר</w:t>
      </w:r>
      <w:r>
        <w:rPr>
          <w:rFonts w:hint="cs"/>
          <w:rtl/>
        </w:rPr>
        <w:t>.</w:t>
      </w:r>
    </w:p>
    <w:p w14:paraId="25CD9594" w14:textId="77777777" w:rsidR="00947310" w:rsidRDefault="00947310" w:rsidP="00947310">
      <w:pPr>
        <w:spacing w:line="360" w:lineRule="auto"/>
        <w:jc w:val="both"/>
        <w:rPr>
          <w:rtl/>
        </w:rPr>
      </w:pPr>
    </w:p>
    <w:p w14:paraId="5AF011E6" w14:textId="77777777" w:rsidR="00947310" w:rsidRDefault="00947310" w:rsidP="00947310">
      <w:pPr>
        <w:spacing w:line="360" w:lineRule="auto"/>
        <w:jc w:val="both"/>
        <w:rPr>
          <w:rtl/>
        </w:rPr>
      </w:pPr>
      <w:r w:rsidRPr="00256531">
        <w:rPr>
          <w:rFonts w:hint="cs"/>
          <w:u w:val="single"/>
          <w:rtl/>
        </w:rPr>
        <w:t>קביעת העונש המתאים בתוך המתחם-</w:t>
      </w:r>
      <w:r>
        <w:rPr>
          <w:rFonts w:hint="cs"/>
          <w:u w:val="single"/>
          <w:rtl/>
        </w:rPr>
        <w:t xml:space="preserve">  </w:t>
      </w:r>
      <w:r>
        <w:rPr>
          <w:rFonts w:hint="cs"/>
          <w:rtl/>
        </w:rPr>
        <w:t xml:space="preserve">פועלן של הנסיבות, שאינן קשורות בבצוע העבירה, בענייננו, הוא לקולא, בעיקרו. הנאשם נטל אחריות על מעשיו, הודה והביע צער, וחסך זמן שיפוטי, משהתייתרה שמיעת המשפט לגופו. הוא נעדר עבר פלילי, ופרט לתקופת הפעילות בארגון דנן, נראה, שניהל אורח חיים נורמטיבי, ועבד לפרנסת משפחתו </w:t>
      </w:r>
      <w:r>
        <w:rPr>
          <w:rtl/>
        </w:rPr>
        <w:t>–</w:t>
      </w:r>
      <w:r>
        <w:rPr>
          <w:rFonts w:hint="cs"/>
          <w:rtl/>
        </w:rPr>
        <w:t xml:space="preserve"> אשתו ושלושת ילדיו. הנאשם יחסית צעיר            </w:t>
      </w:r>
      <w:r w:rsidRPr="003B22AC">
        <w:rPr>
          <w:rFonts w:hint="cs"/>
          <w:sz w:val="22"/>
          <w:szCs w:val="22"/>
          <w:rtl/>
        </w:rPr>
        <w:t>(כבן 28)</w:t>
      </w:r>
      <w:r>
        <w:rPr>
          <w:rFonts w:hint="cs"/>
          <w:rtl/>
        </w:rPr>
        <w:t xml:space="preserve">, וסובל מבעיה בריאותית, בעטיה של תאונת העבודה, שבה נפגע ברגלו. כעולה מהתיעוד הרפואי- </w:t>
      </w:r>
      <w:r>
        <w:rPr>
          <w:rFonts w:hint="cs"/>
          <w:b/>
          <w:bCs/>
          <w:rtl/>
        </w:rPr>
        <w:t xml:space="preserve">נ/1 </w:t>
      </w:r>
      <w:r w:rsidRPr="00256531">
        <w:rPr>
          <w:rFonts w:hint="cs"/>
          <w:rtl/>
        </w:rPr>
        <w:t>לעונש</w:t>
      </w:r>
      <w:r>
        <w:rPr>
          <w:rFonts w:hint="cs"/>
          <w:rtl/>
        </w:rPr>
        <w:t xml:space="preserve">- הוא עדיין נזקק לטיפולים. </w:t>
      </w:r>
      <w:r w:rsidRPr="00256531">
        <w:rPr>
          <w:rFonts w:hint="cs"/>
          <w:rtl/>
        </w:rPr>
        <w:t>העבירות</w:t>
      </w:r>
      <w:r>
        <w:rPr>
          <w:rFonts w:hint="cs"/>
          <w:rtl/>
        </w:rPr>
        <w:t xml:space="preserve"> נעברו שלא בסמיכות למעצרו, לפני כ- 4 שנים, וכאמור- חדילת הפעילות העוינת, במסגרת הארגון, נעשתה מרצונו ומהחלטתו. נקודה אחרונה זו- רבת משקל בתוצאה הסופית, שאינה מחמירה. ראוי לשדר מסר  למי שמפסיק פעילותו בארגון עוין, ויוצא ממעגל הטרור, ביוזמתו ומרצונו, לאמור- שבבוא העת, אם ידרש ליתן הדין בגין מעשי העבר, ילקח נתון זה לקולא, בעת קביעת העונש.</w:t>
      </w:r>
    </w:p>
    <w:p w14:paraId="46EB9B2B" w14:textId="77777777" w:rsidR="00947310" w:rsidRDefault="00947310" w:rsidP="00947310">
      <w:pPr>
        <w:spacing w:line="360" w:lineRule="auto"/>
        <w:jc w:val="both"/>
        <w:rPr>
          <w:rtl/>
        </w:rPr>
      </w:pPr>
    </w:p>
    <w:p w14:paraId="57AC88B3" w14:textId="77777777" w:rsidR="00947310" w:rsidRDefault="00947310" w:rsidP="00947310">
      <w:pPr>
        <w:spacing w:line="360" w:lineRule="auto"/>
        <w:jc w:val="both"/>
        <w:rPr>
          <w:rtl/>
        </w:rPr>
      </w:pPr>
      <w:r>
        <w:rPr>
          <w:rFonts w:hint="cs"/>
          <w:rtl/>
        </w:rPr>
        <w:t>מכאן- ולפיכך- שיש לקבוע עונשו של הנאשם, בגדר המתחמים שנקבעו, ברף הנוטה לצד התחתון של כל מתחם, לפחות במישור המאסר בפועל שיושת.</w:t>
      </w:r>
    </w:p>
    <w:p w14:paraId="11053131" w14:textId="77777777" w:rsidR="00947310" w:rsidRDefault="00947310" w:rsidP="00947310">
      <w:pPr>
        <w:spacing w:line="360" w:lineRule="auto"/>
        <w:jc w:val="both"/>
        <w:rPr>
          <w:rtl/>
        </w:rPr>
      </w:pPr>
      <w:r>
        <w:rPr>
          <w:rFonts w:hint="cs"/>
          <w:rtl/>
        </w:rPr>
        <w:t xml:space="preserve">העונש המתאים, לסברתנו, שיש להטיל על הנאשם, הינו, </w:t>
      </w:r>
      <w:r w:rsidRPr="00256531">
        <w:rPr>
          <w:rFonts w:hint="cs"/>
          <w:u w:val="single"/>
          <w:rtl/>
        </w:rPr>
        <w:t>בגין העבירות מושא האישום הראשון</w:t>
      </w:r>
      <w:r>
        <w:rPr>
          <w:rFonts w:hint="cs"/>
          <w:rtl/>
        </w:rPr>
        <w:t xml:space="preserve">-  </w:t>
      </w:r>
      <w:r w:rsidRPr="00256531">
        <w:rPr>
          <w:rFonts w:hint="cs"/>
          <w:b/>
          <w:bCs/>
          <w:rtl/>
        </w:rPr>
        <w:t>18 חודשי מאסר בפועל</w:t>
      </w:r>
      <w:r>
        <w:rPr>
          <w:rFonts w:hint="cs"/>
          <w:rtl/>
        </w:rPr>
        <w:t xml:space="preserve"> לצד </w:t>
      </w:r>
      <w:r w:rsidRPr="00256531">
        <w:rPr>
          <w:rFonts w:hint="cs"/>
          <w:b/>
          <w:bCs/>
          <w:rtl/>
        </w:rPr>
        <w:t>מאסר מותנה של 9 חודשים</w:t>
      </w:r>
      <w:r>
        <w:rPr>
          <w:rFonts w:hint="cs"/>
          <w:rtl/>
        </w:rPr>
        <w:t xml:space="preserve"> על כל עבירה נגד בטחון המדינה, </w:t>
      </w:r>
      <w:r w:rsidRPr="00256531">
        <w:rPr>
          <w:rFonts w:hint="cs"/>
          <w:u w:val="single"/>
          <w:rtl/>
        </w:rPr>
        <w:t>ובגין העבירות מושא האישום השני</w:t>
      </w:r>
      <w:r>
        <w:rPr>
          <w:rFonts w:hint="cs"/>
          <w:rtl/>
        </w:rPr>
        <w:t xml:space="preserve">- </w:t>
      </w:r>
      <w:r>
        <w:rPr>
          <w:rFonts w:hint="cs"/>
          <w:b/>
          <w:bCs/>
          <w:rtl/>
        </w:rPr>
        <w:t xml:space="preserve">4 </w:t>
      </w:r>
      <w:r w:rsidRPr="00256531">
        <w:rPr>
          <w:rFonts w:hint="cs"/>
          <w:b/>
          <w:bCs/>
          <w:rtl/>
        </w:rPr>
        <w:t>שנות מאסר בפועל</w:t>
      </w:r>
      <w:r>
        <w:rPr>
          <w:rFonts w:hint="cs"/>
          <w:rtl/>
        </w:rPr>
        <w:t xml:space="preserve"> </w:t>
      </w:r>
      <w:r w:rsidRPr="00256531">
        <w:rPr>
          <w:rFonts w:hint="cs"/>
          <w:rtl/>
        </w:rPr>
        <w:t>ו</w:t>
      </w:r>
      <w:r w:rsidRPr="00256531">
        <w:rPr>
          <w:rFonts w:hint="cs"/>
          <w:b/>
          <w:bCs/>
          <w:rtl/>
        </w:rPr>
        <w:t>שנת מאסר על תנאי</w:t>
      </w:r>
      <w:r>
        <w:rPr>
          <w:rFonts w:hint="cs"/>
          <w:rtl/>
        </w:rPr>
        <w:t xml:space="preserve"> על כל עבירת בטחון.</w:t>
      </w:r>
    </w:p>
    <w:p w14:paraId="0F3CE970" w14:textId="77777777" w:rsidR="00947310" w:rsidRDefault="00947310" w:rsidP="00947310">
      <w:pPr>
        <w:jc w:val="both"/>
        <w:rPr>
          <w:rtl/>
        </w:rPr>
      </w:pPr>
    </w:p>
    <w:p w14:paraId="2ED42FDA" w14:textId="77777777" w:rsidR="00947310" w:rsidRDefault="00947310" w:rsidP="00947310">
      <w:pPr>
        <w:spacing w:line="360" w:lineRule="auto"/>
        <w:jc w:val="both"/>
        <w:rPr>
          <w:rtl/>
        </w:rPr>
      </w:pPr>
      <w:r>
        <w:rPr>
          <w:rFonts w:hint="cs"/>
          <w:rtl/>
        </w:rPr>
        <w:t>יש לאמץ המלצת התובע, שעתר להטלת עונש אחד, חופף, בגין שני האישומים, שהנאשם הורשע בהם. אין מקום לחישוב מפורט של החפיפה, והוחלט לגזור עונש כולל.</w:t>
      </w:r>
    </w:p>
    <w:p w14:paraId="1D3C8096" w14:textId="77777777" w:rsidR="00947310" w:rsidRDefault="00947310" w:rsidP="00947310">
      <w:pPr>
        <w:spacing w:line="360" w:lineRule="auto"/>
        <w:jc w:val="both"/>
        <w:rPr>
          <w:rtl/>
        </w:rPr>
      </w:pPr>
      <w:r>
        <w:rPr>
          <w:rFonts w:hint="cs"/>
          <w:rtl/>
        </w:rPr>
        <w:t>לפיכך- נגזר דינו של הנאשם לעונשים הבאים:</w:t>
      </w:r>
    </w:p>
    <w:p w14:paraId="351DAB6C" w14:textId="77777777" w:rsidR="00947310" w:rsidRDefault="00947310" w:rsidP="00947310">
      <w:pPr>
        <w:spacing w:line="360" w:lineRule="auto"/>
        <w:jc w:val="both"/>
        <w:rPr>
          <w:rtl/>
        </w:rPr>
      </w:pPr>
      <w:r>
        <w:rPr>
          <w:rFonts w:hint="cs"/>
          <w:rtl/>
        </w:rPr>
        <w:t>1</w:t>
      </w:r>
      <w:r w:rsidRPr="00687A90">
        <w:rPr>
          <w:rFonts w:hint="cs"/>
          <w:b/>
          <w:bCs/>
          <w:rtl/>
        </w:rPr>
        <w:t>. מאסר בפועל למשך 50 חודשים</w:t>
      </w:r>
      <w:r>
        <w:rPr>
          <w:rFonts w:hint="cs"/>
          <w:rtl/>
        </w:rPr>
        <w:t xml:space="preserve">  </w:t>
      </w:r>
      <w:r w:rsidRPr="00667A28">
        <w:rPr>
          <w:rFonts w:hint="cs"/>
          <w:rtl/>
        </w:rPr>
        <w:t>(</w:t>
      </w:r>
      <w:r>
        <w:rPr>
          <w:rFonts w:hint="cs"/>
          <w:rtl/>
        </w:rPr>
        <w:t>ארבע שנים וחודשיים), שמהם יש לנכות ימי מעצרו בתיק זה (מיום 10/9/2017).</w:t>
      </w:r>
    </w:p>
    <w:p w14:paraId="4E46192A" w14:textId="77777777" w:rsidR="00947310" w:rsidRDefault="00947310" w:rsidP="00947310">
      <w:pPr>
        <w:spacing w:line="360" w:lineRule="auto"/>
        <w:jc w:val="both"/>
        <w:rPr>
          <w:rtl/>
        </w:rPr>
      </w:pPr>
      <w:r>
        <w:rPr>
          <w:rFonts w:hint="cs"/>
          <w:rtl/>
        </w:rPr>
        <w:t xml:space="preserve">2. </w:t>
      </w:r>
      <w:r w:rsidRPr="00687A90">
        <w:rPr>
          <w:rFonts w:hint="cs"/>
          <w:b/>
          <w:bCs/>
          <w:rtl/>
        </w:rPr>
        <w:t>מאסר על תנאי של 12 חודשים</w:t>
      </w:r>
      <w:r>
        <w:rPr>
          <w:rFonts w:hint="cs"/>
          <w:rtl/>
        </w:rPr>
        <w:t xml:space="preserve"> למשך 3 שנים משחרורו, על העבירות בהן הורשע כאן, או, כל עבירה אחרת נגד בטחון המדינה, שהיא מסוג פשע.</w:t>
      </w:r>
    </w:p>
    <w:p w14:paraId="72402C4F" w14:textId="77777777" w:rsidR="00947310" w:rsidRDefault="00947310" w:rsidP="00947310">
      <w:pPr>
        <w:jc w:val="both"/>
        <w:rPr>
          <w:rtl/>
        </w:rPr>
      </w:pPr>
    </w:p>
    <w:p w14:paraId="22F0BA8D" w14:textId="77777777" w:rsidR="00947310" w:rsidRPr="003B22AC" w:rsidRDefault="00947310" w:rsidP="00947310">
      <w:pPr>
        <w:spacing w:line="360" w:lineRule="auto"/>
        <w:jc w:val="both"/>
        <w:rPr>
          <w:b/>
          <w:bCs/>
          <w:rtl/>
        </w:rPr>
      </w:pPr>
      <w:r w:rsidRPr="003B22AC">
        <w:rPr>
          <w:rFonts w:hint="cs"/>
          <w:b/>
          <w:bCs/>
          <w:rtl/>
        </w:rPr>
        <w:t>הודעה זכות ערעור תוך 45 יום לבית  משפט העליון.</w:t>
      </w:r>
    </w:p>
    <w:p w14:paraId="083183C6" w14:textId="77777777" w:rsidR="00947310" w:rsidRDefault="00947310" w:rsidP="00947310">
      <w:pPr>
        <w:jc w:val="both"/>
        <w:rPr>
          <w:b/>
          <w:bCs/>
          <w:rtl/>
        </w:rPr>
      </w:pPr>
    </w:p>
    <w:tbl>
      <w:tblPr>
        <w:bidiVisual/>
        <w:tblW w:w="0" w:type="auto"/>
        <w:tblLook w:val="01E0" w:firstRow="1" w:lastRow="1" w:firstColumn="1" w:lastColumn="1" w:noHBand="0" w:noVBand="0"/>
      </w:tblPr>
      <w:tblGrid>
        <w:gridCol w:w="2954"/>
        <w:gridCol w:w="236"/>
        <w:gridCol w:w="2286"/>
        <w:gridCol w:w="299"/>
        <w:gridCol w:w="2730"/>
      </w:tblGrid>
      <w:tr w:rsidR="00947310" w14:paraId="181C75C0" w14:textId="77777777" w:rsidTr="00947310">
        <w:tc>
          <w:tcPr>
            <w:tcW w:w="2954" w:type="dxa"/>
            <w:tcBorders>
              <w:top w:val="nil"/>
              <w:left w:val="nil"/>
              <w:bottom w:val="single" w:sz="4" w:space="0" w:color="auto"/>
              <w:right w:val="nil"/>
            </w:tcBorders>
            <w:shd w:val="clear" w:color="auto" w:fill="auto"/>
            <w:vAlign w:val="center"/>
          </w:tcPr>
          <w:p w14:paraId="6E990085" w14:textId="77777777" w:rsidR="00947310" w:rsidRPr="00947310" w:rsidRDefault="00CD387E" w:rsidP="00947310">
            <w:pPr>
              <w:jc w:val="center"/>
              <w:rPr>
                <w:rFonts w:ascii="Courier New" w:hAnsi="Courier New"/>
                <w:b/>
                <w:bCs/>
              </w:rPr>
            </w:pPr>
            <w:r>
              <w:rPr>
                <w:b/>
                <w:bCs/>
                <w:rtl/>
              </w:rPr>
              <w:t xml:space="preserve">ניתן היום כט' אייר (14 במאי )2018, במעמד הצדדים.  </w:t>
            </w:r>
          </w:p>
        </w:tc>
        <w:tc>
          <w:tcPr>
            <w:tcW w:w="236" w:type="dxa"/>
            <w:shd w:val="clear" w:color="auto" w:fill="auto"/>
            <w:vAlign w:val="center"/>
          </w:tcPr>
          <w:p w14:paraId="7EB5D3FE" w14:textId="77777777" w:rsidR="00947310" w:rsidRPr="00947310" w:rsidRDefault="00947310" w:rsidP="00947310">
            <w:pPr>
              <w:jc w:val="center"/>
              <w:rPr>
                <w:rFonts w:ascii="Courier New" w:hAnsi="Courier New"/>
                <w:b/>
                <w:bCs/>
              </w:rPr>
            </w:pPr>
          </w:p>
        </w:tc>
        <w:tc>
          <w:tcPr>
            <w:tcW w:w="2286" w:type="dxa"/>
            <w:tcBorders>
              <w:top w:val="nil"/>
              <w:left w:val="nil"/>
              <w:bottom w:val="single" w:sz="4" w:space="0" w:color="auto"/>
              <w:right w:val="nil"/>
            </w:tcBorders>
            <w:shd w:val="clear" w:color="auto" w:fill="auto"/>
            <w:vAlign w:val="center"/>
          </w:tcPr>
          <w:p w14:paraId="2092A3D9" w14:textId="77777777" w:rsidR="00947310" w:rsidRPr="00947310" w:rsidRDefault="00947310" w:rsidP="00947310">
            <w:pPr>
              <w:jc w:val="center"/>
              <w:rPr>
                <w:rFonts w:ascii="Courier New" w:hAnsi="Courier New"/>
                <w:b/>
                <w:bCs/>
                <w:sz w:val="20"/>
                <w:szCs w:val="20"/>
              </w:rPr>
            </w:pPr>
          </w:p>
        </w:tc>
        <w:tc>
          <w:tcPr>
            <w:tcW w:w="299" w:type="dxa"/>
            <w:shd w:val="clear" w:color="auto" w:fill="auto"/>
            <w:vAlign w:val="center"/>
          </w:tcPr>
          <w:p w14:paraId="34A476F4" w14:textId="77777777" w:rsidR="00947310" w:rsidRPr="00947310" w:rsidRDefault="00947310" w:rsidP="00947310">
            <w:pPr>
              <w:jc w:val="center"/>
              <w:rPr>
                <w:rFonts w:ascii="Courier New" w:hAnsi="Courier New"/>
                <w:b/>
                <w:bCs/>
              </w:rPr>
            </w:pPr>
          </w:p>
        </w:tc>
        <w:tc>
          <w:tcPr>
            <w:tcW w:w="2730" w:type="dxa"/>
            <w:tcBorders>
              <w:top w:val="nil"/>
              <w:left w:val="nil"/>
              <w:bottom w:val="single" w:sz="4" w:space="0" w:color="auto"/>
              <w:right w:val="nil"/>
            </w:tcBorders>
            <w:shd w:val="clear" w:color="auto" w:fill="auto"/>
            <w:vAlign w:val="center"/>
          </w:tcPr>
          <w:p w14:paraId="24742E2F" w14:textId="77777777" w:rsidR="00947310" w:rsidRPr="00947310" w:rsidRDefault="00947310" w:rsidP="00947310">
            <w:pPr>
              <w:jc w:val="center"/>
              <w:rPr>
                <w:rFonts w:ascii="Courier New" w:hAnsi="Courier New"/>
                <w:b/>
                <w:bCs/>
                <w:sz w:val="20"/>
                <w:szCs w:val="20"/>
              </w:rPr>
            </w:pPr>
          </w:p>
        </w:tc>
      </w:tr>
      <w:tr w:rsidR="00947310" w14:paraId="16FE78A3" w14:textId="77777777" w:rsidTr="00947310">
        <w:tc>
          <w:tcPr>
            <w:tcW w:w="2954" w:type="dxa"/>
            <w:tcBorders>
              <w:top w:val="single" w:sz="4" w:space="0" w:color="auto"/>
              <w:left w:val="nil"/>
              <w:bottom w:val="nil"/>
              <w:right w:val="nil"/>
            </w:tcBorders>
            <w:shd w:val="clear" w:color="auto" w:fill="auto"/>
            <w:vAlign w:val="bottom"/>
          </w:tcPr>
          <w:p w14:paraId="16DE14D4" w14:textId="77777777" w:rsidR="00947310" w:rsidRPr="00947310" w:rsidRDefault="00947310" w:rsidP="00947310">
            <w:pPr>
              <w:jc w:val="center"/>
              <w:rPr>
                <w:rFonts w:ascii="Courier New" w:hAnsi="Courier New"/>
                <w:b/>
                <w:bCs/>
              </w:rPr>
            </w:pPr>
            <w:r w:rsidRPr="00947310">
              <w:rPr>
                <w:rFonts w:ascii="Courier New" w:hAnsi="Courier New" w:hint="cs"/>
                <w:b/>
                <w:bCs/>
                <w:rtl/>
              </w:rPr>
              <w:t>אריאל ואגו, שופט</w:t>
            </w:r>
          </w:p>
          <w:p w14:paraId="60D1C6D4" w14:textId="77777777" w:rsidR="00947310" w:rsidRPr="00947310" w:rsidRDefault="00947310" w:rsidP="00947310">
            <w:pPr>
              <w:jc w:val="center"/>
              <w:rPr>
                <w:rFonts w:ascii="Courier New" w:hAnsi="Courier New"/>
                <w:b/>
                <w:bCs/>
                <w:rtl/>
              </w:rPr>
            </w:pPr>
            <w:r w:rsidRPr="00947310">
              <w:rPr>
                <w:rFonts w:ascii="Courier New" w:hAnsi="Courier New" w:hint="cs"/>
                <w:b/>
                <w:bCs/>
                <w:rtl/>
              </w:rPr>
              <w:t>אב"ד</w:t>
            </w:r>
          </w:p>
        </w:tc>
        <w:tc>
          <w:tcPr>
            <w:tcW w:w="236" w:type="dxa"/>
            <w:shd w:val="clear" w:color="auto" w:fill="auto"/>
            <w:vAlign w:val="bottom"/>
          </w:tcPr>
          <w:p w14:paraId="6AC5AD99" w14:textId="77777777" w:rsidR="00947310" w:rsidRPr="00947310" w:rsidRDefault="00947310" w:rsidP="00947310">
            <w:pPr>
              <w:jc w:val="center"/>
              <w:rPr>
                <w:rFonts w:ascii="Courier New" w:hAnsi="Courier New"/>
                <w:b/>
                <w:bCs/>
              </w:rPr>
            </w:pPr>
          </w:p>
        </w:tc>
        <w:tc>
          <w:tcPr>
            <w:tcW w:w="2286" w:type="dxa"/>
            <w:tcBorders>
              <w:top w:val="single" w:sz="4" w:space="0" w:color="auto"/>
              <w:left w:val="nil"/>
              <w:bottom w:val="nil"/>
              <w:right w:val="nil"/>
            </w:tcBorders>
            <w:shd w:val="clear" w:color="auto" w:fill="auto"/>
          </w:tcPr>
          <w:p w14:paraId="3CA1A6B7" w14:textId="77777777" w:rsidR="00947310" w:rsidRPr="00947310" w:rsidRDefault="00947310" w:rsidP="00947310">
            <w:pPr>
              <w:jc w:val="center"/>
              <w:rPr>
                <w:rFonts w:ascii="Courier New" w:hAnsi="Courier New"/>
                <w:b/>
                <w:bCs/>
              </w:rPr>
            </w:pPr>
            <w:r w:rsidRPr="00947310">
              <w:rPr>
                <w:rFonts w:ascii="Courier New" w:hAnsi="Courier New" w:hint="cs"/>
                <w:b/>
                <w:bCs/>
                <w:rtl/>
              </w:rPr>
              <w:t>אלון אינפלד, שופט</w:t>
            </w:r>
          </w:p>
        </w:tc>
        <w:tc>
          <w:tcPr>
            <w:tcW w:w="299" w:type="dxa"/>
            <w:shd w:val="clear" w:color="auto" w:fill="auto"/>
          </w:tcPr>
          <w:p w14:paraId="2085961F" w14:textId="77777777" w:rsidR="00947310" w:rsidRPr="00947310" w:rsidRDefault="00947310" w:rsidP="00947310">
            <w:pPr>
              <w:jc w:val="center"/>
              <w:rPr>
                <w:rFonts w:ascii="Courier New" w:hAnsi="Courier New"/>
                <w:b/>
                <w:bCs/>
              </w:rPr>
            </w:pPr>
          </w:p>
        </w:tc>
        <w:tc>
          <w:tcPr>
            <w:tcW w:w="2730" w:type="dxa"/>
            <w:tcBorders>
              <w:top w:val="single" w:sz="4" w:space="0" w:color="auto"/>
              <w:left w:val="nil"/>
              <w:bottom w:val="nil"/>
              <w:right w:val="nil"/>
            </w:tcBorders>
            <w:shd w:val="clear" w:color="auto" w:fill="auto"/>
          </w:tcPr>
          <w:p w14:paraId="3FDCDC5B" w14:textId="77777777" w:rsidR="00947310" w:rsidRPr="00947310" w:rsidRDefault="00947310" w:rsidP="00947310">
            <w:pPr>
              <w:jc w:val="center"/>
              <w:rPr>
                <w:rFonts w:ascii="Courier New" w:hAnsi="Courier New"/>
                <w:b/>
                <w:bCs/>
              </w:rPr>
            </w:pPr>
            <w:r w:rsidRPr="00947310">
              <w:rPr>
                <w:rFonts w:ascii="Courier New" w:hAnsi="Courier New" w:hint="cs"/>
                <w:b/>
                <w:bCs/>
                <w:rtl/>
              </w:rPr>
              <w:t>אריאל חזק, שופט</w:t>
            </w:r>
          </w:p>
        </w:tc>
      </w:tr>
    </w:tbl>
    <w:p w14:paraId="3B66B612" w14:textId="77777777" w:rsidR="00947310" w:rsidRDefault="00F2213C" w:rsidP="00947310">
      <w:pPr>
        <w:rPr>
          <w:rFonts w:hint="cs"/>
        </w:rPr>
      </w:pPr>
      <w:r>
        <w:rPr>
          <w:rFonts w:hint="cs"/>
          <w:rtl/>
        </w:rPr>
        <w:t xml:space="preserve"> </w:t>
      </w:r>
    </w:p>
    <w:p w14:paraId="6E63947F" w14:textId="77777777" w:rsidR="00947310" w:rsidRDefault="00947310" w:rsidP="00947310">
      <w:pPr>
        <w:spacing w:line="360" w:lineRule="auto"/>
        <w:jc w:val="both"/>
        <w:rPr>
          <w:u w:val="single"/>
          <w:rtl/>
        </w:rPr>
      </w:pPr>
    </w:p>
    <w:p w14:paraId="7D44C2AB" w14:textId="77777777" w:rsidR="00947310" w:rsidRPr="00256531" w:rsidRDefault="00947310" w:rsidP="00947310">
      <w:pPr>
        <w:spacing w:line="360" w:lineRule="auto"/>
        <w:jc w:val="both"/>
        <w:rPr>
          <w:u w:val="single"/>
          <w:rtl/>
        </w:rPr>
      </w:pPr>
    </w:p>
    <w:p w14:paraId="51ED281C" w14:textId="77777777" w:rsidR="00947310" w:rsidRDefault="00947310" w:rsidP="00947310">
      <w:pPr>
        <w:spacing w:line="360" w:lineRule="auto"/>
        <w:jc w:val="both"/>
        <w:rPr>
          <w:rtl/>
        </w:rPr>
      </w:pPr>
    </w:p>
    <w:p w14:paraId="12289C1B" w14:textId="77777777" w:rsidR="00947310" w:rsidRDefault="00947310" w:rsidP="00947310">
      <w:pPr>
        <w:spacing w:line="360" w:lineRule="auto"/>
        <w:jc w:val="both"/>
        <w:rPr>
          <w:rtl/>
        </w:rPr>
      </w:pPr>
    </w:p>
    <w:p w14:paraId="3AF97ACC" w14:textId="77777777" w:rsidR="00947310" w:rsidRDefault="00947310" w:rsidP="00947310">
      <w:pPr>
        <w:spacing w:line="360" w:lineRule="auto"/>
        <w:jc w:val="both"/>
        <w:rPr>
          <w:rtl/>
        </w:rPr>
      </w:pPr>
    </w:p>
    <w:p w14:paraId="0FE8A66D" w14:textId="77777777" w:rsidR="00947310" w:rsidRPr="007E0B99" w:rsidRDefault="00947310" w:rsidP="00947310">
      <w:pPr>
        <w:spacing w:line="360" w:lineRule="auto"/>
        <w:jc w:val="both"/>
        <w:rPr>
          <w:rtl/>
        </w:rPr>
      </w:pPr>
    </w:p>
    <w:p w14:paraId="6B454D8E" w14:textId="77777777" w:rsidR="00947310" w:rsidRPr="00647078" w:rsidRDefault="00947310" w:rsidP="00947310">
      <w:pPr>
        <w:spacing w:line="360" w:lineRule="auto"/>
        <w:jc w:val="both"/>
        <w:rPr>
          <w:rtl/>
        </w:rPr>
      </w:pPr>
      <w:r>
        <w:rPr>
          <w:rFonts w:hint="cs"/>
          <w:rtl/>
        </w:rPr>
        <w:t xml:space="preserve"> </w:t>
      </w:r>
    </w:p>
    <w:p w14:paraId="5CBD35FF" w14:textId="77777777" w:rsidR="00947310" w:rsidRPr="00CD387E" w:rsidRDefault="00CD387E" w:rsidP="00947310">
      <w:pPr>
        <w:jc w:val="both"/>
        <w:rPr>
          <w:color w:val="FFFFFF"/>
          <w:sz w:val="2"/>
          <w:szCs w:val="2"/>
          <w:rtl/>
        </w:rPr>
      </w:pPr>
      <w:r w:rsidRPr="00CD387E">
        <w:rPr>
          <w:color w:val="FFFFFF"/>
          <w:sz w:val="2"/>
          <w:szCs w:val="2"/>
          <w:rtl/>
        </w:rPr>
        <w:t>5129371</w:t>
      </w:r>
    </w:p>
    <w:p w14:paraId="61CD69C0" w14:textId="77777777" w:rsidR="00947310" w:rsidRPr="00CD387E" w:rsidRDefault="00CD387E" w:rsidP="00947310">
      <w:pPr>
        <w:rPr>
          <w:color w:val="FFFFFF"/>
          <w:sz w:val="2"/>
          <w:szCs w:val="2"/>
          <w:rtl/>
        </w:rPr>
      </w:pPr>
      <w:r w:rsidRPr="00CD387E">
        <w:rPr>
          <w:color w:val="FFFFFF"/>
          <w:sz w:val="2"/>
          <w:szCs w:val="2"/>
          <w:rtl/>
        </w:rPr>
        <w:t>54678313</w:t>
      </w:r>
    </w:p>
    <w:p w14:paraId="205EDD18" w14:textId="77777777" w:rsidR="00947310" w:rsidRPr="00AD7161" w:rsidRDefault="00947310" w:rsidP="00947310">
      <w:pPr>
        <w:rPr>
          <w:rtl/>
        </w:rPr>
      </w:pPr>
    </w:p>
    <w:p w14:paraId="72549C3C" w14:textId="77777777" w:rsidR="00947310" w:rsidRPr="00AD7161" w:rsidRDefault="00947310" w:rsidP="00947310">
      <w:pPr>
        <w:rPr>
          <w:rtl/>
        </w:rPr>
      </w:pPr>
    </w:p>
    <w:p w14:paraId="32FAA4AE" w14:textId="77777777" w:rsidR="00947310" w:rsidRPr="00AD7161" w:rsidRDefault="00947310" w:rsidP="00947310">
      <w:pPr>
        <w:rPr>
          <w:rtl/>
        </w:rPr>
      </w:pPr>
    </w:p>
    <w:p w14:paraId="548C7CDA" w14:textId="77777777" w:rsidR="00947310" w:rsidRPr="00A37A98" w:rsidRDefault="00A37A98" w:rsidP="00947310">
      <w:pPr>
        <w:pStyle w:val="a3"/>
        <w:jc w:val="center"/>
        <w:rPr>
          <w:color w:val="FFFFFF"/>
          <w:sz w:val="2"/>
          <w:szCs w:val="2"/>
          <w:rtl/>
        </w:rPr>
      </w:pPr>
      <w:r w:rsidRPr="00A37A98">
        <w:rPr>
          <w:color w:val="FFFFFF"/>
          <w:sz w:val="2"/>
          <w:szCs w:val="2"/>
          <w:rtl/>
        </w:rPr>
        <w:t>5129371</w:t>
      </w:r>
    </w:p>
    <w:p w14:paraId="2C9EA8A3" w14:textId="77777777" w:rsidR="002D7B2F" w:rsidRPr="00A37A98" w:rsidRDefault="00A37A98" w:rsidP="00CD387E">
      <w:pPr>
        <w:keepNext/>
        <w:rPr>
          <w:rFonts w:ascii="David" w:hAnsi="David"/>
          <w:color w:val="FFFFFF"/>
          <w:sz w:val="2"/>
          <w:szCs w:val="2"/>
          <w:rtl/>
        </w:rPr>
      </w:pPr>
      <w:r w:rsidRPr="00A37A98">
        <w:rPr>
          <w:rFonts w:ascii="David" w:hAnsi="David"/>
          <w:color w:val="FFFFFF"/>
          <w:sz w:val="2"/>
          <w:szCs w:val="2"/>
          <w:rtl/>
        </w:rPr>
        <w:t>54678313</w:t>
      </w:r>
    </w:p>
    <w:p w14:paraId="5DB84F34" w14:textId="77777777" w:rsidR="00CD387E" w:rsidRPr="00CD387E" w:rsidRDefault="00CD387E" w:rsidP="00CD387E">
      <w:pPr>
        <w:keepNext/>
        <w:rPr>
          <w:rFonts w:ascii="David" w:hAnsi="David"/>
          <w:color w:val="000000"/>
          <w:sz w:val="22"/>
          <w:szCs w:val="22"/>
          <w:rtl/>
        </w:rPr>
      </w:pPr>
      <w:r w:rsidRPr="00CD387E">
        <w:rPr>
          <w:rFonts w:ascii="David" w:hAnsi="David"/>
          <w:color w:val="000000"/>
          <w:sz w:val="22"/>
          <w:szCs w:val="22"/>
          <w:rtl/>
        </w:rPr>
        <w:t>אריאל ואגו 54678313</w:t>
      </w:r>
    </w:p>
    <w:p w14:paraId="02C35D81" w14:textId="77777777" w:rsidR="00CD387E" w:rsidRDefault="00CD387E" w:rsidP="00CD387E">
      <w:r w:rsidRPr="00CD387E">
        <w:rPr>
          <w:color w:val="000000"/>
          <w:rtl/>
        </w:rPr>
        <w:t>נוסח מסמך זה כפוף לשינויי ניסוח ועריכה</w:t>
      </w:r>
    </w:p>
    <w:p w14:paraId="1BE6C8A6" w14:textId="77777777" w:rsidR="00CD387E" w:rsidRDefault="00CD387E" w:rsidP="00CD387E">
      <w:pPr>
        <w:rPr>
          <w:rtl/>
        </w:rPr>
      </w:pPr>
    </w:p>
    <w:p w14:paraId="7FAC5747" w14:textId="77777777" w:rsidR="00CD387E" w:rsidRDefault="00CD387E" w:rsidP="00CD387E">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19D40DF" w14:textId="77777777" w:rsidR="00CD387E" w:rsidRPr="00CD387E" w:rsidRDefault="00CD387E" w:rsidP="00A37A98">
      <w:pPr>
        <w:rPr>
          <w:color w:val="0000FF"/>
          <w:u w:val="single"/>
        </w:rPr>
      </w:pPr>
    </w:p>
    <w:sectPr w:rsidR="00CD387E" w:rsidRPr="00CD387E" w:rsidSect="00A37A9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19B4F" w14:textId="77777777" w:rsidR="00B8512A" w:rsidRDefault="00B8512A" w:rsidP="009D1CAF">
      <w:r>
        <w:separator/>
      </w:r>
    </w:p>
  </w:endnote>
  <w:endnote w:type="continuationSeparator" w:id="0">
    <w:p w14:paraId="4C5429FD" w14:textId="77777777" w:rsidR="00B8512A" w:rsidRDefault="00B8512A" w:rsidP="009D1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0EDE6" w14:textId="77777777" w:rsidR="00A37A98" w:rsidRDefault="00A37A98" w:rsidP="00A37A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B3575D" w14:textId="77777777" w:rsidR="00BF1736" w:rsidRPr="00A37A98" w:rsidRDefault="00A37A98" w:rsidP="00A37A98">
    <w:pPr>
      <w:pStyle w:val="a5"/>
      <w:pBdr>
        <w:top w:val="single" w:sz="4" w:space="1" w:color="auto"/>
        <w:between w:val="single" w:sz="4" w:space="0" w:color="auto"/>
      </w:pBdr>
      <w:spacing w:after="60"/>
      <w:jc w:val="center"/>
      <w:rPr>
        <w:rFonts w:ascii="FrankRuehl" w:hAnsi="FrankRuehl" w:cs="FrankRuehl"/>
        <w:color w:val="000000"/>
      </w:rPr>
    </w:pPr>
    <w:r w:rsidRPr="00A37A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D96F3" w14:textId="77777777" w:rsidR="00A37A98" w:rsidRDefault="00A37A98" w:rsidP="00A37A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1130">
      <w:rPr>
        <w:rFonts w:ascii="FrankRuehl" w:hAnsi="FrankRuehl" w:cs="FrankRuehl"/>
        <w:noProof/>
        <w:rtl/>
      </w:rPr>
      <w:t>1</w:t>
    </w:r>
    <w:r>
      <w:rPr>
        <w:rFonts w:ascii="FrankRuehl" w:hAnsi="FrankRuehl" w:cs="FrankRuehl"/>
        <w:rtl/>
      </w:rPr>
      <w:fldChar w:fldCharType="end"/>
    </w:r>
  </w:p>
  <w:p w14:paraId="6A54A411" w14:textId="77777777" w:rsidR="00BF1736" w:rsidRPr="00A37A98" w:rsidRDefault="00A37A98" w:rsidP="00A37A98">
    <w:pPr>
      <w:pStyle w:val="a5"/>
      <w:pBdr>
        <w:top w:val="single" w:sz="4" w:space="1" w:color="auto"/>
        <w:between w:val="single" w:sz="4" w:space="0" w:color="auto"/>
      </w:pBdr>
      <w:spacing w:after="60"/>
      <w:jc w:val="center"/>
      <w:rPr>
        <w:rFonts w:ascii="FrankRuehl" w:hAnsi="FrankRuehl" w:cs="FrankRuehl"/>
        <w:color w:val="000000"/>
      </w:rPr>
    </w:pPr>
    <w:r w:rsidRPr="00A37A98">
      <w:rPr>
        <w:rFonts w:ascii="FrankRuehl" w:hAnsi="FrankRuehl" w:cs="FrankRuehl"/>
        <w:color w:val="000000"/>
      </w:rPr>
      <w:pict w14:anchorId="5DACD4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E9D5C" w14:textId="77777777" w:rsidR="00B8512A" w:rsidRDefault="00B8512A" w:rsidP="009D1CAF">
      <w:r>
        <w:separator/>
      </w:r>
    </w:p>
  </w:footnote>
  <w:footnote w:type="continuationSeparator" w:id="0">
    <w:p w14:paraId="33225E1C" w14:textId="77777777" w:rsidR="00B8512A" w:rsidRDefault="00B8512A" w:rsidP="009D1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1BDC" w14:textId="77777777" w:rsidR="00CD387E" w:rsidRPr="00A37A98" w:rsidRDefault="00A37A98" w:rsidP="00A37A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12549-10-17</w:t>
    </w:r>
    <w:r>
      <w:rPr>
        <w:rFonts w:ascii="David" w:hAnsi="David"/>
        <w:color w:val="000000"/>
        <w:sz w:val="22"/>
        <w:szCs w:val="22"/>
        <w:rtl/>
      </w:rPr>
      <w:tab/>
      <w:t xml:space="preserve"> מדינת ישראל נ' פדל אבו חצירא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7AF1D" w14:textId="77777777" w:rsidR="00CD387E" w:rsidRPr="00A37A98" w:rsidRDefault="00A37A98" w:rsidP="00A37A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12549-10-17</w:t>
    </w:r>
    <w:r>
      <w:rPr>
        <w:rFonts w:ascii="David" w:hAnsi="David"/>
        <w:color w:val="000000"/>
        <w:sz w:val="22"/>
        <w:szCs w:val="22"/>
        <w:rtl/>
      </w:rPr>
      <w:tab/>
      <w:t xml:space="preserve"> מדינת ישראל נ' פדל אבו חצירא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7310"/>
    <w:rsid w:val="002D7B2F"/>
    <w:rsid w:val="00314928"/>
    <w:rsid w:val="00947310"/>
    <w:rsid w:val="009D1CAF"/>
    <w:rsid w:val="00A37A98"/>
    <w:rsid w:val="00A91FB6"/>
    <w:rsid w:val="00B8512A"/>
    <w:rsid w:val="00BA16A0"/>
    <w:rsid w:val="00BF1736"/>
    <w:rsid w:val="00CC6444"/>
    <w:rsid w:val="00CD387E"/>
    <w:rsid w:val="00D11130"/>
    <w:rsid w:val="00D47317"/>
    <w:rsid w:val="00EB3AB4"/>
    <w:rsid w:val="00EE00D0"/>
    <w:rsid w:val="00F22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296E54C"/>
  <w15:chartTrackingRefBased/>
  <w15:docId w15:val="{23BA172A-B0DA-41AD-8D17-6E7E83E4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73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7310"/>
    <w:pPr>
      <w:tabs>
        <w:tab w:val="center" w:pos="4153"/>
        <w:tab w:val="right" w:pos="8306"/>
      </w:tabs>
    </w:pPr>
  </w:style>
  <w:style w:type="character" w:customStyle="1" w:styleId="a4">
    <w:name w:val="כותרת עליונה תו"/>
    <w:link w:val="a3"/>
    <w:rsid w:val="00947310"/>
    <w:rPr>
      <w:rFonts w:ascii="Times New Roman" w:eastAsia="Times New Roman" w:hAnsi="Times New Roman" w:cs="David"/>
      <w:sz w:val="24"/>
      <w:szCs w:val="24"/>
    </w:rPr>
  </w:style>
  <w:style w:type="paragraph" w:styleId="a5">
    <w:name w:val="footer"/>
    <w:basedOn w:val="a"/>
    <w:link w:val="a6"/>
    <w:rsid w:val="00947310"/>
    <w:pPr>
      <w:tabs>
        <w:tab w:val="center" w:pos="4153"/>
        <w:tab w:val="right" w:pos="8306"/>
      </w:tabs>
    </w:pPr>
  </w:style>
  <w:style w:type="character" w:customStyle="1" w:styleId="a6">
    <w:name w:val="כותרת תחתונה תו"/>
    <w:link w:val="a5"/>
    <w:rsid w:val="00947310"/>
    <w:rPr>
      <w:rFonts w:ascii="Times New Roman" w:eastAsia="Times New Roman" w:hAnsi="Times New Roman" w:cs="David"/>
      <w:sz w:val="24"/>
      <w:szCs w:val="24"/>
    </w:rPr>
  </w:style>
  <w:style w:type="table" w:styleId="a7">
    <w:name w:val="Table Grid"/>
    <w:basedOn w:val="a1"/>
    <w:rsid w:val="009473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7310"/>
  </w:style>
  <w:style w:type="character" w:styleId="Hyperlink">
    <w:name w:val="Hyperlink"/>
    <w:rsid w:val="00CD387E"/>
    <w:rPr>
      <w:color w:val="0563C1"/>
      <w:u w:val="single"/>
    </w:rPr>
  </w:style>
  <w:style w:type="character" w:styleId="a9">
    <w:name w:val="Unresolved Mention"/>
    <w:rsid w:val="00CD38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143.b" TargetMode="External"/><Relationship Id="rId26" Type="http://schemas.openxmlformats.org/officeDocument/2006/relationships/hyperlink" Target="http://www.nevo.co.il/case/17975158" TargetMode="External"/><Relationship Id="rId21" Type="http://schemas.openxmlformats.org/officeDocument/2006/relationships/hyperlink" Target="http://www.nevo.co.il/law/70301/144.a" TargetMode="External"/><Relationship Id="rId34" Type="http://schemas.openxmlformats.org/officeDocument/2006/relationships/header" Target="header2.xml"/><Relationship Id="rId7" Type="http://schemas.openxmlformats.org/officeDocument/2006/relationships/hyperlink" Target="http://www.nevo.co.il/law/73729/85.a.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141771" TargetMode="External"/><Relationship Id="rId25" Type="http://schemas.openxmlformats.org/officeDocument/2006/relationships/hyperlink" Target="http://www.nevo.co.il/case/606857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141771/22.b" TargetMode="External"/><Relationship Id="rId20" Type="http://schemas.openxmlformats.org/officeDocument/2006/relationships/hyperlink" Target="http://www.nevo.co.il/law/70301/144.b" TargetMode="External"/><Relationship Id="rId29" Type="http://schemas.openxmlformats.org/officeDocument/2006/relationships/hyperlink" Target="http://www.nevo.co.il/case/515703" TargetMode="External"/><Relationship Id="rId1" Type="http://schemas.openxmlformats.org/officeDocument/2006/relationships/styles" Target="styles.xml"/><Relationship Id="rId6" Type="http://schemas.openxmlformats.org/officeDocument/2006/relationships/hyperlink" Target="http://www.nevo.co.il/law/73729" TargetMode="External"/><Relationship Id="rId11" Type="http://schemas.openxmlformats.org/officeDocument/2006/relationships/hyperlink" Target="http://www.nevo.co.il/law/70301/143.b" TargetMode="External"/><Relationship Id="rId24" Type="http://schemas.openxmlformats.org/officeDocument/2006/relationships/hyperlink" Target="http://www.nevo.co.il/case/6068576"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3729"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4655519"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068576" TargetMode="External"/><Relationship Id="rId4" Type="http://schemas.openxmlformats.org/officeDocument/2006/relationships/footnotes" Target="footnotes.xml"/><Relationship Id="rId9" Type="http://schemas.openxmlformats.org/officeDocument/2006/relationships/hyperlink" Target="http://www.nevo.co.il/law/141771/22.b" TargetMode="External"/><Relationship Id="rId14" Type="http://schemas.openxmlformats.org/officeDocument/2006/relationships/hyperlink" Target="http://www.nevo.co.il/law/73729/85.a.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8729812"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14177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2727</Words>
  <Characters>13640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16335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3342459</vt:i4>
      </vt:variant>
      <vt:variant>
        <vt:i4>75</vt:i4>
      </vt:variant>
      <vt:variant>
        <vt:i4>0</vt:i4>
      </vt:variant>
      <vt:variant>
        <vt:i4>5</vt:i4>
      </vt:variant>
      <vt:variant>
        <vt:lpwstr>http://www.nevo.co.il/case/6068576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vt:i4>
      </vt:variant>
      <vt:variant>
        <vt:i4>69</vt:i4>
      </vt:variant>
      <vt:variant>
        <vt:i4>0</vt:i4>
      </vt:variant>
      <vt:variant>
        <vt:i4>5</vt:i4>
      </vt:variant>
      <vt:variant>
        <vt:lpwstr>http://www.nevo.co.il/case/515703</vt:lpwstr>
      </vt:variant>
      <vt:variant>
        <vt:lpwstr/>
      </vt:variant>
      <vt:variant>
        <vt:i4>3997814</vt:i4>
      </vt:variant>
      <vt:variant>
        <vt:i4>66</vt:i4>
      </vt:variant>
      <vt:variant>
        <vt:i4>0</vt:i4>
      </vt:variant>
      <vt:variant>
        <vt:i4>5</vt:i4>
      </vt:variant>
      <vt:variant>
        <vt:lpwstr>http://www.nevo.co.il/case/4655519</vt:lpwstr>
      </vt:variant>
      <vt:variant>
        <vt:lpwstr/>
      </vt:variant>
      <vt:variant>
        <vt:i4>4063350</vt:i4>
      </vt:variant>
      <vt:variant>
        <vt:i4>63</vt:i4>
      </vt:variant>
      <vt:variant>
        <vt:i4>0</vt:i4>
      </vt:variant>
      <vt:variant>
        <vt:i4>5</vt:i4>
      </vt:variant>
      <vt:variant>
        <vt:lpwstr>http://www.nevo.co.il/case/18729812</vt:lpwstr>
      </vt:variant>
      <vt:variant>
        <vt:lpwstr/>
      </vt:variant>
      <vt:variant>
        <vt:i4>3670133</vt:i4>
      </vt:variant>
      <vt:variant>
        <vt:i4>60</vt:i4>
      </vt:variant>
      <vt:variant>
        <vt:i4>0</vt:i4>
      </vt:variant>
      <vt:variant>
        <vt:i4>5</vt:i4>
      </vt:variant>
      <vt:variant>
        <vt:lpwstr>http://www.nevo.co.il/case/17975158</vt:lpwstr>
      </vt:variant>
      <vt:variant>
        <vt:lpwstr/>
      </vt:variant>
      <vt:variant>
        <vt:i4>3342459</vt:i4>
      </vt:variant>
      <vt:variant>
        <vt:i4>57</vt:i4>
      </vt:variant>
      <vt:variant>
        <vt:i4>0</vt:i4>
      </vt:variant>
      <vt:variant>
        <vt:i4>5</vt:i4>
      </vt:variant>
      <vt:variant>
        <vt:lpwstr>http://www.nevo.co.il/case/6068576</vt:lpwstr>
      </vt:variant>
      <vt:variant>
        <vt:lpwstr/>
      </vt:variant>
      <vt:variant>
        <vt:i4>3342459</vt:i4>
      </vt:variant>
      <vt:variant>
        <vt:i4>54</vt:i4>
      </vt:variant>
      <vt:variant>
        <vt:i4>0</vt:i4>
      </vt:variant>
      <vt:variant>
        <vt:i4>5</vt:i4>
      </vt:variant>
      <vt:variant>
        <vt:lpwstr>http://www.nevo.co.il/case/6068576</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5177431</vt:i4>
      </vt:variant>
      <vt:variant>
        <vt:i4>36</vt:i4>
      </vt:variant>
      <vt:variant>
        <vt:i4>0</vt:i4>
      </vt:variant>
      <vt:variant>
        <vt:i4>5</vt:i4>
      </vt:variant>
      <vt:variant>
        <vt:lpwstr>http://www.nevo.co.il/law/70301/143.b</vt:lpwstr>
      </vt:variant>
      <vt:variant>
        <vt:lpwstr/>
      </vt:variant>
      <vt:variant>
        <vt:i4>4718679</vt:i4>
      </vt:variant>
      <vt:variant>
        <vt:i4>33</vt:i4>
      </vt:variant>
      <vt:variant>
        <vt:i4>0</vt:i4>
      </vt:variant>
      <vt:variant>
        <vt:i4>5</vt:i4>
      </vt:variant>
      <vt:variant>
        <vt:lpwstr>http://www.nevo.co.il/law/141771</vt:lpwstr>
      </vt:variant>
      <vt:variant>
        <vt:lpwstr/>
      </vt:variant>
      <vt:variant>
        <vt:i4>5505098</vt:i4>
      </vt:variant>
      <vt:variant>
        <vt:i4>30</vt:i4>
      </vt:variant>
      <vt:variant>
        <vt:i4>0</vt:i4>
      </vt:variant>
      <vt:variant>
        <vt:i4>5</vt:i4>
      </vt:variant>
      <vt:variant>
        <vt:lpwstr>http://www.nevo.co.il/law/141771/22.b</vt:lpwstr>
      </vt:variant>
      <vt:variant>
        <vt:lpwstr/>
      </vt:variant>
      <vt:variant>
        <vt:i4>8061024</vt:i4>
      </vt:variant>
      <vt:variant>
        <vt:i4>27</vt:i4>
      </vt:variant>
      <vt:variant>
        <vt:i4>0</vt:i4>
      </vt:variant>
      <vt:variant>
        <vt:i4>5</vt:i4>
      </vt:variant>
      <vt:variant>
        <vt:lpwstr>http://www.nevo.co.il/law/73729</vt:lpwstr>
      </vt:variant>
      <vt:variant>
        <vt:lpwstr/>
      </vt:variant>
      <vt:variant>
        <vt:i4>3211361</vt:i4>
      </vt:variant>
      <vt:variant>
        <vt:i4>24</vt:i4>
      </vt:variant>
      <vt:variant>
        <vt:i4>0</vt:i4>
      </vt:variant>
      <vt:variant>
        <vt:i4>5</vt:i4>
      </vt:variant>
      <vt:variant>
        <vt:lpwstr>http://www.nevo.co.il/law/73729/85.a.1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5177431</vt:i4>
      </vt:variant>
      <vt:variant>
        <vt:i4>15</vt:i4>
      </vt:variant>
      <vt:variant>
        <vt:i4>0</vt:i4>
      </vt:variant>
      <vt:variant>
        <vt:i4>5</vt:i4>
      </vt:variant>
      <vt:variant>
        <vt:lpwstr>http://www.nevo.co.il/law/70301/143.b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5505098</vt:i4>
      </vt:variant>
      <vt:variant>
        <vt:i4>9</vt:i4>
      </vt:variant>
      <vt:variant>
        <vt:i4>0</vt:i4>
      </vt:variant>
      <vt:variant>
        <vt:i4>5</vt:i4>
      </vt:variant>
      <vt:variant>
        <vt:lpwstr>http://www.nevo.co.il/law/141771/22.b</vt:lpwstr>
      </vt:variant>
      <vt:variant>
        <vt:lpwstr/>
      </vt:variant>
      <vt:variant>
        <vt:i4>4718679</vt:i4>
      </vt:variant>
      <vt:variant>
        <vt:i4>6</vt:i4>
      </vt:variant>
      <vt:variant>
        <vt:i4>0</vt:i4>
      </vt:variant>
      <vt:variant>
        <vt:i4>5</vt:i4>
      </vt:variant>
      <vt:variant>
        <vt:lpwstr>http://www.nevo.co.il/law/141771</vt:lpwstr>
      </vt:variant>
      <vt:variant>
        <vt:lpwstr/>
      </vt:variant>
      <vt:variant>
        <vt:i4>3211361</vt:i4>
      </vt:variant>
      <vt:variant>
        <vt:i4>3</vt:i4>
      </vt:variant>
      <vt:variant>
        <vt:i4>0</vt:i4>
      </vt:variant>
      <vt:variant>
        <vt:i4>5</vt:i4>
      </vt:variant>
      <vt:variant>
        <vt:lpwstr>http://www.nevo.co.il/law/73729/85.a.1</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12549</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פדל אבו חצירא</vt:lpwstr>
  </property>
  <property fmtid="{D5CDD505-2E9C-101B-9397-08002B2CF9AE}" pid="10" name="LAWYER">
    <vt:lpwstr>יריב צרי;מחמד ג'בארין</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TYPE_N_DATE">
    <vt:lpwstr>39020180514</vt:lpwstr>
  </property>
  <property fmtid="{D5CDD505-2E9C-101B-9397-08002B2CF9AE}" pid="14" name="CASESLISTTMP1">
    <vt:lpwstr>6068576:3;17975158;18729812;4655519;515703</vt:lpwstr>
  </property>
  <property fmtid="{D5CDD505-2E9C-101B-9397-08002B2CF9AE}" pid="15" name="CASENOTES1">
    <vt:lpwstr>ProcID=210&amp;PartA=1143&amp;PartC=06</vt:lpwstr>
  </property>
  <property fmtid="{D5CDD505-2E9C-101B-9397-08002B2CF9AE}" pid="16" name="WORDNUMPAGES">
    <vt:lpwstr>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73729/085.a.1</vt:lpwstr>
  </property>
  <property fmtid="{D5CDD505-2E9C-101B-9397-08002B2CF9AE}" pid="36" name="LAWLISTTMP2">
    <vt:lpwstr>141771/022.b</vt:lpwstr>
  </property>
  <property fmtid="{D5CDD505-2E9C-101B-9397-08002B2CF9AE}" pid="37" name="LAWLISTTMP3">
    <vt:lpwstr>70301/143.b;144.b:2;144.a</vt:lpwstr>
  </property>
  <property fmtid="{D5CDD505-2E9C-101B-9397-08002B2CF9AE}" pid="38" name="DATE">
    <vt:lpwstr>20180514</vt:lpwstr>
  </property>
  <property fmtid="{D5CDD505-2E9C-101B-9397-08002B2CF9AE}" pid="39" name="TYPE_ABS_DATE">
    <vt:lpwstr>390020180514</vt:lpwstr>
  </property>
</Properties>
</file>