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00000" w14:paraId="58FCE4D1" w14:textId="77777777">
        <w:trPr>
          <w:trHeight w:hRule="exact" w:val="418"/>
          <w:jc w:val="center"/>
        </w:trPr>
        <w:tc>
          <w:tcPr>
            <w:tcW w:w="8721" w:type="dxa"/>
            <w:gridSpan w:val="2"/>
          </w:tcPr>
          <w:p w14:paraId="31099DF1" w14:textId="77777777" w:rsidR="006C2FB5" w:rsidRDefault="006C2FB5">
            <w:pPr>
              <w:pStyle w:val="a3"/>
              <w:jc w:val="center"/>
              <w:rPr>
                <w:rFonts w:ascii="Tahoma" w:hAnsi="Tahoma" w:cs="Tahoma"/>
                <w:color w:val="000080"/>
                <w:rtl/>
              </w:rPr>
            </w:pPr>
            <w:bookmarkStart w:id="0" w:name="LastJudge"/>
            <w:r>
              <w:rPr>
                <w:rFonts w:ascii="Tahoma" w:hAnsi="Tahoma" w:cs="Tahoma"/>
                <w:b/>
                <w:bCs/>
                <w:color w:val="000080"/>
                <w:rtl/>
              </w:rPr>
              <w:t>בית המשפט המחוזי בירושלים</w:t>
            </w:r>
          </w:p>
        </w:tc>
      </w:tr>
      <w:tr w:rsidR="00000000" w14:paraId="2957246C" w14:textId="77777777">
        <w:trPr>
          <w:trHeight w:val="337"/>
          <w:jc w:val="center"/>
        </w:trPr>
        <w:tc>
          <w:tcPr>
            <w:tcW w:w="5054" w:type="dxa"/>
          </w:tcPr>
          <w:p w14:paraId="78E2FD97" w14:textId="77777777" w:rsidR="006C2FB5" w:rsidRDefault="006C2FB5">
            <w:pPr>
              <w:rPr>
                <w:b/>
                <w:bCs/>
                <w:sz w:val="26"/>
                <w:szCs w:val="26"/>
                <w:rtl/>
              </w:rPr>
            </w:pPr>
            <w:r>
              <w:rPr>
                <w:b/>
                <w:bCs/>
                <w:sz w:val="26"/>
                <w:szCs w:val="26"/>
                <w:rtl/>
              </w:rPr>
              <w:t>ת"פ</w:t>
            </w:r>
            <w:r>
              <w:rPr>
                <w:rFonts w:hint="cs"/>
                <w:b/>
                <w:bCs/>
                <w:sz w:val="26"/>
                <w:szCs w:val="26"/>
                <w:rtl/>
              </w:rPr>
              <w:t xml:space="preserve"> </w:t>
            </w:r>
            <w:r>
              <w:rPr>
                <w:b/>
                <w:bCs/>
                <w:sz w:val="26"/>
                <w:szCs w:val="26"/>
                <w:rtl/>
              </w:rPr>
              <w:t>51523-10-17</w:t>
            </w:r>
            <w:r>
              <w:rPr>
                <w:rFonts w:hint="cs"/>
                <w:b/>
                <w:bCs/>
                <w:sz w:val="26"/>
                <w:szCs w:val="26"/>
                <w:rtl/>
              </w:rPr>
              <w:t xml:space="preserve"> </w:t>
            </w:r>
            <w:r>
              <w:rPr>
                <w:b/>
                <w:bCs/>
                <w:sz w:val="26"/>
                <w:szCs w:val="26"/>
                <w:rtl/>
              </w:rPr>
              <w:t>מדינת ישראל נ' בלזמית</w:t>
            </w:r>
          </w:p>
          <w:p w14:paraId="372777A0" w14:textId="77777777" w:rsidR="006C2FB5" w:rsidRDefault="006C2FB5">
            <w:pPr>
              <w:pStyle w:val="a3"/>
              <w:rPr>
                <w:sz w:val="26"/>
                <w:szCs w:val="26"/>
                <w:rtl/>
              </w:rPr>
            </w:pPr>
          </w:p>
        </w:tc>
        <w:tc>
          <w:tcPr>
            <w:tcW w:w="3667" w:type="dxa"/>
          </w:tcPr>
          <w:p w14:paraId="00251304" w14:textId="77777777" w:rsidR="006C2FB5" w:rsidRDefault="006C2FB5">
            <w:pPr>
              <w:pStyle w:val="a3"/>
              <w:jc w:val="right"/>
              <w:rPr>
                <w:sz w:val="26"/>
                <w:szCs w:val="26"/>
                <w:rtl/>
              </w:rPr>
            </w:pPr>
          </w:p>
        </w:tc>
      </w:tr>
    </w:tbl>
    <w:p w14:paraId="0F1CFDE8" w14:textId="77777777" w:rsidR="006C2FB5" w:rsidRDefault="006C2FB5">
      <w:pPr>
        <w:pStyle w:val="a3"/>
        <w:rPr>
          <w:sz w:val="26"/>
          <w:szCs w:val="26"/>
          <w:rtl/>
        </w:rPr>
      </w:pPr>
      <w:r>
        <w:rPr>
          <w:rFonts w:hint="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00000" w14:paraId="2508A15D" w14:textId="77777777">
        <w:trPr>
          <w:trHeight w:val="295"/>
          <w:jc w:val="center"/>
        </w:trPr>
        <w:tc>
          <w:tcPr>
            <w:tcW w:w="923" w:type="dxa"/>
            <w:tcBorders>
              <w:top w:val="nil"/>
              <w:left w:val="nil"/>
              <w:bottom w:val="nil"/>
              <w:right w:val="nil"/>
            </w:tcBorders>
            <w:shd w:val="clear" w:color="auto" w:fill="auto"/>
          </w:tcPr>
          <w:p w14:paraId="664577C2" w14:textId="77777777" w:rsidR="006C2FB5" w:rsidRDefault="006C2FB5">
            <w:pPr>
              <w:jc w:val="both"/>
              <w:rPr>
                <w:rFonts w:ascii="Arial" w:hAnsi="Arial"/>
                <w:b/>
                <w:bCs/>
                <w:sz w:val="26"/>
                <w:szCs w:val="26"/>
                <w:rtl/>
              </w:rPr>
            </w:pPr>
            <w:r>
              <w:rPr>
                <w:rFonts w:ascii="Arial" w:hAnsi="Arial" w:hint="cs"/>
                <w:b/>
                <w:bCs/>
                <w:sz w:val="26"/>
                <w:szCs w:val="26"/>
                <w:rtl/>
              </w:rPr>
              <w:t xml:space="preserve">לפני </w:t>
            </w:r>
          </w:p>
        </w:tc>
        <w:tc>
          <w:tcPr>
            <w:tcW w:w="7897" w:type="dxa"/>
            <w:gridSpan w:val="2"/>
            <w:tcBorders>
              <w:top w:val="nil"/>
              <w:left w:val="nil"/>
              <w:bottom w:val="nil"/>
              <w:right w:val="nil"/>
            </w:tcBorders>
            <w:shd w:val="clear" w:color="auto" w:fill="auto"/>
          </w:tcPr>
          <w:p w14:paraId="12103C73" w14:textId="77777777" w:rsidR="006C2FB5" w:rsidRDefault="006C2FB5">
            <w:pPr>
              <w:rPr>
                <w:rFonts w:ascii="Arial" w:hAnsi="Arial"/>
                <w:b/>
                <w:bCs/>
                <w:sz w:val="26"/>
                <w:szCs w:val="26"/>
              </w:rPr>
            </w:pPr>
            <w:r>
              <w:rPr>
                <w:rFonts w:ascii="Arial" w:hAnsi="Arial" w:hint="cs"/>
                <w:b/>
                <w:bCs/>
                <w:sz w:val="26"/>
                <w:szCs w:val="26"/>
                <w:rtl/>
              </w:rPr>
              <w:t>כבוד השופטת  חנה מרים לומפ</w:t>
            </w:r>
          </w:p>
          <w:p w14:paraId="13EBBBA1" w14:textId="77777777" w:rsidR="006C2FB5" w:rsidRDefault="006C2FB5">
            <w:pPr>
              <w:rPr>
                <w:b/>
                <w:bCs/>
                <w:sz w:val="26"/>
                <w:szCs w:val="26"/>
                <w:rtl/>
              </w:rPr>
            </w:pPr>
          </w:p>
          <w:p w14:paraId="5589DDA3" w14:textId="77777777" w:rsidR="006C2FB5" w:rsidRDefault="006C2FB5">
            <w:pPr>
              <w:jc w:val="both"/>
              <w:rPr>
                <w:rFonts w:ascii="Arial" w:hAnsi="Arial"/>
                <w:b/>
                <w:bCs/>
                <w:sz w:val="26"/>
                <w:szCs w:val="26"/>
                <w:rtl/>
              </w:rPr>
            </w:pPr>
          </w:p>
        </w:tc>
      </w:tr>
      <w:tr w:rsidR="00000000" w14:paraId="2229E271" w14:textId="77777777">
        <w:trPr>
          <w:trHeight w:val="355"/>
          <w:jc w:val="center"/>
        </w:trPr>
        <w:tc>
          <w:tcPr>
            <w:tcW w:w="923" w:type="dxa"/>
            <w:tcBorders>
              <w:top w:val="nil"/>
              <w:left w:val="nil"/>
              <w:bottom w:val="nil"/>
              <w:right w:val="nil"/>
            </w:tcBorders>
            <w:shd w:val="clear" w:color="auto" w:fill="auto"/>
          </w:tcPr>
          <w:p w14:paraId="57233CE2" w14:textId="77777777" w:rsidR="006C2FB5" w:rsidRDefault="006C2FB5">
            <w:pPr>
              <w:jc w:val="both"/>
              <w:rPr>
                <w:rFonts w:ascii="Arial" w:hAnsi="Arial"/>
                <w:b/>
                <w:bCs/>
                <w:sz w:val="26"/>
                <w:szCs w:val="26"/>
              </w:rPr>
            </w:pPr>
            <w:bookmarkStart w:id="1" w:name="FirstAppellant"/>
            <w:r>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7DE38A9B" w14:textId="77777777" w:rsidR="006C2FB5" w:rsidRDefault="006C2FB5">
            <w:pPr>
              <w:rPr>
                <w:b/>
                <w:bCs/>
                <w:sz w:val="26"/>
                <w:szCs w:val="26"/>
              </w:rPr>
            </w:pPr>
            <w:r>
              <w:rPr>
                <w:rFonts w:ascii="Arial" w:hAnsi="Arial" w:hint="cs"/>
                <w:b/>
                <w:bCs/>
                <w:sz w:val="26"/>
                <w:szCs w:val="26"/>
                <w:rtl/>
              </w:rPr>
              <w:t>מדינת ישראל</w:t>
            </w:r>
          </w:p>
        </w:tc>
        <w:tc>
          <w:tcPr>
            <w:tcW w:w="3771" w:type="dxa"/>
            <w:tcBorders>
              <w:top w:val="nil"/>
              <w:left w:val="nil"/>
              <w:bottom w:val="nil"/>
              <w:right w:val="nil"/>
            </w:tcBorders>
            <w:shd w:val="clear" w:color="auto" w:fill="auto"/>
          </w:tcPr>
          <w:p w14:paraId="1D495AB7" w14:textId="77777777" w:rsidR="006C2FB5" w:rsidRDefault="006C2FB5">
            <w:pPr>
              <w:jc w:val="both"/>
              <w:rPr>
                <w:rFonts w:ascii="Arial" w:hAnsi="Arial"/>
                <w:b/>
                <w:bCs/>
                <w:sz w:val="26"/>
                <w:szCs w:val="26"/>
              </w:rPr>
            </w:pPr>
          </w:p>
        </w:tc>
      </w:tr>
      <w:tr w:rsidR="00000000" w14:paraId="3B4B5FE6" w14:textId="77777777">
        <w:trPr>
          <w:trHeight w:val="355"/>
          <w:jc w:val="center"/>
        </w:trPr>
        <w:tc>
          <w:tcPr>
            <w:tcW w:w="923" w:type="dxa"/>
            <w:tcBorders>
              <w:top w:val="nil"/>
              <w:left w:val="nil"/>
              <w:bottom w:val="nil"/>
              <w:right w:val="nil"/>
            </w:tcBorders>
            <w:shd w:val="clear" w:color="auto" w:fill="auto"/>
          </w:tcPr>
          <w:p w14:paraId="3BE0D93A" w14:textId="77777777" w:rsidR="006C2FB5" w:rsidRDefault="006C2FB5">
            <w:pPr>
              <w:jc w:val="both"/>
              <w:rPr>
                <w:rFonts w:ascii="Arial" w:hAnsi="Arial"/>
                <w:b/>
                <w:bCs/>
                <w:sz w:val="26"/>
                <w:szCs w:val="26"/>
              </w:rPr>
            </w:pPr>
            <w:bookmarkStart w:id="2" w:name="FirstLawyer"/>
            <w:bookmarkEnd w:id="1"/>
          </w:p>
        </w:tc>
        <w:tc>
          <w:tcPr>
            <w:tcW w:w="4126" w:type="dxa"/>
            <w:tcBorders>
              <w:top w:val="nil"/>
              <w:left w:val="nil"/>
              <w:bottom w:val="nil"/>
              <w:right w:val="nil"/>
            </w:tcBorders>
            <w:shd w:val="clear" w:color="auto" w:fill="auto"/>
          </w:tcPr>
          <w:p w14:paraId="3BFA472F" w14:textId="77777777" w:rsidR="006C2FB5" w:rsidRDefault="006C2FB5">
            <w:pPr>
              <w:jc w:val="both"/>
              <w:rPr>
                <w:b/>
                <w:bCs/>
                <w:sz w:val="26"/>
                <w:szCs w:val="26"/>
                <w:rtl/>
              </w:rPr>
            </w:pPr>
            <w:r>
              <w:rPr>
                <w:rFonts w:hint="cs"/>
                <w:b/>
                <w:bCs/>
                <w:sz w:val="26"/>
                <w:szCs w:val="26"/>
                <w:rtl/>
              </w:rPr>
              <w:t>באמצעות ב"כ עו"ד נתנאל דגן</w:t>
            </w:r>
          </w:p>
        </w:tc>
        <w:tc>
          <w:tcPr>
            <w:tcW w:w="3771" w:type="dxa"/>
            <w:tcBorders>
              <w:top w:val="nil"/>
              <w:left w:val="nil"/>
              <w:bottom w:val="nil"/>
              <w:right w:val="nil"/>
            </w:tcBorders>
            <w:shd w:val="clear" w:color="auto" w:fill="auto"/>
          </w:tcPr>
          <w:p w14:paraId="0B89A9FF" w14:textId="77777777" w:rsidR="006C2FB5" w:rsidRDefault="006C2FB5">
            <w:pPr>
              <w:jc w:val="right"/>
              <w:rPr>
                <w:rFonts w:ascii="Arial" w:hAnsi="Arial"/>
                <w:b/>
                <w:bCs/>
                <w:sz w:val="26"/>
                <w:szCs w:val="26"/>
                <w:rtl/>
              </w:rPr>
            </w:pPr>
            <w:r>
              <w:rPr>
                <w:rFonts w:ascii="Arial" w:hAnsi="Arial" w:hint="cs"/>
                <w:b/>
                <w:bCs/>
                <w:sz w:val="26"/>
                <w:szCs w:val="26"/>
                <w:rtl/>
              </w:rPr>
              <w:t>המאשימה</w:t>
            </w:r>
          </w:p>
        </w:tc>
      </w:tr>
      <w:bookmarkEnd w:id="2"/>
      <w:tr w:rsidR="00000000" w14:paraId="0C5E09E6" w14:textId="77777777">
        <w:trPr>
          <w:trHeight w:val="355"/>
          <w:jc w:val="center"/>
        </w:trPr>
        <w:tc>
          <w:tcPr>
            <w:tcW w:w="923" w:type="dxa"/>
            <w:tcBorders>
              <w:top w:val="nil"/>
              <w:left w:val="nil"/>
              <w:bottom w:val="nil"/>
              <w:right w:val="nil"/>
            </w:tcBorders>
            <w:shd w:val="clear" w:color="auto" w:fill="auto"/>
          </w:tcPr>
          <w:p w14:paraId="55AAC03D" w14:textId="77777777" w:rsidR="006C2FB5" w:rsidRDefault="006C2FB5">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129DBB28" w14:textId="77777777" w:rsidR="006C2FB5" w:rsidRDefault="006C2FB5">
            <w:pPr>
              <w:jc w:val="center"/>
              <w:rPr>
                <w:rFonts w:ascii="Arial" w:hAnsi="Arial"/>
                <w:b/>
                <w:bCs/>
                <w:sz w:val="26"/>
                <w:szCs w:val="26"/>
                <w:rtl/>
              </w:rPr>
            </w:pPr>
          </w:p>
          <w:p w14:paraId="48219C96" w14:textId="77777777" w:rsidR="006C2FB5" w:rsidRDefault="006C2FB5">
            <w:pPr>
              <w:jc w:val="center"/>
              <w:rPr>
                <w:rFonts w:ascii="Arial" w:hAnsi="Arial"/>
                <w:b/>
                <w:bCs/>
                <w:sz w:val="26"/>
                <w:szCs w:val="26"/>
                <w:rtl/>
              </w:rPr>
            </w:pPr>
            <w:r>
              <w:rPr>
                <w:rFonts w:ascii="Arial" w:hAnsi="Arial" w:hint="cs"/>
                <w:b/>
                <w:bCs/>
                <w:sz w:val="26"/>
                <w:szCs w:val="26"/>
                <w:rtl/>
              </w:rPr>
              <w:t>נגד</w:t>
            </w:r>
          </w:p>
          <w:p w14:paraId="4C810307" w14:textId="77777777" w:rsidR="006C2FB5" w:rsidRDefault="006C2FB5">
            <w:pPr>
              <w:jc w:val="both"/>
              <w:rPr>
                <w:rFonts w:ascii="Arial" w:hAnsi="Arial"/>
                <w:b/>
                <w:bCs/>
                <w:sz w:val="26"/>
                <w:szCs w:val="26"/>
                <w:rtl/>
              </w:rPr>
            </w:pPr>
          </w:p>
        </w:tc>
      </w:tr>
      <w:tr w:rsidR="00000000" w14:paraId="6A2F1853" w14:textId="77777777">
        <w:trPr>
          <w:trHeight w:val="355"/>
          <w:jc w:val="center"/>
        </w:trPr>
        <w:tc>
          <w:tcPr>
            <w:tcW w:w="923" w:type="dxa"/>
            <w:tcBorders>
              <w:top w:val="nil"/>
              <w:left w:val="nil"/>
              <w:bottom w:val="nil"/>
              <w:right w:val="nil"/>
            </w:tcBorders>
            <w:shd w:val="clear" w:color="auto" w:fill="auto"/>
          </w:tcPr>
          <w:p w14:paraId="0EAE74AE" w14:textId="77777777" w:rsidR="006C2FB5" w:rsidRDefault="006C2FB5">
            <w:pPr>
              <w:rPr>
                <w:rFonts w:ascii="Arial" w:hAnsi="Arial"/>
                <w:b/>
                <w:bCs/>
                <w:sz w:val="26"/>
                <w:szCs w:val="26"/>
              </w:rPr>
            </w:pPr>
          </w:p>
        </w:tc>
        <w:tc>
          <w:tcPr>
            <w:tcW w:w="4126" w:type="dxa"/>
            <w:tcBorders>
              <w:top w:val="nil"/>
              <w:left w:val="nil"/>
              <w:bottom w:val="nil"/>
              <w:right w:val="nil"/>
            </w:tcBorders>
            <w:shd w:val="clear" w:color="auto" w:fill="auto"/>
          </w:tcPr>
          <w:p w14:paraId="55BEEC8F" w14:textId="77777777" w:rsidR="006C2FB5" w:rsidRDefault="006C2FB5">
            <w:pPr>
              <w:rPr>
                <w:b/>
                <w:bCs/>
                <w:sz w:val="26"/>
                <w:szCs w:val="26"/>
                <w:rtl/>
              </w:rPr>
            </w:pPr>
            <w:r>
              <w:rPr>
                <w:rFonts w:ascii="Arial" w:hAnsi="Arial" w:hint="cs"/>
                <w:b/>
                <w:bCs/>
                <w:sz w:val="26"/>
                <w:szCs w:val="26"/>
                <w:rtl/>
              </w:rPr>
              <w:t>איאד בזלמית</w:t>
            </w:r>
          </w:p>
        </w:tc>
        <w:tc>
          <w:tcPr>
            <w:tcW w:w="3771" w:type="dxa"/>
            <w:tcBorders>
              <w:top w:val="nil"/>
              <w:left w:val="nil"/>
              <w:bottom w:val="nil"/>
              <w:right w:val="nil"/>
            </w:tcBorders>
            <w:shd w:val="clear" w:color="auto" w:fill="auto"/>
          </w:tcPr>
          <w:p w14:paraId="18861061" w14:textId="77777777" w:rsidR="006C2FB5" w:rsidRDefault="006C2FB5">
            <w:pPr>
              <w:jc w:val="right"/>
              <w:rPr>
                <w:rFonts w:ascii="Arial" w:hAnsi="Arial"/>
                <w:b/>
                <w:bCs/>
                <w:sz w:val="26"/>
                <w:szCs w:val="26"/>
                <w:rtl/>
              </w:rPr>
            </w:pPr>
          </w:p>
        </w:tc>
      </w:tr>
      <w:tr w:rsidR="00000000" w14:paraId="5C9DB74B" w14:textId="77777777">
        <w:trPr>
          <w:trHeight w:val="355"/>
          <w:jc w:val="center"/>
        </w:trPr>
        <w:tc>
          <w:tcPr>
            <w:tcW w:w="923" w:type="dxa"/>
            <w:tcBorders>
              <w:top w:val="nil"/>
              <w:left w:val="nil"/>
              <w:bottom w:val="nil"/>
              <w:right w:val="nil"/>
            </w:tcBorders>
            <w:shd w:val="clear" w:color="auto" w:fill="auto"/>
          </w:tcPr>
          <w:p w14:paraId="2BC5261C" w14:textId="77777777" w:rsidR="006C2FB5" w:rsidRDefault="006C2FB5">
            <w:pPr>
              <w:jc w:val="both"/>
              <w:rPr>
                <w:rFonts w:ascii="Arial" w:hAnsi="Arial"/>
                <w:b/>
                <w:bCs/>
                <w:sz w:val="26"/>
                <w:szCs w:val="26"/>
              </w:rPr>
            </w:pPr>
          </w:p>
        </w:tc>
        <w:tc>
          <w:tcPr>
            <w:tcW w:w="4126" w:type="dxa"/>
            <w:tcBorders>
              <w:top w:val="nil"/>
              <w:left w:val="nil"/>
              <w:bottom w:val="nil"/>
              <w:right w:val="nil"/>
            </w:tcBorders>
            <w:shd w:val="clear" w:color="auto" w:fill="auto"/>
          </w:tcPr>
          <w:p w14:paraId="4553C09C" w14:textId="77777777" w:rsidR="006C2FB5" w:rsidRDefault="006C2FB5">
            <w:pPr>
              <w:jc w:val="both"/>
              <w:rPr>
                <w:b/>
                <w:bCs/>
                <w:sz w:val="26"/>
                <w:szCs w:val="26"/>
                <w:rtl/>
              </w:rPr>
            </w:pPr>
            <w:r>
              <w:rPr>
                <w:rFonts w:hint="cs"/>
                <w:b/>
                <w:bCs/>
                <w:sz w:val="26"/>
                <w:szCs w:val="26"/>
                <w:rtl/>
              </w:rPr>
              <w:t>באמצעות ב"כ עו"ד אכרם חליחל</w:t>
            </w:r>
          </w:p>
        </w:tc>
        <w:tc>
          <w:tcPr>
            <w:tcW w:w="3771" w:type="dxa"/>
            <w:tcBorders>
              <w:top w:val="nil"/>
              <w:left w:val="nil"/>
              <w:bottom w:val="nil"/>
              <w:right w:val="nil"/>
            </w:tcBorders>
            <w:shd w:val="clear" w:color="auto" w:fill="auto"/>
          </w:tcPr>
          <w:p w14:paraId="3911029B" w14:textId="77777777" w:rsidR="006C2FB5" w:rsidRDefault="006C2FB5">
            <w:pPr>
              <w:jc w:val="right"/>
              <w:rPr>
                <w:rFonts w:ascii="Arial" w:hAnsi="Arial"/>
                <w:b/>
                <w:bCs/>
                <w:sz w:val="26"/>
                <w:szCs w:val="26"/>
                <w:rtl/>
              </w:rPr>
            </w:pPr>
            <w:r>
              <w:rPr>
                <w:rFonts w:ascii="Arial" w:hAnsi="Arial" w:hint="cs"/>
                <w:b/>
                <w:bCs/>
                <w:sz w:val="26"/>
                <w:szCs w:val="26"/>
                <w:rtl/>
              </w:rPr>
              <w:t>הנאשם</w:t>
            </w:r>
          </w:p>
        </w:tc>
      </w:tr>
    </w:tbl>
    <w:p w14:paraId="298DA0EC" w14:textId="77777777" w:rsidR="006C2FB5" w:rsidRDefault="006C2FB5">
      <w:pPr>
        <w:rPr>
          <w:rtl/>
        </w:rPr>
      </w:pPr>
      <w:bookmarkStart w:id="3" w:name="LawTable"/>
      <w:bookmarkEnd w:id="3"/>
    </w:p>
    <w:p w14:paraId="39634E0F" w14:textId="77777777" w:rsidR="006C2FB5" w:rsidRDefault="006C2FB5">
      <w:pPr>
        <w:spacing w:after="120" w:line="240" w:lineRule="exact"/>
        <w:ind w:left="283" w:hanging="283"/>
        <w:jc w:val="both"/>
        <w:rPr>
          <w:rFonts w:ascii="FrankRuehl" w:hAnsi="FrankRuehl" w:cs="FrankRuehl"/>
          <w:rtl/>
        </w:rPr>
      </w:pPr>
      <w:r>
        <w:rPr>
          <w:rFonts w:ascii="FrankRuehl" w:hAnsi="FrankRuehl" w:cs="FrankRuehl"/>
          <w:rtl/>
        </w:rPr>
        <w:t xml:space="preserve">חקיקה שאוזכרה: </w:t>
      </w:r>
    </w:p>
    <w:p w14:paraId="31B66480" w14:textId="77777777" w:rsidR="006C2FB5" w:rsidRDefault="006C2FB5">
      <w:pPr>
        <w:spacing w:after="120" w:line="240" w:lineRule="exact"/>
        <w:ind w:left="283" w:hanging="283"/>
        <w:jc w:val="both"/>
        <w:rPr>
          <w:rFonts w:ascii="FrankRuehl" w:hAnsi="FrankRuehl" w:cs="FrankRuehl"/>
          <w:rtl/>
        </w:rPr>
      </w:pPr>
      <w:hyperlink r:id="rId7" w:history="1">
        <w:r>
          <w:rPr>
            <w:rFonts w:ascii="FrankRuehl" w:hAnsi="FrankRuehl" w:cs="FrankRuehl"/>
            <w:color w:val="0000FF"/>
            <w:u w:val="single"/>
            <w:rtl/>
          </w:rPr>
          <w:t>חוק העונשין, תשל"ז-1977</w:t>
        </w:r>
      </w:hyperlink>
      <w:r>
        <w:rPr>
          <w:rFonts w:ascii="FrankRuehl" w:hAnsi="FrankRuehl" w:cs="FrankRuehl"/>
          <w:rtl/>
        </w:rPr>
        <w:t xml:space="preserve">: סע'  </w:t>
      </w:r>
      <w:hyperlink r:id="rId8" w:history="1">
        <w:r>
          <w:rPr>
            <w:rFonts w:ascii="FrankRuehl" w:hAnsi="FrankRuehl" w:cs="FrankRuehl"/>
            <w:color w:val="0000FF"/>
            <w:u w:val="single"/>
            <w:rtl/>
          </w:rPr>
          <w:t>40ד'</w:t>
        </w:r>
      </w:hyperlink>
      <w:r>
        <w:rPr>
          <w:rFonts w:ascii="FrankRuehl" w:hAnsi="FrankRuehl" w:cs="FrankRuehl"/>
          <w:rtl/>
        </w:rPr>
        <w:t xml:space="preserve">, </w:t>
      </w:r>
      <w:hyperlink r:id="rId9" w:history="1">
        <w:r>
          <w:rPr>
            <w:rFonts w:ascii="FrankRuehl" w:hAnsi="FrankRuehl" w:cs="FrankRuehl"/>
            <w:color w:val="0000FF"/>
            <w:u w:val="single"/>
            <w:rtl/>
          </w:rPr>
          <w:t>40 ט'</w:t>
        </w:r>
      </w:hyperlink>
      <w:r>
        <w:rPr>
          <w:rFonts w:ascii="FrankRuehl" w:hAnsi="FrankRuehl" w:cs="FrankRuehl"/>
          <w:rtl/>
        </w:rPr>
        <w:t xml:space="preserve">, </w:t>
      </w:r>
      <w:hyperlink r:id="rId10" w:history="1">
        <w:r>
          <w:rPr>
            <w:rFonts w:ascii="FrankRuehl" w:hAnsi="FrankRuehl" w:cs="FrankRuehl"/>
            <w:color w:val="0000FF"/>
            <w:u w:val="single"/>
            <w:rtl/>
          </w:rPr>
          <w:t>144(א)</w:t>
        </w:r>
      </w:hyperlink>
      <w:r>
        <w:rPr>
          <w:rFonts w:ascii="FrankRuehl" w:hAnsi="FrankRuehl" w:cs="FrankRuehl"/>
          <w:rtl/>
        </w:rPr>
        <w:t xml:space="preserve">, </w:t>
      </w:r>
      <w:hyperlink r:id="rId11" w:history="1">
        <w:r>
          <w:rPr>
            <w:rFonts w:ascii="FrankRuehl" w:hAnsi="FrankRuehl" w:cs="FrankRuehl"/>
            <w:color w:val="0000FF"/>
            <w:u w:val="single"/>
            <w:rtl/>
          </w:rPr>
          <w:t>144(ב)</w:t>
        </w:r>
      </w:hyperlink>
      <w:r>
        <w:rPr>
          <w:rFonts w:ascii="FrankRuehl" w:hAnsi="FrankRuehl" w:cs="FrankRuehl"/>
          <w:rtl/>
        </w:rPr>
        <w:t xml:space="preserve">, </w:t>
      </w:r>
      <w:hyperlink r:id="rId12" w:history="1">
        <w:r>
          <w:rPr>
            <w:rFonts w:ascii="FrankRuehl" w:hAnsi="FrankRuehl" w:cs="FrankRuehl"/>
            <w:color w:val="0000FF"/>
            <w:u w:val="single"/>
            <w:rtl/>
          </w:rPr>
          <w:t>40 יא'</w:t>
        </w:r>
      </w:hyperlink>
    </w:p>
    <w:p w14:paraId="3D3A4E2E" w14:textId="77777777" w:rsidR="006C2FB5" w:rsidRDefault="006C2FB5">
      <w:pPr>
        <w:spacing w:after="120" w:line="240" w:lineRule="exact"/>
        <w:ind w:left="283" w:hanging="283"/>
        <w:jc w:val="both"/>
        <w:rPr>
          <w:rFonts w:ascii="FrankRuehl" w:hAnsi="FrankRuehl" w:cs="FrankRuehl"/>
          <w:rtl/>
        </w:rPr>
      </w:pPr>
    </w:p>
    <w:p w14:paraId="00D5FFB9" w14:textId="77777777" w:rsidR="006C2FB5" w:rsidRDefault="006C2FB5">
      <w:pPr>
        <w:rPr>
          <w:rtl/>
        </w:rPr>
      </w:pPr>
      <w:bookmarkStart w:id="4" w:name="LawTable_End"/>
      <w:bookmarkEnd w:id="4"/>
    </w:p>
    <w:p w14:paraId="2CC01AD9" w14:textId="77777777" w:rsidR="006C2FB5" w:rsidRDefault="006C2FB5">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60D2CAFA" w14:textId="77777777" w:rsidR="006C2FB5" w:rsidRDefault="006C2FB5">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Pr>
          <w:rFonts w:cs="FrankRuehl"/>
          <w:szCs w:val="26"/>
          <w:rtl/>
        </w:rPr>
        <w:t>בית המשפט גזר על הנאשם שהורשע בביצוע עבירות של רכישת נשק ואביזר נשק ונשיאה והובלת נשק עונש של 9 חודשי מאסר. במסגרת גזר הדין, עמד בית המשפט על המגמה בענישה בעבירות נשק.</w:t>
      </w:r>
    </w:p>
    <w:p w14:paraId="11C1BD7D" w14:textId="77777777" w:rsidR="006C2FB5" w:rsidRDefault="006C2FB5">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508F2C57" w14:textId="77777777" w:rsidR="006C2FB5" w:rsidRDefault="006C2FB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FA4EDD5" w14:textId="77777777" w:rsidR="006C2FB5" w:rsidRDefault="006C2FB5">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בית המשפט נדרש לגזור את דינו של הנאשם שהורשע, בעקבות הסדר טיעון בכתב אישום מתוקן, בעבירות של רכישת נשק ואביזר נשק ונשיאה והובלת נשק וזאת לפי </w:t>
      </w:r>
      <w:hyperlink r:id="rId13" w:history="1">
        <w:r>
          <w:rPr>
            <w:rFonts w:cs="FrankRuehl"/>
            <w:szCs w:val="26"/>
            <w:rtl/>
          </w:rPr>
          <w:t>סעיפים  144(א)</w:t>
        </w:r>
      </w:hyperlink>
      <w:r>
        <w:rPr>
          <w:rFonts w:cs="FrankRuehl"/>
          <w:szCs w:val="26"/>
          <w:rtl/>
        </w:rPr>
        <w:t xml:space="preserve"> ו-</w:t>
      </w:r>
      <w:hyperlink r:id="rId14" w:history="1">
        <w:r>
          <w:rPr>
            <w:rFonts w:cs="FrankRuehl"/>
            <w:szCs w:val="26"/>
            <w:rtl/>
          </w:rPr>
          <w:t>144(ב)</w:t>
        </w:r>
      </w:hyperlink>
      <w:r>
        <w:rPr>
          <w:rFonts w:cs="FrankRuehl"/>
          <w:szCs w:val="26"/>
          <w:rtl/>
        </w:rPr>
        <w:t xml:space="preserve"> ל</w:t>
      </w:r>
      <w:hyperlink r:id="rId15" w:history="1">
        <w:r>
          <w:rPr>
            <w:rFonts w:cs="FrankRuehl"/>
            <w:szCs w:val="26"/>
            <w:rtl/>
          </w:rPr>
          <w:t>חוק העונשין</w:t>
        </w:r>
      </w:hyperlink>
      <w:r>
        <w:rPr>
          <w:rFonts w:cs="FrankRuehl"/>
          <w:szCs w:val="26"/>
          <w:rtl/>
        </w:rPr>
        <w:t>. הנאשם לא היה בעל רישיון לשאת את הנשק, ומעולם לא החזיק ברישיון לנשק.</w:t>
      </w:r>
    </w:p>
    <w:p w14:paraId="1544D142" w14:textId="77777777" w:rsidR="006C2FB5" w:rsidRDefault="006C2FB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C1C9264" w14:textId="77777777" w:rsidR="006C2FB5" w:rsidRDefault="006C2FB5">
      <w:pPr>
        <w:pBdr>
          <w:top w:val="single" w:sz="4" w:space="1" w:color="auto"/>
          <w:bottom w:val="single" w:sz="4" w:space="1" w:color="auto"/>
        </w:pBdr>
        <w:spacing w:after="120" w:line="320" w:lineRule="exact"/>
        <w:jc w:val="both"/>
        <w:rPr>
          <w:rFonts w:cs="FrankRuehl"/>
          <w:szCs w:val="26"/>
          <w:rtl/>
        </w:rPr>
      </w:pPr>
      <w:r>
        <w:rPr>
          <w:rFonts w:cs="FrankRuehl"/>
          <w:szCs w:val="26"/>
          <w:rtl/>
        </w:rPr>
        <w:t>בית המשפט פסק כלהלן:</w:t>
      </w:r>
    </w:p>
    <w:p w14:paraId="3F28CFC2" w14:textId="77777777" w:rsidR="006C2FB5" w:rsidRDefault="006C2FB5">
      <w:pPr>
        <w:pBdr>
          <w:top w:val="single" w:sz="4" w:space="1" w:color="auto"/>
          <w:bottom w:val="single" w:sz="4" w:space="1" w:color="auto"/>
        </w:pBdr>
        <w:spacing w:after="120" w:line="320" w:lineRule="exact"/>
        <w:jc w:val="both"/>
        <w:rPr>
          <w:rFonts w:cs="FrankRuehl"/>
          <w:szCs w:val="26"/>
          <w:rtl/>
        </w:rPr>
      </w:pPr>
      <w:r>
        <w:rPr>
          <w:rFonts w:cs="FrankRuehl"/>
          <w:szCs w:val="26"/>
          <w:rtl/>
        </w:rPr>
        <w:t>מדיניות הענישה הנהוגה בעבירות נשק היא מדיניות של ענישה מחמירה המחייבת בדרך כלל הטלת עונשי מאסר לריצוי בפועל גם על מי שזו הרשעתו הראשונה. המגמה להחמיר בענישה בעבירות נשק באה לידי ביטוי בשורה ארוכה של פסקי דין שניתנו על ידי בית משפט העליון.</w:t>
      </w:r>
    </w:p>
    <w:p w14:paraId="1BB71F9E" w14:textId="77777777" w:rsidR="006C2FB5" w:rsidRDefault="006C2FB5">
      <w:pPr>
        <w:pBdr>
          <w:top w:val="single" w:sz="4" w:space="1" w:color="auto"/>
          <w:bottom w:val="single" w:sz="4" w:space="1" w:color="auto"/>
        </w:pBdr>
        <w:spacing w:after="120" w:line="320" w:lineRule="exact"/>
        <w:jc w:val="both"/>
        <w:rPr>
          <w:rFonts w:cs="FrankRuehl"/>
          <w:szCs w:val="26"/>
          <w:rtl/>
        </w:rPr>
      </w:pPr>
      <w:r>
        <w:rPr>
          <w:rFonts w:cs="FrankRuehl"/>
          <w:szCs w:val="26"/>
          <w:rtl/>
        </w:rPr>
        <w:t>מדיניות הענישה הנהוגה בעבירות בנשק הינה מגוונת, והיא תלויה בנסיבותיו של כל מקרה ומקרה.</w:t>
      </w:r>
    </w:p>
    <w:p w14:paraId="5B44B794" w14:textId="77777777" w:rsidR="006C2FB5" w:rsidRDefault="006C2FB5">
      <w:pPr>
        <w:pBdr>
          <w:top w:val="single" w:sz="4" w:space="1" w:color="auto"/>
          <w:bottom w:val="single" w:sz="4" w:space="1" w:color="auto"/>
        </w:pBdr>
        <w:spacing w:after="120" w:line="320" w:lineRule="exact"/>
        <w:jc w:val="both"/>
        <w:rPr>
          <w:rFonts w:cs="FrankRuehl"/>
          <w:szCs w:val="26"/>
        </w:rPr>
      </w:pPr>
      <w:r>
        <w:rPr>
          <w:rFonts w:cs="FrankRuehl"/>
          <w:szCs w:val="26"/>
          <w:rtl/>
        </w:rPr>
        <w:t xml:space="preserve">מתחם העונש ההולם את העבירות דנן, נע בין עונש של מאסר לתקופה של 9 חודשי מאסר בפועל לבין עונש של  24 חודשי מאסר בפועל, זאת לצד רכיבי ענישה נלווים. בנסיבותיו של מקרה זה, יש לגזור על הנאשם עונש מאסר ברף הנמוך של המתחם. לא קיימים במקרה זה שיקולים אשר מצדיקים סטייה </w:t>
      </w:r>
      <w:r>
        <w:rPr>
          <w:rFonts w:cs="FrankRuehl"/>
          <w:szCs w:val="26"/>
          <w:rtl/>
        </w:rPr>
        <w:lastRenderedPageBreak/>
        <w:t>מהמתחם, לחומרה או לקולא. שיקול ההגנה על שלום הציבור אינו מצדיק החמרה בעונשו של הנאשם. השיקול השיקומי אינו מצדיק הקלה בעונשו.</w:t>
      </w:r>
    </w:p>
    <w:p w14:paraId="76439808" w14:textId="77777777" w:rsidR="006C2FB5" w:rsidRDefault="006C2FB5">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000" w14:paraId="3391D44E" w14:textId="77777777">
        <w:trPr>
          <w:trHeight w:val="355"/>
          <w:jc w:val="center"/>
        </w:trPr>
        <w:tc>
          <w:tcPr>
            <w:tcW w:w="8820" w:type="dxa"/>
            <w:tcBorders>
              <w:top w:val="nil"/>
              <w:left w:val="nil"/>
              <w:bottom w:val="nil"/>
              <w:right w:val="nil"/>
            </w:tcBorders>
            <w:shd w:val="clear" w:color="auto" w:fill="auto"/>
          </w:tcPr>
          <w:p w14:paraId="1A2C60FF" w14:textId="77777777" w:rsidR="006C2FB5" w:rsidRDefault="006C2FB5">
            <w:pPr>
              <w:jc w:val="center"/>
              <w:rPr>
                <w:rFonts w:ascii="Arial" w:hAnsi="Arial" w:cs="FrankRuehl"/>
                <w:bCs/>
                <w:sz w:val="32"/>
                <w:szCs w:val="32"/>
                <w:u w:val="single"/>
              </w:rPr>
            </w:pPr>
            <w:bookmarkStart w:id="7" w:name="PsakDin" w:colFirst="0" w:colLast="0"/>
            <w:bookmarkEnd w:id="0"/>
            <w:r>
              <w:rPr>
                <w:b/>
                <w:bCs/>
                <w:sz w:val="30"/>
                <w:szCs w:val="30"/>
                <w:u w:val="single"/>
                <w:rtl/>
              </w:rPr>
              <w:t>גזר דין</w:t>
            </w:r>
          </w:p>
        </w:tc>
      </w:tr>
      <w:bookmarkEnd w:id="7"/>
    </w:tbl>
    <w:p w14:paraId="7C8A7A9E" w14:textId="77777777" w:rsidR="006C2FB5" w:rsidRDefault="006C2FB5">
      <w:pPr>
        <w:rPr>
          <w:rFonts w:ascii="Arial" w:hAnsi="Arial"/>
          <w:rtl/>
        </w:rPr>
      </w:pPr>
    </w:p>
    <w:p w14:paraId="678EE7C5" w14:textId="77777777" w:rsidR="006C2FB5" w:rsidRDefault="006C2FB5">
      <w:pPr>
        <w:ind w:left="360"/>
        <w:rPr>
          <w:b/>
          <w:bCs/>
          <w:sz w:val="26"/>
          <w:szCs w:val="26"/>
          <w:u w:val="single"/>
          <w:rtl/>
        </w:rPr>
      </w:pPr>
      <w:r>
        <w:rPr>
          <w:rFonts w:hint="cs"/>
          <w:b/>
          <w:bCs/>
          <w:sz w:val="26"/>
          <w:szCs w:val="26"/>
          <w:u w:val="single"/>
          <w:rtl/>
        </w:rPr>
        <w:t>רקע</w:t>
      </w:r>
    </w:p>
    <w:p w14:paraId="705E71D1" w14:textId="77777777" w:rsidR="006C2FB5" w:rsidRDefault="006C2FB5">
      <w:pPr>
        <w:ind w:left="360"/>
        <w:rPr>
          <w:rtl/>
        </w:rPr>
      </w:pPr>
    </w:p>
    <w:p w14:paraId="7241456D" w14:textId="77777777" w:rsidR="006C2FB5" w:rsidRDefault="006C2FB5">
      <w:pPr>
        <w:pStyle w:val="a9"/>
        <w:numPr>
          <w:ilvl w:val="0"/>
          <w:numId w:val="1"/>
        </w:numPr>
        <w:spacing w:line="360" w:lineRule="auto"/>
        <w:jc w:val="both"/>
        <w:rPr>
          <w:rtl/>
        </w:rPr>
      </w:pPr>
      <w:r>
        <w:rPr>
          <w:rFonts w:hint="cs"/>
          <w:rtl/>
        </w:rPr>
        <w:t xml:space="preserve">הנאשם הורשע, בעקבות הסדר טיעון בכתב אישום מתוקן, בעבירות של רכישת נשק ואביזר נשק ונשיאה והובלת נשק וזאת לפי </w:t>
      </w:r>
      <w:hyperlink r:id="rId16" w:history="1">
        <w:r>
          <w:rPr>
            <w:color w:val="0000FF"/>
            <w:u w:val="single"/>
            <w:rtl/>
          </w:rPr>
          <w:t>סעיפים  144(א)</w:t>
        </w:r>
      </w:hyperlink>
      <w:r>
        <w:rPr>
          <w:rFonts w:hint="cs"/>
          <w:rtl/>
        </w:rPr>
        <w:t xml:space="preserve"> ו-</w:t>
      </w:r>
      <w:hyperlink r:id="rId17" w:history="1">
        <w:r>
          <w:rPr>
            <w:color w:val="0000FF"/>
            <w:u w:val="single"/>
            <w:rtl/>
          </w:rPr>
          <w:t>144(ב)</w:t>
        </w:r>
      </w:hyperlink>
      <w:r>
        <w:rPr>
          <w:rFonts w:hint="cs"/>
          <w:rtl/>
        </w:rPr>
        <w:t xml:space="preserve"> ל</w:t>
      </w:r>
      <w:hyperlink r:id="rId18" w:history="1">
        <w:r>
          <w:rPr>
            <w:color w:val="0000FF"/>
            <w:u w:val="single"/>
            <w:rtl/>
          </w:rPr>
          <w:t>חוק העונשין</w:t>
        </w:r>
      </w:hyperlink>
      <w:r>
        <w:rPr>
          <w:rFonts w:hint="cs"/>
          <w:rtl/>
        </w:rPr>
        <w:t>, התשל"ז-1977 (</w:t>
      </w:r>
      <w:r>
        <w:rPr>
          <w:rFonts w:hint="cs"/>
          <w:b/>
          <w:bCs/>
          <w:rtl/>
        </w:rPr>
        <w:t>להלן: החוק</w:t>
      </w:r>
      <w:r>
        <w:rPr>
          <w:rFonts w:hint="cs"/>
          <w:rtl/>
        </w:rPr>
        <w:t>). הנאשם לא היה בעל רישיון לשאת את הנשק, ומעולם לא החזיק ברישיון לנשק.</w:t>
      </w:r>
    </w:p>
    <w:p w14:paraId="4D115305" w14:textId="77777777" w:rsidR="006C2FB5" w:rsidRDefault="006C2FB5">
      <w:pPr>
        <w:pStyle w:val="a9"/>
        <w:spacing w:line="360" w:lineRule="auto"/>
        <w:jc w:val="both"/>
        <w:rPr>
          <w:sz w:val="12"/>
          <w:szCs w:val="12"/>
        </w:rPr>
      </w:pPr>
    </w:p>
    <w:p w14:paraId="2CAABA5D" w14:textId="77777777" w:rsidR="006C2FB5" w:rsidRDefault="006C2FB5">
      <w:pPr>
        <w:pStyle w:val="a9"/>
        <w:numPr>
          <w:ilvl w:val="0"/>
          <w:numId w:val="1"/>
        </w:numPr>
        <w:spacing w:line="360" w:lineRule="auto"/>
        <w:jc w:val="both"/>
      </w:pPr>
      <w:r>
        <w:rPr>
          <w:rFonts w:hint="cs"/>
          <w:rtl/>
        </w:rPr>
        <w:t xml:space="preserve">מעובדות כתב האישום המתוקן עולה כי במועד שאינו ידוע למאשימה, כחודשיים עובר לאירועים המתוארים באישום זה, גמלה בליבו של הנאשם החלטה לרכוש נשק. לצורך כך, כשבוע עובר ליום 18.10.17, נסע הנאשם לחברון שם פגש אדם שזהותו אינה ידועה למאשימה (להלן: </w:t>
      </w:r>
      <w:r>
        <w:rPr>
          <w:rFonts w:hint="cs"/>
          <w:b/>
          <w:bCs/>
          <w:rtl/>
        </w:rPr>
        <w:t>"המוכר"</w:t>
      </w:r>
      <w:r>
        <w:rPr>
          <w:rFonts w:hint="cs"/>
          <w:rtl/>
        </w:rPr>
        <w:t>) אשר הציע לו לרכוש תת מקלע מסוג "</w:t>
      </w:r>
      <w:r>
        <w:t>Scorpion</w:t>
      </w:r>
      <w:r>
        <w:rPr>
          <w:rFonts w:hint="cs"/>
          <w:rtl/>
        </w:rPr>
        <w:t xml:space="preserve">" קליבר 7.65 מ"מ, מספר סידורי </w:t>
      </w:r>
      <w:r>
        <w:t>D5296</w:t>
      </w:r>
      <w:r>
        <w:rPr>
          <w:rFonts w:hint="cs"/>
          <w:rtl/>
        </w:rPr>
        <w:t xml:space="preserve"> (להלן: </w:t>
      </w:r>
      <w:r>
        <w:rPr>
          <w:rFonts w:hint="cs"/>
          <w:b/>
          <w:bCs/>
          <w:rtl/>
        </w:rPr>
        <w:t>"הנשק"</w:t>
      </w:r>
      <w:r>
        <w:rPr>
          <w:rFonts w:hint="cs"/>
          <w:rtl/>
        </w:rPr>
        <w:t>) תמורת 20,000 ₪.</w:t>
      </w:r>
    </w:p>
    <w:p w14:paraId="2CBC4991" w14:textId="77777777" w:rsidR="006C2FB5" w:rsidRDefault="006C2FB5">
      <w:pPr>
        <w:pStyle w:val="a9"/>
        <w:spacing w:line="360" w:lineRule="auto"/>
        <w:jc w:val="both"/>
        <w:rPr>
          <w:sz w:val="12"/>
          <w:szCs w:val="12"/>
        </w:rPr>
      </w:pPr>
    </w:p>
    <w:p w14:paraId="4E5F19F7" w14:textId="77777777" w:rsidR="006C2FB5" w:rsidRDefault="006C2FB5">
      <w:pPr>
        <w:pStyle w:val="a9"/>
        <w:spacing w:line="360" w:lineRule="auto"/>
        <w:jc w:val="both"/>
      </w:pPr>
      <w:r>
        <w:rPr>
          <w:rFonts w:hint="cs"/>
          <w:rtl/>
        </w:rPr>
        <w:t>בהמשך לכך, ביום 18.10.17 נסע הנאשם בשנית לחברון שם פגש את המוכר. הנאשם מסר לידי המוכר 20,000 ₪ במזומן וקיבל מידיו את הנשק וכן מחסנית תואמת.</w:t>
      </w:r>
    </w:p>
    <w:p w14:paraId="3173EDDA" w14:textId="77777777" w:rsidR="006C2FB5" w:rsidRDefault="006C2FB5">
      <w:pPr>
        <w:pStyle w:val="a9"/>
        <w:spacing w:line="360" w:lineRule="auto"/>
        <w:jc w:val="both"/>
        <w:rPr>
          <w:rtl/>
        </w:rPr>
      </w:pPr>
    </w:p>
    <w:p w14:paraId="477884DC" w14:textId="77777777" w:rsidR="006C2FB5" w:rsidRDefault="006C2FB5">
      <w:pPr>
        <w:pStyle w:val="a9"/>
        <w:spacing w:line="360" w:lineRule="auto"/>
        <w:jc w:val="both"/>
        <w:rPr>
          <w:rtl/>
        </w:rPr>
      </w:pPr>
      <w:r>
        <w:rPr>
          <w:rFonts w:hint="cs"/>
          <w:rtl/>
        </w:rPr>
        <w:t xml:space="preserve">הנאשם נטל את הנשק, החביאו מתחת לשטיח במושב שליד הנהג בתוך רכבו מסוג פולקסווגן מספר 22-007-51 (להלן: </w:t>
      </w:r>
      <w:r>
        <w:rPr>
          <w:rFonts w:hint="cs"/>
          <w:b/>
          <w:bCs/>
          <w:rtl/>
        </w:rPr>
        <w:t>"הרכב"</w:t>
      </w:r>
      <w:r>
        <w:rPr>
          <w:rFonts w:hint="cs"/>
          <w:rtl/>
        </w:rPr>
        <w:t>) וחזר בנסיעה לירושלים.</w:t>
      </w:r>
    </w:p>
    <w:p w14:paraId="758DBC64" w14:textId="77777777" w:rsidR="006C2FB5" w:rsidRDefault="006C2FB5">
      <w:pPr>
        <w:pStyle w:val="a9"/>
        <w:spacing w:line="360" w:lineRule="auto"/>
        <w:jc w:val="both"/>
        <w:rPr>
          <w:sz w:val="12"/>
          <w:szCs w:val="12"/>
        </w:rPr>
      </w:pPr>
    </w:p>
    <w:p w14:paraId="59814BAD" w14:textId="77777777" w:rsidR="006C2FB5" w:rsidRDefault="006C2FB5">
      <w:pPr>
        <w:pStyle w:val="a9"/>
        <w:numPr>
          <w:ilvl w:val="0"/>
          <w:numId w:val="1"/>
        </w:numPr>
        <w:spacing w:line="360" w:lineRule="auto"/>
        <w:jc w:val="both"/>
      </w:pPr>
      <w:r>
        <w:rPr>
          <w:rFonts w:hint="cs"/>
          <w:rtl/>
        </w:rPr>
        <w:t>במסגרת הסדר הטיעון לא היתה הסכמה לעניין העונש והוסכם כי הצדדים יטענו לעונש באופן חופשי וכן יטענו בשאלת חילוט הרכב וזאת לאחר קבלת תסקיר שירות מבחן.</w:t>
      </w:r>
    </w:p>
    <w:p w14:paraId="504115B8" w14:textId="77777777" w:rsidR="006C2FB5" w:rsidRDefault="006C2FB5">
      <w:pPr>
        <w:pStyle w:val="a9"/>
        <w:spacing w:line="360" w:lineRule="auto"/>
        <w:jc w:val="both"/>
      </w:pPr>
    </w:p>
    <w:p w14:paraId="6BEB26EE" w14:textId="77777777" w:rsidR="006C2FB5" w:rsidRDefault="006C2FB5">
      <w:pPr>
        <w:pStyle w:val="a9"/>
        <w:numPr>
          <w:ilvl w:val="0"/>
          <w:numId w:val="1"/>
        </w:numPr>
        <w:spacing w:line="360" w:lineRule="auto"/>
        <w:jc w:val="both"/>
      </w:pPr>
      <w:r>
        <w:rPr>
          <w:rFonts w:hint="cs"/>
          <w:rtl/>
        </w:rPr>
        <w:t xml:space="preserve">בתחילה, על אף ששירות המבחן המליץ על שחרורו בתנאים של המשיב, לאחר ששמע את הערות בית המשפט לעניין העונש, ב"כ הנאשם ויתר על טענותיו בעניין חלופת המעצר, ועל כן הוריתי על מעצרו של המשיב עד לתום ההליכים. </w:t>
      </w:r>
    </w:p>
    <w:p w14:paraId="374178AA" w14:textId="77777777" w:rsidR="006C2FB5" w:rsidRDefault="006C2FB5">
      <w:pPr>
        <w:pStyle w:val="a9"/>
        <w:spacing w:line="360" w:lineRule="auto"/>
        <w:jc w:val="both"/>
        <w:rPr>
          <w:sz w:val="12"/>
          <w:szCs w:val="12"/>
        </w:rPr>
      </w:pPr>
    </w:p>
    <w:p w14:paraId="65BEE381" w14:textId="77777777" w:rsidR="006C2FB5" w:rsidRDefault="006C2FB5">
      <w:pPr>
        <w:pStyle w:val="a9"/>
        <w:numPr>
          <w:ilvl w:val="0"/>
          <w:numId w:val="1"/>
        </w:numPr>
        <w:spacing w:line="360" w:lineRule="auto"/>
        <w:jc w:val="both"/>
      </w:pPr>
      <w:r>
        <w:rPr>
          <w:rFonts w:hint="cs"/>
          <w:rtl/>
        </w:rPr>
        <w:t>בהמשך, ביקשה משפחת הנאשם לקיים דיון בחלופה. בעקבות זאת הגיש ב"כ הנאשם בקשה לעיון חוזר, ולאחר ששמעתי את טענות הצדדים, הוריתי על שחרורו של המשיב למעצר בית. בד בבד, נשלח המשיב לקבלת תסקיר לעניין העונש, כאשר ציינתי כי על שירות המבחן להגיש תסקיר לעונש עד ליום 3.1.18.</w:t>
      </w:r>
    </w:p>
    <w:p w14:paraId="672AAC38" w14:textId="77777777" w:rsidR="006C2FB5" w:rsidRDefault="006C2FB5">
      <w:pPr>
        <w:pStyle w:val="a9"/>
        <w:spacing w:line="360" w:lineRule="auto"/>
        <w:jc w:val="both"/>
        <w:rPr>
          <w:sz w:val="12"/>
          <w:szCs w:val="12"/>
        </w:rPr>
      </w:pPr>
    </w:p>
    <w:p w14:paraId="6B1DD0CF" w14:textId="77777777" w:rsidR="006C2FB5" w:rsidRDefault="006C2FB5">
      <w:pPr>
        <w:pStyle w:val="a9"/>
        <w:numPr>
          <w:ilvl w:val="0"/>
          <w:numId w:val="1"/>
        </w:numPr>
        <w:spacing w:line="360" w:lineRule="auto"/>
        <w:jc w:val="both"/>
      </w:pPr>
      <w:r>
        <w:rPr>
          <w:rFonts w:hint="cs"/>
          <w:rtl/>
        </w:rPr>
        <w:lastRenderedPageBreak/>
        <w:t>ביום 28.12.17 שירות המבחן ביקש לדחות את מועד הגשת התסקיר בשל העומס המוטל על שירות המבחן ועל כן הדיון נדחה ליום 6.2.18.</w:t>
      </w:r>
    </w:p>
    <w:p w14:paraId="71E087B0" w14:textId="77777777" w:rsidR="006C2FB5" w:rsidRDefault="006C2FB5">
      <w:pPr>
        <w:pStyle w:val="a9"/>
        <w:spacing w:line="360" w:lineRule="auto"/>
        <w:jc w:val="both"/>
        <w:rPr>
          <w:sz w:val="12"/>
          <w:szCs w:val="12"/>
        </w:rPr>
      </w:pPr>
    </w:p>
    <w:p w14:paraId="4DC259C2" w14:textId="77777777" w:rsidR="006C2FB5" w:rsidRDefault="006C2FB5">
      <w:pPr>
        <w:pStyle w:val="a9"/>
        <w:numPr>
          <w:ilvl w:val="0"/>
          <w:numId w:val="1"/>
        </w:numPr>
        <w:spacing w:line="360" w:lineRule="auto"/>
        <w:jc w:val="both"/>
      </w:pPr>
      <w:r>
        <w:rPr>
          <w:rFonts w:hint="cs"/>
          <w:rtl/>
        </w:rPr>
        <w:t>לקראת ישיבת יום 6.2.18 הגיש שירות המבחן תסקיר, אך למרות החלטתי, כי יוגש תסקיר לעניין העונש, שירות המבחן הגיש תסקיר חלקי בו הוא ממליץ על שילובו של הנאשם בתהליך טיפולי ביחידה לקידום נוער במזרח ירושלים, ולשם כך ביקש לדחות את הטיעונים לעונש בחודשיים. בנסיבות אלה, לא היה מנוס מדחיית הדיון לקבלת תסקיר מסכם, בטרם שמיעת הטיעונים לעונש. באותו המועד הובהר לנאשם כי אין בדחיית הדיון כדי ללמד על העונש שיוטל עליו בסופו של יום.</w:t>
      </w:r>
    </w:p>
    <w:p w14:paraId="33FA33D4" w14:textId="77777777" w:rsidR="006C2FB5" w:rsidRDefault="006C2FB5">
      <w:pPr>
        <w:spacing w:line="360" w:lineRule="auto"/>
        <w:ind w:left="360"/>
        <w:jc w:val="both"/>
      </w:pPr>
    </w:p>
    <w:p w14:paraId="20A32961" w14:textId="77777777" w:rsidR="006C2FB5" w:rsidRDefault="006C2FB5">
      <w:pPr>
        <w:spacing w:line="360" w:lineRule="auto"/>
        <w:ind w:left="360"/>
        <w:jc w:val="both"/>
        <w:rPr>
          <w:b/>
          <w:bCs/>
          <w:sz w:val="26"/>
          <w:szCs w:val="26"/>
          <w:u w:val="single"/>
          <w:rtl/>
        </w:rPr>
      </w:pPr>
      <w:r>
        <w:rPr>
          <w:rFonts w:hint="cs"/>
          <w:b/>
          <w:bCs/>
          <w:sz w:val="26"/>
          <w:szCs w:val="26"/>
          <w:u w:val="single"/>
          <w:rtl/>
        </w:rPr>
        <w:t>תסקיר שירות מבחן</w:t>
      </w:r>
    </w:p>
    <w:p w14:paraId="2E772E27" w14:textId="77777777" w:rsidR="006C2FB5" w:rsidRDefault="006C2FB5">
      <w:pPr>
        <w:pStyle w:val="a9"/>
        <w:numPr>
          <w:ilvl w:val="0"/>
          <w:numId w:val="1"/>
        </w:numPr>
        <w:spacing w:line="360" w:lineRule="auto"/>
        <w:jc w:val="both"/>
        <w:rPr>
          <w:rtl/>
        </w:rPr>
      </w:pPr>
      <w:r>
        <w:rPr>
          <w:rFonts w:hint="cs"/>
          <w:rtl/>
        </w:rPr>
        <w:t>מתסקיר שירות המבחן מיום 1.2.18 עולה, כי הנאשם בן 22, רווק אשר השלים 12 שנות לימוד עם תעודת בגרות ירדנית. טרם מעצרו התגורר עם הוריו ועבד בתחום הבנייה והשיפוצים, כאשר קודם לכן עבד עם אביו בתחום חשמלאות רכב. משפחת המוצא מונה זוג הורים ו-4 אחים. אביו עובד כמנהל עבודה במוסך ואמו עקרת בית. מהתסקיר עולה כי מדובר במשפחה נורמטיבית. הנאשם ללא עבר פלילי.</w:t>
      </w:r>
    </w:p>
    <w:p w14:paraId="2D3265B0" w14:textId="77777777" w:rsidR="006C2FB5" w:rsidRDefault="006C2FB5">
      <w:pPr>
        <w:spacing w:line="360" w:lineRule="auto"/>
        <w:jc w:val="both"/>
        <w:rPr>
          <w:sz w:val="12"/>
          <w:szCs w:val="12"/>
        </w:rPr>
      </w:pPr>
    </w:p>
    <w:p w14:paraId="0173CA69" w14:textId="77777777" w:rsidR="006C2FB5" w:rsidRDefault="006C2FB5">
      <w:pPr>
        <w:pStyle w:val="a9"/>
        <w:numPr>
          <w:ilvl w:val="0"/>
          <w:numId w:val="1"/>
        </w:numPr>
        <w:spacing w:line="360" w:lineRule="auto"/>
        <w:jc w:val="both"/>
      </w:pPr>
      <w:r>
        <w:rPr>
          <w:rFonts w:hint="cs"/>
          <w:rtl/>
        </w:rPr>
        <w:t>אשר לביצוע העבירות, הנאשם לקח אחריות מלאה עליהן. הסביר כי רכש את הנשק לשימוש "ראוותני באירועים משפחתיים". הנאשם הסביר כי בכך ביקש להשיג תחושת ערך וכבוד מצד סביבתו, והוא תכנן לשאת את הנשק רק באזור השטחים. הנאשם מסר לקצינת המבחן כי משנתפס הוא הבין את חומרת מעשיו. הנאשם הביע חרטה והאשמה עצמית וביטא רצון לחזור לשגרת חייו.</w:t>
      </w:r>
    </w:p>
    <w:p w14:paraId="5228DDD5" w14:textId="77777777" w:rsidR="006C2FB5" w:rsidRDefault="006C2FB5">
      <w:pPr>
        <w:pStyle w:val="a9"/>
        <w:spacing w:line="360" w:lineRule="auto"/>
        <w:jc w:val="both"/>
        <w:rPr>
          <w:sz w:val="12"/>
          <w:szCs w:val="12"/>
        </w:rPr>
      </w:pPr>
    </w:p>
    <w:p w14:paraId="04D31D5C" w14:textId="77777777" w:rsidR="006C2FB5" w:rsidRDefault="006C2FB5">
      <w:pPr>
        <w:pStyle w:val="a9"/>
        <w:numPr>
          <w:ilvl w:val="0"/>
          <w:numId w:val="1"/>
        </w:numPr>
        <w:spacing w:line="360" w:lineRule="auto"/>
        <w:jc w:val="both"/>
      </w:pPr>
      <w:r>
        <w:rPr>
          <w:rFonts w:hint="cs"/>
          <w:rtl/>
        </w:rPr>
        <w:t>קצינת המבחן סברה כי הרקע לביצוע העבירות הוא דימוי עצמי נמוך ודפוסים ילדותיים, וכי תחת לחץ חיצוני משמעותי לצד הצורך בתחושת כוח, הנאשם פעל עד כדי חציית גבולות המותר והאסור. קצינת המבחן התרשמה, כי ההליך המשפטי ומעצר הבית הממושך מהווים גורם הרתעה משמעותי עבור הנאשם.</w:t>
      </w:r>
    </w:p>
    <w:p w14:paraId="3219FD5B" w14:textId="77777777" w:rsidR="006C2FB5" w:rsidRDefault="006C2FB5">
      <w:pPr>
        <w:pStyle w:val="a9"/>
        <w:spacing w:line="360" w:lineRule="auto"/>
        <w:jc w:val="both"/>
        <w:rPr>
          <w:sz w:val="12"/>
          <w:szCs w:val="12"/>
        </w:rPr>
      </w:pPr>
    </w:p>
    <w:p w14:paraId="2A1968F9" w14:textId="77777777" w:rsidR="006C2FB5" w:rsidRDefault="006C2FB5">
      <w:pPr>
        <w:pStyle w:val="a9"/>
        <w:numPr>
          <w:ilvl w:val="0"/>
          <w:numId w:val="1"/>
        </w:numPr>
        <w:spacing w:line="360" w:lineRule="auto"/>
        <w:jc w:val="both"/>
      </w:pPr>
      <w:r>
        <w:rPr>
          <w:rFonts w:hint="cs"/>
          <w:rtl/>
        </w:rPr>
        <w:t xml:space="preserve">אשר לסיכוי לעבריינות וסיכוי לשיקום, קצינת המבחן התרשמה, כי הנאשם מתקשה לבחון את השלכות מעשיו לטווח הארוך ונתון בקלות להשפעות חברתיות והוא בעל אישיות ילדותית עם בטחון עצמי נמוך, כל אלה מהווים להערכתה גורמי סיכון לרצדביזם. לצד זאת, התרשמה קצינת המבחן, כי קיים פער בין אורח חייו התקין בדרך כלל, לבין התנהגותו העולה מכתב האישום. עוד הנאשם הביע חרטה על מעורבותו בפלילים, וגילה נכונות להשתלב בהליך טיפולי. על כן הערכת המסוכנות היתה נמוכה עד בינונית. </w:t>
      </w:r>
    </w:p>
    <w:p w14:paraId="2BDCD4ED" w14:textId="77777777" w:rsidR="006C2FB5" w:rsidRDefault="006C2FB5">
      <w:pPr>
        <w:pStyle w:val="a9"/>
        <w:spacing w:line="360" w:lineRule="auto"/>
        <w:jc w:val="both"/>
        <w:rPr>
          <w:sz w:val="12"/>
          <w:szCs w:val="12"/>
        </w:rPr>
      </w:pPr>
    </w:p>
    <w:p w14:paraId="51E151FA" w14:textId="77777777" w:rsidR="006C2FB5" w:rsidRDefault="006C2FB5">
      <w:pPr>
        <w:pStyle w:val="a9"/>
        <w:numPr>
          <w:ilvl w:val="0"/>
          <w:numId w:val="1"/>
        </w:numPr>
        <w:spacing w:line="360" w:lineRule="auto"/>
        <w:jc w:val="both"/>
      </w:pPr>
      <w:r>
        <w:rPr>
          <w:rFonts w:hint="cs"/>
          <w:rtl/>
        </w:rPr>
        <w:t>קצינת המבחן המליצה על שילובו של הנאשם בהליך טיפולי שיקומי שכן לדידה ענישה מחמירה של מאסר בפועל, עלולה לחשוף אותו לדפוסי עבריינות ולהעמקתם.</w:t>
      </w:r>
    </w:p>
    <w:p w14:paraId="4C12C168" w14:textId="77777777" w:rsidR="006C2FB5" w:rsidRDefault="006C2FB5">
      <w:pPr>
        <w:pStyle w:val="a9"/>
        <w:spacing w:line="360" w:lineRule="auto"/>
        <w:jc w:val="both"/>
        <w:rPr>
          <w:sz w:val="12"/>
          <w:szCs w:val="12"/>
        </w:rPr>
      </w:pPr>
    </w:p>
    <w:p w14:paraId="0692879B" w14:textId="77777777" w:rsidR="006C2FB5" w:rsidRDefault="006C2FB5">
      <w:pPr>
        <w:pStyle w:val="a9"/>
        <w:numPr>
          <w:ilvl w:val="0"/>
          <w:numId w:val="1"/>
        </w:numPr>
        <w:spacing w:line="360" w:lineRule="auto"/>
        <w:jc w:val="both"/>
      </w:pPr>
      <w:r>
        <w:rPr>
          <w:rFonts w:hint="cs"/>
          <w:rtl/>
        </w:rPr>
        <w:t xml:space="preserve">מתסקיר שירות המבחן מיום 26.3.18 עולה, כי הנאשם ביטא אחריות מלאה כלפי ביצוע העבירות. שירות המבחן שב וציין, כי הרקע לביצוע העבירות הוא צורך בהשגת תחושת ערך וכבוד מצד סביבתו, וזאת לנוכח דימוי עצמי נמוך ודפוסי התנהגות ילדותיים. במהלך תקופת הדחיה הנאשם היה בקשר עם "היחידה לקידום נוער במזרח ירושלים" והוא טופל על ידם במשך כשלושה חודשים בטיפול פרטני בביתו. מהמידע שנמסר מהמטפל עלה, כי הנאשם משתף פעולה, מביע הכרה בחומרת מעשיו ומבטא שאיפות נורמטיביות לחייו בתחום התעסוקה והלימודים. כן ביטא מוטיבציה להמשך ההליך הטיפולי </w:t>
      </w:r>
      <w:r>
        <w:rPr>
          <w:rFonts w:hint="cs"/>
          <w:rtl/>
        </w:rPr>
        <w:t xml:space="preserve">במסגרת צו מבחן, תהליך שיאפשר שינוי ואימוץ התנהגויות אדפטיביות. </w:t>
      </w:r>
    </w:p>
    <w:p w14:paraId="3E68EA19" w14:textId="77777777" w:rsidR="006C2FB5" w:rsidRDefault="006C2FB5">
      <w:pPr>
        <w:pStyle w:val="a9"/>
        <w:spacing w:line="360" w:lineRule="auto"/>
        <w:jc w:val="both"/>
        <w:rPr>
          <w:sz w:val="12"/>
          <w:szCs w:val="12"/>
        </w:rPr>
      </w:pPr>
    </w:p>
    <w:p w14:paraId="59E9A20A" w14:textId="77777777" w:rsidR="006C2FB5" w:rsidRDefault="006C2FB5">
      <w:pPr>
        <w:pStyle w:val="a9"/>
        <w:numPr>
          <w:ilvl w:val="0"/>
          <w:numId w:val="1"/>
        </w:numPr>
        <w:spacing w:line="360" w:lineRule="auto"/>
        <w:jc w:val="both"/>
      </w:pPr>
      <w:r>
        <w:rPr>
          <w:rFonts w:hint="cs"/>
          <w:rtl/>
        </w:rPr>
        <w:t>בסופו של יום, קצינת המבחן המליצה להימנע מענישה של מאסר בפועל, על אף חומרת העבירות, משום שלהערכתה ענישה מחמירה זו עלולה לחשוף את הנאשם לדפוסי עבריינות, עלולה להביא לרגרסיה במצבו, בפרט לאור גילו הצעיר. על כן המליצה על הטלת עונש מאסר שירוצה בעבודות שירות שהוא עונש מוחשי, מרתיע ומבהיר גבולות. כן המליצה על הטלת צו מבחן למשך שנה.</w:t>
      </w:r>
    </w:p>
    <w:p w14:paraId="72FA351E" w14:textId="77777777" w:rsidR="006C2FB5" w:rsidRDefault="006C2FB5">
      <w:pPr>
        <w:spacing w:line="360" w:lineRule="auto"/>
        <w:ind w:left="360"/>
        <w:jc w:val="both"/>
        <w:rPr>
          <w:b/>
          <w:bCs/>
          <w:sz w:val="26"/>
          <w:szCs w:val="26"/>
          <w:u w:val="single"/>
        </w:rPr>
      </w:pPr>
    </w:p>
    <w:p w14:paraId="03D4B7CA" w14:textId="77777777" w:rsidR="006C2FB5" w:rsidRDefault="006C2FB5">
      <w:pPr>
        <w:spacing w:line="360" w:lineRule="auto"/>
        <w:ind w:left="360"/>
        <w:jc w:val="both"/>
        <w:rPr>
          <w:b/>
          <w:bCs/>
          <w:sz w:val="26"/>
          <w:szCs w:val="26"/>
          <w:u w:val="single"/>
        </w:rPr>
      </w:pPr>
      <w:r>
        <w:rPr>
          <w:rFonts w:hint="cs"/>
          <w:b/>
          <w:bCs/>
          <w:sz w:val="26"/>
          <w:szCs w:val="26"/>
          <w:u w:val="single"/>
          <w:rtl/>
        </w:rPr>
        <w:t>טיעוני הצדדים לעונש</w:t>
      </w:r>
    </w:p>
    <w:p w14:paraId="129B657A" w14:textId="77777777" w:rsidR="006C2FB5" w:rsidRDefault="006C2FB5">
      <w:pPr>
        <w:pStyle w:val="a9"/>
        <w:numPr>
          <w:ilvl w:val="0"/>
          <w:numId w:val="1"/>
        </w:numPr>
        <w:spacing w:line="360" w:lineRule="auto"/>
        <w:jc w:val="both"/>
      </w:pPr>
      <w:r>
        <w:rPr>
          <w:rFonts w:hint="cs"/>
          <w:rtl/>
        </w:rPr>
        <w:t>ב"כ המאשימה הדגישה בטיעוניה את חומרת עבירות הנשק, ציינה כי מדובר בתת מקלע אשר נרכש בתמורה לסך 20,000 ₪, אשר הוסתר על ידי הנאשם. הערכים המוגנים שנפגעו כתוצאה ממעשיו הם: פגיעה בשלטון החוק ובשלום הציבור ובטחונו, וכן קיים פוטנציאל פגיעה בנפש משימוש בנשק, שאין לדעת לאן יתגלגל. המאשימה הפנתה לפסיקה בתמיכה לטענותיה. המאשימה עתרה לקביעת מתחם עונש הולם הנע בין מאסר של שנתיים וחצי ועד לחמש שנות מאסר בצירוף מאסר על תנאי וקנס.</w:t>
      </w:r>
    </w:p>
    <w:p w14:paraId="6E90A96C" w14:textId="77777777" w:rsidR="006C2FB5" w:rsidRDefault="006C2FB5">
      <w:pPr>
        <w:pStyle w:val="a9"/>
        <w:spacing w:line="360" w:lineRule="auto"/>
        <w:jc w:val="both"/>
        <w:rPr>
          <w:sz w:val="12"/>
          <w:szCs w:val="12"/>
        </w:rPr>
      </w:pPr>
    </w:p>
    <w:p w14:paraId="3EC0859A" w14:textId="77777777" w:rsidR="006C2FB5" w:rsidRDefault="006C2FB5">
      <w:pPr>
        <w:pStyle w:val="a9"/>
        <w:numPr>
          <w:ilvl w:val="0"/>
          <w:numId w:val="1"/>
        </w:numPr>
        <w:spacing w:line="360" w:lineRule="auto"/>
        <w:jc w:val="both"/>
      </w:pPr>
      <w:r>
        <w:rPr>
          <w:rFonts w:hint="cs"/>
          <w:rtl/>
        </w:rPr>
        <w:t>אשר לעונש המתאים, טענה המאשימה, כי הנאשם ביצע את העבירה ללא שותפים. היא מסרה שהעונש הקבוע לצד העבירות בהן הורשע הנאשם נע בין 3 שנים ל-10 שנים והגישה פסיקה להצגת הענישה הנוהגת. ב"כ המאשימה טענה, כי בהעדר עבר פלילי ושיתוף הפעולה עם גורמי הטיפול ובהתחשב בנסיבותיו האישיות, וכן בשל שאיפותיו לניהול אורח חיים תקין, יש למקם את הנאשם בחלקו התחתון של המתחם. עוד ביקשה המאשימה לחלט את הרכב ששימש לביצוע העבירה. ב"כ המאשימה עתרה להטיל על הנאשם עונש של שנתיים וחצי מאסר, מאסר על תנאי וקנס משמעותי.</w:t>
      </w:r>
    </w:p>
    <w:p w14:paraId="7AD2380A" w14:textId="77777777" w:rsidR="006C2FB5" w:rsidRDefault="006C2FB5">
      <w:pPr>
        <w:pStyle w:val="a9"/>
        <w:spacing w:line="360" w:lineRule="auto"/>
        <w:jc w:val="both"/>
        <w:rPr>
          <w:sz w:val="12"/>
          <w:szCs w:val="12"/>
        </w:rPr>
      </w:pPr>
    </w:p>
    <w:p w14:paraId="6DBCC254" w14:textId="77777777" w:rsidR="006C2FB5" w:rsidRDefault="006C2FB5">
      <w:pPr>
        <w:pStyle w:val="a9"/>
        <w:numPr>
          <w:ilvl w:val="0"/>
          <w:numId w:val="1"/>
        </w:numPr>
        <w:spacing w:line="360" w:lineRule="auto"/>
        <w:jc w:val="both"/>
      </w:pPr>
      <w:r>
        <w:rPr>
          <w:rFonts w:hint="cs"/>
          <w:rtl/>
        </w:rPr>
        <w:t>ב"כ הנאשם ביקש לחרוג ממתחם העונש ההולם מטעמי שיקום וזאת לאור גילו הצעיר של הנאשם, עברו הפלילי הנקי, לקיחת האחריות בהזדמנות ראשונה, הן במשטרה והן בהקראה הראשונה ולאור המלצת שירות המבחן. ב"כ הנאשם ציין, כי הנאשם שהה במעצר מלא במשך כחודשיים. בהמשך, שהה במעצר בית מלא במשך ארבעה חודשים נוספים ללא כל הפרה. מדובר במי שניהל אורח חיים נורמטיבי, השלים 12 שנות לימוד, עבד עד למעצרו ומתכוון להמשיך לעבוד וללמוד. הוא בן למשפחה נורמטיבית. הנאשם הביע חרטה על מעשיו והוא זקוק לטיפול שיקומי ושירות המבחן אף המליץ על כך.</w:t>
      </w:r>
    </w:p>
    <w:p w14:paraId="7D780387" w14:textId="77777777" w:rsidR="006C2FB5" w:rsidRDefault="006C2FB5">
      <w:pPr>
        <w:pStyle w:val="a9"/>
        <w:spacing w:line="360" w:lineRule="auto"/>
        <w:jc w:val="both"/>
        <w:rPr>
          <w:sz w:val="12"/>
          <w:szCs w:val="12"/>
        </w:rPr>
      </w:pPr>
    </w:p>
    <w:p w14:paraId="002C4B5B" w14:textId="77777777" w:rsidR="006C2FB5" w:rsidRDefault="006C2FB5">
      <w:pPr>
        <w:pStyle w:val="a9"/>
        <w:numPr>
          <w:ilvl w:val="0"/>
          <w:numId w:val="1"/>
        </w:numPr>
        <w:spacing w:line="360" w:lineRule="auto"/>
        <w:jc w:val="both"/>
      </w:pPr>
      <w:r>
        <w:rPr>
          <w:rFonts w:hint="cs"/>
          <w:rtl/>
        </w:rPr>
        <w:t xml:space="preserve">אשר לנסיבות ביצוע העבירה הדגיש בא כוחו, כי מדובר למעשה על אירוע אחד. הנשק נתפס ללא תחמושת, כך שהמסוכנות הנלמדת מן הנשק היא נמוכה. תמימותו של הנאשם אשר קנה נשק בשטחי </w:t>
      </w:r>
      <w:r>
        <w:t>A</w:t>
      </w:r>
      <w:r>
        <w:rPr>
          <w:rFonts w:hint="cs"/>
          <w:rtl/>
        </w:rPr>
        <w:t xml:space="preserve"> ללא תחמושת, בתמורה למחיר מופרז של 20,000 ₪ מלמדת כי הוא רחוק מעולם הפשע. הנשק לא הוחזק על מנת לפגוע באחרים, אלא על מנת להתרברב בחתונות. ב"כ הנאשם הפנה לפסיקה לתמיכה בטיעוניו כאשר בנסיבות דומות חרגו בתי המשפט ממתחם העונש ההולם והטילו עונשים של מאסר אשר רוצו בעבודות שירות, ואף היו בתי משפט שהחלו את המתחם בעונש זה, כך שאין מדובר בחריגה מן המתחם ככל שביהמ"ש יאמץ את המלצת שירות המבחן.  בהתחשב בכך שהנאשם כבר שהה במעצר במשך כחודשיים, סבר ב"כ הנאשם, כי הטלת ששה חודשי מאסר בעבודות שירות איננה חורגת ממתחם העונש ההו</w:t>
      </w:r>
      <w:r>
        <w:rPr>
          <w:rFonts w:hint="cs"/>
          <w:rtl/>
        </w:rPr>
        <w:t xml:space="preserve">לם. ככל שביהמ"ש סבור שהיא חורגת מהמתחם, הרי שלאור ההמלצה השיקומית של שירות המבחן יש מקום לחרוג מן המתחם מטעמי שיקום. על כן, ביקש ב"כ הנאשם לאמץ את המלצת שירות המבחן, ולשלוח את הנאשם לקבלת חוו"ד הממונה על עבודות השירות. </w:t>
      </w:r>
    </w:p>
    <w:p w14:paraId="3E539888" w14:textId="77777777" w:rsidR="006C2FB5" w:rsidRDefault="006C2FB5">
      <w:pPr>
        <w:pStyle w:val="a9"/>
        <w:spacing w:line="360" w:lineRule="auto"/>
        <w:jc w:val="both"/>
        <w:rPr>
          <w:sz w:val="12"/>
          <w:szCs w:val="12"/>
        </w:rPr>
      </w:pPr>
    </w:p>
    <w:p w14:paraId="280F7546" w14:textId="77777777" w:rsidR="006C2FB5" w:rsidRDefault="006C2FB5">
      <w:pPr>
        <w:pStyle w:val="a9"/>
        <w:numPr>
          <w:ilvl w:val="0"/>
          <w:numId w:val="1"/>
        </w:numPr>
        <w:spacing w:line="360" w:lineRule="auto"/>
        <w:jc w:val="both"/>
      </w:pPr>
      <w:r>
        <w:rPr>
          <w:rFonts w:hint="cs"/>
          <w:rtl/>
        </w:rPr>
        <w:t xml:space="preserve">אביו של הנאשם העיד לעונש וביקש לתת לבנו הזדמנות. הוא מסר, כי הנאשם שוהה בבית מזה ארבעה חודשים, הוא שבור נפשית מכך, המעצר "יישר אותו", וביקש מבית המשפט לתת לו הזדמנות להמשיך בחייו לנוכח גילו הצעיר והעתיד הצפון לו. אביו של הנאשם הדגיש כי אם הוא יישלח לכלא הדבר יהרוס את חייו. </w:t>
      </w:r>
    </w:p>
    <w:p w14:paraId="7412B473" w14:textId="77777777" w:rsidR="006C2FB5" w:rsidRDefault="006C2FB5">
      <w:pPr>
        <w:pStyle w:val="a9"/>
        <w:spacing w:line="360" w:lineRule="auto"/>
        <w:jc w:val="both"/>
        <w:rPr>
          <w:sz w:val="12"/>
          <w:szCs w:val="12"/>
        </w:rPr>
      </w:pPr>
    </w:p>
    <w:p w14:paraId="0CA19E8F" w14:textId="77777777" w:rsidR="006C2FB5" w:rsidRDefault="006C2FB5">
      <w:pPr>
        <w:pStyle w:val="a9"/>
        <w:numPr>
          <w:ilvl w:val="0"/>
          <w:numId w:val="1"/>
        </w:numPr>
        <w:spacing w:line="360" w:lineRule="auto"/>
        <w:jc w:val="both"/>
      </w:pPr>
      <w:r>
        <w:rPr>
          <w:rFonts w:hint="cs"/>
          <w:rtl/>
        </w:rPr>
        <w:t xml:space="preserve">הנאשם בדברו האחרון מסר, כי הוא מצטער, הוא עשה טעות שהוא מתחרט עליה וביקש מביהמ"ש ליתן לו הזדמנות לפתוח בחיים חדשים. </w:t>
      </w:r>
    </w:p>
    <w:p w14:paraId="2F4C9450" w14:textId="77777777" w:rsidR="006C2FB5" w:rsidRDefault="006C2FB5">
      <w:pPr>
        <w:pStyle w:val="a9"/>
        <w:spacing w:line="360" w:lineRule="auto"/>
        <w:jc w:val="both"/>
      </w:pPr>
    </w:p>
    <w:p w14:paraId="27E29C07" w14:textId="77777777" w:rsidR="006C2FB5" w:rsidRDefault="006C2FB5">
      <w:pPr>
        <w:spacing w:line="360" w:lineRule="auto"/>
        <w:ind w:firstLine="360"/>
        <w:jc w:val="both"/>
        <w:rPr>
          <w:b/>
          <w:bCs/>
          <w:u w:val="single"/>
        </w:rPr>
      </w:pPr>
      <w:r>
        <w:rPr>
          <w:rFonts w:hint="cs"/>
          <w:b/>
          <w:bCs/>
          <w:u w:val="single"/>
          <w:rtl/>
        </w:rPr>
        <w:t>מתחם העונש ההולם</w:t>
      </w:r>
    </w:p>
    <w:p w14:paraId="3B887FA7" w14:textId="77777777" w:rsidR="006C2FB5" w:rsidRDefault="006C2FB5">
      <w:pPr>
        <w:pStyle w:val="a9"/>
        <w:numPr>
          <w:ilvl w:val="0"/>
          <w:numId w:val="1"/>
        </w:numPr>
        <w:spacing w:line="360" w:lineRule="auto"/>
        <w:jc w:val="both"/>
        <w:rPr>
          <w:rFonts w:ascii="Arial" w:hAnsi="Arial"/>
          <w:rtl/>
        </w:rPr>
      </w:pPr>
      <w:r>
        <w:rPr>
          <w:rFonts w:ascii="Arial" w:hAnsi="Arial" w:hint="cs"/>
          <w:rtl/>
        </w:rPr>
        <w:t>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אשר לסוחרים בנשק הדגיש בית המשפט העליון כי יש לראות במשנה חומרה את מעשיהם, ועל כן יש להחמיר, ככלל, בענישתם של נאשמים שהורשעו בעבירות</w:t>
      </w:r>
      <w:r>
        <w:rPr>
          <w:rFonts w:ascii="Calibri" w:hAnsi="Calibri" w:hint="cs"/>
          <w:rtl/>
        </w:rPr>
        <w:t xml:space="preserve"> נשק בכלל ובעבירות סחר בנשק בפרט</w:t>
      </w:r>
      <w:r>
        <w:rPr>
          <w:rFonts w:ascii="Arial" w:hAnsi="Arial" w:hint="cs"/>
          <w:rtl/>
        </w:rPr>
        <w:t xml:space="preserve"> (</w:t>
      </w:r>
      <w:hyperlink r:id="rId19" w:history="1">
        <w:r>
          <w:rPr>
            <w:rFonts w:ascii="Arial" w:hAnsi="Arial"/>
            <w:color w:val="0000FF"/>
            <w:u w:val="single"/>
            <w:rtl/>
          </w:rPr>
          <w:t>ע"פ 319/11</w:t>
        </w:r>
      </w:hyperlink>
      <w:r>
        <w:rPr>
          <w:rFonts w:ascii="Arial" w:hAnsi="Arial" w:hint="cs"/>
          <w:rtl/>
        </w:rPr>
        <w:t xml:space="preserve"> </w:t>
      </w:r>
      <w:r>
        <w:rPr>
          <w:rFonts w:ascii="Arial" w:hAnsi="Arial" w:hint="cs"/>
          <w:b/>
          <w:bCs/>
          <w:rtl/>
        </w:rPr>
        <w:t>מדינת ישראל נ' יאסין</w:t>
      </w:r>
      <w:r>
        <w:rPr>
          <w:rFonts w:ascii="Arial" w:hAnsi="Arial" w:hint="cs"/>
          <w:rtl/>
        </w:rPr>
        <w:t xml:space="preserve"> </w:t>
      </w:r>
      <w:r>
        <w:rPr>
          <w:sz w:val="22"/>
          <w:rtl/>
        </w:rPr>
        <w:t xml:space="preserve">[פורסם בנבו] </w:t>
      </w:r>
      <w:r>
        <w:rPr>
          <w:rFonts w:ascii="Arial" w:hAnsi="Arial" w:hint="cs"/>
          <w:rtl/>
        </w:rPr>
        <w:t>(ניתן ביום 5.12.11),</w:t>
      </w:r>
      <w:r>
        <w:rPr>
          <w:rFonts w:ascii="Arial" w:hAnsi="Arial" w:hint="cs"/>
          <w:rtl/>
        </w:rPr>
        <w:t xml:space="preserve"> </w:t>
      </w:r>
      <w:hyperlink r:id="rId20" w:history="1">
        <w:r>
          <w:rPr>
            <w:rFonts w:ascii="Arial" w:hAnsi="Arial"/>
            <w:color w:val="0000FF"/>
            <w:u w:val="single"/>
            <w:rtl/>
          </w:rPr>
          <w:t>ע"פ 1768/14</w:t>
        </w:r>
      </w:hyperlink>
      <w:r>
        <w:rPr>
          <w:rFonts w:ascii="Arial" w:hAnsi="Arial" w:hint="cs"/>
          <w:rtl/>
        </w:rPr>
        <w:t xml:space="preserve"> </w:t>
      </w:r>
      <w:r>
        <w:rPr>
          <w:rFonts w:ascii="Arial" w:hAnsi="Arial" w:hint="cs"/>
          <w:b/>
          <w:bCs/>
          <w:rtl/>
        </w:rPr>
        <w:t>גנאיים נ' מדינת ישראל</w:t>
      </w:r>
      <w:r>
        <w:rPr>
          <w:rFonts w:ascii="Arial" w:hAnsi="Arial" w:hint="cs"/>
          <w:rtl/>
        </w:rPr>
        <w:t xml:space="preserve"> </w:t>
      </w:r>
      <w:r>
        <w:rPr>
          <w:sz w:val="22"/>
          <w:rtl/>
        </w:rPr>
        <w:t xml:space="preserve">[פורסם בנבו] </w:t>
      </w:r>
      <w:r>
        <w:rPr>
          <w:rFonts w:ascii="Arial" w:hAnsi="Arial" w:hint="cs"/>
          <w:rtl/>
        </w:rPr>
        <w:t xml:space="preserve">(ניתן ביום 22.7.14), </w:t>
      </w:r>
      <w:hyperlink r:id="rId21" w:history="1">
        <w:r>
          <w:rPr>
            <w:rFonts w:ascii="Arial" w:hAnsi="Arial"/>
            <w:color w:val="0000FF"/>
            <w:u w:val="single"/>
            <w:rtl/>
          </w:rPr>
          <w:t>ע"פ 7317/13</w:t>
        </w:r>
      </w:hyperlink>
      <w:r>
        <w:rPr>
          <w:rFonts w:ascii="Arial" w:hAnsi="Arial" w:hint="cs"/>
          <w:rtl/>
        </w:rPr>
        <w:t xml:space="preserve"> </w:t>
      </w:r>
      <w:r>
        <w:rPr>
          <w:rFonts w:ascii="Arial" w:hAnsi="Arial" w:hint="cs"/>
          <w:b/>
          <w:bCs/>
          <w:rtl/>
        </w:rPr>
        <w:t>חג'אב נ' מדינת ישראל</w:t>
      </w:r>
      <w:r>
        <w:rPr>
          <w:rFonts w:ascii="Arial" w:hAnsi="Arial" w:hint="cs"/>
          <w:rtl/>
        </w:rPr>
        <w:t xml:space="preserve"> </w:t>
      </w:r>
      <w:r>
        <w:rPr>
          <w:sz w:val="22"/>
          <w:rtl/>
        </w:rPr>
        <w:t xml:space="preserve">[פורסם בנבו] </w:t>
      </w:r>
      <w:r>
        <w:rPr>
          <w:rFonts w:ascii="Arial" w:hAnsi="Arial" w:hint="cs"/>
          <w:rtl/>
        </w:rPr>
        <w:t xml:space="preserve">(ניתן ביום 19.5.14), </w:t>
      </w:r>
      <w:hyperlink r:id="rId22"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8280/15</w:t>
        </w:r>
      </w:hyperlink>
      <w:r>
        <w:rPr>
          <w:rFonts w:ascii="Calibri" w:hAnsi="Calibri" w:hint="cs"/>
          <w:rtl/>
        </w:rPr>
        <w:t xml:space="preserve"> </w:t>
      </w:r>
      <w:r>
        <w:rPr>
          <w:rFonts w:ascii="Calibri" w:hAnsi="Calibri" w:hint="cs"/>
          <w:b/>
          <w:bCs/>
          <w:rtl/>
        </w:rPr>
        <w:t xml:space="preserve">מוחמד גולאני נ' מ"י,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rtl/>
        </w:rPr>
        <w:t>(ניתן ביום 28.3.16)</w:t>
      </w:r>
      <w:r>
        <w:rPr>
          <w:rFonts w:ascii="Arial" w:hAnsi="Arial" w:hint="cs"/>
          <w:rtl/>
        </w:rPr>
        <w:t>).</w:t>
      </w:r>
    </w:p>
    <w:p w14:paraId="7E95EB9A" w14:textId="77777777" w:rsidR="006C2FB5" w:rsidRDefault="006C2FB5">
      <w:pPr>
        <w:pStyle w:val="a9"/>
        <w:spacing w:line="360" w:lineRule="auto"/>
        <w:jc w:val="both"/>
        <w:rPr>
          <w:rFonts w:ascii="Arial" w:hAnsi="Arial"/>
          <w:sz w:val="10"/>
          <w:szCs w:val="10"/>
        </w:rPr>
      </w:pPr>
    </w:p>
    <w:p w14:paraId="587C6D27" w14:textId="77777777" w:rsidR="006C2FB5" w:rsidRDefault="006C2FB5">
      <w:pPr>
        <w:pStyle w:val="a9"/>
        <w:numPr>
          <w:ilvl w:val="0"/>
          <w:numId w:val="1"/>
        </w:numPr>
        <w:spacing w:line="360" w:lineRule="auto"/>
        <w:jc w:val="both"/>
        <w:rPr>
          <w:rFonts w:ascii="David" w:hAnsi="David"/>
        </w:rPr>
      </w:pPr>
      <w:r>
        <w:rPr>
          <w:rFonts w:ascii="Arial" w:hAnsi="Arial" w:hint="cs"/>
          <w:rtl/>
        </w:rPr>
        <w:t>נשק</w:t>
      </w:r>
      <w:r>
        <w:rPr>
          <w:rFonts w:ascii="Franklin Gothic Medium" w:hAnsi="Franklin Gothic Medium" w:hint="cs"/>
          <w:rtl/>
        </w:rPr>
        <w:t>, שהוא מטבעו כלי קטלני, עלול לעבור מיד ליד ולהגיע לידי גורמים שיבצעו באמצעותו עבירות פליליות חמורות, ואף לידי ארגוני טרור שיעשו בו שימוש באירועי טרור. על-כן, פוטנציאל הסיכון הנשקף מהסחר בו מחייב הטלת ענישה מחמירה ומרתיעה, ו</w:t>
      </w:r>
      <w:r>
        <w:rPr>
          <w:rFonts w:ascii="Calibri" w:hAnsi="Calibri" w:hint="cs"/>
          <w:rtl/>
        </w:rPr>
        <w:t xml:space="preserve">על בית המשפט לתת משקל משמעותי יותר לאינטרס הציבורי ולצורך להרתיע עבריינים מלבצע עבירות דומות, על-פני הנסיבות האישיות של העבריין. </w:t>
      </w:r>
      <w:r>
        <w:rPr>
          <w:rFonts w:ascii="David" w:hAnsi="David" w:hint="cs"/>
          <w:rtl/>
          <w:lang w:eastAsia="he-IL"/>
        </w:rPr>
        <w:t>כב' השופט זילברטל  חזר על כך ב</w:t>
      </w:r>
      <w:hyperlink r:id="rId23" w:history="1">
        <w:r>
          <w:rPr>
            <w:rFonts w:ascii="David" w:hAnsi="David"/>
            <w:color w:val="0000FF"/>
            <w:u w:val="single"/>
            <w:rtl/>
            <w:lang w:eastAsia="he-IL"/>
          </w:rPr>
          <w:t>ע"פ 6989/13</w:t>
        </w:r>
      </w:hyperlink>
      <w:r>
        <w:rPr>
          <w:rFonts w:ascii="David" w:hAnsi="David" w:hint="cs"/>
          <w:rtl/>
          <w:lang w:eastAsia="he-IL"/>
        </w:rPr>
        <w:t xml:space="preserve"> </w:t>
      </w:r>
      <w:r>
        <w:rPr>
          <w:rFonts w:ascii="David" w:hAnsi="David" w:hint="cs"/>
          <w:b/>
          <w:bCs/>
          <w:rtl/>
          <w:lang w:eastAsia="he-IL"/>
        </w:rPr>
        <w:t xml:space="preserve">פרח נ' מדינת ישראל </w:t>
      </w:r>
      <w:r>
        <w:rPr>
          <w:sz w:val="22"/>
          <w:rtl/>
          <w:lang w:eastAsia="he-IL"/>
        </w:rPr>
        <w:t xml:space="preserve">[פורסם בנבו] </w:t>
      </w:r>
      <w:r>
        <w:rPr>
          <w:rFonts w:ascii="David" w:hAnsi="David" w:hint="cs"/>
          <w:rtl/>
          <w:lang w:eastAsia="he-IL"/>
        </w:rPr>
        <w:t xml:space="preserve">(מיום 25.2.14): </w:t>
      </w:r>
    </w:p>
    <w:p w14:paraId="387454E6" w14:textId="77777777" w:rsidR="006C2FB5" w:rsidRDefault="006C2FB5">
      <w:pPr>
        <w:spacing w:before="120" w:after="120" w:line="360" w:lineRule="auto"/>
        <w:ind w:left="720"/>
        <w:contextualSpacing/>
        <w:jc w:val="both"/>
        <w:rPr>
          <w:rFonts w:ascii="David" w:hAnsi="David"/>
          <w:b/>
          <w:bCs/>
          <w:sz w:val="12"/>
          <w:szCs w:val="12"/>
        </w:rPr>
      </w:pPr>
    </w:p>
    <w:p w14:paraId="61E9CC53" w14:textId="77777777" w:rsidR="006C2FB5" w:rsidRDefault="006C2FB5">
      <w:pPr>
        <w:spacing w:before="120" w:after="120" w:line="360" w:lineRule="auto"/>
        <w:ind w:left="1650" w:right="709"/>
        <w:contextualSpacing/>
        <w:jc w:val="both"/>
        <w:rPr>
          <w:rFonts w:ascii="David" w:hAnsi="David"/>
        </w:rPr>
      </w:pPr>
      <w:r>
        <w:rPr>
          <w:rFonts w:ascii="David" w:hAnsi="David" w:hint="cs"/>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24" w:history="1">
        <w:r>
          <w:rPr>
            <w:rFonts w:ascii="David" w:hAnsi="David"/>
            <w:b/>
            <w:bCs/>
            <w:color w:val="0000FF"/>
            <w:u w:val="single"/>
            <w:rtl/>
          </w:rPr>
          <w:t>ע"פ 3156/11</w:t>
        </w:r>
      </w:hyperlink>
      <w:r>
        <w:rPr>
          <w:rFonts w:ascii="David" w:hAnsi="David" w:hint="cs"/>
          <w:b/>
          <w:bCs/>
          <w:rtl/>
        </w:rPr>
        <w:t xml:space="preserve"> זראיעה נ' מדינת ישראל, </w:t>
      </w:r>
      <w:r>
        <w:rPr>
          <w:sz w:val="22"/>
          <w:rtl/>
        </w:rPr>
        <w:t xml:space="preserve">[פורסם בנבו] </w:t>
      </w:r>
      <w:r>
        <w:rPr>
          <w:rFonts w:ascii="David" w:hAnsi="David" w:hint="cs"/>
          <w:b/>
          <w:bCs/>
          <w:rtl/>
        </w:rPr>
        <w:t>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25" w:history="1">
        <w:r>
          <w:rPr>
            <w:rFonts w:ascii="David" w:hAnsi="David"/>
            <w:b/>
            <w:bCs/>
            <w:color w:val="0000FF"/>
            <w:u w:val="single"/>
            <w:rtl/>
          </w:rPr>
          <w:t>ע"פ 2006/12</w:t>
        </w:r>
      </w:hyperlink>
      <w:r>
        <w:rPr>
          <w:rFonts w:ascii="David" w:hAnsi="David" w:hint="cs"/>
          <w:b/>
          <w:bCs/>
          <w:rtl/>
        </w:rPr>
        <w:t xml:space="preserve"> מדינת ישראל נ' אסדי </w:t>
      </w:r>
      <w:r>
        <w:rPr>
          <w:sz w:val="22"/>
          <w:rtl/>
        </w:rPr>
        <w:t xml:space="preserve">[פורסם בנבו] </w:t>
      </w:r>
      <w:r>
        <w:rPr>
          <w:rFonts w:ascii="David" w:hAnsi="David" w:hint="cs"/>
          <w:b/>
          <w:bCs/>
          <w:rtl/>
        </w:rPr>
        <w:t xml:space="preserve">(28.3.2012), (להלן: עניין אסדי); </w:t>
      </w:r>
      <w:hyperlink r:id="rId26" w:history="1">
        <w:r>
          <w:rPr>
            <w:rFonts w:ascii="David" w:hAnsi="David"/>
            <w:b/>
            <w:bCs/>
            <w:color w:val="0000FF"/>
            <w:u w:val="single"/>
            <w:rtl/>
          </w:rPr>
          <w:t>ע"פ 7502/12</w:t>
        </w:r>
      </w:hyperlink>
      <w:r>
        <w:rPr>
          <w:rFonts w:ascii="David" w:hAnsi="David" w:hint="cs"/>
          <w:b/>
          <w:bCs/>
          <w:rtl/>
        </w:rPr>
        <w:t xml:space="preserve"> כוויס נ' מדינת ישראל, </w:t>
      </w:r>
      <w:r>
        <w:rPr>
          <w:sz w:val="22"/>
          <w:rtl/>
        </w:rPr>
        <w:t xml:space="preserve">[פורסם בנבו] </w:t>
      </w:r>
      <w:r>
        <w:rPr>
          <w:rFonts w:ascii="David" w:hAnsi="David" w:hint="cs"/>
          <w:b/>
          <w:bCs/>
          <w:rtl/>
        </w:rPr>
        <w:t xml:space="preserve">פסקה 6 (25.6.2013))... </w:t>
      </w:r>
      <w:r>
        <w:rPr>
          <w:rFonts w:ascii="David" w:hAnsi="David" w:hint="cs"/>
          <w:rtl/>
        </w:rPr>
        <w:t>"</w:t>
      </w:r>
    </w:p>
    <w:p w14:paraId="61508503" w14:textId="77777777" w:rsidR="006C2FB5" w:rsidRDefault="006C2FB5">
      <w:pPr>
        <w:spacing w:after="160" w:line="360" w:lineRule="auto"/>
        <w:ind w:left="720" w:hanging="720"/>
        <w:jc w:val="both"/>
        <w:rPr>
          <w:rFonts w:ascii="Calibri" w:hAnsi="Calibri" w:cs="Arial"/>
          <w:sz w:val="12"/>
          <w:szCs w:val="12"/>
        </w:rPr>
      </w:pPr>
    </w:p>
    <w:p w14:paraId="690B9D67" w14:textId="77777777" w:rsidR="006C2FB5" w:rsidRDefault="006C2FB5">
      <w:pPr>
        <w:pStyle w:val="a9"/>
        <w:numPr>
          <w:ilvl w:val="0"/>
          <w:numId w:val="1"/>
        </w:numPr>
        <w:spacing w:line="360" w:lineRule="auto"/>
        <w:jc w:val="both"/>
        <w:rPr>
          <w:rFonts w:ascii="Calibri" w:hAnsi="Calibri"/>
          <w:rtl/>
        </w:rPr>
      </w:pPr>
      <w:r>
        <w:rPr>
          <w:rFonts w:ascii="Calibri" w:hAnsi="Calibri" w:hint="cs"/>
          <w:rtl/>
        </w:rPr>
        <w:t>המגמה להחמיר בענישה בעבירות נשק באה לידי ביטוי בשורה ארוכה של פסקי דין שניתנו על ידי בית משפט העליון, בין היתר, ב</w:t>
      </w:r>
      <w:hyperlink r:id="rId27"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1323/13</w:t>
        </w:r>
      </w:hyperlink>
      <w:r>
        <w:rPr>
          <w:rFonts w:ascii="Calibri" w:hAnsi="Calibri" w:hint="cs"/>
          <w:rtl/>
        </w:rPr>
        <w:t xml:space="preserve"> </w:t>
      </w:r>
      <w:r>
        <w:rPr>
          <w:rFonts w:ascii="Calibri" w:hAnsi="Calibri" w:hint="cs"/>
          <w:b/>
          <w:bCs/>
          <w:rtl/>
        </w:rPr>
        <w:t>רך חסן  נגד מדינת ישראל</w:t>
      </w:r>
      <w:r>
        <w:rPr>
          <w:rFonts w:ascii="Calibri" w:hAnsi="Calibri" w:hint="cs"/>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rtl/>
        </w:rPr>
        <w:t>(ניתן ביום 5.6.13), שם קבעה כבוד השופטת ארבל:</w:t>
      </w:r>
    </w:p>
    <w:p w14:paraId="7DA26609" w14:textId="77777777" w:rsidR="006C2FB5" w:rsidRDefault="006C2FB5">
      <w:pPr>
        <w:spacing w:before="120" w:after="120" w:line="360" w:lineRule="auto"/>
        <w:ind w:left="782"/>
        <w:contextualSpacing/>
        <w:jc w:val="both"/>
        <w:rPr>
          <w:rFonts w:ascii="Calibri" w:hAnsi="Calibri"/>
          <w:sz w:val="12"/>
          <w:szCs w:val="12"/>
          <w:rtl/>
        </w:rPr>
      </w:pPr>
    </w:p>
    <w:p w14:paraId="5A315D81" w14:textId="77777777" w:rsidR="006C2FB5" w:rsidRDefault="006C2FB5">
      <w:pPr>
        <w:spacing w:before="120" w:after="120" w:line="360" w:lineRule="auto"/>
        <w:ind w:left="1650" w:right="709"/>
        <w:contextualSpacing/>
        <w:jc w:val="both"/>
        <w:rPr>
          <w:rFonts w:ascii="David" w:hAnsi="David"/>
          <w:rtl/>
        </w:rPr>
      </w:pPr>
      <w:r>
        <w:rPr>
          <w:rFonts w:ascii="Calibri" w:hAnsi="Calibri"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w:t>
      </w:r>
      <w:r>
        <w:rPr>
          <w:rFonts w:ascii="Calibri" w:hAnsi="Calibri" w:hint="cs"/>
          <w:b/>
          <w:bCs/>
          <w:rtl/>
        </w:rPr>
        <w:t>גע כתוצאה מפעילות עבריינית זאת, הגנה על שלום הציבור מפני פגיעות בגוף או בנפש, ולהחמיר את עונשי המאסר המוטלים בגין פעילות עבריינית זאת, בהדרגה".</w:t>
      </w:r>
    </w:p>
    <w:p w14:paraId="32DD0FFB" w14:textId="77777777" w:rsidR="006C2FB5" w:rsidRDefault="006C2FB5">
      <w:pPr>
        <w:spacing w:before="120" w:after="120" w:line="360" w:lineRule="auto"/>
        <w:contextualSpacing/>
        <w:jc w:val="both"/>
        <w:rPr>
          <w:rFonts w:ascii="Arial" w:hAnsi="Arial"/>
          <w:sz w:val="12"/>
          <w:szCs w:val="12"/>
        </w:rPr>
      </w:pPr>
    </w:p>
    <w:p w14:paraId="65BADC29" w14:textId="77777777" w:rsidR="006C2FB5" w:rsidRDefault="006C2FB5">
      <w:pPr>
        <w:pStyle w:val="a9"/>
        <w:numPr>
          <w:ilvl w:val="0"/>
          <w:numId w:val="1"/>
        </w:numPr>
        <w:spacing w:line="360" w:lineRule="auto"/>
        <w:jc w:val="both"/>
        <w:rPr>
          <w:rFonts w:ascii="Arial" w:hAnsi="Arial"/>
          <w:rtl/>
        </w:rPr>
      </w:pPr>
      <w:r>
        <w:rPr>
          <w:rFonts w:ascii="Arial" w:hAnsi="Arial" w:hint="cs"/>
          <w:rtl/>
        </w:rPr>
        <w:t>ב</w:t>
      </w:r>
      <w:hyperlink r:id="rId28" w:history="1">
        <w:r>
          <w:rPr>
            <w:rFonts w:ascii="Arial" w:hAnsi="Arial"/>
            <w:color w:val="0000FF"/>
            <w:u w:val="single"/>
            <w:rtl/>
          </w:rPr>
          <w:t>ע"פ 2251/11</w:t>
        </w:r>
      </w:hyperlink>
      <w:r>
        <w:rPr>
          <w:rFonts w:ascii="Arial" w:hAnsi="Arial" w:hint="cs"/>
          <w:rtl/>
        </w:rPr>
        <w:t xml:space="preserve"> </w:t>
      </w:r>
      <w:r>
        <w:rPr>
          <w:rFonts w:ascii="Arial" w:hAnsi="Arial" w:hint="cs"/>
          <w:b/>
          <w:bCs/>
          <w:rtl/>
        </w:rPr>
        <w:t>נפאע נ' מדינת ישראל</w:t>
      </w:r>
      <w:r>
        <w:rPr>
          <w:rFonts w:ascii="Arial" w:hAnsi="Arial" w:hint="cs"/>
          <w:rtl/>
        </w:rPr>
        <w:t xml:space="preserve"> </w:t>
      </w:r>
      <w:r>
        <w:rPr>
          <w:sz w:val="22"/>
          <w:rtl/>
        </w:rPr>
        <w:t xml:space="preserve">[פורסם בנבו] </w:t>
      </w:r>
      <w:r>
        <w:rPr>
          <w:rFonts w:ascii="Arial" w:hAnsi="Arial" w:hint="cs"/>
          <w:rtl/>
        </w:rPr>
        <w:t>(ניתן ביום 4.12.11) קבעה כבוד השופטת א' חיות (כתוארה אז) כך: "</w:t>
      </w:r>
      <w:r>
        <w:rPr>
          <w:rFonts w:ascii="Arial" w:hAnsi="Arial" w:hint="cs"/>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Pr>
          <w:rFonts w:ascii="Arial" w:hAnsi="Arial" w:hint="cs"/>
          <w:rtl/>
        </w:rPr>
        <w:t xml:space="preserve">". </w:t>
      </w:r>
    </w:p>
    <w:p w14:paraId="4C9CF1C7" w14:textId="77777777" w:rsidR="006C2FB5" w:rsidRDefault="006C2FB5">
      <w:pPr>
        <w:spacing w:before="120" w:after="120" w:line="360" w:lineRule="auto"/>
        <w:ind w:left="782"/>
        <w:contextualSpacing/>
        <w:jc w:val="both"/>
        <w:rPr>
          <w:rFonts w:ascii="Arial" w:hAnsi="Arial"/>
          <w:sz w:val="12"/>
          <w:szCs w:val="12"/>
        </w:rPr>
      </w:pPr>
    </w:p>
    <w:p w14:paraId="3BF433D0" w14:textId="77777777" w:rsidR="006C2FB5" w:rsidRDefault="006C2FB5">
      <w:pPr>
        <w:pStyle w:val="a9"/>
        <w:numPr>
          <w:ilvl w:val="0"/>
          <w:numId w:val="1"/>
        </w:numPr>
        <w:spacing w:line="360" w:lineRule="auto"/>
        <w:jc w:val="both"/>
        <w:rPr>
          <w:rFonts w:ascii="David" w:hAnsi="David"/>
          <w:rtl/>
        </w:rPr>
      </w:pPr>
      <w:r>
        <w:rPr>
          <w:rFonts w:ascii="David" w:hAnsi="David" w:hint="cs"/>
          <w:rtl/>
        </w:rPr>
        <w:t xml:space="preserve">מדיניות הענישה הנהוגה בעבירות בנשק הינה מגוונת, והיא תלויה </w:t>
      </w:r>
      <w:r>
        <w:rPr>
          <w:rFonts w:ascii="David" w:hAnsi="David" w:hint="cs"/>
          <w:b/>
          <w:bCs/>
          <w:rtl/>
        </w:rPr>
        <w:t xml:space="preserve">בנסיבותיו </w:t>
      </w:r>
      <w:r>
        <w:rPr>
          <w:rFonts w:ascii="David" w:hAnsi="David" w:hint="cs"/>
          <w:rtl/>
        </w:rPr>
        <w:t>של כל מקרה ומקרה. כך למשל –</w:t>
      </w:r>
    </w:p>
    <w:p w14:paraId="22748835" w14:textId="77777777" w:rsidR="006C2FB5" w:rsidRDefault="006C2FB5">
      <w:pPr>
        <w:spacing w:before="120" w:after="120" w:line="360" w:lineRule="auto"/>
        <w:ind w:left="782"/>
        <w:contextualSpacing/>
        <w:jc w:val="both"/>
        <w:rPr>
          <w:rFonts w:ascii="David" w:hAnsi="David"/>
          <w:sz w:val="12"/>
          <w:szCs w:val="12"/>
          <w:rtl/>
        </w:rPr>
      </w:pPr>
    </w:p>
    <w:p w14:paraId="6B9A2454" w14:textId="77777777" w:rsidR="006C2FB5" w:rsidRDefault="006C2FB5">
      <w:pPr>
        <w:spacing w:before="120" w:after="120" w:line="360" w:lineRule="auto"/>
        <w:ind w:left="782"/>
        <w:contextualSpacing/>
        <w:jc w:val="both"/>
        <w:rPr>
          <w:rFonts w:ascii="David" w:hAnsi="David"/>
          <w:rtl/>
        </w:rPr>
      </w:pPr>
      <w:r>
        <w:rPr>
          <w:rFonts w:ascii="David" w:hAnsi="David" w:hint="cs"/>
          <w:rtl/>
          <w:lang w:eastAsia="he-IL"/>
        </w:rPr>
        <w:t>ב</w:t>
      </w:r>
      <w:hyperlink r:id="rId29" w:history="1">
        <w:r>
          <w:rPr>
            <w:rFonts w:ascii="David" w:hAnsi="David"/>
            <w:color w:val="0000FF"/>
            <w:u w:val="single"/>
            <w:rtl/>
          </w:rPr>
          <w:t>ע"פ 135/17</w:t>
        </w:r>
      </w:hyperlink>
      <w:r>
        <w:rPr>
          <w:rFonts w:ascii="David" w:hAnsi="David" w:hint="cs"/>
          <w:rtl/>
        </w:rPr>
        <w:t xml:space="preserve"> </w:t>
      </w:r>
      <w:r>
        <w:rPr>
          <w:rFonts w:ascii="David" w:hAnsi="David" w:hint="cs"/>
          <w:b/>
          <w:bCs/>
          <w:rtl/>
        </w:rPr>
        <w:t>מדינת ישראל נ' סמי בסל</w:t>
      </w:r>
      <w:r>
        <w:rPr>
          <w:rFonts w:ascii="David" w:hAnsi="David" w:hint="cs"/>
          <w:rtl/>
        </w:rPr>
        <w:t xml:space="preserve"> </w:t>
      </w:r>
      <w:r>
        <w:rPr>
          <w:sz w:val="22"/>
          <w:rtl/>
        </w:rPr>
        <w:t xml:space="preserve">[פורסם בנבו] </w:t>
      </w:r>
      <w:r>
        <w:rPr>
          <w:rFonts w:ascii="David" w:hAnsi="David" w:hint="cs"/>
          <w:rtl/>
        </w:rPr>
        <w:t xml:space="preserve">(ניתן ביום 8.3.17) </w:t>
      </w:r>
      <w:r>
        <w:rPr>
          <w:rFonts w:ascii="David" w:hAnsi="David" w:hint="cs"/>
          <w:rtl/>
          <w:lang w:eastAsia="he-IL"/>
        </w:rPr>
        <w:t xml:space="preserve">קיבל בית המשפט העליון את ערעורה של המדינה  על גזר דינו של בית המשפט המחוזי בחיפה, במסגרתו הושת על הנאשם 12 חודשי מאסר לריצוי בפועל, בגין ביצוע עבירות של החזקה ונשיאת נשק לפי </w:t>
      </w:r>
      <w:hyperlink r:id="rId30" w:history="1">
        <w:r>
          <w:rPr>
            <w:rFonts w:ascii="David" w:hAnsi="David"/>
            <w:color w:val="0000FF"/>
            <w:u w:val="single"/>
            <w:rtl/>
            <w:lang w:eastAsia="he-IL"/>
          </w:rPr>
          <w:t>סעיף 144(א)</w:t>
        </w:r>
      </w:hyperlink>
      <w:r>
        <w:rPr>
          <w:rFonts w:ascii="David" w:hAnsi="David" w:hint="cs"/>
          <w:color w:val="000000"/>
          <w:rtl/>
          <w:lang w:eastAsia="he-IL"/>
        </w:rPr>
        <w:t xml:space="preserve"> ו-</w:t>
      </w:r>
      <w:hyperlink r:id="rId31" w:history="1">
        <w:r>
          <w:rPr>
            <w:rFonts w:ascii="David" w:hAnsi="David"/>
            <w:color w:val="0000FF"/>
            <w:u w:val="single"/>
            <w:rtl/>
            <w:lang w:eastAsia="he-IL"/>
          </w:rPr>
          <w:t>144(ב)</w:t>
        </w:r>
      </w:hyperlink>
      <w:r>
        <w:rPr>
          <w:rFonts w:ascii="David" w:hAnsi="David" w:hint="cs"/>
          <w:rtl/>
          <w:lang w:eastAsia="he-IL"/>
        </w:rPr>
        <w:t xml:space="preserve"> ל</w:t>
      </w:r>
      <w:hyperlink r:id="rId32" w:history="1">
        <w:r>
          <w:rPr>
            <w:rFonts w:ascii="David" w:hAnsi="David"/>
            <w:color w:val="0000FF"/>
            <w:u w:val="single"/>
            <w:rtl/>
            <w:lang w:eastAsia="he-IL"/>
          </w:rPr>
          <w:t>חוק העונשין</w:t>
        </w:r>
      </w:hyperlink>
      <w:r>
        <w:rPr>
          <w:rFonts w:ascii="David" w:hAnsi="David" w:hint="cs"/>
          <w:rtl/>
          <w:lang w:eastAsia="he-IL"/>
        </w:rPr>
        <w:t xml:space="preserve"> וגזר עליו 18 חודשי מאסר. הנאשם, בן 20, צבר לחובתו הרשעה אחת בעבירת איומים ושבל"ר, החזיק בתת מקלע ומחסנית והסתירם בשביל קרוב משפחתו, למשך שבוע ימים, שבסופם העבירם לאחר, אשר קנה את הנשק והמחסנית מקרוב משפחתו של הנאשם.</w:t>
      </w:r>
    </w:p>
    <w:p w14:paraId="1370AADF" w14:textId="77777777" w:rsidR="006C2FB5" w:rsidRDefault="006C2FB5">
      <w:pPr>
        <w:spacing w:before="120" w:after="120" w:line="360" w:lineRule="auto"/>
        <w:ind w:left="782"/>
        <w:contextualSpacing/>
        <w:jc w:val="both"/>
        <w:rPr>
          <w:rFonts w:ascii="David" w:hAnsi="David"/>
          <w:sz w:val="12"/>
          <w:szCs w:val="12"/>
        </w:rPr>
      </w:pPr>
    </w:p>
    <w:p w14:paraId="6457E654" w14:textId="77777777" w:rsidR="006C2FB5" w:rsidRDefault="006C2FB5">
      <w:pPr>
        <w:spacing w:before="120" w:after="120" w:line="360" w:lineRule="auto"/>
        <w:ind w:left="785"/>
        <w:contextualSpacing/>
        <w:jc w:val="both"/>
        <w:rPr>
          <w:rFonts w:ascii="David" w:hAnsi="David"/>
        </w:rPr>
      </w:pPr>
      <w:r>
        <w:rPr>
          <w:rFonts w:ascii="David" w:hAnsi="David" w:hint="cs"/>
          <w:rtl/>
          <w:lang w:eastAsia="he-IL"/>
        </w:rPr>
        <w:t>ב</w:t>
      </w:r>
      <w:hyperlink r:id="rId33" w:history="1">
        <w:r>
          <w:rPr>
            <w:rFonts w:ascii="David" w:hAnsi="David"/>
            <w:color w:val="0000FF"/>
            <w:u w:val="single"/>
            <w:rtl/>
            <w:lang w:eastAsia="he-IL"/>
          </w:rPr>
          <w:t>ע"פ 7552/14</w:t>
        </w:r>
      </w:hyperlink>
      <w:r>
        <w:rPr>
          <w:rFonts w:ascii="David" w:hAnsi="David" w:hint="cs"/>
          <w:rtl/>
          <w:lang w:eastAsia="he-IL"/>
        </w:rPr>
        <w:t xml:space="preserve"> </w:t>
      </w:r>
      <w:r>
        <w:rPr>
          <w:rFonts w:ascii="David" w:hAnsi="David" w:hint="cs"/>
          <w:b/>
          <w:bCs/>
          <w:rtl/>
          <w:lang w:eastAsia="he-IL"/>
        </w:rPr>
        <w:t>יוסף אגבאריה נ' מדינת ישראל</w:t>
      </w:r>
      <w:r>
        <w:rPr>
          <w:rFonts w:ascii="David" w:hAnsi="David" w:hint="cs"/>
          <w:rtl/>
          <w:lang w:eastAsia="he-IL"/>
        </w:rPr>
        <w:t xml:space="preserve"> </w:t>
      </w:r>
      <w:r>
        <w:rPr>
          <w:sz w:val="22"/>
          <w:rtl/>
          <w:lang w:eastAsia="he-IL"/>
        </w:rPr>
        <w:t xml:space="preserve">[פורסם בנבו] </w:t>
      </w:r>
      <w:r>
        <w:rPr>
          <w:rFonts w:ascii="David" w:hAnsi="David" w:hint="cs"/>
          <w:rtl/>
          <w:lang w:eastAsia="he-IL"/>
        </w:rPr>
        <w:t xml:space="preserve">(ניתן ביום 23.6.15) דחה בית המשפט העליון ערעור על גזר דינו של בית המשפט המחוזי בתל אביב, במסגרתו הושת על המערער עונש מאסר בן 32 חודשי מאסר בפועל, בגין </w:t>
      </w:r>
      <w:r>
        <w:rPr>
          <w:rFonts w:ascii="David" w:hAnsi="David" w:hint="cs"/>
          <w:rtl/>
        </w:rPr>
        <w:t>עבירה של סחר בנשק (אקדח) שבוצע בצוותא, עבירה של הפרעה לשוטר בעת מילוי תפקידו ועבירת איומים.</w:t>
      </w:r>
    </w:p>
    <w:p w14:paraId="1B2C22FF" w14:textId="77777777" w:rsidR="006C2FB5" w:rsidRDefault="006C2FB5">
      <w:pPr>
        <w:spacing w:before="120" w:after="120" w:line="360" w:lineRule="auto"/>
        <w:contextualSpacing/>
        <w:jc w:val="both"/>
        <w:rPr>
          <w:rFonts w:ascii="David" w:hAnsi="David"/>
          <w:sz w:val="12"/>
          <w:szCs w:val="12"/>
          <w:rtl/>
          <w:lang w:eastAsia="he-IL"/>
        </w:rPr>
      </w:pPr>
    </w:p>
    <w:p w14:paraId="07475B7E" w14:textId="77777777" w:rsidR="006C2FB5" w:rsidRDefault="006C2FB5">
      <w:pPr>
        <w:spacing w:before="120" w:after="120" w:line="360" w:lineRule="auto"/>
        <w:ind w:left="782"/>
        <w:contextualSpacing/>
        <w:jc w:val="both"/>
        <w:rPr>
          <w:rFonts w:ascii="Calibri" w:hAnsi="Calibri"/>
          <w:sz w:val="12"/>
          <w:szCs w:val="12"/>
          <w:lang w:eastAsia="he-IL"/>
        </w:rPr>
      </w:pPr>
    </w:p>
    <w:p w14:paraId="578DB5DB" w14:textId="77777777" w:rsidR="006C2FB5" w:rsidRDefault="006C2FB5">
      <w:pPr>
        <w:spacing w:after="160" w:line="360" w:lineRule="auto"/>
        <w:ind w:left="785"/>
        <w:contextualSpacing/>
        <w:jc w:val="both"/>
        <w:rPr>
          <w:rFonts w:ascii="Arial" w:hAnsi="Arial"/>
          <w:rtl/>
        </w:rPr>
      </w:pPr>
      <w:r>
        <w:rPr>
          <w:rFonts w:ascii="Calibri" w:hAnsi="Calibri" w:hint="cs"/>
          <w:rtl/>
        </w:rPr>
        <w:t>ב</w:t>
      </w:r>
      <w:hyperlink r:id="rId34" w:history="1">
        <w:r>
          <w:rPr>
            <w:rFonts w:ascii="Arial" w:hAnsi="Arial"/>
            <w:color w:val="0000FF"/>
            <w:u w:val="single"/>
            <w:rtl/>
          </w:rPr>
          <w:t>ע"פ 2186/13</w:t>
        </w:r>
      </w:hyperlink>
      <w:r>
        <w:rPr>
          <w:rFonts w:ascii="Arial" w:hAnsi="Arial" w:hint="cs"/>
          <w:rtl/>
        </w:rPr>
        <w:t xml:space="preserve"> </w:t>
      </w:r>
      <w:r>
        <w:rPr>
          <w:rFonts w:ascii="Arial" w:hAnsi="Arial" w:hint="cs"/>
          <w:b/>
          <w:bCs/>
          <w:rtl/>
        </w:rPr>
        <w:t>עקול נגד מ"י</w:t>
      </w:r>
      <w:r>
        <w:rPr>
          <w:rFonts w:ascii="Arial" w:hAnsi="Arial" w:hint="cs"/>
          <w:rtl/>
        </w:rPr>
        <w:t xml:space="preserve"> </w:t>
      </w:r>
      <w:r>
        <w:rPr>
          <w:sz w:val="22"/>
          <w:rtl/>
        </w:rPr>
        <w:t xml:space="preserve">[פורסם בנבו] </w:t>
      </w:r>
      <w:r>
        <w:rPr>
          <w:rFonts w:ascii="Arial" w:hAnsi="Arial" w:hint="cs"/>
          <w:rtl/>
        </w:rPr>
        <w:t>(ניתן ביום 18.2.14), בית המשפט העליון לא התערב במתחם ענישה של 24 עד 48 חודשי מאסר שנקבעו בבית המשפט המחוזי בחיפה, בגין עבירות של נשיאת נשק וסחר בנשק (אקדח, מחסנית וכדורים) לסוכן משטרתי.</w:t>
      </w:r>
    </w:p>
    <w:p w14:paraId="72867E87" w14:textId="77777777" w:rsidR="006C2FB5" w:rsidRDefault="006C2FB5">
      <w:pPr>
        <w:spacing w:before="120" w:after="120" w:line="360" w:lineRule="auto"/>
        <w:contextualSpacing/>
        <w:jc w:val="both"/>
        <w:rPr>
          <w:rFonts w:ascii="Arial" w:hAnsi="Arial"/>
          <w:sz w:val="12"/>
          <w:szCs w:val="12"/>
        </w:rPr>
      </w:pPr>
    </w:p>
    <w:p w14:paraId="2CB0F76E" w14:textId="77777777" w:rsidR="006C2FB5" w:rsidRDefault="006C2FB5">
      <w:pPr>
        <w:snapToGrid w:val="0"/>
        <w:spacing w:before="120" w:after="120" w:line="360" w:lineRule="auto"/>
        <w:ind w:left="782"/>
        <w:jc w:val="both"/>
        <w:rPr>
          <w:rFonts w:ascii="Calibri" w:hAnsi="Calibri"/>
        </w:rPr>
      </w:pPr>
      <w:r>
        <w:rPr>
          <w:rFonts w:ascii="Calibri" w:hAnsi="Calibri" w:hint="cs"/>
          <w:rtl/>
        </w:rPr>
        <w:t>ב</w:t>
      </w:r>
      <w:hyperlink r:id="rId35"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526/14</w:t>
        </w:r>
      </w:hyperlink>
      <w:r>
        <w:rPr>
          <w:rFonts w:ascii="Calibri" w:hAnsi="Calibri" w:hint="cs"/>
          <w:rtl/>
        </w:rPr>
        <w:t xml:space="preserve"> </w:t>
      </w:r>
      <w:r>
        <w:rPr>
          <w:rFonts w:ascii="Calibri" w:hAnsi="Calibri" w:hint="cs"/>
          <w:b/>
          <w:bCs/>
          <w:rtl/>
        </w:rPr>
        <w:t>פלוני נ' מדינת ישראל</w:t>
      </w:r>
      <w:r>
        <w:rPr>
          <w:rFonts w:ascii="Calibri" w:hAnsi="Calibri" w:hint="cs"/>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rtl/>
        </w:rPr>
        <w:t xml:space="preserve">(ניתן ביום 12.03.14) הנאשם הורשע בעבירות החזקת נשק וסחר בנשק, בבית המשפט המחוזי בבאר שבע (אקדח ומחסנית). הושת עליו 22 חודשי מאסר בפועל. בית המשפט העליון קיבל את ערעור הנאשם על חומרת העונש והפחית את עונשו ל- 16 חודשי מאסר בפועל נוכח פוטנציאל שיקומי גבוה במיוחד. </w:t>
      </w:r>
    </w:p>
    <w:p w14:paraId="1C111081" w14:textId="77777777" w:rsidR="006C2FB5" w:rsidRDefault="006C2FB5">
      <w:pPr>
        <w:snapToGrid w:val="0"/>
        <w:spacing w:before="120" w:after="120" w:line="360" w:lineRule="auto"/>
        <w:jc w:val="both"/>
        <w:rPr>
          <w:rFonts w:ascii="Calibri" w:hAnsi="Calibri"/>
          <w:sz w:val="12"/>
          <w:szCs w:val="12"/>
          <w:rtl/>
        </w:rPr>
      </w:pPr>
    </w:p>
    <w:p w14:paraId="55B2DAA9" w14:textId="77777777" w:rsidR="006C2FB5" w:rsidRDefault="006C2FB5">
      <w:pPr>
        <w:spacing w:before="120" w:after="120" w:line="360" w:lineRule="auto"/>
        <w:ind w:left="785"/>
        <w:contextualSpacing/>
        <w:jc w:val="both"/>
        <w:rPr>
          <w:rFonts w:ascii="Arial" w:hAnsi="Arial"/>
          <w:rtl/>
        </w:rPr>
      </w:pPr>
      <w:r>
        <w:rPr>
          <w:rFonts w:ascii="Arial" w:hAnsi="Arial" w:hint="cs"/>
          <w:rtl/>
        </w:rPr>
        <w:t>ב</w:t>
      </w:r>
      <w:hyperlink r:id="rId36" w:history="1">
        <w:r>
          <w:rPr>
            <w:rFonts w:ascii="Arial" w:hAnsi="Arial"/>
            <w:color w:val="0000FF"/>
            <w:u w:val="single"/>
            <w:rtl/>
          </w:rPr>
          <w:t>ע"פ 4945/13</w:t>
        </w:r>
      </w:hyperlink>
      <w:r>
        <w:rPr>
          <w:rFonts w:ascii="Arial" w:hAnsi="Arial" w:hint="cs"/>
          <w:rtl/>
        </w:rPr>
        <w:t xml:space="preserve"> </w:t>
      </w:r>
      <w:r>
        <w:rPr>
          <w:rFonts w:ascii="Arial" w:hAnsi="Arial" w:hint="cs"/>
          <w:b/>
          <w:bCs/>
          <w:rtl/>
        </w:rPr>
        <w:t>מדינת ישראל נ' סלימאן</w:t>
      </w:r>
      <w:r>
        <w:rPr>
          <w:rFonts w:ascii="Arial" w:hAnsi="Arial" w:hint="cs"/>
          <w:rtl/>
        </w:rPr>
        <w:t xml:space="preserve"> </w:t>
      </w:r>
      <w:r>
        <w:rPr>
          <w:sz w:val="22"/>
          <w:rtl/>
        </w:rPr>
        <w:t xml:space="preserve">[פורסם בנבו] </w:t>
      </w:r>
      <w:r>
        <w:rPr>
          <w:rFonts w:ascii="Arial" w:hAnsi="Arial" w:hint="cs"/>
          <w:rtl/>
        </w:rPr>
        <w:t>(ניתן ביום 19.1.14, כב' השופטת ארבל) נקבע מדרג חומרה לעבירות הנשק השונות, כאשר עבירת הסחר מצויה ברף העליון. עבירת נשיאת והובלת הנשק נמצאת ברף הבינוני. עבירת רכישת נשק ואביזר נשק, נמצאת ברף התחתון של עבירות הנשק. באותו האירוע נקבע מתחם בשל עבירות של נשיאת והובלת נשק וכן רכישת אביזר של נשק שנע בין 12 ל-36 חודשי מאסר. שם דובר בנשק מסוג קרל גוסטב עם מחסנית וכדורים, וכן הנאשם בדק את תקינות הנשק כאשר ירה כדור בודד. בסופו של יום, בית משפט חרג ממתחם העונש ההולם מטעמי</w:t>
      </w:r>
      <w:r>
        <w:rPr>
          <w:rFonts w:ascii="Arial" w:hAnsi="Arial" w:hint="cs"/>
          <w:rtl/>
        </w:rPr>
        <w:t xml:space="preserve"> שיקום, והטיל שישה חודשי מאסר שירוצו בעבודות שירות, שם דובר בצעיר שהיה בן 19 בעת ביצוע העבירות, ןהנסיבות שהובילו לביצוע העבירות היה פחד וחשש לחייו. גם במסגרת פסק דין זה חזר בית המשפט העליון והדגיש, כי כלל בעבירות מסוג זה לא ניתן להסתפק בעונש של מאסר בעבודות שירות, אלא ראוי להטיל עונש של מאסר שירוצה בבית הכלא, מאחורי סורג ובריח.</w:t>
      </w:r>
    </w:p>
    <w:p w14:paraId="497B6F45" w14:textId="77777777" w:rsidR="006C2FB5" w:rsidRDefault="006C2FB5">
      <w:pPr>
        <w:snapToGrid w:val="0"/>
        <w:spacing w:before="120" w:after="120" w:line="360" w:lineRule="auto"/>
        <w:ind w:left="782"/>
        <w:jc w:val="both"/>
        <w:rPr>
          <w:rFonts w:ascii="Calibri" w:hAnsi="Calibri"/>
          <w:sz w:val="12"/>
          <w:szCs w:val="12"/>
          <w:rtl/>
        </w:rPr>
      </w:pPr>
    </w:p>
    <w:p w14:paraId="1F6876CC" w14:textId="77777777" w:rsidR="006C2FB5" w:rsidRDefault="006C2FB5">
      <w:pPr>
        <w:pStyle w:val="a9"/>
        <w:numPr>
          <w:ilvl w:val="0"/>
          <w:numId w:val="1"/>
        </w:numPr>
        <w:spacing w:line="360" w:lineRule="auto"/>
        <w:jc w:val="both"/>
        <w:rPr>
          <w:rFonts w:ascii="Calibri" w:hAnsi="Calibri"/>
        </w:rPr>
      </w:pPr>
      <w:r>
        <w:rPr>
          <w:rFonts w:ascii="David" w:hAnsi="David" w:hint="cs"/>
          <w:rtl/>
        </w:rPr>
        <w:t>אשר ל</w:t>
      </w:r>
      <w:r>
        <w:rPr>
          <w:rFonts w:ascii="David" w:hAnsi="David" w:hint="cs"/>
          <w:b/>
          <w:bCs/>
          <w:rtl/>
        </w:rPr>
        <w:t xml:space="preserve">נסיבות הקשורות בביצוע העבירה </w:t>
      </w:r>
      <w:r>
        <w:rPr>
          <w:rFonts w:ascii="David" w:hAnsi="David" w:hint="cs"/>
          <w:rtl/>
        </w:rPr>
        <w:t>(</w:t>
      </w:r>
      <w:r>
        <w:rPr>
          <w:rFonts w:ascii="David" w:hAnsi="David" w:hint="cs"/>
          <w:color w:val="000000"/>
          <w:rtl/>
        </w:rPr>
        <w:t xml:space="preserve">סעיף </w:t>
      </w:r>
      <w:hyperlink r:id="rId37" w:history="1">
        <w:r>
          <w:rPr>
            <w:rFonts w:ascii="David" w:hAnsi="David"/>
            <w:color w:val="0000FF"/>
            <w:u w:val="single"/>
            <w:rtl/>
          </w:rPr>
          <w:t>40 ט'</w:t>
        </w:r>
      </w:hyperlink>
      <w:r>
        <w:rPr>
          <w:rFonts w:ascii="David" w:hAnsi="David" w:hint="cs"/>
          <w:rtl/>
        </w:rPr>
        <w:t xml:space="preserve"> לחוק), יש לתת את הדעת לשיקולים הבאים: </w:t>
      </w:r>
      <w:r>
        <w:rPr>
          <w:rFonts w:ascii="Franklin Gothic Medium" w:hAnsi="Franklin Gothic Medium" w:hint="cs"/>
          <w:rtl/>
        </w:rPr>
        <w:t xml:space="preserve">מחד, שקלתי כי העונש המֵרבי שנקצב בצד העבירות עומד על 10 שנים ושלוש שנים. כן שקלתי, כי מדובר בעבירה שבוצעה תוך תכנון מוקדם. הנאשם נסע לחברון ונפגש עם אדם שהציע לו לקנות את הנשק. בהמשך, נסע בשנית לחברון על מנת לקנותו. עוד התחשבתי בכך שעסקינן בתת מקלע, </w:t>
      </w:r>
      <w:r>
        <w:rPr>
          <w:rFonts w:ascii="Calibri" w:hAnsi="Calibri" w:hint="cs"/>
          <w:rtl/>
        </w:rPr>
        <w:t xml:space="preserve">המאפשר ירי לטווח רחוק המיועד לפי טיבו ומהותו לפגיעה בנפש </w:t>
      </w:r>
      <w:r>
        <w:rPr>
          <w:rFonts w:ascii="Arial" w:hAnsi="Arial" w:hint="cs"/>
          <w:rtl/>
        </w:rPr>
        <w:t>או לגרימת נזק היקפי גדול בגוף האדם,  והוא בעל פוטנציאל קטילה של ממש. בכך, חמור ענינו של הנאשם ממקרה של נשיאת נשק בעל קנה קצר, מסוג אקדח. ברם, אין מדובר בתת מקל</w:t>
      </w:r>
      <w:r>
        <w:rPr>
          <w:rFonts w:ascii="Arial" w:hAnsi="Arial" w:hint="cs"/>
          <w:rtl/>
        </w:rPr>
        <w:t>ע בקליבר של 9 מ"מ אלא קליבר של 7.65 מ"מ שפוטנציאל הנזק ממנו נמוך יותר.</w:t>
      </w:r>
      <w:r>
        <w:rPr>
          <w:rFonts w:ascii="Calibri" w:hAnsi="Calibri" w:hint="cs"/>
          <w:rtl/>
        </w:rPr>
        <w:t xml:space="preserve"> הנאשם קנה את הנשק ללא תחמושת כך שבפועל לא יכול היה לעשות בו שימוש. הנשק נתפס עובר לקנייתו. כן</w:t>
      </w:r>
      <w:r>
        <w:rPr>
          <w:rFonts w:ascii="Franklin Gothic Medium" w:hAnsi="Franklin Gothic Medium" w:hint="cs"/>
          <w:rtl/>
        </w:rPr>
        <w:t xml:space="preserve"> שקלתי, כי הנאשם הוא מי שקנה את הנשק ולא היה המוכר, וכן את העובדה ש</w:t>
      </w:r>
      <w:r>
        <w:rPr>
          <w:rFonts w:ascii="Calibri" w:hAnsi="Calibri" w:hint="cs"/>
          <w:rtl/>
        </w:rPr>
        <w:t xml:space="preserve">בסופו של יום לא נגרם נזק ממשי בגין העבירה בה הורשע הנאשם. </w:t>
      </w:r>
      <w:r>
        <w:rPr>
          <w:rFonts w:ascii="David" w:hAnsi="David" w:hint="cs"/>
          <w:rtl/>
        </w:rPr>
        <w:t>כך שמידת הפגיעה בערך המוגן היתה בעוצמה בינונית.</w:t>
      </w:r>
    </w:p>
    <w:p w14:paraId="05A22397" w14:textId="77777777" w:rsidR="006C2FB5" w:rsidRDefault="006C2FB5">
      <w:pPr>
        <w:spacing w:before="120" w:after="120" w:line="360" w:lineRule="auto"/>
        <w:ind w:left="782"/>
        <w:contextualSpacing/>
        <w:jc w:val="both"/>
        <w:rPr>
          <w:rFonts w:ascii="Calibri" w:hAnsi="Calibri"/>
          <w:sz w:val="12"/>
          <w:szCs w:val="12"/>
        </w:rPr>
      </w:pPr>
    </w:p>
    <w:p w14:paraId="383C032A" w14:textId="77777777" w:rsidR="006C2FB5" w:rsidRDefault="006C2FB5">
      <w:pPr>
        <w:pStyle w:val="a9"/>
        <w:numPr>
          <w:ilvl w:val="0"/>
          <w:numId w:val="1"/>
        </w:numPr>
        <w:spacing w:line="360" w:lineRule="auto"/>
        <w:jc w:val="both"/>
        <w:rPr>
          <w:rFonts w:ascii="Calibri" w:hAnsi="Calibri"/>
        </w:rPr>
      </w:pPr>
      <w:r>
        <w:rPr>
          <w:rFonts w:ascii="Calibri" w:hAnsi="Calibri" w:hint="cs"/>
          <w:rtl/>
        </w:rPr>
        <w:t xml:space="preserve">לאחר שבחנתי, את הערך החברתי שנפגע כתוצאה מביצוע העבירות שלפניי, את נסיבות ביצוע העבירות ואת מדיניות הענישה הנהוגה, הגעתי לכלל מסקנה כי מתחם העונש ההולם את העבירות שלפני, נע בין עונש של מאסר לתקופה של 9 חודשי מאסר בפועל לבין עונש של  24 חודשי מאסר בפועל, זאת לצד רכיבי ענישה נלווים. </w:t>
      </w:r>
    </w:p>
    <w:p w14:paraId="71523BA5" w14:textId="77777777" w:rsidR="006C2FB5" w:rsidRDefault="006C2FB5">
      <w:pPr>
        <w:spacing w:line="360" w:lineRule="auto"/>
        <w:jc w:val="both"/>
        <w:rPr>
          <w:rFonts w:ascii="David" w:hAnsi="David"/>
        </w:rPr>
      </w:pPr>
    </w:p>
    <w:p w14:paraId="7AC71D87" w14:textId="77777777" w:rsidR="006C2FB5" w:rsidRDefault="006C2FB5">
      <w:pPr>
        <w:spacing w:line="360" w:lineRule="auto"/>
        <w:ind w:firstLine="360"/>
        <w:jc w:val="both"/>
        <w:rPr>
          <w:b/>
          <w:bCs/>
          <w:u w:val="single"/>
        </w:rPr>
      </w:pPr>
      <w:r>
        <w:rPr>
          <w:rFonts w:hint="cs"/>
          <w:b/>
          <w:bCs/>
          <w:u w:val="single"/>
          <w:rtl/>
        </w:rPr>
        <w:t xml:space="preserve">העונש המתאים </w:t>
      </w:r>
    </w:p>
    <w:p w14:paraId="43C4B629" w14:textId="77777777" w:rsidR="006C2FB5" w:rsidRDefault="006C2FB5">
      <w:pPr>
        <w:pStyle w:val="a9"/>
        <w:numPr>
          <w:ilvl w:val="0"/>
          <w:numId w:val="1"/>
        </w:numPr>
        <w:spacing w:line="360" w:lineRule="auto"/>
        <w:jc w:val="both"/>
        <w:rPr>
          <w:rFonts w:ascii="David" w:hAnsi="David"/>
        </w:rPr>
      </w:pPr>
      <w:r>
        <w:rPr>
          <w:rFonts w:ascii="David" w:hAnsi="David" w:hint="cs"/>
          <w:rtl/>
        </w:rPr>
        <w:t xml:space="preserve">בגזירת העונש המתאים לנאשם, בגדרי מתחם העונש ההולם, יש להתחשב </w:t>
      </w:r>
      <w:r>
        <w:rPr>
          <w:rFonts w:ascii="David" w:hAnsi="David" w:hint="cs"/>
          <w:b/>
          <w:bCs/>
          <w:rtl/>
        </w:rPr>
        <w:t>בנסיבות שאינן קשורות בביצוע העבירה</w:t>
      </w:r>
      <w:r>
        <w:rPr>
          <w:rFonts w:ascii="David" w:hAnsi="David" w:hint="cs"/>
          <w:rtl/>
        </w:rPr>
        <w:t xml:space="preserve"> (</w:t>
      </w:r>
      <w:r>
        <w:rPr>
          <w:rFonts w:ascii="David" w:hAnsi="David" w:hint="cs"/>
          <w:color w:val="000000"/>
          <w:rtl/>
        </w:rPr>
        <w:t xml:space="preserve">סעיף </w:t>
      </w:r>
      <w:hyperlink r:id="rId38" w:history="1">
        <w:r>
          <w:rPr>
            <w:rFonts w:ascii="David" w:hAnsi="David"/>
            <w:color w:val="0000FF"/>
            <w:u w:val="single"/>
            <w:rtl/>
          </w:rPr>
          <w:t>40 יא'</w:t>
        </w:r>
      </w:hyperlink>
      <w:r>
        <w:rPr>
          <w:rFonts w:ascii="David" w:hAnsi="David" w:hint="cs"/>
          <w:rtl/>
        </w:rPr>
        <w:t xml:space="preserve">). במסגרת זו </w:t>
      </w:r>
      <w:r>
        <w:rPr>
          <w:rFonts w:hint="cs"/>
          <w:rtl/>
        </w:rPr>
        <w:t>מן הראוי לתת את הדעת לנסיבות הבאות:</w:t>
      </w:r>
    </w:p>
    <w:p w14:paraId="6C8D0EF2" w14:textId="77777777" w:rsidR="006C2FB5" w:rsidRDefault="006C2FB5">
      <w:pPr>
        <w:pStyle w:val="a9"/>
        <w:spacing w:line="360" w:lineRule="auto"/>
        <w:jc w:val="both"/>
        <w:rPr>
          <w:rFonts w:ascii="David" w:hAnsi="David"/>
          <w:sz w:val="12"/>
          <w:szCs w:val="12"/>
        </w:rPr>
      </w:pPr>
    </w:p>
    <w:p w14:paraId="7A8341C3" w14:textId="77777777" w:rsidR="006C2FB5" w:rsidRDefault="006C2FB5">
      <w:pPr>
        <w:pStyle w:val="a9"/>
        <w:numPr>
          <w:ilvl w:val="1"/>
          <w:numId w:val="2"/>
        </w:numPr>
        <w:spacing w:line="360" w:lineRule="auto"/>
        <w:jc w:val="both"/>
        <w:rPr>
          <w:rFonts w:ascii="David" w:hAnsi="David"/>
        </w:rPr>
      </w:pPr>
      <w:r>
        <w:rPr>
          <w:rFonts w:hint="cs"/>
          <w:b/>
          <w:bCs/>
          <w:rtl/>
        </w:rPr>
        <w:t>הפגיעה של העונש בנאשם, לרבות בשל גילו</w:t>
      </w:r>
      <w:r>
        <w:rPr>
          <w:rFonts w:hint="cs"/>
          <w:rtl/>
        </w:rPr>
        <w:t>;  הנאשם בן 22, בן למשפחה נורמטיבית ותומכת, מנהל אורח חיים נורמטיבי, רווק שעבד לפרנסתו טרם מעצרו. הנאשם שהה במעצר במשך כחודשיים ובהמשך שהה במעצר בית מלא למשך ארבעה חודשים.</w:t>
      </w:r>
    </w:p>
    <w:p w14:paraId="187ECCC1" w14:textId="77777777" w:rsidR="006C2FB5" w:rsidRDefault="006C2FB5">
      <w:pPr>
        <w:pStyle w:val="a9"/>
        <w:spacing w:line="360" w:lineRule="auto"/>
        <w:ind w:left="1080"/>
        <w:jc w:val="both"/>
        <w:rPr>
          <w:rFonts w:ascii="David" w:hAnsi="David"/>
          <w:sz w:val="12"/>
          <w:szCs w:val="12"/>
        </w:rPr>
      </w:pPr>
    </w:p>
    <w:p w14:paraId="5381C5C7" w14:textId="77777777" w:rsidR="006C2FB5" w:rsidRDefault="006C2FB5">
      <w:pPr>
        <w:pStyle w:val="a9"/>
        <w:numPr>
          <w:ilvl w:val="1"/>
          <w:numId w:val="2"/>
        </w:numPr>
        <w:spacing w:line="360" w:lineRule="auto"/>
        <w:jc w:val="both"/>
        <w:rPr>
          <w:sz w:val="12"/>
          <w:szCs w:val="12"/>
        </w:rPr>
      </w:pPr>
      <w:r>
        <w:rPr>
          <w:rFonts w:hint="cs"/>
          <w:b/>
          <w:bCs/>
          <w:rtl/>
        </w:rPr>
        <w:t xml:space="preserve">נטילת האחריות של הנאשם על מעשיו, וחזרתו למוטב או מאמציו לחזור למוטב; </w:t>
      </w:r>
      <w:r>
        <w:rPr>
          <w:rFonts w:hint="cs"/>
          <w:rtl/>
        </w:rPr>
        <w:t>הנאשם לקח אחריות למעשיו בהזדמנות ראשונה והביע חרטה עליהם. הנאשם עבר טיפול במסגרת שירות המבחן ומעוניין לחזור ללמוד ולעבוד לאחר שיסתיים עניינו. ההליך הפלילי הציב לו גבולות ברורים ושירות המבחן מצא כי המסוכנות הנלמדת ממנו פחתה.</w:t>
      </w:r>
    </w:p>
    <w:p w14:paraId="348D4FF1" w14:textId="77777777" w:rsidR="006C2FB5" w:rsidRDefault="006C2FB5">
      <w:pPr>
        <w:pStyle w:val="a9"/>
        <w:spacing w:line="360" w:lineRule="auto"/>
        <w:ind w:left="1080"/>
        <w:jc w:val="both"/>
        <w:rPr>
          <w:sz w:val="12"/>
          <w:szCs w:val="12"/>
        </w:rPr>
      </w:pPr>
    </w:p>
    <w:p w14:paraId="2C409290" w14:textId="77777777" w:rsidR="006C2FB5" w:rsidRDefault="006C2FB5">
      <w:pPr>
        <w:pStyle w:val="a9"/>
        <w:numPr>
          <w:ilvl w:val="1"/>
          <w:numId w:val="2"/>
        </w:numPr>
        <w:spacing w:line="360" w:lineRule="auto"/>
        <w:jc w:val="both"/>
      </w:pPr>
      <w:r>
        <w:rPr>
          <w:rFonts w:hint="cs"/>
          <w:b/>
          <w:bCs/>
          <w:rtl/>
        </w:rPr>
        <w:t>עברו הפלילי של הנאשם או העדרו;</w:t>
      </w:r>
      <w:r>
        <w:rPr>
          <w:rFonts w:hint="cs"/>
          <w:rtl/>
        </w:rPr>
        <w:t xml:space="preserve"> הנאשם נעדר עבר פלילי. שירות המבחן סבר כי הוא נעדר דפוסי עבריינות מושרשים וקיימת אצלו יכולת טובה לקבלת סמכות.</w:t>
      </w:r>
    </w:p>
    <w:p w14:paraId="44437920" w14:textId="77777777" w:rsidR="006C2FB5" w:rsidRDefault="006C2FB5">
      <w:pPr>
        <w:pStyle w:val="a9"/>
        <w:spacing w:line="360" w:lineRule="auto"/>
        <w:ind w:left="1080"/>
        <w:jc w:val="both"/>
        <w:rPr>
          <w:sz w:val="12"/>
          <w:szCs w:val="12"/>
        </w:rPr>
      </w:pPr>
    </w:p>
    <w:p w14:paraId="6B8AA028" w14:textId="77777777" w:rsidR="006C2FB5" w:rsidRDefault="006C2FB5">
      <w:pPr>
        <w:pStyle w:val="a9"/>
        <w:numPr>
          <w:ilvl w:val="0"/>
          <w:numId w:val="1"/>
        </w:numPr>
        <w:spacing w:line="360" w:lineRule="auto"/>
        <w:jc w:val="both"/>
        <w:rPr>
          <w:sz w:val="12"/>
          <w:szCs w:val="12"/>
          <w:rtl/>
        </w:rPr>
      </w:pPr>
      <w:r>
        <w:rPr>
          <w:rFonts w:hint="cs"/>
          <w:rtl/>
        </w:rPr>
        <w:t>עוד יש לתת דגש לשיקולי הרתעת הרבים, כפי שהדגיש כב' השופט שוהם ב</w:t>
      </w:r>
      <w:hyperlink r:id="rId39" w:history="1">
        <w:r>
          <w:rPr>
            <w:color w:val="0000FF"/>
            <w:u w:val="single"/>
            <w:rtl/>
          </w:rPr>
          <w:t>ע"פ 7502/12</w:t>
        </w:r>
      </w:hyperlink>
      <w:r>
        <w:rPr>
          <w:rFonts w:hint="cs"/>
          <w:rtl/>
        </w:rPr>
        <w:t xml:space="preserve"> עת חזר על ההלכה שנקבעה ב</w:t>
      </w:r>
      <w:hyperlink r:id="rId40" w:history="1">
        <w:r>
          <w:rPr>
            <w:color w:val="0000FF"/>
            <w:u w:val="single"/>
            <w:rtl/>
          </w:rPr>
          <w:t>רע"פ 2718/04</w:t>
        </w:r>
      </w:hyperlink>
      <w:r>
        <w:rPr>
          <w:rFonts w:hint="cs"/>
          <w:rtl/>
        </w:rPr>
        <w:t xml:space="preserve"> </w:t>
      </w:r>
      <w:r>
        <w:rPr>
          <w:rFonts w:hint="cs"/>
          <w:b/>
          <w:bCs/>
          <w:rtl/>
        </w:rPr>
        <w:t>אבו דאחל</w:t>
      </w:r>
      <w:r>
        <w:rPr>
          <w:rFonts w:hint="cs"/>
          <w:rtl/>
        </w:rPr>
        <w:t xml:space="preserve"> נ' </w:t>
      </w:r>
      <w:r>
        <w:rPr>
          <w:rFonts w:hint="cs"/>
          <w:b/>
          <w:bCs/>
          <w:rtl/>
        </w:rPr>
        <w:t>מדינת ישראל</w:t>
      </w:r>
      <w:r>
        <w:rPr>
          <w:rFonts w:hint="cs"/>
          <w:rtl/>
        </w:rPr>
        <w:t xml:space="preserve"> </w:t>
      </w:r>
      <w:r>
        <w:rPr>
          <w:sz w:val="22"/>
          <w:rtl/>
        </w:rPr>
        <w:t xml:space="preserve">[פורסם בנבו] </w:t>
      </w:r>
      <w:r>
        <w:rPr>
          <w:rFonts w:hint="cs"/>
          <w:rtl/>
        </w:rPr>
        <w:t>:</w:t>
      </w:r>
    </w:p>
    <w:p w14:paraId="402F0F13" w14:textId="77777777" w:rsidR="006C2FB5" w:rsidRDefault="006C2FB5">
      <w:pPr>
        <w:spacing w:line="360" w:lineRule="auto"/>
        <w:jc w:val="both"/>
        <w:rPr>
          <w:sz w:val="12"/>
          <w:szCs w:val="12"/>
        </w:rPr>
      </w:pPr>
    </w:p>
    <w:p w14:paraId="68621F25" w14:textId="77777777" w:rsidR="006C2FB5" w:rsidRDefault="006C2FB5">
      <w:pPr>
        <w:pStyle w:val="a9"/>
        <w:spacing w:line="360" w:lineRule="auto"/>
        <w:ind w:left="1134" w:right="1134"/>
        <w:jc w:val="both"/>
        <w:rPr>
          <w:rFonts w:ascii="Calibri" w:hAnsi="Calibri"/>
          <w:b/>
          <w:bCs/>
        </w:rPr>
      </w:pPr>
      <w:r>
        <w:rPr>
          <w:rFonts w:ascii="Calibri" w:hAnsi="Calibri" w:hint="cs"/>
          <w:b/>
          <w:bCs/>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(וראו גם, </w:t>
      </w:r>
      <w:hyperlink r:id="rId41"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6583/06</w:t>
        </w:r>
      </w:hyperlink>
      <w:r>
        <w:rPr>
          <w:rFonts w:ascii="Calibri" w:hAnsi="Calibri" w:hint="cs"/>
          <w:b/>
          <w:bCs/>
          <w:rtl/>
        </w:rPr>
        <w:t xml:space="preserve"> אדהאם נ' מדינת ישראל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 xml:space="preserve">(5.12.2006); </w:t>
      </w:r>
      <w:hyperlink r:id="rId42"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2839/05</w:t>
        </w:r>
      </w:hyperlink>
      <w:r>
        <w:rPr>
          <w:rFonts w:ascii="Calibri" w:hAnsi="Calibri" w:hint="cs"/>
          <w:b/>
          <w:bCs/>
          <w:rtl/>
        </w:rPr>
        <w:t xml:space="preserve"> אל קאדר נ' מדינת ישראל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(17.11.2005))."</w:t>
      </w:r>
    </w:p>
    <w:p w14:paraId="1751C714" w14:textId="77777777" w:rsidR="006C2FB5" w:rsidRDefault="006C2FB5">
      <w:pPr>
        <w:pStyle w:val="a9"/>
        <w:spacing w:line="360" w:lineRule="auto"/>
        <w:ind w:left="1134" w:right="1134"/>
        <w:jc w:val="both"/>
        <w:rPr>
          <w:b/>
          <w:bCs/>
          <w:sz w:val="12"/>
          <w:szCs w:val="12"/>
          <w:rtl/>
        </w:rPr>
      </w:pPr>
    </w:p>
    <w:p w14:paraId="374F0EAD" w14:textId="77777777" w:rsidR="006C2FB5" w:rsidRDefault="006C2FB5">
      <w:pPr>
        <w:pStyle w:val="a9"/>
        <w:numPr>
          <w:ilvl w:val="0"/>
          <w:numId w:val="1"/>
        </w:numPr>
        <w:spacing w:line="360" w:lineRule="auto"/>
        <w:jc w:val="both"/>
        <w:rPr>
          <w:rtl/>
        </w:rPr>
      </w:pPr>
      <w:r>
        <w:rPr>
          <w:rFonts w:hint="cs"/>
          <w:rtl/>
        </w:rPr>
        <w:t xml:space="preserve">באיזון בין השיקולים השונים סבורני, כי יש לגזור על הנאשם עונש מאסר ברף הנמוך של המתחם.  </w:t>
      </w:r>
    </w:p>
    <w:p w14:paraId="6EF2D677" w14:textId="77777777" w:rsidR="006C2FB5" w:rsidRDefault="006C2FB5">
      <w:pPr>
        <w:pStyle w:val="a9"/>
        <w:spacing w:line="360" w:lineRule="auto"/>
        <w:jc w:val="both"/>
        <w:rPr>
          <w:rFonts w:ascii="David" w:hAnsi="David"/>
          <w:rtl/>
        </w:rPr>
      </w:pPr>
    </w:p>
    <w:p w14:paraId="751A8857" w14:textId="77777777" w:rsidR="006C2FB5" w:rsidRDefault="006C2FB5">
      <w:pPr>
        <w:spacing w:line="360" w:lineRule="auto"/>
        <w:ind w:firstLine="360"/>
        <w:jc w:val="both"/>
        <w:rPr>
          <w:b/>
          <w:bCs/>
          <w:u w:val="single"/>
        </w:rPr>
      </w:pPr>
      <w:r>
        <w:rPr>
          <w:rFonts w:hint="cs"/>
          <w:b/>
          <w:bCs/>
          <w:u w:val="single"/>
          <w:rtl/>
        </w:rPr>
        <w:t>סוגיית הסטייה מן מהמתחם</w:t>
      </w:r>
    </w:p>
    <w:p w14:paraId="15ED6E37" w14:textId="77777777" w:rsidR="006C2FB5" w:rsidRDefault="006C2FB5">
      <w:pPr>
        <w:pStyle w:val="a9"/>
        <w:numPr>
          <w:ilvl w:val="0"/>
          <w:numId w:val="1"/>
        </w:numPr>
        <w:spacing w:line="360" w:lineRule="auto"/>
        <w:jc w:val="both"/>
        <w:rPr>
          <w:rFonts w:ascii="Calibri" w:hAnsi="Calibri"/>
        </w:rPr>
      </w:pPr>
      <w:r>
        <w:rPr>
          <w:rFonts w:ascii="David" w:hAnsi="David" w:hint="cs"/>
          <w:rtl/>
        </w:rPr>
        <w:t xml:space="preserve">במקרה דנן, לא קיימים שיקולים אשר מצדיקים סטייה מהמתחם, לחומרה או לקולא. </w:t>
      </w:r>
      <w:r>
        <w:rPr>
          <w:rFonts w:ascii="David" w:hAnsi="David" w:hint="cs"/>
          <w:b/>
          <w:bCs/>
          <w:rtl/>
        </w:rPr>
        <w:t>שיקול ההגנה על שלום הציבור</w:t>
      </w:r>
      <w:r>
        <w:rPr>
          <w:rFonts w:ascii="David" w:hAnsi="David" w:hint="cs"/>
          <w:rtl/>
        </w:rPr>
        <w:t xml:space="preserve"> אינו מצדיק החמרה בעונשו של הנאשם. </w:t>
      </w:r>
      <w:r>
        <w:rPr>
          <w:rFonts w:ascii="David" w:hAnsi="David" w:hint="cs"/>
          <w:b/>
          <w:bCs/>
          <w:rtl/>
        </w:rPr>
        <w:t>השיקול השיקומי</w:t>
      </w:r>
      <w:r>
        <w:rPr>
          <w:rFonts w:ascii="David" w:hAnsi="David" w:hint="cs"/>
          <w:rtl/>
        </w:rPr>
        <w:t xml:space="preserve"> אינו מצדיק הקלה בעונשו.</w:t>
      </w:r>
    </w:p>
    <w:p w14:paraId="50A9EA27" w14:textId="77777777" w:rsidR="006C2FB5" w:rsidRDefault="006C2FB5">
      <w:pPr>
        <w:pStyle w:val="a9"/>
        <w:spacing w:line="360" w:lineRule="auto"/>
        <w:ind w:left="785"/>
        <w:jc w:val="both"/>
        <w:rPr>
          <w:rFonts w:ascii="Calibri" w:hAnsi="Calibri"/>
          <w:sz w:val="12"/>
          <w:szCs w:val="12"/>
        </w:rPr>
      </w:pPr>
    </w:p>
    <w:p w14:paraId="2188C086" w14:textId="77777777" w:rsidR="006C2FB5" w:rsidRDefault="006C2FB5">
      <w:pPr>
        <w:pStyle w:val="a9"/>
        <w:numPr>
          <w:ilvl w:val="0"/>
          <w:numId w:val="1"/>
        </w:numPr>
        <w:spacing w:line="360" w:lineRule="auto"/>
        <w:jc w:val="both"/>
      </w:pPr>
      <w:r>
        <w:rPr>
          <w:rFonts w:ascii="David" w:hAnsi="David" w:hint="cs"/>
          <w:rtl/>
        </w:rPr>
        <w:t>למרות</w:t>
      </w:r>
      <w:r>
        <w:rPr>
          <w:rFonts w:hint="cs"/>
          <w:rtl/>
        </w:rPr>
        <w:t xml:space="preserve"> המלצת שירות המבחן להטלת עונש של מאסר אשר ירוצה בעבודות שירות, מאסר על תנאי, וצו מבחן, נוכח חומרת עבירת החזקת הנשק והצורך לתת דגש להרתעת הרבים לא מצאתי לחרוג ממתחם העונש ההולם מטעמי שיקום, אלא התחשבתי בהמלצת שירות המבחן בקביעת העונש המתאים. יוער, כי היה מקום להטיל עונש גבוה מהרף התחתון ביותר של המתחם, בשל שיקולי הרתעת הרבים. עם זאת, לאור התסקיר החיובי ביותר והתהליך שעבר הנאשם, החלטתי להטיל עליו עונש ברף הנמוך של המתחם.</w:t>
      </w:r>
    </w:p>
    <w:p w14:paraId="164E8CCE" w14:textId="77777777" w:rsidR="006C2FB5" w:rsidRDefault="006C2FB5">
      <w:pPr>
        <w:pStyle w:val="a9"/>
        <w:spacing w:line="360" w:lineRule="auto"/>
        <w:jc w:val="both"/>
        <w:rPr>
          <w:sz w:val="12"/>
          <w:szCs w:val="12"/>
        </w:rPr>
      </w:pPr>
    </w:p>
    <w:p w14:paraId="5E7C702F" w14:textId="77777777" w:rsidR="006C2FB5" w:rsidRDefault="006C2FB5">
      <w:pPr>
        <w:pStyle w:val="a9"/>
        <w:numPr>
          <w:ilvl w:val="0"/>
          <w:numId w:val="1"/>
        </w:numPr>
        <w:spacing w:line="360" w:lineRule="auto"/>
        <w:jc w:val="both"/>
        <w:rPr>
          <w:sz w:val="12"/>
          <w:szCs w:val="12"/>
        </w:rPr>
      </w:pPr>
      <w:r>
        <w:rPr>
          <w:rFonts w:hint="cs"/>
          <w:rtl/>
        </w:rPr>
        <w:t xml:space="preserve">העובדה כי הנאשם מנהל אורח חיים נורמטיבי, כי ביצע את העבירה על רקע אישיות בלתי בשלה, ועבר טיפול במסגרת שירות המבחן למשך 4 חודשים, אין די בהם, כדי להכניס את הנאשם בגדרי  </w:t>
      </w:r>
      <w:hyperlink r:id="rId43" w:history="1">
        <w:r>
          <w:rPr>
            <w:color w:val="0000FF"/>
            <w:u w:val="single"/>
            <w:rtl/>
          </w:rPr>
          <w:t>סעיף 40ד'</w:t>
        </w:r>
      </w:hyperlink>
      <w:r>
        <w:rPr>
          <w:rFonts w:hint="cs"/>
          <w:rtl/>
        </w:rPr>
        <w:t xml:space="preserve"> לחוק, ולחרוג ממתחם העונש ההולם מטעמי שיקום. </w:t>
      </w:r>
    </w:p>
    <w:p w14:paraId="66E8A180" w14:textId="77777777" w:rsidR="006C2FB5" w:rsidRDefault="006C2FB5">
      <w:pPr>
        <w:pStyle w:val="a9"/>
        <w:spacing w:line="360" w:lineRule="auto"/>
        <w:ind w:left="785"/>
        <w:jc w:val="both"/>
        <w:rPr>
          <w:sz w:val="12"/>
          <w:szCs w:val="12"/>
        </w:rPr>
      </w:pPr>
    </w:p>
    <w:p w14:paraId="058890F5" w14:textId="77777777" w:rsidR="006C2FB5" w:rsidRDefault="006C2FB5">
      <w:pPr>
        <w:pStyle w:val="a9"/>
        <w:numPr>
          <w:ilvl w:val="0"/>
          <w:numId w:val="1"/>
        </w:numPr>
        <w:spacing w:line="360" w:lineRule="auto"/>
        <w:jc w:val="both"/>
        <w:rPr>
          <w:b/>
          <w:bCs/>
        </w:rPr>
      </w:pPr>
      <w:r>
        <w:rPr>
          <w:rFonts w:hint="cs"/>
          <w:rtl/>
        </w:rPr>
        <w:t>עוד יצוין בהקשר זה, כפי שנפסק ב</w:t>
      </w:r>
      <w:hyperlink r:id="rId44" w:history="1">
        <w:r>
          <w:rPr>
            <w:color w:val="0000FF"/>
            <w:u w:val="single"/>
            <w:rtl/>
          </w:rPr>
          <w:t>רע"פ 2258/13</w:t>
        </w:r>
      </w:hyperlink>
      <w:r>
        <w:rPr>
          <w:rFonts w:hint="cs"/>
          <w:rtl/>
        </w:rPr>
        <w:t xml:space="preserve"> </w:t>
      </w:r>
      <w:r>
        <w:rPr>
          <w:rFonts w:hint="cs"/>
          <w:b/>
          <w:bCs/>
          <w:rtl/>
        </w:rPr>
        <w:t>אליהו מאירוב נ' מדינת ישראל</w:t>
      </w:r>
      <w:r>
        <w:rPr>
          <w:rFonts w:hint="cs"/>
          <w:rtl/>
        </w:rPr>
        <w:t xml:space="preserve"> </w:t>
      </w:r>
      <w:r>
        <w:rPr>
          <w:sz w:val="22"/>
          <w:rtl/>
        </w:rPr>
        <w:t xml:space="preserve">[פורסם בנבו] </w:t>
      </w:r>
      <w:r>
        <w:rPr>
          <w:rFonts w:hint="cs"/>
          <w:rtl/>
        </w:rPr>
        <w:t>(ניתן 30.4.13 שם בפסקה 13),</w:t>
      </w:r>
      <w:r>
        <w:rPr>
          <w:rFonts w:hint="cs"/>
          <w:b/>
          <w:bCs/>
          <w:rtl/>
        </w:rPr>
        <w:t xml:space="preserve">"כי על אף חשיבות המלצותיו של שירות המבחן, גזירת הדין נעשית בידי הערכאה השיפוטית ומכאן שעמדת שירות המבחן, אינה אלא אחד השיקולים העומדים בפני בית המשפט בבואו לגזור את דינו של הנאשם – לעיתים יאמץ בית המשפט את המלצת שירות המבחן במלואה, לעיתים יאמץ אותה בחלקה ולעיתים ידחה אותה מכל וכל. כל עניין ונסיבותיו הוא, וכל מקרה ייבחן לגופו, תוך מתן משקל ראוי להמלצת שירות המבחן". </w:t>
      </w:r>
    </w:p>
    <w:p w14:paraId="632DB83B" w14:textId="77777777" w:rsidR="006C2FB5" w:rsidRDefault="006C2FB5">
      <w:pPr>
        <w:pStyle w:val="a9"/>
        <w:spacing w:line="360" w:lineRule="auto"/>
        <w:jc w:val="both"/>
        <w:rPr>
          <w:sz w:val="14"/>
          <w:szCs w:val="14"/>
          <w:rtl/>
        </w:rPr>
      </w:pPr>
    </w:p>
    <w:p w14:paraId="6C01963C" w14:textId="77777777" w:rsidR="006C2FB5" w:rsidRDefault="006C2FB5">
      <w:pPr>
        <w:pStyle w:val="a9"/>
        <w:numPr>
          <w:ilvl w:val="0"/>
          <w:numId w:val="1"/>
        </w:numPr>
        <w:spacing w:line="360" w:lineRule="auto"/>
        <w:jc w:val="both"/>
        <w:rPr>
          <w:rtl/>
        </w:rPr>
      </w:pPr>
      <w:r>
        <w:rPr>
          <w:rFonts w:ascii="David" w:hAnsi="David" w:hint="cs"/>
          <w:rtl/>
        </w:rPr>
        <w:t xml:space="preserve">לאור כל האמור לעיל, החלטתי להטיל על הנאשם את העונשים כדלהלן: </w:t>
      </w:r>
    </w:p>
    <w:p w14:paraId="13ED5DBB" w14:textId="77777777" w:rsidR="006C2FB5" w:rsidRDefault="006C2FB5">
      <w:pPr>
        <w:pStyle w:val="a9"/>
        <w:spacing w:line="360" w:lineRule="auto"/>
        <w:jc w:val="both"/>
        <w:rPr>
          <w:sz w:val="14"/>
          <w:szCs w:val="14"/>
        </w:rPr>
      </w:pPr>
    </w:p>
    <w:p w14:paraId="143191FF" w14:textId="77777777" w:rsidR="006C2FB5" w:rsidRDefault="006C2FB5">
      <w:pPr>
        <w:pStyle w:val="a9"/>
        <w:numPr>
          <w:ilvl w:val="1"/>
          <w:numId w:val="3"/>
        </w:numPr>
        <w:spacing w:line="360" w:lineRule="auto"/>
        <w:jc w:val="both"/>
      </w:pPr>
      <w:r>
        <w:rPr>
          <w:rFonts w:hint="cs"/>
          <w:rtl/>
        </w:rPr>
        <w:t xml:space="preserve">9 חודשי מאסר, בניכוי ימי מעצרו 18.10.17 ועד 13.12.17. הנאשם יתייצב לריצוי עונשו </w:t>
      </w:r>
      <w:r>
        <w:rPr>
          <w:rFonts w:cs="FrankRuehl" w:hint="cs"/>
          <w:sz w:val="28"/>
          <w:szCs w:val="28"/>
          <w:rtl/>
        </w:rPr>
        <w:t xml:space="preserve"> </w:t>
      </w:r>
      <w:r>
        <w:rPr>
          <w:rFonts w:hint="cs"/>
          <w:rtl/>
        </w:rPr>
        <w:t>ביום 8.5.18</w:t>
      </w:r>
      <w:r>
        <w:rPr>
          <w:rFonts w:hint="cs"/>
        </w:rPr>
        <w:t xml:space="preserve"> </w:t>
      </w:r>
      <w:r>
        <w:rPr>
          <w:rFonts w:hint="cs"/>
          <w:rtl/>
        </w:rPr>
        <w:t xml:space="preserve"> עד לשעה 10:00, בבית הסוהר ניצן כשברשותו תעודת זהות, או דרכון ועותק גזר הדין. על הנאשם לתאם את הכניסה למאסר, כולל האפשרות למיון מוקדם, עם ענף אבחון ומיון של שירות בתי הסוהר, טלפונים: 08-9787377 או 08-9787336.</w:t>
      </w:r>
      <w:r>
        <w:rPr>
          <w:rFonts w:cs="FrankRuehl" w:hint="cs"/>
          <w:sz w:val="28"/>
          <w:szCs w:val="28"/>
          <w:rtl/>
        </w:rPr>
        <w:t xml:space="preserve"> </w:t>
      </w:r>
    </w:p>
    <w:p w14:paraId="4CBAACEB" w14:textId="77777777" w:rsidR="006C2FB5" w:rsidRDefault="006C2FB5">
      <w:pPr>
        <w:pStyle w:val="a9"/>
        <w:spacing w:line="360" w:lineRule="auto"/>
        <w:ind w:left="1980"/>
        <w:jc w:val="both"/>
        <w:rPr>
          <w:sz w:val="12"/>
          <w:szCs w:val="12"/>
        </w:rPr>
      </w:pPr>
    </w:p>
    <w:p w14:paraId="30887F93" w14:textId="77777777" w:rsidR="006C2FB5" w:rsidRDefault="006C2FB5">
      <w:pPr>
        <w:pStyle w:val="a9"/>
        <w:numPr>
          <w:ilvl w:val="1"/>
          <w:numId w:val="3"/>
        </w:numPr>
        <w:spacing w:line="360" w:lineRule="auto"/>
        <w:jc w:val="both"/>
      </w:pPr>
      <w:r>
        <w:rPr>
          <w:rFonts w:hint="cs"/>
          <w:rtl/>
        </w:rPr>
        <w:t>8 חודשי מאסר. הנאשם לא ירצה עונש זה אלא אם יעבור בתוך שנתיים מיום שחרורו על עבירות בנשק מסוג פשע.</w:t>
      </w:r>
    </w:p>
    <w:p w14:paraId="7F92F9D3" w14:textId="77777777" w:rsidR="006C2FB5" w:rsidRDefault="006C2FB5">
      <w:pPr>
        <w:pStyle w:val="a9"/>
        <w:spacing w:line="360" w:lineRule="auto"/>
        <w:ind w:left="1980"/>
        <w:jc w:val="both"/>
        <w:rPr>
          <w:sz w:val="12"/>
          <w:szCs w:val="12"/>
        </w:rPr>
      </w:pPr>
    </w:p>
    <w:p w14:paraId="4487022C" w14:textId="77777777" w:rsidR="006C2FB5" w:rsidRDefault="006C2FB5">
      <w:pPr>
        <w:pStyle w:val="a9"/>
        <w:numPr>
          <w:ilvl w:val="1"/>
          <w:numId w:val="3"/>
        </w:numPr>
        <w:spacing w:line="360" w:lineRule="auto"/>
        <w:jc w:val="both"/>
      </w:pPr>
      <w:r>
        <w:rPr>
          <w:rFonts w:hint="cs"/>
          <w:rtl/>
        </w:rPr>
        <w:t>3 חודשי מאסר. הנאשם לא ירצה עונש זה אלא אם יעבור בתוך שנתיים מיום שחרורו על עבירות בנשק מסוג עוון.</w:t>
      </w:r>
    </w:p>
    <w:p w14:paraId="0A6B28D4" w14:textId="77777777" w:rsidR="006C2FB5" w:rsidRDefault="006C2FB5">
      <w:pPr>
        <w:pStyle w:val="a9"/>
        <w:spacing w:line="360" w:lineRule="auto"/>
        <w:ind w:left="1980"/>
        <w:jc w:val="both"/>
        <w:rPr>
          <w:sz w:val="12"/>
          <w:szCs w:val="12"/>
        </w:rPr>
      </w:pPr>
      <w:r>
        <w:rPr>
          <w:rFonts w:hint="cs"/>
          <w:rtl/>
        </w:rPr>
        <w:t xml:space="preserve"> </w:t>
      </w:r>
    </w:p>
    <w:p w14:paraId="4C0A147F" w14:textId="77777777" w:rsidR="006C2FB5" w:rsidRDefault="006C2FB5">
      <w:pPr>
        <w:pStyle w:val="a9"/>
        <w:numPr>
          <w:ilvl w:val="0"/>
          <w:numId w:val="1"/>
        </w:numPr>
        <w:spacing w:line="360" w:lineRule="auto"/>
        <w:jc w:val="both"/>
      </w:pPr>
      <w:r>
        <w:rPr>
          <w:rFonts w:hint="cs"/>
          <w:rtl/>
        </w:rPr>
        <w:t xml:space="preserve"> אשר לרכבו של הנאשם. אומנם הוא שימש את הנאשם בעת ביצוע העבירה, והנשק הוסתר בו. עם זאת, הרכב לא היה חיוני לביצוע העבירה, אלא הוא שימש את הנאשם לנוע ממקום למקום, ומקום המסתור לנשק היה רגעי, שכן הנשק נתפס ברכב, מאחר שהנאשם נתפס מיד עובר לקנייתו. בהתחשב באמור לעיל וכן בהתחשב בעונשים האחרים שהוטלו על הנאשם, לא מצאתי להורות על חילוט הרכב ואני קובעת כי יש להשיבו לנאשם.</w:t>
      </w:r>
    </w:p>
    <w:p w14:paraId="39C130EA" w14:textId="77777777" w:rsidR="006C2FB5" w:rsidRDefault="006C2FB5">
      <w:pPr>
        <w:spacing w:line="360" w:lineRule="auto"/>
        <w:rPr>
          <w:rtl/>
        </w:rPr>
      </w:pPr>
    </w:p>
    <w:p w14:paraId="437E669C" w14:textId="77777777" w:rsidR="006C2FB5" w:rsidRDefault="006C2FB5">
      <w:pPr>
        <w:spacing w:line="360" w:lineRule="auto"/>
      </w:pPr>
      <w:r>
        <w:rPr>
          <w:rFonts w:hint="cs"/>
          <w:rtl/>
        </w:rPr>
        <w:t>המזכירות תשלח את גזר הדין לשירות המבחן ולשב"ס.</w:t>
      </w:r>
    </w:p>
    <w:p w14:paraId="63335433" w14:textId="77777777" w:rsidR="006C2FB5" w:rsidRDefault="006C2FB5">
      <w:pPr>
        <w:rPr>
          <w:b/>
          <w:bCs/>
          <w:rtl/>
        </w:rPr>
      </w:pPr>
      <w:r>
        <w:rPr>
          <w:rFonts w:hint="cs"/>
          <w:b/>
          <w:bCs/>
          <w:rtl/>
        </w:rPr>
        <w:t>זכות ערעור לבית המשפט העליון בתוך 45 יום מהיום.</w:t>
      </w:r>
    </w:p>
    <w:p w14:paraId="43320716" w14:textId="77777777" w:rsidR="006C2FB5" w:rsidRDefault="006C2FB5">
      <w:pPr>
        <w:rPr>
          <w:color w:val="FFFFFF"/>
          <w:sz w:val="2"/>
          <w:szCs w:val="2"/>
          <w:rtl/>
        </w:rPr>
      </w:pPr>
      <w:r>
        <w:rPr>
          <w:color w:val="FFFFFF"/>
          <w:sz w:val="2"/>
          <w:szCs w:val="2"/>
          <w:rtl/>
        </w:rPr>
        <w:t>5129371</w:t>
      </w:r>
    </w:p>
    <w:p w14:paraId="7146B9AC" w14:textId="77777777" w:rsidR="006C2FB5" w:rsidRDefault="006C2FB5">
      <w:pPr>
        <w:rPr>
          <w:rFonts w:cs="FrankRuehl"/>
          <w:b/>
          <w:bCs/>
          <w:sz w:val="28"/>
          <w:szCs w:val="28"/>
          <w:rtl/>
        </w:rPr>
      </w:pPr>
      <w:r>
        <w:rPr>
          <w:rFonts w:ascii="Arial" w:hAnsi="Arial"/>
          <w:b/>
          <w:bCs/>
          <w:color w:val="FFFFFF"/>
          <w:sz w:val="2"/>
          <w:szCs w:val="2"/>
          <w:rtl/>
        </w:rPr>
        <w:t>54678313</w:t>
      </w:r>
      <w:r>
        <w:rPr>
          <w:rFonts w:ascii="Arial" w:hAnsi="Arial"/>
          <w:b/>
          <w:bCs/>
          <w:rtl/>
        </w:rPr>
        <w:t xml:space="preserve">ניתן היום,  י"ז אייר תשע"ח, 02 מאי 2018, במעמד ב"כ הצדדים והנאשם. </w:t>
      </w:r>
    </w:p>
    <w:p w14:paraId="414DDDCA" w14:textId="77777777" w:rsidR="006C2FB5" w:rsidRDefault="006C2FB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3427435" w14:textId="77777777" w:rsidR="006C2FB5" w:rsidRDefault="006C2FB5">
      <w:pPr>
        <w:jc w:val="center"/>
        <w:rPr>
          <w:rFonts w:ascii="Arial" w:hAnsi="Arial" w:cs="FrankRuehl"/>
          <w:sz w:val="28"/>
          <w:szCs w:val="28"/>
          <w:rtl/>
        </w:rPr>
      </w:pPr>
    </w:p>
    <w:p w14:paraId="07710FB1" w14:textId="77777777" w:rsidR="006C2FB5" w:rsidRDefault="006C2FB5">
      <w:pPr>
        <w:rPr>
          <w:rFonts w:cs="FrankRuehl"/>
          <w:sz w:val="28"/>
          <w:szCs w:val="28"/>
          <w:rtl/>
        </w:rPr>
      </w:pPr>
    </w:p>
    <w:p w14:paraId="1773A523" w14:textId="77777777" w:rsidR="006C2FB5" w:rsidRDefault="006C2FB5">
      <w:pPr>
        <w:pStyle w:val="a3"/>
        <w:jc w:val="center"/>
        <w:rPr>
          <w:rtl/>
        </w:rPr>
      </w:pPr>
    </w:p>
    <w:p w14:paraId="4A92ED28" w14:textId="77777777" w:rsidR="006C2FB5" w:rsidRDefault="006C2FB5">
      <w:pPr>
        <w:keepNext/>
        <w:rPr>
          <w:rFonts w:ascii="David" w:hAnsi="David"/>
          <w:color w:val="000000"/>
          <w:sz w:val="22"/>
          <w:szCs w:val="22"/>
          <w:rtl/>
        </w:rPr>
      </w:pPr>
    </w:p>
    <w:p w14:paraId="01A0EF47" w14:textId="77777777" w:rsidR="006C2FB5" w:rsidRDefault="006C2FB5">
      <w:pPr>
        <w:keepNext/>
        <w:rPr>
          <w:rFonts w:ascii="David" w:hAnsi="David"/>
          <w:color w:val="000000"/>
          <w:sz w:val="22"/>
          <w:szCs w:val="22"/>
          <w:rtl/>
        </w:rPr>
      </w:pPr>
      <w:r>
        <w:rPr>
          <w:rFonts w:ascii="David" w:hAnsi="David"/>
          <w:color w:val="000000"/>
          <w:sz w:val="22"/>
          <w:szCs w:val="22"/>
          <w:rtl/>
        </w:rPr>
        <w:t>חנה מרים לומפ 54678313</w:t>
      </w:r>
    </w:p>
    <w:p w14:paraId="16081ECF" w14:textId="77777777" w:rsidR="006C2FB5" w:rsidRDefault="006C2FB5">
      <w:r>
        <w:rPr>
          <w:color w:val="000000"/>
          <w:rtl/>
        </w:rPr>
        <w:t>נוסח מסמך זה כפוף לשינויי ניסוח ועריכה</w:t>
      </w:r>
    </w:p>
    <w:p w14:paraId="50929E87" w14:textId="77777777" w:rsidR="006C2FB5" w:rsidRDefault="006C2FB5">
      <w:pPr>
        <w:rPr>
          <w:rtl/>
        </w:rPr>
      </w:pPr>
    </w:p>
    <w:p w14:paraId="23D87048" w14:textId="77777777" w:rsidR="006C2FB5" w:rsidRDefault="006C2FB5">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41584409" w14:textId="77777777" w:rsidR="006C2FB5" w:rsidRDefault="006C2FB5">
      <w:pPr>
        <w:jc w:val="center"/>
        <w:rPr>
          <w:color w:val="0000FF"/>
          <w:u w:val="single"/>
        </w:rPr>
      </w:pPr>
    </w:p>
    <w:sectPr w:rsidR="00000000">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98B40" w14:textId="77777777" w:rsidR="006C2FB5" w:rsidRDefault="006C2FB5">
      <w:r>
        <w:separator/>
      </w:r>
    </w:p>
  </w:endnote>
  <w:endnote w:type="continuationSeparator" w:id="0">
    <w:p w14:paraId="5CD28CDB" w14:textId="77777777" w:rsidR="006C2FB5" w:rsidRDefault="006C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4470F" w14:textId="77777777" w:rsidR="006C2FB5" w:rsidRDefault="006C2FB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76D1B5" w14:textId="77777777" w:rsidR="006C2FB5" w:rsidRDefault="006C2FB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7D817" w14:textId="77777777" w:rsidR="006C2FB5" w:rsidRDefault="006C2FB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9E9CED6" w14:textId="77777777" w:rsidR="006C2FB5" w:rsidRDefault="006C2FB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A8F9D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CA861" w14:textId="77777777" w:rsidR="006C2FB5" w:rsidRDefault="006C2FB5">
      <w:r>
        <w:separator/>
      </w:r>
    </w:p>
  </w:footnote>
  <w:footnote w:type="continuationSeparator" w:id="0">
    <w:p w14:paraId="66C94949" w14:textId="77777777" w:rsidR="006C2FB5" w:rsidRDefault="006C2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7BD1F" w14:textId="77777777" w:rsidR="006C2FB5" w:rsidRDefault="006C2F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51523-10-17</w:t>
    </w:r>
    <w:r>
      <w:rPr>
        <w:rFonts w:ascii="David" w:hAnsi="David"/>
        <w:color w:val="000000"/>
        <w:sz w:val="22"/>
        <w:szCs w:val="22"/>
        <w:rtl/>
      </w:rPr>
      <w:tab/>
      <w:t xml:space="preserve"> מדינת ישראל נ' איאד בזלמית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DF043" w14:textId="77777777" w:rsidR="006C2FB5" w:rsidRDefault="006C2F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51523-10-17</w:t>
    </w:r>
    <w:r>
      <w:rPr>
        <w:rFonts w:ascii="David" w:hAnsi="David"/>
        <w:color w:val="000000"/>
        <w:sz w:val="22"/>
        <w:szCs w:val="22"/>
        <w:rtl/>
      </w:rPr>
      <w:tab/>
      <w:t xml:space="preserve"> מדינת ישראל נ' איאד בזלמית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07E36"/>
    <w:multiLevelType w:val="multilevel"/>
    <w:tmpl w:val="100C23C6"/>
    <w:lvl w:ilvl="0">
      <w:start w:val="1"/>
      <w:numFmt w:val="decimal"/>
      <w:lvlText w:val="%1."/>
      <w:lvlJc w:val="left"/>
      <w:pPr>
        <w:ind w:left="720" w:hanging="360"/>
      </w:pPr>
      <w:rPr>
        <w:rFonts w:cs="David"/>
        <w:b w:val="0"/>
        <w:bCs w:val="0"/>
      </w:rPr>
    </w:lvl>
    <w:lvl w:ilvl="1">
      <w:start w:val="1"/>
      <w:numFmt w:val="hebrew1"/>
      <w:lvlText w:val="%2."/>
      <w:lvlJc w:val="center"/>
      <w:pPr>
        <w:ind w:left="1080" w:hanging="360"/>
      </w:pPr>
      <w:rPr>
        <w:b/>
        <w:strike w:val="0"/>
        <w:dstrike w:val="0"/>
        <w:sz w:val="24"/>
        <w:szCs w:val="24"/>
        <w:u w:val="none"/>
        <w:effect w:val="none"/>
      </w:rPr>
    </w:lvl>
    <w:lvl w:ilvl="2">
      <w:start w:val="1"/>
      <w:numFmt w:val="decimal"/>
      <w:isLgl/>
      <w:lvlText w:val="%1.%2.%3"/>
      <w:lvlJc w:val="left"/>
      <w:pPr>
        <w:ind w:left="1800" w:hanging="720"/>
      </w:pPr>
      <w:rPr>
        <w:rFonts w:cs="Times New Roman"/>
        <w:b/>
        <w:u w:val="single"/>
      </w:rPr>
    </w:lvl>
    <w:lvl w:ilvl="3">
      <w:start w:val="1"/>
      <w:numFmt w:val="decimal"/>
      <w:isLgl/>
      <w:lvlText w:val="%1.%2.%3.%4"/>
      <w:lvlJc w:val="left"/>
      <w:pPr>
        <w:ind w:left="2160" w:hanging="720"/>
      </w:pPr>
      <w:rPr>
        <w:rFonts w:cs="Times New Roman"/>
        <w:b/>
        <w:u w:val="single"/>
      </w:rPr>
    </w:lvl>
    <w:lvl w:ilvl="4">
      <w:start w:val="1"/>
      <w:numFmt w:val="decimal"/>
      <w:isLgl/>
      <w:lvlText w:val="%1.%2.%3.%4.%5"/>
      <w:lvlJc w:val="left"/>
      <w:pPr>
        <w:ind w:left="2880" w:hanging="1080"/>
      </w:pPr>
      <w:rPr>
        <w:rFonts w:cs="Times New Roman"/>
        <w:b/>
        <w:u w:val="single"/>
      </w:rPr>
    </w:lvl>
    <w:lvl w:ilvl="5">
      <w:start w:val="1"/>
      <w:numFmt w:val="decimal"/>
      <w:isLgl/>
      <w:lvlText w:val="%1.%2.%3.%4.%5.%6"/>
      <w:lvlJc w:val="left"/>
      <w:pPr>
        <w:ind w:left="3240" w:hanging="1080"/>
      </w:pPr>
      <w:rPr>
        <w:rFonts w:cs="Times New Roman"/>
        <w:b/>
        <w:u w:val="single"/>
      </w:rPr>
    </w:lvl>
    <w:lvl w:ilvl="6">
      <w:start w:val="1"/>
      <w:numFmt w:val="decimal"/>
      <w:isLgl/>
      <w:lvlText w:val="%1.%2.%3.%4.%5.%6.%7"/>
      <w:lvlJc w:val="left"/>
      <w:pPr>
        <w:ind w:left="3600" w:hanging="1080"/>
      </w:pPr>
      <w:rPr>
        <w:rFonts w:cs="Times New Roman"/>
        <w:b/>
        <w:u w:val="single"/>
      </w:rPr>
    </w:lvl>
    <w:lvl w:ilvl="7">
      <w:start w:val="1"/>
      <w:numFmt w:val="decimal"/>
      <w:isLgl/>
      <w:lvlText w:val="%1.%2.%3.%4.%5.%6.%7.%8"/>
      <w:lvlJc w:val="left"/>
      <w:pPr>
        <w:ind w:left="4320" w:hanging="1440"/>
      </w:pPr>
      <w:rPr>
        <w:rFonts w:cs="Times New Roman"/>
        <w:b/>
        <w:u w:val="single"/>
      </w:rPr>
    </w:lvl>
    <w:lvl w:ilvl="8">
      <w:start w:val="1"/>
      <w:numFmt w:val="decimal"/>
      <w:isLgl/>
      <w:lvlText w:val="%1.%2.%3.%4.%5.%6.%7.%8.%9"/>
      <w:lvlJc w:val="left"/>
      <w:pPr>
        <w:ind w:left="4680" w:hanging="1440"/>
      </w:pPr>
      <w:rPr>
        <w:rFonts w:cs="Times New Roman"/>
        <w:b/>
        <w:u w:val="single"/>
      </w:rPr>
    </w:lvl>
  </w:abstractNum>
  <w:abstractNum w:abstractNumId="1"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64707B34"/>
    <w:multiLevelType w:val="hybridMultilevel"/>
    <w:tmpl w:val="8C947564"/>
    <w:lvl w:ilvl="0" w:tplc="F8046636">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14495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14891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76834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2CA3"/>
    <w:rsid w:val="006C2FB5"/>
    <w:rsid w:val="00AE2C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B906C15"/>
  <w15:chartTrackingRefBased/>
  <w15:docId w15:val="{E65E9EEA-2DC4-42D3-843B-3C9505540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153"/>
        <w:tab w:val="right" w:pos="8306"/>
      </w:tabs>
    </w:pPr>
  </w:style>
  <w:style w:type="character" w:customStyle="1" w:styleId="a4">
    <w:name w:val="כותרת עליונה תו"/>
    <w:link w:val="a3"/>
    <w:rPr>
      <w:rFonts w:ascii="Times New Roman" w:eastAsia="Times New Roman" w:hAnsi="Times New Roman" w:cs="David"/>
      <w:sz w:val="24"/>
      <w:szCs w:val="24"/>
    </w:rPr>
  </w:style>
  <w:style w:type="paragraph" w:styleId="a5">
    <w:name w:val="footer"/>
    <w:basedOn w:val="a"/>
    <w:link w:val="a6"/>
    <w:pPr>
      <w:tabs>
        <w:tab w:val="center" w:pos="4153"/>
        <w:tab w:val="right" w:pos="8306"/>
      </w:tabs>
    </w:pPr>
  </w:style>
  <w:style w:type="character" w:customStyle="1" w:styleId="a6">
    <w:name w:val="כותרת תחתונה תו"/>
    <w:link w:val="a5"/>
    <w:rPr>
      <w:rFonts w:ascii="Times New Roman" w:eastAsia="Times New Roman" w:hAnsi="Times New Roman" w:cs="David"/>
      <w:sz w:val="24"/>
      <w:szCs w:val="24"/>
    </w:rPr>
  </w:style>
  <w:style w:type="table" w:styleId="a7">
    <w:name w:val="Table Grid"/>
    <w:basedOn w:val="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character" w:styleId="Hyperlink">
    <w:name w:val="Hyperlink"/>
    <w:rPr>
      <w:color w:val="0000FF"/>
      <w:u w:val="single"/>
    </w:rPr>
  </w:style>
  <w:style w:type="paragraph" w:styleId="a9">
    <w:name w:val="List Paragraph"/>
    <w:basedOn w:val="a"/>
    <w:qFormat/>
    <w:pPr>
      <w:ind w:left="720"/>
      <w:contextualSpacing/>
    </w:pPr>
  </w:style>
  <w:style w:type="character" w:styleId="aa">
    <w:name w:val="Unresolved Mention"/>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601503" TargetMode="External"/><Relationship Id="rId39" Type="http://schemas.openxmlformats.org/officeDocument/2006/relationships/hyperlink" Target="http://www.nevo.co.il/case/5601503" TargetMode="External"/><Relationship Id="rId21" Type="http://schemas.openxmlformats.org/officeDocument/2006/relationships/hyperlink" Target="http://www.nevo.co.il/case/8471804" TargetMode="External"/><Relationship Id="rId34" Type="http://schemas.openxmlformats.org/officeDocument/2006/relationships/hyperlink" Target="http://www.nevo.co.il/case/11309005" TargetMode="External"/><Relationship Id="rId42" Type="http://schemas.openxmlformats.org/officeDocument/2006/relationships/hyperlink" Target="http://www.nevo.co.il/case/5859902"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22006503"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587868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i" TargetMode="External"/><Relationship Id="rId40" Type="http://schemas.openxmlformats.org/officeDocument/2006/relationships/hyperlink" Target="http://www.nevo.co.il/case/5852404"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8291683" TargetMode="External"/><Relationship Id="rId28" Type="http://schemas.openxmlformats.org/officeDocument/2006/relationships/hyperlink" Target="http://www.nevo.co.il/case/5821327" TargetMode="External"/><Relationship Id="rId36" Type="http://schemas.openxmlformats.org/officeDocument/2006/relationships/hyperlink" Target="http://www.nevo.co.il/case/7791493" TargetMode="External"/><Relationship Id="rId49"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5699080"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6856471"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0775010" TargetMode="External"/><Relationship Id="rId27" Type="http://schemas.openxmlformats.org/officeDocument/2006/relationships/hyperlink" Target="http://www.nevo.co.il/case/6473037"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case/11269745" TargetMode="External"/><Relationship Id="rId43" Type="http://schemas.openxmlformats.org/officeDocument/2006/relationships/hyperlink" Target="http://www.nevo.co.il/law/70301/40d" TargetMode="External"/><Relationship Id="rId48" Type="http://schemas.openxmlformats.org/officeDocument/2006/relationships/footer" Target="footer1.xml"/><Relationship Id="rId8" Type="http://schemas.openxmlformats.org/officeDocument/2006/relationships/hyperlink" Target="http://www.nevo.co.il/law/70301/40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5578534" TargetMode="External"/><Relationship Id="rId33" Type="http://schemas.openxmlformats.org/officeDocument/2006/relationships/hyperlink" Target="http://www.nevo.co.il/case/18653720" TargetMode="External"/><Relationship Id="rId38" Type="http://schemas.openxmlformats.org/officeDocument/2006/relationships/hyperlink" Target="http://www.nevo.co.il/law/70301/40ja" TargetMode="External"/><Relationship Id="rId46" Type="http://schemas.openxmlformats.org/officeDocument/2006/relationships/header" Target="header1.xml"/><Relationship Id="rId20" Type="http://schemas.openxmlformats.org/officeDocument/2006/relationships/hyperlink" Target="http://www.nevo.co.il/case/13023134" TargetMode="External"/><Relationship Id="rId41" Type="http://schemas.openxmlformats.org/officeDocument/2006/relationships/hyperlink" Target="http://www.nevo.co.il/case/607294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3544</Words>
  <Characters>17722</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21224</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3539069</vt:i4>
      </vt:variant>
      <vt:variant>
        <vt:i4>111</vt:i4>
      </vt:variant>
      <vt:variant>
        <vt:i4>0</vt:i4>
      </vt:variant>
      <vt:variant>
        <vt:i4>5</vt:i4>
      </vt:variant>
      <vt:variant>
        <vt:lpwstr>http://www.nevo.co.il/case/6856471</vt:lpwstr>
      </vt:variant>
      <vt:variant>
        <vt:lpwstr/>
      </vt:variant>
      <vt:variant>
        <vt:i4>6619233</vt:i4>
      </vt:variant>
      <vt:variant>
        <vt:i4>108</vt:i4>
      </vt:variant>
      <vt:variant>
        <vt:i4>0</vt:i4>
      </vt:variant>
      <vt:variant>
        <vt:i4>5</vt:i4>
      </vt:variant>
      <vt:variant>
        <vt:lpwstr>http://www.nevo.co.il/law/70301/40d</vt:lpwstr>
      </vt:variant>
      <vt:variant>
        <vt:lpwstr/>
      </vt:variant>
      <vt:variant>
        <vt:i4>3866741</vt:i4>
      </vt:variant>
      <vt:variant>
        <vt:i4>105</vt:i4>
      </vt:variant>
      <vt:variant>
        <vt:i4>0</vt:i4>
      </vt:variant>
      <vt:variant>
        <vt:i4>5</vt:i4>
      </vt:variant>
      <vt:variant>
        <vt:lpwstr>http://www.nevo.co.il/case/5859902</vt:lpwstr>
      </vt:variant>
      <vt:variant>
        <vt:lpwstr/>
      </vt:variant>
      <vt:variant>
        <vt:i4>3997810</vt:i4>
      </vt:variant>
      <vt:variant>
        <vt:i4>102</vt:i4>
      </vt:variant>
      <vt:variant>
        <vt:i4>0</vt:i4>
      </vt:variant>
      <vt:variant>
        <vt:i4>5</vt:i4>
      </vt:variant>
      <vt:variant>
        <vt:lpwstr>http://www.nevo.co.il/case/6072945</vt:lpwstr>
      </vt:variant>
      <vt:variant>
        <vt:lpwstr/>
      </vt:variant>
      <vt:variant>
        <vt:i4>3145854</vt:i4>
      </vt:variant>
      <vt:variant>
        <vt:i4>99</vt:i4>
      </vt:variant>
      <vt:variant>
        <vt:i4>0</vt:i4>
      </vt:variant>
      <vt:variant>
        <vt:i4>5</vt:i4>
      </vt:variant>
      <vt:variant>
        <vt:lpwstr>http://www.nevo.co.il/case/5852404</vt:lpwstr>
      </vt:variant>
      <vt:variant>
        <vt:lpwstr/>
      </vt:variant>
      <vt:variant>
        <vt:i4>3342451</vt:i4>
      </vt:variant>
      <vt:variant>
        <vt:i4>96</vt:i4>
      </vt:variant>
      <vt:variant>
        <vt:i4>0</vt:i4>
      </vt:variant>
      <vt:variant>
        <vt:i4>5</vt:i4>
      </vt:variant>
      <vt:variant>
        <vt:lpwstr>http://www.nevo.co.il/case/5601503</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3735675</vt:i4>
      </vt:variant>
      <vt:variant>
        <vt:i4>87</vt:i4>
      </vt:variant>
      <vt:variant>
        <vt:i4>0</vt:i4>
      </vt:variant>
      <vt:variant>
        <vt:i4>5</vt:i4>
      </vt:variant>
      <vt:variant>
        <vt:lpwstr>http://www.nevo.co.il/case/7791493</vt:lpwstr>
      </vt:variant>
      <vt:variant>
        <vt:lpwstr/>
      </vt:variant>
      <vt:variant>
        <vt:i4>4063348</vt:i4>
      </vt:variant>
      <vt:variant>
        <vt:i4>84</vt:i4>
      </vt:variant>
      <vt:variant>
        <vt:i4>0</vt:i4>
      </vt:variant>
      <vt:variant>
        <vt:i4>5</vt:i4>
      </vt:variant>
      <vt:variant>
        <vt:lpwstr>http://www.nevo.co.il/case/11269745</vt:lpwstr>
      </vt:variant>
      <vt:variant>
        <vt:lpwstr/>
      </vt:variant>
      <vt:variant>
        <vt:i4>3866741</vt:i4>
      </vt:variant>
      <vt:variant>
        <vt:i4>81</vt:i4>
      </vt:variant>
      <vt:variant>
        <vt:i4>0</vt:i4>
      </vt:variant>
      <vt:variant>
        <vt:i4>5</vt:i4>
      </vt:variant>
      <vt:variant>
        <vt:lpwstr>http://www.nevo.co.il/case/11309005</vt:lpwstr>
      </vt:variant>
      <vt:variant>
        <vt:lpwstr/>
      </vt:variant>
      <vt:variant>
        <vt:i4>3539070</vt:i4>
      </vt:variant>
      <vt:variant>
        <vt:i4>78</vt:i4>
      </vt:variant>
      <vt:variant>
        <vt:i4>0</vt:i4>
      </vt:variant>
      <vt:variant>
        <vt:i4>5</vt:i4>
      </vt:variant>
      <vt:variant>
        <vt:lpwstr>http://www.nevo.co.il/case/18653720</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3407987</vt:i4>
      </vt:variant>
      <vt:variant>
        <vt:i4>66</vt:i4>
      </vt:variant>
      <vt:variant>
        <vt:i4>0</vt:i4>
      </vt:variant>
      <vt:variant>
        <vt:i4>5</vt:i4>
      </vt:variant>
      <vt:variant>
        <vt:lpwstr>http://www.nevo.co.il/case/22006503</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3342451</vt:i4>
      </vt:variant>
      <vt:variant>
        <vt:i4>57</vt:i4>
      </vt:variant>
      <vt:variant>
        <vt:i4>0</vt:i4>
      </vt:variant>
      <vt:variant>
        <vt:i4>5</vt:i4>
      </vt:variant>
      <vt:variant>
        <vt:lpwstr>http://www.nevo.co.il/case/5601503</vt:lpwstr>
      </vt:variant>
      <vt:variant>
        <vt:lpwstr/>
      </vt:variant>
      <vt:variant>
        <vt:i4>3342458</vt:i4>
      </vt:variant>
      <vt:variant>
        <vt:i4>54</vt:i4>
      </vt:variant>
      <vt:variant>
        <vt:i4>0</vt:i4>
      </vt:variant>
      <vt:variant>
        <vt:i4>5</vt:i4>
      </vt:variant>
      <vt:variant>
        <vt:lpwstr>http://www.nevo.co.il/case/5578534</vt:lpwstr>
      </vt:variant>
      <vt:variant>
        <vt:lpwstr/>
      </vt:variant>
      <vt:variant>
        <vt:i4>3539068</vt:i4>
      </vt:variant>
      <vt:variant>
        <vt:i4>51</vt:i4>
      </vt:variant>
      <vt:variant>
        <vt:i4>0</vt:i4>
      </vt:variant>
      <vt:variant>
        <vt:i4>5</vt:i4>
      </vt:variant>
      <vt:variant>
        <vt:lpwstr>http://www.nevo.co.il/case/5878682</vt:lpwstr>
      </vt:variant>
      <vt:variant>
        <vt:lpwstr/>
      </vt:variant>
      <vt:variant>
        <vt:i4>3407999</vt:i4>
      </vt:variant>
      <vt:variant>
        <vt:i4>48</vt:i4>
      </vt:variant>
      <vt:variant>
        <vt:i4>0</vt:i4>
      </vt:variant>
      <vt:variant>
        <vt:i4>5</vt:i4>
      </vt:variant>
      <vt:variant>
        <vt:lpwstr>http://www.nevo.co.il/case/8291683</vt:lpwstr>
      </vt:variant>
      <vt:variant>
        <vt:lpwstr/>
      </vt:variant>
      <vt:variant>
        <vt:i4>3211379</vt:i4>
      </vt:variant>
      <vt:variant>
        <vt:i4>45</vt:i4>
      </vt:variant>
      <vt:variant>
        <vt:i4>0</vt:i4>
      </vt:variant>
      <vt:variant>
        <vt:i4>5</vt:i4>
      </vt:variant>
      <vt:variant>
        <vt:lpwstr>http://www.nevo.co.il/case/20775010</vt:lpwstr>
      </vt:variant>
      <vt:variant>
        <vt:lpwstr/>
      </vt:variant>
      <vt:variant>
        <vt:i4>3342449</vt:i4>
      </vt:variant>
      <vt:variant>
        <vt:i4>42</vt:i4>
      </vt:variant>
      <vt:variant>
        <vt:i4>0</vt:i4>
      </vt:variant>
      <vt:variant>
        <vt:i4>5</vt:i4>
      </vt:variant>
      <vt:variant>
        <vt:lpwstr>http://www.nevo.co.il/case/8471804</vt:lpwstr>
      </vt:variant>
      <vt:variant>
        <vt:lpwstr/>
      </vt:variant>
      <vt:variant>
        <vt:i4>3211380</vt:i4>
      </vt:variant>
      <vt:variant>
        <vt:i4>39</vt:i4>
      </vt:variant>
      <vt:variant>
        <vt:i4>0</vt:i4>
      </vt:variant>
      <vt:variant>
        <vt:i4>5</vt:i4>
      </vt:variant>
      <vt:variant>
        <vt:lpwstr>http://www.nevo.co.il/case/13023134</vt:lpwstr>
      </vt:variant>
      <vt:variant>
        <vt:lpwstr/>
      </vt:variant>
      <vt:variant>
        <vt:i4>3932275</vt:i4>
      </vt:variant>
      <vt:variant>
        <vt:i4>36</vt:i4>
      </vt:variant>
      <vt:variant>
        <vt:i4>0</vt:i4>
      </vt:variant>
      <vt:variant>
        <vt:i4>5</vt:i4>
      </vt:variant>
      <vt:variant>
        <vt:lpwstr>http://www.nevo.co.il/case/5699080</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2025-01-19T16:19:00Z</dcterms:created>
  <dcterms:modified xsi:type="dcterms:W3CDTF">2025-01-19T16:19:00Z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51523</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איאד בזלמית</vt:lpwstr>
  </property>
  <property fmtid="{D5CDD505-2E9C-101B-9397-08002B2CF9AE}" pid="10" name="LAWYER">
    <vt:lpwstr>נתנאל דגן;אכרם חליחל</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20180502</vt:lpwstr>
  </property>
  <property fmtid="{D5CDD505-2E9C-101B-9397-08002B2CF9AE}" pid="14" name="TYPE_N_DATE">
    <vt:lpwstr>39020180502</vt:lpwstr>
  </property>
  <property fmtid="{D5CDD505-2E9C-101B-9397-08002B2CF9AE}" pid="15" name="WORDNUMPAGES">
    <vt:lpwstr>11</vt:lpwstr>
  </property>
  <property fmtid="{D5CDD505-2E9C-101B-9397-08002B2CF9AE}" pid="16" name="TYPE_ABS_DATE">
    <vt:lpwstr>390120180502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5699080;13023134;8471804;20775010;8291683;5878682;5578534;5601503:2;6473037;5821327;22006503;18653720;11309005;11269745;7791493;5852404;6072945;5859902;6856471</vt:lpwstr>
  </property>
  <property fmtid="{D5CDD505-2E9C-101B-9397-08002B2CF9AE}" pid="36" name="LAWLISTTMP1">
    <vt:lpwstr>70301/144.a:2;144.b:2;040i;40ja;040d</vt:lpwstr>
  </property>
  <property fmtid="{D5CDD505-2E9C-101B-9397-08002B2CF9AE}" pid="37" name="NOSE1ID">
    <vt:lpwstr>77</vt:lpwstr>
  </property>
  <property fmtid="{D5CDD505-2E9C-101B-9397-08002B2CF9AE}" pid="38" name="NOSE2ID">
    <vt:lpwstr>1446</vt:lpwstr>
  </property>
  <property fmtid="{D5CDD505-2E9C-101B-9397-08002B2CF9AE}" pid="39" name="NOSE3ID">
    <vt:lpwstr>13800</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20180516</vt:lpwstr>
  </property>
  <property fmtid="{D5CDD505-2E9C-101B-9397-08002B2CF9AE}" pid="71" name="METAKZER">
    <vt:lpwstr>עומרי</vt:lpwstr>
  </property>
</Properties>
</file>