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57F13" w:rsidRPr="00E67E3E" w14:paraId="58BFE16B" w14:textId="77777777" w:rsidTr="00B02EAE">
        <w:trPr>
          <w:trHeight w:hRule="exact" w:val="418"/>
          <w:jc w:val="center"/>
        </w:trPr>
        <w:tc>
          <w:tcPr>
            <w:tcW w:w="8721" w:type="dxa"/>
            <w:gridSpan w:val="2"/>
          </w:tcPr>
          <w:p w14:paraId="5C26D4D5" w14:textId="77777777" w:rsidR="00157F13" w:rsidRPr="00E67E3E" w:rsidRDefault="00157F13" w:rsidP="006E5F96">
            <w:pPr>
              <w:pStyle w:val="a3"/>
              <w:jc w:val="center"/>
              <w:rPr>
                <w:rFonts w:ascii="Tahoma" w:hAnsi="Tahoma" w:cs="Tahoma"/>
                <w:color w:val="000080"/>
                <w:rtl/>
              </w:rPr>
            </w:pPr>
            <w:bookmarkStart w:id="0" w:name="LastJudge"/>
            <w:r w:rsidRPr="00E67E3E">
              <w:rPr>
                <w:rFonts w:ascii="Tahoma" w:hAnsi="Tahoma" w:cs="Tahoma"/>
                <w:b/>
                <w:bCs/>
                <w:color w:val="000080"/>
                <w:rtl/>
              </w:rPr>
              <w:t>בית המשפט המחוזי בחיפה</w:t>
            </w:r>
          </w:p>
        </w:tc>
      </w:tr>
      <w:tr w:rsidR="00157F13" w:rsidRPr="00E67E3E" w14:paraId="1ECCD9AE" w14:textId="77777777" w:rsidTr="00B02EAE">
        <w:trPr>
          <w:trHeight w:val="337"/>
          <w:jc w:val="center"/>
        </w:trPr>
        <w:tc>
          <w:tcPr>
            <w:tcW w:w="5055" w:type="dxa"/>
          </w:tcPr>
          <w:p w14:paraId="5437B13E" w14:textId="77777777" w:rsidR="00157F13" w:rsidRPr="00E67E3E" w:rsidRDefault="00157F13" w:rsidP="006E5F96">
            <w:pPr>
              <w:rPr>
                <w:rFonts w:cs="FrankRuehl"/>
                <w:sz w:val="28"/>
                <w:szCs w:val="28"/>
                <w:rtl/>
              </w:rPr>
            </w:pPr>
            <w:r w:rsidRPr="00E67E3E">
              <w:rPr>
                <w:rFonts w:cs="FrankRuehl"/>
                <w:sz w:val="28"/>
                <w:szCs w:val="28"/>
                <w:rtl/>
              </w:rPr>
              <w:t>ת"פ</w:t>
            </w:r>
            <w:r w:rsidRPr="00E67E3E">
              <w:rPr>
                <w:rFonts w:cs="FrankRuehl" w:hint="cs"/>
                <w:sz w:val="28"/>
                <w:szCs w:val="28"/>
                <w:rtl/>
              </w:rPr>
              <w:t xml:space="preserve"> </w:t>
            </w:r>
            <w:r w:rsidRPr="00E67E3E">
              <w:rPr>
                <w:rFonts w:cs="FrankRuehl"/>
                <w:sz w:val="28"/>
                <w:szCs w:val="28"/>
                <w:rtl/>
              </w:rPr>
              <w:t>10476-12-17</w:t>
            </w:r>
            <w:r w:rsidRPr="00E67E3E">
              <w:rPr>
                <w:rFonts w:cs="FrankRuehl" w:hint="cs"/>
                <w:sz w:val="28"/>
                <w:szCs w:val="28"/>
                <w:rtl/>
              </w:rPr>
              <w:t xml:space="preserve"> </w:t>
            </w:r>
            <w:r w:rsidRPr="00E67E3E">
              <w:rPr>
                <w:rFonts w:cs="FrankRuehl"/>
                <w:sz w:val="28"/>
                <w:szCs w:val="28"/>
                <w:rtl/>
              </w:rPr>
              <w:t>מדינת ישראל נ' מחאג'נה</w:t>
            </w:r>
          </w:p>
          <w:p w14:paraId="77977C86" w14:textId="77777777" w:rsidR="00157F13" w:rsidRPr="00E67E3E" w:rsidRDefault="00157F13" w:rsidP="006E5F96">
            <w:pPr>
              <w:pStyle w:val="a3"/>
              <w:rPr>
                <w:rFonts w:cs="FrankRuehl"/>
                <w:sz w:val="28"/>
                <w:szCs w:val="28"/>
                <w:rtl/>
              </w:rPr>
            </w:pPr>
          </w:p>
        </w:tc>
        <w:tc>
          <w:tcPr>
            <w:tcW w:w="3666" w:type="dxa"/>
          </w:tcPr>
          <w:p w14:paraId="09911B31" w14:textId="77777777" w:rsidR="00157F13" w:rsidRPr="00E67E3E" w:rsidRDefault="00157F13" w:rsidP="006E5F96">
            <w:pPr>
              <w:pStyle w:val="a3"/>
              <w:jc w:val="right"/>
              <w:rPr>
                <w:rFonts w:cs="FrankRuehl"/>
                <w:sz w:val="28"/>
                <w:szCs w:val="28"/>
                <w:rtl/>
              </w:rPr>
            </w:pPr>
          </w:p>
        </w:tc>
      </w:tr>
    </w:tbl>
    <w:p w14:paraId="33C7A880" w14:textId="77777777" w:rsidR="00157F13" w:rsidRPr="00E67E3E" w:rsidRDefault="00157F13" w:rsidP="00157F13">
      <w:pPr>
        <w:pStyle w:val="a3"/>
        <w:rPr>
          <w:rtl/>
        </w:rPr>
      </w:pPr>
      <w:r w:rsidRPr="00E67E3E">
        <w:rPr>
          <w:rFonts w:hint="cs"/>
          <w:rtl/>
        </w:rPr>
        <w:t xml:space="preserve"> </w:t>
      </w:r>
    </w:p>
    <w:p w14:paraId="0D980A7F" w14:textId="77777777" w:rsidR="00157F13" w:rsidRPr="00E67E3E" w:rsidRDefault="00157F13" w:rsidP="00157F13">
      <w:pPr>
        <w:jc w:val="both"/>
        <w:rPr>
          <w:rtl/>
        </w:rPr>
      </w:pPr>
    </w:p>
    <w:p w14:paraId="1CD7755E" w14:textId="77777777" w:rsidR="00157F13" w:rsidRPr="00E67E3E" w:rsidRDefault="00157F13" w:rsidP="00157F13">
      <w:pPr>
        <w:jc w:val="both"/>
        <w:rPr>
          <w:rtl/>
        </w:rPr>
      </w:pPr>
    </w:p>
    <w:tbl>
      <w:tblPr>
        <w:bidiVisual/>
        <w:tblW w:w="8802" w:type="dxa"/>
        <w:tblInd w:w="-28" w:type="dxa"/>
        <w:tblLook w:val="01E0" w:firstRow="1" w:lastRow="1" w:firstColumn="1" w:lastColumn="1" w:noHBand="0" w:noVBand="0"/>
      </w:tblPr>
      <w:tblGrid>
        <w:gridCol w:w="2880"/>
        <w:gridCol w:w="5838"/>
        <w:gridCol w:w="84"/>
      </w:tblGrid>
      <w:tr w:rsidR="00157F13" w:rsidRPr="00E67E3E" w14:paraId="715E157B" w14:textId="77777777" w:rsidTr="00157F13">
        <w:trPr>
          <w:gridAfter w:val="1"/>
          <w:wAfter w:w="56" w:type="dxa"/>
        </w:trPr>
        <w:tc>
          <w:tcPr>
            <w:tcW w:w="8718" w:type="dxa"/>
            <w:gridSpan w:val="2"/>
            <w:shd w:val="clear" w:color="auto" w:fill="auto"/>
          </w:tcPr>
          <w:p w14:paraId="10BE58B7" w14:textId="77777777" w:rsidR="00157F13" w:rsidRPr="00E67E3E" w:rsidRDefault="00157F13" w:rsidP="00157F13">
            <w:pPr>
              <w:jc w:val="both"/>
              <w:rPr>
                <w:b/>
                <w:bCs/>
                <w:sz w:val="26"/>
                <w:szCs w:val="26"/>
                <w:rtl/>
              </w:rPr>
            </w:pPr>
            <w:r w:rsidRPr="00E67E3E">
              <w:rPr>
                <w:rFonts w:hint="cs"/>
                <w:b/>
                <w:bCs/>
                <w:sz w:val="26"/>
                <w:szCs w:val="26"/>
                <w:rtl/>
              </w:rPr>
              <w:t>לפני כבוד השופטת רונית בש</w:t>
            </w:r>
            <w:r w:rsidRPr="00E67E3E">
              <w:rPr>
                <w:rStyle w:val="TimesNewRomanTimesNewRoman"/>
                <w:rFonts w:hint="cs"/>
                <w:rtl/>
              </w:rPr>
              <w:t xml:space="preserve"> </w:t>
            </w:r>
          </w:p>
        </w:tc>
      </w:tr>
      <w:tr w:rsidR="00157F13" w:rsidRPr="00E67E3E" w14:paraId="08B78172" w14:textId="77777777" w:rsidTr="00157F13">
        <w:trPr>
          <w:cantSplit/>
          <w:trHeight w:val="724"/>
        </w:trPr>
        <w:tc>
          <w:tcPr>
            <w:tcW w:w="2880" w:type="dxa"/>
            <w:shd w:val="clear" w:color="auto" w:fill="auto"/>
          </w:tcPr>
          <w:p w14:paraId="416B07F2" w14:textId="77777777" w:rsidR="00157F13" w:rsidRPr="00E67E3E" w:rsidRDefault="00157F13" w:rsidP="00157F13">
            <w:pPr>
              <w:ind w:left="26"/>
              <w:jc w:val="both"/>
              <w:rPr>
                <w:b/>
                <w:bCs/>
                <w:sz w:val="26"/>
                <w:szCs w:val="26"/>
                <w:rtl/>
              </w:rPr>
            </w:pPr>
            <w:bookmarkStart w:id="1" w:name="FirstAppellant"/>
          </w:p>
          <w:p w14:paraId="421C96EC" w14:textId="77777777" w:rsidR="00157F13" w:rsidRPr="00E67E3E" w:rsidRDefault="00157F13" w:rsidP="00157F13">
            <w:pPr>
              <w:ind w:left="26"/>
              <w:jc w:val="both"/>
              <w:rPr>
                <w:b/>
                <w:bCs/>
                <w:sz w:val="26"/>
                <w:szCs w:val="26"/>
                <w:rtl/>
              </w:rPr>
            </w:pPr>
            <w:r w:rsidRPr="00E67E3E">
              <w:rPr>
                <w:rFonts w:hint="cs"/>
                <w:b/>
                <w:bCs/>
                <w:sz w:val="26"/>
                <w:szCs w:val="26"/>
                <w:rtl/>
              </w:rPr>
              <w:t>המאשימה:</w:t>
            </w:r>
          </w:p>
        </w:tc>
        <w:tc>
          <w:tcPr>
            <w:tcW w:w="5922" w:type="dxa"/>
            <w:gridSpan w:val="2"/>
            <w:shd w:val="clear" w:color="auto" w:fill="auto"/>
          </w:tcPr>
          <w:p w14:paraId="5DD6A490" w14:textId="77777777" w:rsidR="00157F13" w:rsidRPr="00E67E3E" w:rsidRDefault="00157F13" w:rsidP="00157F13">
            <w:pPr>
              <w:jc w:val="both"/>
              <w:rPr>
                <w:rtl/>
              </w:rPr>
            </w:pPr>
          </w:p>
          <w:p w14:paraId="0E74176F" w14:textId="77777777" w:rsidR="00157F13" w:rsidRPr="00E67E3E" w:rsidRDefault="00157F13" w:rsidP="00157F13">
            <w:pPr>
              <w:jc w:val="both"/>
              <w:rPr>
                <w:b/>
                <w:bCs/>
                <w:sz w:val="26"/>
                <w:szCs w:val="26"/>
                <w:rtl/>
              </w:rPr>
            </w:pPr>
            <w:r w:rsidRPr="00E67E3E">
              <w:rPr>
                <w:rtl/>
              </w:rPr>
              <w:t xml:space="preserve"> </w:t>
            </w:r>
            <w:r w:rsidRPr="00E67E3E">
              <w:rPr>
                <w:rFonts w:hint="cs"/>
                <w:b/>
                <w:bCs/>
                <w:sz w:val="26"/>
                <w:szCs w:val="26"/>
                <w:rtl/>
              </w:rPr>
              <w:t>מדינת ישראל</w:t>
            </w:r>
          </w:p>
          <w:p w14:paraId="16B3BF1D" w14:textId="77777777" w:rsidR="00157F13" w:rsidRPr="00E67E3E" w:rsidRDefault="00157F13" w:rsidP="00157F13">
            <w:pPr>
              <w:jc w:val="both"/>
              <w:rPr>
                <w:b/>
                <w:bCs/>
                <w:sz w:val="26"/>
                <w:szCs w:val="26"/>
                <w:rtl/>
              </w:rPr>
            </w:pPr>
          </w:p>
        </w:tc>
      </w:tr>
      <w:bookmarkEnd w:id="1"/>
      <w:tr w:rsidR="00157F13" w:rsidRPr="00E67E3E" w14:paraId="142F3100" w14:textId="77777777" w:rsidTr="00157F13">
        <w:tc>
          <w:tcPr>
            <w:tcW w:w="8802" w:type="dxa"/>
            <w:gridSpan w:val="3"/>
            <w:shd w:val="clear" w:color="auto" w:fill="auto"/>
            <w:vAlign w:val="center"/>
          </w:tcPr>
          <w:p w14:paraId="02EDB7F4" w14:textId="77777777" w:rsidR="00157F13" w:rsidRPr="00E67E3E" w:rsidRDefault="00157F13" w:rsidP="00157F13">
            <w:pPr>
              <w:jc w:val="center"/>
              <w:rPr>
                <w:rFonts w:ascii="Arial" w:hAnsi="Arial"/>
                <w:b/>
                <w:bCs/>
                <w:sz w:val="26"/>
                <w:szCs w:val="26"/>
                <w:rtl/>
              </w:rPr>
            </w:pPr>
          </w:p>
          <w:p w14:paraId="74B6AE54" w14:textId="77777777" w:rsidR="00157F13" w:rsidRPr="00E67E3E" w:rsidRDefault="00157F13" w:rsidP="00157F13">
            <w:pPr>
              <w:jc w:val="center"/>
              <w:rPr>
                <w:rFonts w:ascii="Arial" w:hAnsi="Arial"/>
                <w:b/>
                <w:bCs/>
                <w:sz w:val="26"/>
                <w:szCs w:val="26"/>
                <w:rtl/>
              </w:rPr>
            </w:pPr>
            <w:r w:rsidRPr="00E67E3E">
              <w:rPr>
                <w:rFonts w:ascii="Arial" w:hAnsi="Arial" w:hint="cs"/>
                <w:b/>
                <w:bCs/>
                <w:sz w:val="26"/>
                <w:szCs w:val="26"/>
                <w:rtl/>
              </w:rPr>
              <w:t>נגד</w:t>
            </w:r>
          </w:p>
          <w:p w14:paraId="1F4AD08B" w14:textId="77777777" w:rsidR="00157F13" w:rsidRPr="00E67E3E" w:rsidRDefault="00157F13" w:rsidP="00157F13">
            <w:pPr>
              <w:jc w:val="center"/>
              <w:rPr>
                <w:rFonts w:ascii="Arial" w:hAnsi="Arial"/>
                <w:b/>
                <w:bCs/>
                <w:sz w:val="26"/>
                <w:szCs w:val="26"/>
                <w:rtl/>
              </w:rPr>
            </w:pPr>
          </w:p>
        </w:tc>
      </w:tr>
      <w:tr w:rsidR="00157F13" w:rsidRPr="00E67E3E" w14:paraId="06E7ED1A" w14:textId="77777777" w:rsidTr="00157F13">
        <w:tc>
          <w:tcPr>
            <w:tcW w:w="2880" w:type="dxa"/>
            <w:shd w:val="clear" w:color="auto" w:fill="auto"/>
          </w:tcPr>
          <w:p w14:paraId="717791EE" w14:textId="77777777" w:rsidR="00157F13" w:rsidRPr="00E67E3E" w:rsidRDefault="00157F13" w:rsidP="00157F13">
            <w:pPr>
              <w:ind w:left="26"/>
              <w:jc w:val="both"/>
              <w:rPr>
                <w:b/>
                <w:bCs/>
                <w:sz w:val="26"/>
                <w:szCs w:val="26"/>
              </w:rPr>
            </w:pPr>
            <w:r w:rsidRPr="00E67E3E">
              <w:rPr>
                <w:rFonts w:hint="cs"/>
                <w:b/>
                <w:bCs/>
                <w:sz w:val="26"/>
                <w:szCs w:val="26"/>
                <w:rtl/>
              </w:rPr>
              <w:t>הנאשם</w:t>
            </w:r>
            <w:r w:rsidRPr="00E67E3E">
              <w:rPr>
                <w:b/>
                <w:bCs/>
                <w:sz w:val="26"/>
                <w:szCs w:val="26"/>
                <w:rtl/>
              </w:rPr>
              <w:t>:</w:t>
            </w:r>
          </w:p>
        </w:tc>
        <w:tc>
          <w:tcPr>
            <w:tcW w:w="5922" w:type="dxa"/>
            <w:gridSpan w:val="2"/>
            <w:shd w:val="clear" w:color="auto" w:fill="auto"/>
          </w:tcPr>
          <w:p w14:paraId="13265BDD" w14:textId="77777777" w:rsidR="00157F13" w:rsidRPr="00E67E3E" w:rsidRDefault="00157F13" w:rsidP="00B02EAE">
            <w:pPr>
              <w:jc w:val="both"/>
              <w:rPr>
                <w:rFonts w:hint="cs"/>
                <w:b/>
                <w:bCs/>
                <w:sz w:val="26"/>
                <w:szCs w:val="26"/>
                <w:rtl/>
              </w:rPr>
            </w:pPr>
            <w:r w:rsidRPr="00E67E3E">
              <w:rPr>
                <w:rtl/>
              </w:rPr>
              <w:t xml:space="preserve"> </w:t>
            </w:r>
            <w:r w:rsidRPr="00E67E3E">
              <w:rPr>
                <w:rFonts w:hint="cs"/>
                <w:b/>
                <w:bCs/>
                <w:sz w:val="26"/>
                <w:szCs w:val="26"/>
                <w:rtl/>
              </w:rPr>
              <w:t>אברהים מחאג'נה</w:t>
            </w:r>
            <w:r w:rsidRPr="00E67E3E">
              <w:rPr>
                <w:rtl/>
              </w:rPr>
              <w:t xml:space="preserve"> </w:t>
            </w:r>
          </w:p>
          <w:p w14:paraId="419EDF43" w14:textId="77777777" w:rsidR="00157F13" w:rsidRPr="00E67E3E" w:rsidRDefault="00157F13" w:rsidP="00157F13">
            <w:pPr>
              <w:jc w:val="both"/>
              <w:rPr>
                <w:b/>
                <w:bCs/>
                <w:sz w:val="26"/>
                <w:szCs w:val="26"/>
                <w:rtl/>
              </w:rPr>
            </w:pPr>
          </w:p>
        </w:tc>
      </w:tr>
    </w:tbl>
    <w:p w14:paraId="0A7FB72B" w14:textId="77777777" w:rsidR="00B02EAE" w:rsidRDefault="00B02EAE" w:rsidP="00157F13">
      <w:pPr>
        <w:jc w:val="both"/>
        <w:rPr>
          <w:rtl/>
        </w:rPr>
      </w:pPr>
      <w:bookmarkStart w:id="2" w:name="LawTable"/>
      <w:bookmarkEnd w:id="2"/>
    </w:p>
    <w:p w14:paraId="60A2B35A" w14:textId="77777777" w:rsidR="00B02EAE" w:rsidRPr="00B02EAE" w:rsidRDefault="00B02EAE" w:rsidP="00B02EAE">
      <w:pPr>
        <w:spacing w:after="120" w:line="240" w:lineRule="exact"/>
        <w:ind w:left="283" w:hanging="283"/>
        <w:jc w:val="both"/>
        <w:rPr>
          <w:rFonts w:ascii="FrankRuehl" w:hAnsi="FrankRuehl" w:cs="FrankRuehl"/>
          <w:rtl/>
        </w:rPr>
      </w:pPr>
    </w:p>
    <w:p w14:paraId="5CC76F84" w14:textId="77777777" w:rsidR="00B02EAE" w:rsidRPr="00B02EAE" w:rsidRDefault="00B02EAE" w:rsidP="00B02EAE">
      <w:pPr>
        <w:spacing w:after="120" w:line="240" w:lineRule="exact"/>
        <w:ind w:left="283" w:hanging="283"/>
        <w:jc w:val="both"/>
        <w:rPr>
          <w:rFonts w:ascii="FrankRuehl" w:hAnsi="FrankRuehl" w:cs="FrankRuehl"/>
          <w:rtl/>
        </w:rPr>
      </w:pPr>
      <w:r w:rsidRPr="00B02EAE">
        <w:rPr>
          <w:rFonts w:ascii="FrankRuehl" w:hAnsi="FrankRuehl" w:cs="FrankRuehl"/>
          <w:rtl/>
        </w:rPr>
        <w:t xml:space="preserve">חקיקה שאוזכרה: </w:t>
      </w:r>
    </w:p>
    <w:p w14:paraId="6A0E0367" w14:textId="77777777" w:rsidR="00B02EAE" w:rsidRPr="00B02EAE" w:rsidRDefault="00B02EAE" w:rsidP="00B02EAE">
      <w:pPr>
        <w:spacing w:after="120" w:line="240" w:lineRule="exact"/>
        <w:ind w:left="283" w:hanging="283"/>
        <w:jc w:val="both"/>
        <w:rPr>
          <w:rFonts w:ascii="FrankRuehl" w:hAnsi="FrankRuehl" w:cs="FrankRuehl"/>
          <w:rtl/>
        </w:rPr>
      </w:pPr>
      <w:hyperlink r:id="rId7" w:history="1">
        <w:r w:rsidRPr="00B02EAE">
          <w:rPr>
            <w:rFonts w:ascii="FrankRuehl" w:hAnsi="FrankRuehl" w:cs="FrankRuehl"/>
            <w:color w:val="0000FF"/>
            <w:u w:val="single"/>
            <w:rtl/>
          </w:rPr>
          <w:t>חוק העונשין, תשל"ז-1977</w:t>
        </w:r>
      </w:hyperlink>
      <w:r w:rsidRPr="00B02EAE">
        <w:rPr>
          <w:rFonts w:ascii="FrankRuehl" w:hAnsi="FrankRuehl" w:cs="FrankRuehl"/>
          <w:rtl/>
        </w:rPr>
        <w:t xml:space="preserve">: סע'  </w:t>
      </w:r>
      <w:hyperlink r:id="rId8" w:history="1">
        <w:r w:rsidRPr="00B02EAE">
          <w:rPr>
            <w:rFonts w:ascii="FrankRuehl" w:hAnsi="FrankRuehl" w:cs="FrankRuehl"/>
            <w:color w:val="0000FF"/>
            <w:u w:val="single"/>
            <w:rtl/>
          </w:rPr>
          <w:t>40ב</w:t>
        </w:r>
      </w:hyperlink>
      <w:r w:rsidRPr="00B02EAE">
        <w:rPr>
          <w:rFonts w:ascii="FrankRuehl" w:hAnsi="FrankRuehl" w:cs="FrankRuehl"/>
          <w:rtl/>
        </w:rPr>
        <w:t xml:space="preserve">, </w:t>
      </w:r>
      <w:hyperlink r:id="rId9" w:history="1">
        <w:r w:rsidRPr="00B02EAE">
          <w:rPr>
            <w:rFonts w:ascii="FrankRuehl" w:hAnsi="FrankRuehl" w:cs="FrankRuehl"/>
            <w:color w:val="0000FF"/>
            <w:u w:val="single"/>
            <w:rtl/>
          </w:rPr>
          <w:t>40ג</w:t>
        </w:r>
      </w:hyperlink>
      <w:r w:rsidRPr="00B02EAE">
        <w:rPr>
          <w:rFonts w:ascii="FrankRuehl" w:hAnsi="FrankRuehl" w:cs="FrankRuehl"/>
          <w:rtl/>
        </w:rPr>
        <w:t xml:space="preserve">, </w:t>
      </w:r>
      <w:hyperlink r:id="rId10" w:history="1">
        <w:r w:rsidRPr="00B02EAE">
          <w:rPr>
            <w:rFonts w:ascii="FrankRuehl" w:hAnsi="FrankRuehl" w:cs="FrankRuehl"/>
            <w:color w:val="0000FF"/>
            <w:u w:val="single"/>
            <w:rtl/>
          </w:rPr>
          <w:t>40ט</w:t>
        </w:r>
      </w:hyperlink>
      <w:r w:rsidRPr="00B02EAE">
        <w:rPr>
          <w:rFonts w:ascii="FrankRuehl" w:hAnsi="FrankRuehl" w:cs="FrankRuehl"/>
          <w:rtl/>
        </w:rPr>
        <w:t xml:space="preserve">, </w:t>
      </w:r>
      <w:hyperlink r:id="rId11" w:history="1">
        <w:r w:rsidRPr="00B02EAE">
          <w:rPr>
            <w:rFonts w:ascii="FrankRuehl" w:hAnsi="FrankRuehl" w:cs="FrankRuehl"/>
            <w:color w:val="0000FF"/>
            <w:u w:val="single"/>
            <w:rtl/>
          </w:rPr>
          <w:t>144</w:t>
        </w:r>
      </w:hyperlink>
      <w:r w:rsidRPr="00B02EAE">
        <w:rPr>
          <w:rFonts w:ascii="FrankRuehl" w:hAnsi="FrankRuehl" w:cs="FrankRuehl"/>
          <w:rtl/>
        </w:rPr>
        <w:t xml:space="preserve">, </w:t>
      </w:r>
      <w:hyperlink r:id="rId12" w:history="1">
        <w:r w:rsidRPr="00B02EAE">
          <w:rPr>
            <w:rFonts w:ascii="FrankRuehl" w:hAnsi="FrankRuehl" w:cs="FrankRuehl"/>
            <w:color w:val="0000FF"/>
            <w:u w:val="single"/>
            <w:rtl/>
          </w:rPr>
          <w:t>144(א)</w:t>
        </w:r>
      </w:hyperlink>
      <w:r w:rsidRPr="00B02EAE">
        <w:rPr>
          <w:rFonts w:ascii="FrankRuehl" w:hAnsi="FrankRuehl" w:cs="FrankRuehl"/>
          <w:rtl/>
        </w:rPr>
        <w:t xml:space="preserve">, </w:t>
      </w:r>
      <w:hyperlink r:id="rId13" w:history="1">
        <w:r w:rsidRPr="00B02EAE">
          <w:rPr>
            <w:rFonts w:ascii="FrankRuehl" w:hAnsi="FrankRuehl" w:cs="FrankRuehl"/>
            <w:color w:val="0000FF"/>
            <w:u w:val="single"/>
            <w:rtl/>
          </w:rPr>
          <w:t>ב</w:t>
        </w:r>
      </w:hyperlink>
    </w:p>
    <w:p w14:paraId="36A56833" w14:textId="77777777" w:rsidR="00B02EAE" w:rsidRPr="00B02EAE" w:rsidRDefault="00B02EAE" w:rsidP="00B02EAE">
      <w:pPr>
        <w:spacing w:after="120" w:line="240" w:lineRule="exact"/>
        <w:ind w:left="283" w:hanging="283"/>
        <w:jc w:val="both"/>
        <w:rPr>
          <w:rFonts w:ascii="FrankRuehl" w:hAnsi="FrankRuehl" w:cs="FrankRuehl"/>
          <w:rtl/>
        </w:rPr>
      </w:pPr>
      <w:hyperlink r:id="rId14" w:history="1">
        <w:r w:rsidRPr="00B02EAE">
          <w:rPr>
            <w:rFonts w:ascii="FrankRuehl" w:hAnsi="FrankRuehl" w:cs="FrankRuehl"/>
            <w:color w:val="0000FF"/>
            <w:u w:val="single"/>
            <w:rtl/>
          </w:rPr>
          <w:t>תקנות התעבורה, תשכ"א-1961 - לא מרובדות</w:t>
        </w:r>
      </w:hyperlink>
      <w:r w:rsidRPr="00B02EAE">
        <w:rPr>
          <w:rFonts w:ascii="FrankRuehl" w:hAnsi="FrankRuehl" w:cs="FrankRuehl"/>
          <w:rtl/>
        </w:rPr>
        <w:t xml:space="preserve">: סע'  </w:t>
      </w:r>
      <w:hyperlink r:id="rId15" w:history="1">
        <w:r w:rsidRPr="00B02EAE">
          <w:rPr>
            <w:rFonts w:ascii="FrankRuehl" w:hAnsi="FrankRuehl" w:cs="FrankRuehl"/>
            <w:color w:val="0000FF"/>
            <w:u w:val="single"/>
            <w:rtl/>
          </w:rPr>
          <w:t>21(ג)</w:t>
        </w:r>
      </w:hyperlink>
      <w:r w:rsidRPr="00B02EAE">
        <w:rPr>
          <w:rFonts w:ascii="FrankRuehl" w:hAnsi="FrankRuehl" w:cs="FrankRuehl"/>
          <w:rtl/>
        </w:rPr>
        <w:t xml:space="preserve">, </w:t>
      </w:r>
      <w:hyperlink r:id="rId16" w:history="1">
        <w:r w:rsidRPr="00B02EAE">
          <w:rPr>
            <w:rFonts w:ascii="FrankRuehl" w:hAnsi="FrankRuehl" w:cs="FrankRuehl"/>
            <w:color w:val="0000FF"/>
            <w:u w:val="single"/>
            <w:rtl/>
          </w:rPr>
          <w:t>22(א)</w:t>
        </w:r>
      </w:hyperlink>
    </w:p>
    <w:p w14:paraId="029B47F2" w14:textId="77777777" w:rsidR="00B02EAE" w:rsidRPr="00B02EAE" w:rsidRDefault="00B02EAE" w:rsidP="00B02EAE">
      <w:pPr>
        <w:spacing w:after="120" w:line="240" w:lineRule="exact"/>
        <w:ind w:left="283" w:hanging="283"/>
        <w:jc w:val="both"/>
        <w:rPr>
          <w:rFonts w:ascii="FrankRuehl" w:hAnsi="FrankRuehl" w:cs="FrankRuehl"/>
          <w:rtl/>
        </w:rPr>
      </w:pPr>
      <w:hyperlink r:id="rId17" w:history="1">
        <w:r w:rsidRPr="00B02EAE">
          <w:rPr>
            <w:rFonts w:ascii="FrankRuehl" w:hAnsi="FrankRuehl" w:cs="FrankRuehl"/>
            <w:color w:val="0000FF"/>
            <w:u w:val="single"/>
            <w:rtl/>
          </w:rPr>
          <w:t>פקודת התעבורה [נוסח חדש]</w:t>
        </w:r>
      </w:hyperlink>
      <w:r w:rsidRPr="00B02EAE">
        <w:rPr>
          <w:rFonts w:ascii="FrankRuehl" w:hAnsi="FrankRuehl" w:cs="FrankRuehl"/>
          <w:rtl/>
        </w:rPr>
        <w:t xml:space="preserve">: סע'  </w:t>
      </w:r>
      <w:hyperlink r:id="rId18" w:history="1">
        <w:r w:rsidRPr="00B02EAE">
          <w:rPr>
            <w:rFonts w:ascii="FrankRuehl" w:hAnsi="FrankRuehl" w:cs="FrankRuehl"/>
            <w:color w:val="0000FF"/>
            <w:u w:val="single"/>
            <w:rtl/>
          </w:rPr>
          <w:t>38(2)</w:t>
        </w:r>
      </w:hyperlink>
      <w:r w:rsidRPr="00B02EAE">
        <w:rPr>
          <w:rFonts w:ascii="FrankRuehl" w:hAnsi="FrankRuehl" w:cs="FrankRuehl"/>
          <w:rtl/>
        </w:rPr>
        <w:t xml:space="preserve">, </w:t>
      </w:r>
      <w:hyperlink r:id="rId19" w:history="1">
        <w:r w:rsidRPr="00B02EAE">
          <w:rPr>
            <w:rFonts w:ascii="FrankRuehl" w:hAnsi="FrankRuehl" w:cs="FrankRuehl"/>
            <w:color w:val="0000FF"/>
            <w:u w:val="single"/>
            <w:rtl/>
          </w:rPr>
          <w:t>62(2)</w:t>
        </w:r>
      </w:hyperlink>
      <w:r w:rsidRPr="00B02EAE">
        <w:rPr>
          <w:rFonts w:ascii="FrankRuehl" w:hAnsi="FrankRuehl" w:cs="FrankRuehl"/>
          <w:rtl/>
        </w:rPr>
        <w:t xml:space="preserve">, </w:t>
      </w:r>
      <w:hyperlink r:id="rId20" w:history="1">
        <w:r w:rsidRPr="00B02EAE">
          <w:rPr>
            <w:rFonts w:ascii="FrankRuehl" w:hAnsi="FrankRuehl" w:cs="FrankRuehl"/>
            <w:color w:val="0000FF"/>
            <w:u w:val="single"/>
            <w:rtl/>
          </w:rPr>
          <w:t>62(8)</w:t>
        </w:r>
      </w:hyperlink>
    </w:p>
    <w:p w14:paraId="1A23B31B" w14:textId="77777777" w:rsidR="00B02EAE" w:rsidRPr="00B02EAE" w:rsidRDefault="00B02EAE" w:rsidP="00B02EAE">
      <w:pPr>
        <w:spacing w:after="120" w:line="240" w:lineRule="exact"/>
        <w:ind w:left="283" w:hanging="283"/>
        <w:jc w:val="both"/>
        <w:rPr>
          <w:rFonts w:ascii="FrankRuehl" w:hAnsi="FrankRuehl" w:cs="FrankRuehl"/>
          <w:rtl/>
        </w:rPr>
      </w:pPr>
    </w:p>
    <w:p w14:paraId="669AE262" w14:textId="77777777" w:rsidR="00157F13" w:rsidRPr="00B02EAE" w:rsidRDefault="00157F13" w:rsidP="00157F13">
      <w:pPr>
        <w:jc w:val="both"/>
      </w:pPr>
      <w:bookmarkStart w:id="3" w:name="LawTable_End"/>
      <w:bookmarkEnd w:id="3"/>
    </w:p>
    <w:p w14:paraId="5EEBB6B2" w14:textId="77777777" w:rsidR="00E67E3E" w:rsidRPr="00E67E3E" w:rsidRDefault="00E67E3E" w:rsidP="00157F13">
      <w:pPr>
        <w:spacing w:line="360" w:lineRule="auto"/>
        <w:jc w:val="both"/>
        <w:rPr>
          <w:rFonts w:ascii="Arial" w:hAnsi="Arial"/>
          <w:rtl/>
        </w:rPr>
      </w:pPr>
    </w:p>
    <w:p w14:paraId="13CCB67D" w14:textId="77777777" w:rsidR="00E67E3E" w:rsidRPr="00E67E3E" w:rsidRDefault="00E67E3E" w:rsidP="00157F13">
      <w:pPr>
        <w:spacing w:line="360" w:lineRule="auto"/>
        <w:jc w:val="both"/>
        <w:rPr>
          <w:rFonts w:ascii="Arial" w:hAnsi="Arial"/>
          <w:rtl/>
        </w:rPr>
      </w:pPr>
    </w:p>
    <w:p w14:paraId="2F819B80" w14:textId="77777777" w:rsidR="00157F13" w:rsidRPr="00E67E3E" w:rsidRDefault="00157F13" w:rsidP="00157F13">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57F13" w14:paraId="40006B93" w14:textId="77777777" w:rsidTr="00157F13">
        <w:trPr>
          <w:trHeight w:val="355"/>
          <w:jc w:val="center"/>
        </w:trPr>
        <w:tc>
          <w:tcPr>
            <w:tcW w:w="8820" w:type="dxa"/>
            <w:tcBorders>
              <w:top w:val="nil"/>
              <w:left w:val="nil"/>
              <w:bottom w:val="nil"/>
              <w:right w:val="nil"/>
            </w:tcBorders>
            <w:shd w:val="clear" w:color="auto" w:fill="auto"/>
          </w:tcPr>
          <w:p w14:paraId="1A3738EC" w14:textId="77777777" w:rsidR="00E67E3E" w:rsidRPr="00E67E3E" w:rsidRDefault="00E67E3E" w:rsidP="00E67E3E">
            <w:pPr>
              <w:jc w:val="center"/>
              <w:rPr>
                <w:rFonts w:ascii="Arial" w:hAnsi="Arial" w:cs="FrankRuehl"/>
                <w:b/>
                <w:bCs/>
                <w:sz w:val="32"/>
                <w:szCs w:val="32"/>
                <w:u w:val="single"/>
                <w:rtl/>
              </w:rPr>
            </w:pPr>
            <w:bookmarkStart w:id="4" w:name="PsakDin" w:colFirst="0" w:colLast="0"/>
            <w:bookmarkEnd w:id="0"/>
            <w:r w:rsidRPr="00E67E3E">
              <w:rPr>
                <w:rFonts w:ascii="Arial" w:hAnsi="Arial" w:cs="FrankRuehl"/>
                <w:b/>
                <w:bCs/>
                <w:sz w:val="32"/>
                <w:szCs w:val="32"/>
                <w:u w:val="single"/>
                <w:rtl/>
              </w:rPr>
              <w:t>גזר דין</w:t>
            </w:r>
          </w:p>
          <w:p w14:paraId="538F6AC8" w14:textId="77777777" w:rsidR="00157F13" w:rsidRPr="00E67E3E" w:rsidRDefault="00157F13" w:rsidP="00E67E3E">
            <w:pPr>
              <w:jc w:val="center"/>
              <w:rPr>
                <w:rFonts w:ascii="Arial" w:hAnsi="Arial" w:cs="FrankRuehl"/>
                <w:bCs/>
                <w:sz w:val="32"/>
                <w:szCs w:val="32"/>
                <w:u w:val="single"/>
                <w:rtl/>
              </w:rPr>
            </w:pPr>
          </w:p>
        </w:tc>
      </w:tr>
      <w:bookmarkEnd w:id="4"/>
    </w:tbl>
    <w:p w14:paraId="6B2BB5F9" w14:textId="77777777" w:rsidR="00157F13" w:rsidRDefault="00157F13" w:rsidP="00157F13">
      <w:pPr>
        <w:spacing w:line="360" w:lineRule="auto"/>
        <w:jc w:val="both"/>
        <w:rPr>
          <w:rFonts w:ascii="Arial" w:hAnsi="Arial"/>
          <w:rtl/>
        </w:rPr>
      </w:pPr>
    </w:p>
    <w:p w14:paraId="06F10DEB" w14:textId="77777777" w:rsidR="00157F13" w:rsidRDefault="00157F13" w:rsidP="00157F13">
      <w:pPr>
        <w:spacing w:line="360" w:lineRule="auto"/>
        <w:jc w:val="both"/>
      </w:pPr>
      <w:r w:rsidRPr="00CB206E">
        <w:rPr>
          <w:rFonts w:ascii="Arial" w:hAnsi="Arial" w:hint="cs"/>
          <w:rtl/>
        </w:rPr>
        <w:t>1.</w:t>
      </w:r>
      <w:r>
        <w:rPr>
          <w:rFonts w:hint="cs"/>
          <w:rtl/>
        </w:rPr>
        <w:t xml:space="preserve"> </w:t>
      </w:r>
      <w:r>
        <w:rPr>
          <w:rtl/>
        </w:rPr>
        <w:tab/>
      </w:r>
      <w:bookmarkStart w:id="5" w:name="ABSTRACT_START"/>
      <w:bookmarkEnd w:id="5"/>
      <w:r>
        <w:rPr>
          <w:rFonts w:hint="cs"/>
          <w:rtl/>
        </w:rPr>
        <w:t xml:space="preserve">הנאשם הורשע, על יסוד הודאתו בעובדות כתב האישום המתוקן </w:t>
      </w:r>
      <w:r w:rsidRPr="00DA5A66">
        <w:rPr>
          <w:rFonts w:cs="Miriam" w:hint="cs"/>
          <w:rtl/>
        </w:rPr>
        <w:t>במ/1</w:t>
      </w:r>
      <w:r>
        <w:rPr>
          <w:rFonts w:hint="cs"/>
          <w:rtl/>
        </w:rPr>
        <w:t xml:space="preserve">, במסגרת של הסדר טיעון, בביצוע עבירות בנשק, לפי סעיף </w:t>
      </w:r>
      <w:hyperlink r:id="rId21" w:history="1">
        <w:r w:rsidR="00B02EAE" w:rsidRPr="00B02EAE">
          <w:rPr>
            <w:color w:val="0000FF"/>
            <w:u w:val="single"/>
            <w:rtl/>
          </w:rPr>
          <w:t>144(א)</w:t>
        </w:r>
      </w:hyperlink>
      <w:r>
        <w:rPr>
          <w:rFonts w:hint="cs"/>
          <w:rtl/>
        </w:rPr>
        <w:t xml:space="preserve"> רישא ו-(</w:t>
      </w:r>
      <w:hyperlink r:id="rId22" w:history="1">
        <w:r w:rsidR="00B02EAE" w:rsidRPr="00B02EAE">
          <w:rPr>
            <w:color w:val="0000FF"/>
            <w:u w:val="single"/>
            <w:rtl/>
          </w:rPr>
          <w:t>ב</w:t>
        </w:r>
      </w:hyperlink>
      <w:r>
        <w:rPr>
          <w:rFonts w:hint="cs"/>
          <w:rtl/>
        </w:rPr>
        <w:t>) רישא ל</w:t>
      </w:r>
      <w:hyperlink r:id="rId23" w:history="1">
        <w:r w:rsidR="00E67E3E" w:rsidRPr="00E67E3E">
          <w:rPr>
            <w:color w:val="0000FF"/>
            <w:u w:val="single"/>
            <w:rtl/>
          </w:rPr>
          <w:t>חוק העונשין</w:t>
        </w:r>
      </w:hyperlink>
      <w:r>
        <w:rPr>
          <w:rFonts w:hint="cs"/>
          <w:rtl/>
        </w:rPr>
        <w:t xml:space="preserve">, התשל"ז-1977 (להלן: </w:t>
      </w:r>
      <w:r w:rsidRPr="00CB206E">
        <w:rPr>
          <w:rFonts w:ascii="Miriam" w:hAnsi="Miriam" w:cs="Miriam"/>
          <w:rtl/>
        </w:rPr>
        <w:t>חוק העונשין</w:t>
      </w:r>
      <w:r>
        <w:rPr>
          <w:rFonts w:hint="cs"/>
          <w:rtl/>
        </w:rPr>
        <w:t xml:space="preserve">), בעבירה של אי ציות לתמרור, לפי </w:t>
      </w:r>
      <w:hyperlink r:id="rId24" w:history="1">
        <w:r w:rsidR="00B02EAE" w:rsidRPr="00B02EAE">
          <w:rPr>
            <w:color w:val="0000FF"/>
            <w:u w:val="single"/>
            <w:rtl/>
          </w:rPr>
          <w:t>תקנה 22(א)</w:t>
        </w:r>
      </w:hyperlink>
      <w:r>
        <w:rPr>
          <w:rFonts w:hint="cs"/>
          <w:rtl/>
        </w:rPr>
        <w:t xml:space="preserve"> ל</w:t>
      </w:r>
      <w:hyperlink r:id="rId25" w:history="1">
        <w:r w:rsidR="00E67E3E" w:rsidRPr="00E67E3E">
          <w:rPr>
            <w:color w:val="0000FF"/>
            <w:u w:val="single"/>
            <w:rtl/>
          </w:rPr>
          <w:t>תקנות התעבורה</w:t>
        </w:r>
      </w:hyperlink>
      <w:r>
        <w:rPr>
          <w:rFonts w:hint="cs"/>
          <w:rtl/>
        </w:rPr>
        <w:t xml:space="preserve">, התשכ"א -1961 (להלן: </w:t>
      </w:r>
      <w:r w:rsidRPr="00CB206E">
        <w:rPr>
          <w:rFonts w:ascii="Miriam" w:hAnsi="Miriam" w:cs="Miriam"/>
          <w:rtl/>
        </w:rPr>
        <w:t>תקנות התעבורה</w:t>
      </w:r>
      <w:r>
        <w:rPr>
          <w:rFonts w:hint="cs"/>
          <w:rtl/>
        </w:rPr>
        <w:t xml:space="preserve">) וסעיף </w:t>
      </w:r>
      <w:hyperlink r:id="rId26" w:history="1">
        <w:r w:rsidR="00B02EAE" w:rsidRPr="00B02EAE">
          <w:rPr>
            <w:color w:val="0000FF"/>
            <w:u w:val="single"/>
            <w:rtl/>
          </w:rPr>
          <w:t>62(8)</w:t>
        </w:r>
      </w:hyperlink>
      <w:r>
        <w:rPr>
          <w:rFonts w:hint="cs"/>
          <w:rtl/>
        </w:rPr>
        <w:t>ל</w:t>
      </w:r>
      <w:hyperlink r:id="rId27" w:history="1">
        <w:r w:rsidR="00E67E3E" w:rsidRPr="00E67E3E">
          <w:rPr>
            <w:color w:val="0000FF"/>
            <w:u w:val="single"/>
            <w:rtl/>
          </w:rPr>
          <w:t>פקודת התעבורה</w:t>
        </w:r>
      </w:hyperlink>
      <w:r>
        <w:rPr>
          <w:rFonts w:hint="cs"/>
          <w:rtl/>
        </w:rPr>
        <w:t xml:space="preserve"> [נוסח חדש], התשכ"א-1961 (להלן: </w:t>
      </w:r>
      <w:r w:rsidRPr="00CB206E">
        <w:rPr>
          <w:rFonts w:ascii="Miriam" w:hAnsi="Miriam" w:cs="Miriam"/>
          <w:rtl/>
        </w:rPr>
        <w:t>פקודת התעבורה</w:t>
      </w:r>
      <w:r>
        <w:rPr>
          <w:rFonts w:hint="cs"/>
          <w:rtl/>
        </w:rPr>
        <w:t xml:space="preserve">) ובעבירה של נהיגה רשלנית, לפי </w:t>
      </w:r>
      <w:hyperlink r:id="rId28" w:history="1">
        <w:r w:rsidR="00B02EAE" w:rsidRPr="00B02EAE">
          <w:rPr>
            <w:color w:val="0000FF"/>
            <w:u w:val="single"/>
            <w:rtl/>
          </w:rPr>
          <w:t>תקנה 21(ג)</w:t>
        </w:r>
      </w:hyperlink>
      <w:r>
        <w:rPr>
          <w:rFonts w:hint="cs"/>
          <w:rtl/>
        </w:rPr>
        <w:t xml:space="preserve"> לתקנות התעבורה </w:t>
      </w:r>
      <w:hyperlink r:id="rId29" w:history="1">
        <w:r w:rsidR="00B02EAE" w:rsidRPr="00B02EAE">
          <w:rPr>
            <w:color w:val="0000FF"/>
            <w:u w:val="single"/>
            <w:rtl/>
          </w:rPr>
          <w:t>וסעיפים 62(2)</w:t>
        </w:r>
      </w:hyperlink>
      <w:r>
        <w:rPr>
          <w:rFonts w:hint="cs"/>
          <w:rtl/>
        </w:rPr>
        <w:t xml:space="preserve"> ו- </w:t>
      </w:r>
      <w:hyperlink r:id="rId30" w:history="1">
        <w:r w:rsidR="00B02EAE" w:rsidRPr="00B02EAE">
          <w:rPr>
            <w:color w:val="0000FF"/>
            <w:u w:val="single"/>
            <w:rtl/>
          </w:rPr>
          <w:t>38(2)</w:t>
        </w:r>
      </w:hyperlink>
      <w:r>
        <w:rPr>
          <w:rFonts w:hint="cs"/>
          <w:rtl/>
        </w:rPr>
        <w:t xml:space="preserve"> לפקודת התעבורה.</w:t>
      </w:r>
    </w:p>
    <w:p w14:paraId="68AF989B" w14:textId="77777777" w:rsidR="00157F13" w:rsidRDefault="00157F13" w:rsidP="00157F13">
      <w:pPr>
        <w:spacing w:line="360" w:lineRule="auto"/>
        <w:jc w:val="both"/>
        <w:rPr>
          <w:rFonts w:hint="cs"/>
          <w:rtl/>
        </w:rPr>
      </w:pPr>
    </w:p>
    <w:p w14:paraId="337E60E7" w14:textId="77777777" w:rsidR="00B02EAE" w:rsidRDefault="00B02EAE" w:rsidP="00157F13">
      <w:pPr>
        <w:spacing w:line="360" w:lineRule="auto"/>
        <w:jc w:val="both"/>
        <w:rPr>
          <w:rFonts w:hint="cs"/>
          <w:rtl/>
        </w:rPr>
      </w:pPr>
    </w:p>
    <w:p w14:paraId="12585BA8" w14:textId="77777777" w:rsidR="00B02EAE" w:rsidRDefault="00B02EAE" w:rsidP="00157F13">
      <w:pPr>
        <w:spacing w:line="360" w:lineRule="auto"/>
        <w:jc w:val="both"/>
        <w:rPr>
          <w:rFonts w:hint="cs"/>
          <w:rtl/>
        </w:rPr>
      </w:pPr>
    </w:p>
    <w:p w14:paraId="62C0F86C" w14:textId="77777777" w:rsidR="00B02EAE" w:rsidRDefault="00B02EAE" w:rsidP="00157F13">
      <w:pPr>
        <w:spacing w:line="360" w:lineRule="auto"/>
        <w:jc w:val="both"/>
        <w:rPr>
          <w:rFonts w:hint="cs"/>
          <w:rtl/>
        </w:rPr>
      </w:pPr>
    </w:p>
    <w:p w14:paraId="20073083" w14:textId="77777777" w:rsidR="00B02EAE" w:rsidRDefault="00B02EAE" w:rsidP="00157F13">
      <w:pPr>
        <w:spacing w:line="360" w:lineRule="auto"/>
        <w:jc w:val="both"/>
        <w:rPr>
          <w:rFonts w:hint="cs"/>
          <w:rtl/>
        </w:rPr>
      </w:pPr>
    </w:p>
    <w:p w14:paraId="4EDCCCEF" w14:textId="77777777" w:rsidR="00B02EAE" w:rsidRDefault="00B02EAE" w:rsidP="00157F13">
      <w:pPr>
        <w:spacing w:line="360" w:lineRule="auto"/>
        <w:jc w:val="both"/>
        <w:rPr>
          <w:rFonts w:hint="cs"/>
          <w:rtl/>
        </w:rPr>
      </w:pPr>
    </w:p>
    <w:p w14:paraId="07AEC146" w14:textId="77777777" w:rsidR="00157F13" w:rsidRPr="0056058C" w:rsidRDefault="00157F13" w:rsidP="00157F13">
      <w:pPr>
        <w:spacing w:line="360" w:lineRule="auto"/>
        <w:jc w:val="both"/>
        <w:rPr>
          <w:u w:val="single"/>
          <w:rtl/>
        </w:rPr>
      </w:pPr>
      <w:bookmarkStart w:id="6" w:name="ABSTRACT_END"/>
      <w:bookmarkEnd w:id="6"/>
      <w:r w:rsidRPr="0056058C">
        <w:rPr>
          <w:rFonts w:ascii="Miriam" w:hAnsi="Miriam" w:cs="Miriam"/>
          <w:u w:val="single"/>
          <w:rtl/>
        </w:rPr>
        <w:t xml:space="preserve">כתב האישום </w:t>
      </w:r>
      <w:r>
        <w:rPr>
          <w:rFonts w:ascii="Miriam" w:hAnsi="Miriam" w:cs="Miriam" w:hint="cs"/>
          <w:u w:val="single"/>
          <w:rtl/>
        </w:rPr>
        <w:t>ה</w:t>
      </w:r>
      <w:r w:rsidRPr="0056058C">
        <w:rPr>
          <w:rFonts w:ascii="Miriam" w:hAnsi="Miriam" w:cs="Miriam"/>
          <w:u w:val="single"/>
          <w:rtl/>
        </w:rPr>
        <w:t>מתוקן</w:t>
      </w:r>
      <w:r>
        <w:rPr>
          <w:rFonts w:hint="cs"/>
          <w:u w:val="single"/>
          <w:rtl/>
        </w:rPr>
        <w:t xml:space="preserve"> </w:t>
      </w:r>
    </w:p>
    <w:p w14:paraId="563942BD" w14:textId="77777777" w:rsidR="00157F13" w:rsidRDefault="00157F13" w:rsidP="00157F13">
      <w:pPr>
        <w:spacing w:line="360" w:lineRule="auto"/>
        <w:jc w:val="both"/>
        <w:rPr>
          <w:rtl/>
        </w:rPr>
      </w:pPr>
    </w:p>
    <w:p w14:paraId="6DC24238" w14:textId="77777777" w:rsidR="00157F13" w:rsidRDefault="00157F13" w:rsidP="00157F13">
      <w:pPr>
        <w:spacing w:line="360" w:lineRule="auto"/>
        <w:jc w:val="both"/>
        <w:rPr>
          <w:rtl/>
        </w:rPr>
      </w:pPr>
      <w:r>
        <w:rPr>
          <w:rFonts w:hint="cs"/>
          <w:rtl/>
        </w:rPr>
        <w:t xml:space="preserve">2.           ביום 21/11/17, בשעות הערב, או בסמוך לכך, נהג הנאשם בקטנוע ימאהה מאום אל פחם לחיפה כשהוא מחזיק, נושא ומוביל רימון הלם/סנוור </w:t>
      </w:r>
      <w:r>
        <w:rPr>
          <w:rFonts w:hint="cs"/>
        </w:rPr>
        <w:t>M7290</w:t>
      </w:r>
      <w:r>
        <w:rPr>
          <w:rFonts w:hint="cs"/>
          <w:rtl/>
        </w:rPr>
        <w:t xml:space="preserve">  מתוצרת חברת </w:t>
      </w:r>
      <w:r>
        <w:rPr>
          <w:rFonts w:hint="cs"/>
        </w:rPr>
        <w:t>CTS</w:t>
      </w:r>
      <w:r>
        <w:rPr>
          <w:rFonts w:hint="cs"/>
          <w:rtl/>
        </w:rPr>
        <w:t xml:space="preserve"> ארה"ב, שבכוחו להזיק לאדם בעת פעולתו בכפוף לקרבה למוקד הפעולה (להלן: </w:t>
      </w:r>
      <w:r w:rsidRPr="00172F38">
        <w:rPr>
          <w:rFonts w:ascii="Miriam" w:hAnsi="Miriam" w:cs="Miriam"/>
          <w:rtl/>
        </w:rPr>
        <w:t>הרימון</w:t>
      </w:r>
      <w:r>
        <w:rPr>
          <w:rFonts w:hint="cs"/>
          <w:rtl/>
        </w:rPr>
        <w:t>), בלא רשות על פי דין. בעת שהנאשם נהג בקטנוע, כמפורט לעיל, טושטשו סימני הזיהוי של הקטנוע, באמצעות סרט שחור שהודבק על גבי אחד המספרים המוטבעים על לוחית הרישוי של הקטנוע.</w:t>
      </w:r>
    </w:p>
    <w:p w14:paraId="50735E52" w14:textId="77777777" w:rsidR="00157F13" w:rsidRDefault="00157F13" w:rsidP="00157F13">
      <w:pPr>
        <w:spacing w:line="360" w:lineRule="auto"/>
        <w:jc w:val="both"/>
        <w:rPr>
          <w:rtl/>
        </w:rPr>
      </w:pPr>
    </w:p>
    <w:p w14:paraId="74F652EB" w14:textId="77777777" w:rsidR="00157F13" w:rsidRDefault="00157F13" w:rsidP="00157F13">
      <w:pPr>
        <w:spacing w:line="360" w:lineRule="auto"/>
        <w:jc w:val="both"/>
        <w:rPr>
          <w:rtl/>
        </w:rPr>
      </w:pPr>
      <w:r>
        <w:rPr>
          <w:rFonts w:hint="cs"/>
          <w:rtl/>
        </w:rPr>
        <w:t>3.</w:t>
      </w:r>
      <w:r>
        <w:t xml:space="preserve">        </w:t>
      </w:r>
      <w:r>
        <w:rPr>
          <w:rFonts w:hint="cs"/>
          <w:rtl/>
        </w:rPr>
        <w:t xml:space="preserve">סמוך לשעה 22:00 הגיע הנאשם לקרבת בניין ברחוב מרגלית 70 בחיפה (להלן: </w:t>
      </w:r>
      <w:r w:rsidRPr="00172F38">
        <w:rPr>
          <w:rFonts w:ascii="Miriam" w:hAnsi="Miriam" w:cs="Miriam"/>
          <w:rtl/>
        </w:rPr>
        <w:t>הבניין)</w:t>
      </w:r>
      <w:r>
        <w:rPr>
          <w:rFonts w:hint="cs"/>
          <w:rtl/>
        </w:rPr>
        <w:t xml:space="preserve"> רכוב על הקטנוע, כשהוא מחזיק ונושא את הרימון. הנאשם עצר את הקטנוע, השתהה מספר שניות ולאחר מכן המשיך בנסיעה ברחוב מרגלית. זמן קצר לאחר מכן, הסתובב הנאשם וחזר לכיוון הבניין כשהוא נוסע נגד כיוון התנועה תוך אי ציות לתמרור.</w:t>
      </w:r>
    </w:p>
    <w:p w14:paraId="28D7E720" w14:textId="77777777" w:rsidR="00157F13" w:rsidRDefault="00157F13" w:rsidP="00157F13">
      <w:pPr>
        <w:spacing w:line="360" w:lineRule="auto"/>
        <w:jc w:val="both"/>
        <w:rPr>
          <w:rtl/>
        </w:rPr>
      </w:pPr>
    </w:p>
    <w:p w14:paraId="7DCA83DF" w14:textId="77777777" w:rsidR="00157F13" w:rsidRDefault="00157F13" w:rsidP="00157F13">
      <w:pPr>
        <w:spacing w:line="360" w:lineRule="auto"/>
        <w:jc w:val="both"/>
      </w:pPr>
      <w:r>
        <w:rPr>
          <w:rFonts w:hint="cs"/>
          <w:rtl/>
        </w:rPr>
        <w:t>4.</w:t>
      </w:r>
      <w:r>
        <w:rPr>
          <w:rtl/>
        </w:rPr>
        <w:tab/>
      </w:r>
      <w:r>
        <w:rPr>
          <w:rFonts w:hint="cs"/>
          <w:rtl/>
        </w:rPr>
        <w:t xml:space="preserve">הנאשם הגיע שוב בסמוך לבניין, שם השליך את הרימון לעבר דלת הכניסה לבניין. מיד לאחר מכן, הנאשם רץ בחזרה לקטנוע ונמלט מהמקום בנסיעה מהירה נגד כיוון התנועה ובניגוד לתמרור, לכיוון רחוב ליטניס. בשלב זה, התפוצץ הרימון סמוך לדלת הכניסה לבניין וגרם לרעש חזק ופיח בכניסה לבניין. בהמשך, הגיע הנאשם בנסיעה מהירה מאוד אל עבר ניידת משטרה שחסמה את הכביש בסמוך לרחוב ליטניס 4, עלה עם הקטנוע על דוקרנים שהוצבו שם, פגע עם הקטנוע בדופן שמאל של רכב סיאט איביזה השייך לק.י. (להלן: </w:t>
      </w:r>
      <w:r w:rsidRPr="00172F38">
        <w:rPr>
          <w:rFonts w:ascii="Miriam" w:hAnsi="Miriam" w:cs="Miriam"/>
          <w:rtl/>
        </w:rPr>
        <w:t>הרכב</w:t>
      </w:r>
      <w:r>
        <w:rPr>
          <w:rFonts w:hint="cs"/>
          <w:rtl/>
        </w:rPr>
        <w:t xml:space="preserve">), המשיך ופגע בחלק אחורי ימני של הניידת והתנגש בחוזקה במכולה, אשר עמדה בצד שמאל בכיוון נסיעת הנאשם, צמוד למדרכה (להלן: </w:t>
      </w:r>
      <w:r w:rsidRPr="00172F38">
        <w:rPr>
          <w:rFonts w:ascii="Miriam" w:hAnsi="Miriam" w:cs="Miriam"/>
          <w:rtl/>
        </w:rPr>
        <w:t>התאונה</w:t>
      </w:r>
      <w:r>
        <w:rPr>
          <w:rFonts w:hint="cs"/>
          <w:rtl/>
        </w:rPr>
        <w:t>). כתוצאה מהתאונה נגרם נזק לדלת אחורית שמאלית ולדלת קדמית שמאלית של הרכב בסך 4,440 ₪, נגרם נזק לכנף אחורית ימנית ולאחורי הניידת, וכן נגרם נזק לקטנוע.</w:t>
      </w:r>
    </w:p>
    <w:p w14:paraId="5D320CA1" w14:textId="77777777" w:rsidR="00157F13" w:rsidRDefault="00157F13" w:rsidP="00157F13">
      <w:pPr>
        <w:spacing w:line="360" w:lineRule="auto"/>
        <w:jc w:val="both"/>
      </w:pPr>
    </w:p>
    <w:p w14:paraId="641B57D3" w14:textId="77777777" w:rsidR="00157F13" w:rsidRDefault="00157F13" w:rsidP="00157F13">
      <w:pPr>
        <w:spacing w:line="360" w:lineRule="auto"/>
        <w:jc w:val="both"/>
      </w:pPr>
      <w:r>
        <w:rPr>
          <w:rFonts w:hint="cs"/>
          <w:rtl/>
        </w:rPr>
        <w:t>5.</w:t>
      </w:r>
      <w:r>
        <w:rPr>
          <w:rFonts w:hint="cs"/>
          <w:rtl/>
        </w:rPr>
        <w:tab/>
        <w:t>התאונה והנזקים נגרמו באשמתו של הנאשם וכתוצאה מנהיגתו הרשלנית, בכך שנהג במהירות בלתי סבירה לתנאי הדרך, ללא תשומת לב לנעשה בדרך שלפניו, ולמרות שיכול היה להבחין בדוקרנים ובניידת החוסמת את הכביש, ניסה לעבור במעבר צר שלא מאפשר נסיעה במקום.</w:t>
      </w:r>
    </w:p>
    <w:p w14:paraId="0805239B" w14:textId="77777777" w:rsidR="00157F13" w:rsidRDefault="00157F13" w:rsidP="00157F13">
      <w:pPr>
        <w:pStyle w:val="ListParagraph"/>
        <w:jc w:val="both"/>
        <w:rPr>
          <w:rtl/>
        </w:rPr>
      </w:pPr>
    </w:p>
    <w:p w14:paraId="48339EA4" w14:textId="77777777" w:rsidR="00157F13" w:rsidRDefault="00157F13" w:rsidP="00157F13">
      <w:pPr>
        <w:spacing w:line="360" w:lineRule="auto"/>
        <w:jc w:val="both"/>
        <w:rPr>
          <w:rFonts w:ascii="Miriam" w:hAnsi="Miriam" w:cs="Miriam"/>
          <w:rtl/>
        </w:rPr>
      </w:pPr>
    </w:p>
    <w:p w14:paraId="7F59CF4B" w14:textId="77777777" w:rsidR="00157F13" w:rsidRPr="0056058C" w:rsidRDefault="00157F13" w:rsidP="00157F13">
      <w:pPr>
        <w:spacing w:line="360" w:lineRule="auto"/>
        <w:jc w:val="both"/>
        <w:rPr>
          <w:rFonts w:ascii="Miriam" w:hAnsi="Miriam" w:cs="Miriam"/>
          <w:u w:val="single"/>
          <w:rtl/>
        </w:rPr>
      </w:pPr>
      <w:r w:rsidRPr="0056058C">
        <w:rPr>
          <w:rFonts w:ascii="Miriam" w:hAnsi="Miriam" w:cs="Miriam"/>
          <w:u w:val="single"/>
          <w:rtl/>
        </w:rPr>
        <w:t>תסקיר שירות המבחן</w:t>
      </w:r>
    </w:p>
    <w:p w14:paraId="337268A8" w14:textId="77777777" w:rsidR="00157F13" w:rsidRDefault="00157F13" w:rsidP="00157F13">
      <w:pPr>
        <w:jc w:val="both"/>
        <w:rPr>
          <w:rtl/>
        </w:rPr>
      </w:pPr>
    </w:p>
    <w:p w14:paraId="4725CAF9" w14:textId="77777777" w:rsidR="00157F13" w:rsidRDefault="00157F13" w:rsidP="00157F13">
      <w:pPr>
        <w:spacing w:line="360" w:lineRule="auto"/>
        <w:jc w:val="both"/>
        <w:rPr>
          <w:rtl/>
        </w:rPr>
      </w:pPr>
      <w:r>
        <w:rPr>
          <w:rtl/>
        </w:rPr>
        <w:t>6.</w:t>
      </w:r>
      <w:r>
        <w:rPr>
          <w:rtl/>
        </w:rPr>
        <w:tab/>
        <w:t xml:space="preserve"> תסקיר שירות המבחן שנערך ביום 11/6/19 אודות הנאשם מלמד על בחור צעיר כבן 21, בוגר 12 שנות לימוד ובעל תעודת "טכנאי מחשבים" ממכללת עתידים. עוד עולה מתסקיר שירות המבחן, כי משפחת מוצאו של הנאשם מונה 6 נפשות. אחיו בן ה-20 נורה לפני כחמישה חודשים. לדברי הנאשם, על רקע "סכסוך משפחות". בנקודה זו צוין כי מאז מות אחיו מצוי הנאשם במצוקה </w:t>
      </w:r>
      <w:r>
        <w:rPr>
          <w:rtl/>
        </w:rPr>
        <w:lastRenderedPageBreak/>
        <w:t xml:space="preserve">רגשית ונפשית קשה, מסתגר בביתו וממעט בתקשורת עם הסובבים. כמו כן שיתף הנאשם כי מאז מות אחיו הוא מתקשה בשינה, אכילה ותפקוד. נוכח מצבו מטופל הנאשם על ידי פסיכיאטר המגיע לביתו אחת לשבועיים. שירות המבחן ציין כי בשיחה שקיים עם הנאשם, בלט הקושי הנפשי בו הוא שרוי. הנאשם גילה קושי לנהל שיח ובד בבד הביע רצון לסיים את ההליך המשפטי. </w:t>
      </w:r>
    </w:p>
    <w:p w14:paraId="0FE89969" w14:textId="77777777" w:rsidR="00157F13" w:rsidRDefault="00157F13" w:rsidP="00157F13">
      <w:pPr>
        <w:spacing w:line="360" w:lineRule="auto"/>
        <w:jc w:val="both"/>
      </w:pPr>
    </w:p>
    <w:p w14:paraId="69521AA6" w14:textId="77777777" w:rsidR="00157F13" w:rsidRDefault="00157F13" w:rsidP="00157F13">
      <w:pPr>
        <w:spacing w:line="360" w:lineRule="auto"/>
        <w:jc w:val="both"/>
      </w:pPr>
      <w:r>
        <w:rPr>
          <w:rtl/>
        </w:rPr>
        <w:t>7.</w:t>
      </w:r>
      <w:r>
        <w:rPr>
          <w:rtl/>
        </w:rPr>
        <w:tab/>
        <w:t>הנאשם הודה בפני שירות המבחן בביצוע העבירות ולקח אחריות על מעשיו. הנאשם הסביר, כי זרק את הרימון בניסיון להפחיד ולהציב גבול לאדם שקילל אותו בעבר ואף חנק אותו. הנאשם ביטא תסכול וכאב על רקע מות אחיו ושיתף בקיומו של "סכסוך משפחות" מתמשך. הנאשם שלל קשר בין הרצח של אחיו לעבירות בתיק זה.</w:t>
      </w:r>
    </w:p>
    <w:p w14:paraId="0DD5336A" w14:textId="77777777" w:rsidR="00157F13" w:rsidRDefault="00157F13" w:rsidP="00157F13">
      <w:pPr>
        <w:ind w:left="720"/>
        <w:contextualSpacing/>
        <w:jc w:val="both"/>
      </w:pPr>
    </w:p>
    <w:p w14:paraId="47222C92" w14:textId="77777777" w:rsidR="00157F13" w:rsidRDefault="00157F13" w:rsidP="00157F13">
      <w:pPr>
        <w:spacing w:line="360" w:lineRule="auto"/>
        <w:jc w:val="both"/>
        <w:rPr>
          <w:rtl/>
        </w:rPr>
      </w:pPr>
      <w:r>
        <w:rPr>
          <w:rtl/>
        </w:rPr>
        <w:t>8.</w:t>
      </w:r>
      <w:r>
        <w:rPr>
          <w:rtl/>
        </w:rPr>
        <w:tab/>
        <w:t>נוכח מצבו הנפשי  של הנאשם לא עלה בידי שירות המבחן למצות את תהליך האבחון בעניינו ולהעריך את רמת מסוכנותו להישנות עבירה. לפיכך</w:t>
      </w:r>
      <w:r>
        <w:rPr>
          <w:rFonts w:hint="cs"/>
          <w:rtl/>
        </w:rPr>
        <w:t>,</w:t>
      </w:r>
      <w:r>
        <w:rPr>
          <w:rtl/>
        </w:rPr>
        <w:t xml:space="preserve"> הומלץ בתסקיר לבחון אפשרות להפנות את הנאשם לאבחון פסיכיאטרי, שלא נערך בסופו שלדבר, מפאת אי שיתוף פעולה על-ידו, ולפיכך לא בא שרות המבחן בהמלצה כלשהי בעניינו בתיק זה.</w:t>
      </w:r>
    </w:p>
    <w:p w14:paraId="0514A653" w14:textId="77777777" w:rsidR="00157F13" w:rsidRDefault="00157F13" w:rsidP="00157F13">
      <w:pPr>
        <w:spacing w:line="360" w:lineRule="auto"/>
        <w:jc w:val="both"/>
        <w:rPr>
          <w:rtl/>
        </w:rPr>
      </w:pPr>
    </w:p>
    <w:p w14:paraId="043D63FF" w14:textId="77777777" w:rsidR="00157F13" w:rsidRDefault="00157F13" w:rsidP="00157F13">
      <w:pPr>
        <w:spacing w:line="360" w:lineRule="auto"/>
        <w:jc w:val="both"/>
        <w:rPr>
          <w:rtl/>
        </w:rPr>
      </w:pPr>
    </w:p>
    <w:p w14:paraId="4231D6B3" w14:textId="77777777" w:rsidR="00157F13" w:rsidRDefault="00157F13" w:rsidP="00157F13">
      <w:pPr>
        <w:spacing w:line="360" w:lineRule="auto"/>
        <w:jc w:val="both"/>
      </w:pPr>
    </w:p>
    <w:p w14:paraId="0D065930" w14:textId="77777777" w:rsidR="00157F13" w:rsidRDefault="00157F13" w:rsidP="00157F13">
      <w:pPr>
        <w:jc w:val="both"/>
        <w:rPr>
          <w:rFonts w:ascii="Miriam" w:hAnsi="Miriam" w:cs="Miriam"/>
          <w:rtl/>
        </w:rPr>
      </w:pPr>
    </w:p>
    <w:p w14:paraId="479836D7" w14:textId="77777777" w:rsidR="00157F13" w:rsidRPr="0056058C" w:rsidRDefault="00157F13" w:rsidP="00157F13">
      <w:pPr>
        <w:jc w:val="both"/>
        <w:rPr>
          <w:rFonts w:ascii="Miriam" w:hAnsi="Miriam" w:cs="Miriam"/>
          <w:u w:val="single"/>
          <w:rtl/>
        </w:rPr>
      </w:pPr>
      <w:r w:rsidRPr="0056058C">
        <w:rPr>
          <w:rFonts w:ascii="Miriam" w:hAnsi="Miriam" w:cs="Miriam"/>
          <w:u w:val="single"/>
          <w:rtl/>
        </w:rPr>
        <w:t>טיעוני הצדדים לעונש</w:t>
      </w:r>
    </w:p>
    <w:p w14:paraId="357CBCFC" w14:textId="77777777" w:rsidR="00157F13" w:rsidRDefault="00157F13" w:rsidP="00157F13">
      <w:pPr>
        <w:jc w:val="both"/>
        <w:rPr>
          <w:b/>
          <w:bCs/>
          <w:u w:val="single"/>
        </w:rPr>
      </w:pPr>
    </w:p>
    <w:p w14:paraId="0D6AD216" w14:textId="77777777" w:rsidR="00157F13" w:rsidRDefault="00157F13" w:rsidP="00157F13">
      <w:pPr>
        <w:spacing w:line="360" w:lineRule="auto"/>
        <w:jc w:val="both"/>
        <w:rPr>
          <w:rtl/>
        </w:rPr>
      </w:pPr>
      <w:r>
        <w:rPr>
          <w:rFonts w:hint="cs"/>
          <w:rtl/>
        </w:rPr>
        <w:t>9.</w:t>
      </w:r>
      <w:r>
        <w:rPr>
          <w:rFonts w:hint="cs"/>
          <w:rtl/>
        </w:rPr>
        <w:tab/>
      </w:r>
      <w:r>
        <w:rPr>
          <w:rtl/>
        </w:rPr>
        <w:t>המאשימה הגישה את טיעוניה לעונש בכתב (</w:t>
      </w:r>
      <w:r>
        <w:rPr>
          <w:rFonts w:cs="Miriam"/>
          <w:rtl/>
        </w:rPr>
        <w:t>ט/1</w:t>
      </w:r>
      <w:r>
        <w:rPr>
          <w:rtl/>
        </w:rPr>
        <w:t>) וב"כ המאשימה הוסיף וטען בעל-פה בדיון בפניי ביום 13/6/19.</w:t>
      </w:r>
    </w:p>
    <w:p w14:paraId="560A54DB" w14:textId="77777777" w:rsidR="00157F13" w:rsidRDefault="00157F13" w:rsidP="00157F13">
      <w:pPr>
        <w:spacing w:line="360" w:lineRule="auto"/>
        <w:jc w:val="both"/>
        <w:rPr>
          <w:rtl/>
        </w:rPr>
      </w:pPr>
    </w:p>
    <w:p w14:paraId="65663E9B" w14:textId="77777777" w:rsidR="00157F13" w:rsidRDefault="00157F13" w:rsidP="00157F13">
      <w:pPr>
        <w:spacing w:line="360" w:lineRule="auto"/>
        <w:jc w:val="both"/>
        <w:rPr>
          <w:rtl/>
        </w:rPr>
      </w:pPr>
      <w:r>
        <w:rPr>
          <w:rFonts w:hint="cs"/>
          <w:rtl/>
        </w:rPr>
        <w:t xml:space="preserve">10. </w:t>
      </w:r>
      <w:r>
        <w:rPr>
          <w:rFonts w:hint="cs"/>
          <w:rtl/>
        </w:rPr>
        <w:tab/>
      </w:r>
      <w:r>
        <w:rPr>
          <w:rtl/>
        </w:rPr>
        <w:t>בטיעוניה לעונש פירטה המאשימה את עובדות כתב האישום המתוקן, וכן ציינה כי הנאשם היה בן 20 בעת ביצוע העבירות, וכי אין לחובתו הרשעות קודמות בפלילים. עם זאת, לחובת הנאשם 3 הרשעות בתחום התעבורה בגין עבירות של נהיגה ללא חגורת בטיחות, אי ציות לתמרור ונהיגה במהירות מופרזת (</w:t>
      </w:r>
      <w:r>
        <w:rPr>
          <w:rFonts w:cs="Miriam"/>
          <w:rtl/>
        </w:rPr>
        <w:t>ט/3</w:t>
      </w:r>
      <w:r>
        <w:rPr>
          <w:rtl/>
        </w:rPr>
        <w:t>).</w:t>
      </w:r>
    </w:p>
    <w:p w14:paraId="1E7CB37A" w14:textId="77777777" w:rsidR="00157F13" w:rsidRDefault="00157F13" w:rsidP="00157F13">
      <w:pPr>
        <w:spacing w:line="360" w:lineRule="auto"/>
        <w:jc w:val="both"/>
        <w:rPr>
          <w:rtl/>
        </w:rPr>
      </w:pPr>
    </w:p>
    <w:p w14:paraId="30FE09C4" w14:textId="77777777" w:rsidR="00157F13" w:rsidRDefault="00157F13" w:rsidP="00157F13">
      <w:pPr>
        <w:spacing w:line="360" w:lineRule="auto"/>
        <w:jc w:val="both"/>
        <w:rPr>
          <w:rtl/>
        </w:rPr>
      </w:pPr>
      <w:r>
        <w:rPr>
          <w:rFonts w:hint="cs"/>
          <w:rtl/>
        </w:rPr>
        <w:t xml:space="preserve">11. </w:t>
      </w:r>
      <w:r>
        <w:rPr>
          <w:rFonts w:hint="cs"/>
          <w:rtl/>
        </w:rPr>
        <w:tab/>
      </w:r>
      <w:r>
        <w:rPr>
          <w:rtl/>
        </w:rPr>
        <w:t>עוד ציינה המאשימה, כי הנאשם היה עצור בגין תיק זה במשך 23 ימים, וכי מיום 14/12/17 הוא נתון במעצר בית בבית הוריו עם חלונות התאווררות, שהורחבו ביום 24/6/18 לשעות</w:t>
      </w:r>
    </w:p>
    <w:p w14:paraId="1CC971C2" w14:textId="77777777" w:rsidR="00157F13" w:rsidRDefault="00157F13" w:rsidP="00157F13">
      <w:pPr>
        <w:spacing w:line="360" w:lineRule="auto"/>
        <w:jc w:val="both"/>
        <w:rPr>
          <w:rtl/>
        </w:rPr>
      </w:pPr>
      <w:r>
        <w:rPr>
          <w:rtl/>
        </w:rPr>
        <w:t xml:space="preserve"> 19:00-14:00. </w:t>
      </w:r>
    </w:p>
    <w:p w14:paraId="771DD2E0" w14:textId="77777777" w:rsidR="00157F13" w:rsidRDefault="00157F13" w:rsidP="00157F13">
      <w:pPr>
        <w:spacing w:line="360" w:lineRule="auto"/>
        <w:jc w:val="both"/>
        <w:rPr>
          <w:rtl/>
        </w:rPr>
      </w:pPr>
    </w:p>
    <w:p w14:paraId="4E2FCC71" w14:textId="77777777" w:rsidR="00157F13" w:rsidRDefault="00157F13" w:rsidP="00157F13">
      <w:pPr>
        <w:spacing w:line="360" w:lineRule="auto"/>
        <w:jc w:val="both"/>
        <w:rPr>
          <w:rtl/>
        </w:rPr>
      </w:pPr>
      <w:r>
        <w:rPr>
          <w:rFonts w:hint="cs"/>
          <w:rtl/>
        </w:rPr>
        <w:t xml:space="preserve">12. </w:t>
      </w:r>
      <w:r>
        <w:rPr>
          <w:rFonts w:hint="cs"/>
          <w:rtl/>
        </w:rPr>
        <w:tab/>
      </w:r>
      <w:r>
        <w:rPr>
          <w:rtl/>
        </w:rPr>
        <w:t>ב"כ המאשימה ניתח את מנגנון גזירת העונש העולה מתיקון 113 ל</w:t>
      </w:r>
      <w:hyperlink r:id="rId31" w:history="1">
        <w:r w:rsidR="00E67E3E" w:rsidRPr="00E67E3E">
          <w:rPr>
            <w:color w:val="0000FF"/>
            <w:u w:val="single"/>
            <w:rtl/>
          </w:rPr>
          <w:t>חוק העונשין</w:t>
        </w:r>
      </w:hyperlink>
      <w:r>
        <w:rPr>
          <w:rtl/>
        </w:rPr>
        <w:t xml:space="preserve">, תוך שציין כי בתיק זה יש לקבוע מתחם עונש הולם כולל לכל העבירות יחדיו, שכן מדובר באירוע אחד, בתכנית עבריינית אחת. </w:t>
      </w:r>
    </w:p>
    <w:p w14:paraId="1AC2E8A4" w14:textId="77777777" w:rsidR="00157F13" w:rsidRDefault="00157F13" w:rsidP="00157F13">
      <w:pPr>
        <w:spacing w:line="360" w:lineRule="auto"/>
        <w:jc w:val="both"/>
        <w:rPr>
          <w:rtl/>
        </w:rPr>
      </w:pPr>
    </w:p>
    <w:p w14:paraId="42638A09" w14:textId="77777777" w:rsidR="00157F13" w:rsidRDefault="00157F13" w:rsidP="00157F13">
      <w:pPr>
        <w:spacing w:line="360" w:lineRule="auto"/>
        <w:jc w:val="both"/>
        <w:rPr>
          <w:rtl/>
        </w:rPr>
      </w:pPr>
      <w:r>
        <w:rPr>
          <w:rFonts w:hint="cs"/>
          <w:rtl/>
        </w:rPr>
        <w:t xml:space="preserve">13. </w:t>
      </w:r>
      <w:r>
        <w:rPr>
          <w:rFonts w:hint="cs"/>
          <w:rtl/>
        </w:rPr>
        <w:tab/>
      </w:r>
      <w:r>
        <w:rPr>
          <w:rtl/>
        </w:rPr>
        <w:t xml:space="preserve">ב"כ המאשימה ציין, בטיעוניו לעונש, את חומרת עבירות הנשק שמטרתן להגן על שלום הציבור ובטחונו, על חיי אדם ועל רכוש. נטען כי הערכים החברתיים שנפגעו כתוצאה ממעשיו של הנאשם הם הפגיעה בסדר הציבורי ובתחושת הביטחון האישית, הגנה על שלמות גופו של אדם, הגנה על שלומם וביטחונם של הציבור וכן שלמות רכושם. עוד נטען כי מידת הפגיעה בערכים המוגנים במקרה דנן היא גבוהה, שכן הנאשם עשה שימוש בנשק מסוג רימון הלם, דבר המהווה, לשיטת המאשימה, אירוע בריוני שחברה מתוקנת  איננה יכולה להשלים עמו ומלמד על שיקול דעת פגום של הנאשם, היעדר גבולות, מסוכנות רבה לציבור וחוסר מורא מפני החוק. </w:t>
      </w:r>
    </w:p>
    <w:p w14:paraId="7FB3466B" w14:textId="77777777" w:rsidR="00157F13" w:rsidRDefault="00157F13" w:rsidP="00157F13">
      <w:pPr>
        <w:spacing w:line="360" w:lineRule="auto"/>
        <w:jc w:val="both"/>
        <w:rPr>
          <w:rtl/>
        </w:rPr>
      </w:pPr>
    </w:p>
    <w:p w14:paraId="1BA17E32" w14:textId="77777777" w:rsidR="00157F13" w:rsidRDefault="00157F13" w:rsidP="00157F13">
      <w:pPr>
        <w:spacing w:line="360" w:lineRule="auto"/>
        <w:jc w:val="both"/>
        <w:rPr>
          <w:rtl/>
        </w:rPr>
      </w:pPr>
      <w:r>
        <w:rPr>
          <w:rFonts w:hint="cs"/>
          <w:rtl/>
        </w:rPr>
        <w:t xml:space="preserve">14. </w:t>
      </w:r>
      <w:r>
        <w:rPr>
          <w:rFonts w:hint="cs"/>
          <w:rtl/>
        </w:rPr>
        <w:tab/>
      </w:r>
      <w:r>
        <w:rPr>
          <w:rtl/>
        </w:rPr>
        <w:t xml:space="preserve">נטען על ידי המאשימה כי הנזק הנשקף מעבירות של זריקת רימוני הלם הוא רב ביותר ויכול להגיע עד כדי פגיעה בגופו ונפשו של אדם, כל שכן במקרה זה כאשר עסקינן בנאשם שזרק רימון הלם לעבר מתחם מגורים. נטען כי אף שהנזק שנגרם בפועל אינו רב, הרי שאין בכך כדי להקהות את המסוכנות הנשקפת ממעשיו של הנאשם שבוצעו על ידו באופן מלא, מוחלט ובלעדי. עוד צוין לעניין  הנזק כי כתוצאה ממעשיו של הנאשם, נגרם רעש חזק ופיח בכניסה לבניין, וכתוצאה מנהיגתו של הנאשם נגרם לרכב של אזרח תמים נזק בסך 4,400 ₪, וכן נגרם נזק לניידת ולקטנוע של הנאשם עצמו. </w:t>
      </w:r>
    </w:p>
    <w:p w14:paraId="1D72F971" w14:textId="77777777" w:rsidR="00157F13" w:rsidRDefault="00157F13" w:rsidP="00157F13">
      <w:pPr>
        <w:spacing w:line="360" w:lineRule="auto"/>
        <w:jc w:val="both"/>
        <w:rPr>
          <w:rtl/>
        </w:rPr>
      </w:pPr>
    </w:p>
    <w:p w14:paraId="5ED81D25" w14:textId="77777777" w:rsidR="00157F13" w:rsidRDefault="00157F13" w:rsidP="00157F13">
      <w:pPr>
        <w:spacing w:line="360" w:lineRule="auto"/>
        <w:jc w:val="both"/>
        <w:rPr>
          <w:rtl/>
        </w:rPr>
      </w:pPr>
      <w:r>
        <w:rPr>
          <w:rFonts w:hint="cs"/>
          <w:rtl/>
        </w:rPr>
        <w:t xml:space="preserve">15. </w:t>
      </w:r>
      <w:r>
        <w:rPr>
          <w:rFonts w:hint="cs"/>
          <w:rtl/>
        </w:rPr>
        <w:tab/>
      </w:r>
      <w:r>
        <w:rPr>
          <w:rtl/>
        </w:rPr>
        <w:t xml:space="preserve">עוד נטען ע"י המאשימה, כי אין המדובר באירוע ספונטני אלא באירוע מתוכנן מראש, מה גם שלצורך ביצוע העבירה הגיע הנאשם במיוחד </w:t>
      </w:r>
      <w:r>
        <w:rPr>
          <w:rFonts w:hint="cs"/>
          <w:rtl/>
        </w:rPr>
        <w:t xml:space="preserve">מעיר מגוריו </w:t>
      </w:r>
      <w:r>
        <w:rPr>
          <w:rtl/>
        </w:rPr>
        <w:t>לחיפה, תוך ש</w:t>
      </w:r>
      <w:r>
        <w:rPr>
          <w:rFonts w:hint="cs"/>
          <w:rtl/>
        </w:rPr>
        <w:t xml:space="preserve">טשטש </w:t>
      </w:r>
      <w:r>
        <w:rPr>
          <w:rtl/>
        </w:rPr>
        <w:t xml:space="preserve">את סימני הזיהוי של הקטנוע לבל יזוהה. </w:t>
      </w:r>
    </w:p>
    <w:p w14:paraId="23E2FE04" w14:textId="77777777" w:rsidR="00157F13" w:rsidRDefault="00157F13" w:rsidP="00157F13">
      <w:pPr>
        <w:spacing w:line="360" w:lineRule="auto"/>
        <w:jc w:val="both"/>
        <w:rPr>
          <w:rtl/>
        </w:rPr>
      </w:pPr>
    </w:p>
    <w:p w14:paraId="5637B6AB" w14:textId="77777777" w:rsidR="00157F13" w:rsidRDefault="00157F13" w:rsidP="00157F13">
      <w:pPr>
        <w:spacing w:line="360" w:lineRule="auto"/>
        <w:jc w:val="both"/>
        <w:rPr>
          <w:rtl/>
        </w:rPr>
      </w:pPr>
      <w:r>
        <w:rPr>
          <w:rFonts w:hint="cs"/>
          <w:rtl/>
        </w:rPr>
        <w:t xml:space="preserve">16. </w:t>
      </w:r>
      <w:r>
        <w:rPr>
          <w:rFonts w:hint="cs"/>
          <w:rtl/>
        </w:rPr>
        <w:tab/>
      </w:r>
      <w:r>
        <w:rPr>
          <w:rtl/>
        </w:rPr>
        <w:t>נוכח האמור לעיל, ולאחר שסקר את מדיניות הענישה הנוהגת, טען ב"כ המאשימה כי מתחם העונש ההולם בתיק זה נע בין 4-2 שנות מאסר בפועל. כאן יוער כי עיון בגזרי הדין באסופת הפסיקה שהוגשה על ידי המאשימה (</w:t>
      </w:r>
      <w:r>
        <w:rPr>
          <w:rFonts w:cs="Miriam"/>
          <w:rtl/>
        </w:rPr>
        <w:t>ט/2</w:t>
      </w:r>
      <w:r>
        <w:rPr>
          <w:rtl/>
        </w:rPr>
        <w:t>) מלמד, כי הענישה שהוטלה בהם פחותה בחומרתה מהרף התחתון של מתחם העונש ההולם הנ"ל.</w:t>
      </w:r>
    </w:p>
    <w:p w14:paraId="3267A872" w14:textId="77777777" w:rsidR="00157F13" w:rsidRDefault="00157F13" w:rsidP="00157F13">
      <w:pPr>
        <w:spacing w:line="360" w:lineRule="auto"/>
        <w:jc w:val="both"/>
        <w:rPr>
          <w:rtl/>
        </w:rPr>
      </w:pPr>
    </w:p>
    <w:p w14:paraId="4DB5ED96" w14:textId="77777777" w:rsidR="00157F13" w:rsidRDefault="00157F13" w:rsidP="00157F13">
      <w:pPr>
        <w:spacing w:line="360" w:lineRule="auto"/>
        <w:jc w:val="both"/>
        <w:rPr>
          <w:rtl/>
        </w:rPr>
      </w:pPr>
      <w:r>
        <w:rPr>
          <w:rFonts w:hint="cs"/>
          <w:rtl/>
        </w:rPr>
        <w:t xml:space="preserve">17. </w:t>
      </w:r>
      <w:r>
        <w:rPr>
          <w:rFonts w:hint="cs"/>
          <w:rtl/>
        </w:rPr>
        <w:tab/>
      </w:r>
      <w:r>
        <w:rPr>
          <w:rtl/>
        </w:rPr>
        <w:t>לאחר שסקר ב"כ המאשימה את הנסיבות שאינן קשורות בביצוע העבירה, שעיקרן הודאת הנאשם, לקיחת אחריות על מעשיו, גילו הצעיר ועברו הפלילי הנקי, ואף נתן דעתו לכך שהנאשם לא שיתף פעולה עם שירות המבחן, ביקש ב"כ המאשימה להשית על הנאשם עונש המצוי בחלקו התחתון של מתחם העונש ההולם הנ"ל, וזאת לצד רכיבי ענישה של מאסר מותנה ארוך ומשמעותי, ופיצוי כספי נכבד למתלונן.</w:t>
      </w:r>
    </w:p>
    <w:p w14:paraId="57687AF8" w14:textId="77777777" w:rsidR="00157F13" w:rsidRDefault="00157F13" w:rsidP="00157F13">
      <w:pPr>
        <w:spacing w:line="360" w:lineRule="auto"/>
        <w:jc w:val="both"/>
        <w:rPr>
          <w:rtl/>
        </w:rPr>
      </w:pPr>
    </w:p>
    <w:p w14:paraId="5E425003" w14:textId="77777777" w:rsidR="00157F13" w:rsidRDefault="00157F13" w:rsidP="00157F13">
      <w:pPr>
        <w:spacing w:line="360" w:lineRule="auto"/>
        <w:jc w:val="both"/>
        <w:rPr>
          <w:rtl/>
        </w:rPr>
      </w:pPr>
      <w:r>
        <w:rPr>
          <w:rFonts w:hint="cs"/>
          <w:rtl/>
        </w:rPr>
        <w:t xml:space="preserve">18. </w:t>
      </w:r>
      <w:r>
        <w:rPr>
          <w:rFonts w:hint="cs"/>
          <w:rtl/>
        </w:rPr>
        <w:tab/>
      </w:r>
      <w:r>
        <w:rPr>
          <w:rtl/>
        </w:rPr>
        <w:t>ב"כ הנאשם, בטיעוניו לעונש, ציין כי עסקינן בנאשם שהינו "בגיר צעיר", דבר שעפ"י הפסיקה הוא בעל משמעות רבה ולכן המחוקק קבע חובת תסקיר לנאשם שטרם מלאו לו 21 שנים. עוד נטען כי עברו של הנאשם נקי, וכי זו לו מעידה ראשונה ויחידה בחייו. ב"כ הנאשם התייחס לפסיקה אליה הפנה ב"כ המאשימה, תוך שטען כי בפסיקה מדובר בנסיבות חמורות יותר ובנאשמים בעלי עבר פלילי, ואף על פי כן הושתו עליהם עונשים קלים יותר מהעונש לו עותרת המאשימה.</w:t>
      </w:r>
    </w:p>
    <w:p w14:paraId="31046DB7" w14:textId="77777777" w:rsidR="00157F13" w:rsidRDefault="00157F13" w:rsidP="00157F13">
      <w:pPr>
        <w:spacing w:line="360" w:lineRule="auto"/>
        <w:jc w:val="both"/>
        <w:rPr>
          <w:rtl/>
        </w:rPr>
      </w:pPr>
    </w:p>
    <w:p w14:paraId="11F1CB2B" w14:textId="77777777" w:rsidR="00157F13" w:rsidRDefault="00157F13" w:rsidP="00157F13">
      <w:pPr>
        <w:spacing w:line="360" w:lineRule="auto"/>
        <w:jc w:val="both"/>
        <w:rPr>
          <w:rtl/>
        </w:rPr>
      </w:pPr>
      <w:r>
        <w:rPr>
          <w:rFonts w:hint="cs"/>
          <w:rtl/>
        </w:rPr>
        <w:t xml:space="preserve">19. </w:t>
      </w:r>
      <w:r>
        <w:rPr>
          <w:rFonts w:hint="cs"/>
          <w:rtl/>
        </w:rPr>
        <w:tab/>
      </w:r>
      <w:r>
        <w:rPr>
          <w:rtl/>
        </w:rPr>
        <w:t xml:space="preserve">ב"כ הנאשם הוסיף וציין כי עסקינן ברימון הלם שהינו סוג של נפץ הגורם רעש ועלול לגרום לפגיעה בגוף אך לאדם הנמצא ממש בקרבתו. לעניין זה נטען כי פגיעה של רימון הלם יכולה להסב למי שנמצא בקרבת הרימון, רק פציעה ולא מוות, וזאת בניגוד לסוגי נשק אחרים. </w:t>
      </w:r>
    </w:p>
    <w:p w14:paraId="040BE141" w14:textId="77777777" w:rsidR="00157F13" w:rsidRDefault="00157F13" w:rsidP="00157F13">
      <w:pPr>
        <w:spacing w:line="360" w:lineRule="auto"/>
        <w:jc w:val="both"/>
        <w:rPr>
          <w:rtl/>
        </w:rPr>
      </w:pPr>
    </w:p>
    <w:p w14:paraId="56CD29AB" w14:textId="77777777" w:rsidR="00157F13" w:rsidRDefault="00157F13" w:rsidP="00157F13">
      <w:pPr>
        <w:spacing w:line="360" w:lineRule="auto"/>
        <w:jc w:val="both"/>
        <w:rPr>
          <w:rtl/>
        </w:rPr>
      </w:pPr>
      <w:r>
        <w:rPr>
          <w:rFonts w:hint="cs"/>
          <w:rtl/>
        </w:rPr>
        <w:t xml:space="preserve">20. </w:t>
      </w:r>
      <w:r>
        <w:rPr>
          <w:rFonts w:hint="cs"/>
          <w:rtl/>
        </w:rPr>
        <w:tab/>
      </w:r>
      <w:r>
        <w:rPr>
          <w:rtl/>
        </w:rPr>
        <w:t xml:space="preserve">ב"כ הנאשם טען כי העובדה שהנאשם פעל לבדו, פועלת דווקא לזכותו, וכן נטען כי רימון ההלם לא נזרק לתוך הדירה אלא מחוץ לבניין ולא נגרם נזק. בנוסף, טען ב"כ הנאשם כי נסיבותיו האישיות של הנאשם קשות, שכן הנאשם חווה לפני כחצי שנה את אובדן אחיו בנסיבות טרגיות, דבר שהותיר בו חותם נפשי קשה, מה גם שהוא ראה את אחיו מתבוסס בדמו וניסה להחיות אותו. עוד נטען כי שני האחים גדלו יחדיו כשני אחים תאומים. ב"כ הנאשם הבהיר כי מצבו הנפשי הקשה כיום של הנאשם נעוץ במותו של אחיו. לעניין זה צוין כי הנאשם ספון בביתו ואינו יוצר קשר עם אנשים, ולכן גם לא שיתף פעולה עם שירות המבחן ולמרות זאת לקח בפניו אחריות על מעשיו. </w:t>
      </w:r>
    </w:p>
    <w:p w14:paraId="17C461A9" w14:textId="77777777" w:rsidR="00157F13" w:rsidRDefault="00157F13" w:rsidP="00157F13">
      <w:pPr>
        <w:spacing w:line="360" w:lineRule="auto"/>
        <w:jc w:val="both"/>
        <w:rPr>
          <w:rtl/>
        </w:rPr>
      </w:pPr>
    </w:p>
    <w:p w14:paraId="63E35062" w14:textId="77777777" w:rsidR="00157F13" w:rsidRDefault="00157F13" w:rsidP="00157F13">
      <w:pPr>
        <w:spacing w:line="360" w:lineRule="auto"/>
        <w:jc w:val="both"/>
        <w:rPr>
          <w:rtl/>
        </w:rPr>
      </w:pPr>
      <w:r>
        <w:rPr>
          <w:rFonts w:hint="cs"/>
          <w:rtl/>
        </w:rPr>
        <w:t xml:space="preserve">21. </w:t>
      </w:r>
      <w:r>
        <w:rPr>
          <w:rFonts w:hint="cs"/>
          <w:rtl/>
        </w:rPr>
        <w:tab/>
      </w:r>
      <w:r>
        <w:rPr>
          <w:rtl/>
        </w:rPr>
        <w:t>ב"כ הנאשם ביקש להתחשב, לקולה, בכך שהנאשם מצוי כבר כשנה וחצי במעצר בית, דבר המהווה עבורו עונש בפני עצמו. ב"כ הנאשם הוסיף וציין את הודאת הנאשם שחסכה זמן שיפוטי יקר ומלמדת על לקיחת אחריות וחרטה.</w:t>
      </w:r>
    </w:p>
    <w:p w14:paraId="228F9E17" w14:textId="77777777" w:rsidR="00157F13" w:rsidRDefault="00157F13" w:rsidP="00157F13">
      <w:pPr>
        <w:spacing w:line="360" w:lineRule="auto"/>
        <w:jc w:val="both"/>
        <w:rPr>
          <w:rtl/>
        </w:rPr>
      </w:pPr>
    </w:p>
    <w:p w14:paraId="7AB08DB3" w14:textId="77777777" w:rsidR="00157F13" w:rsidRDefault="00157F13" w:rsidP="00157F13">
      <w:pPr>
        <w:spacing w:line="360" w:lineRule="auto"/>
        <w:jc w:val="both"/>
        <w:rPr>
          <w:rtl/>
        </w:rPr>
      </w:pPr>
      <w:r>
        <w:rPr>
          <w:rFonts w:hint="cs"/>
          <w:rtl/>
        </w:rPr>
        <w:t xml:space="preserve">22. </w:t>
      </w:r>
      <w:r>
        <w:rPr>
          <w:rFonts w:hint="cs"/>
          <w:rtl/>
        </w:rPr>
        <w:tab/>
        <w:t>נ</w:t>
      </w:r>
      <w:r>
        <w:rPr>
          <w:rtl/>
        </w:rPr>
        <w:t xml:space="preserve">טען על ידי ב"כ הנאשם כי במקרה שבפנינו מן הראוי להשית על הנאשם עונש מאסר בפועל בעבודות שירות, שכן כיום קבועה תקופה מרבית של 9 חודשים הניתנת לריצוי בדרך של עבודות שירות. עוד טען ב"כ הנאשם כי נוכח מדיניות הענישה הנהוגה, המלמדת בדבר הטלת עונשי מאסר קצרים בגין עבירות כגון דא, הרי שראוי במקרה שבפנינו להשית על הנאשם מאסר בפועל לריצוי בדרך של עבודות שירות, מה גם ששליחת הנאשם למאסר של ממש, במצבו הנפשי, עלולה לגרום לו לנזק קשה בכלא ואף לכך שיחבור לעולם הפשיעה. </w:t>
      </w:r>
    </w:p>
    <w:p w14:paraId="623918D1" w14:textId="77777777" w:rsidR="00157F13" w:rsidRDefault="00157F13" w:rsidP="00157F13">
      <w:pPr>
        <w:spacing w:line="360" w:lineRule="auto"/>
        <w:jc w:val="both"/>
        <w:rPr>
          <w:rtl/>
        </w:rPr>
      </w:pPr>
    </w:p>
    <w:p w14:paraId="4379EF74" w14:textId="77777777" w:rsidR="00157F13" w:rsidRDefault="00157F13" w:rsidP="00157F13">
      <w:pPr>
        <w:spacing w:line="360" w:lineRule="auto"/>
        <w:jc w:val="both"/>
        <w:rPr>
          <w:rtl/>
        </w:rPr>
      </w:pPr>
      <w:r>
        <w:rPr>
          <w:rFonts w:hint="cs"/>
          <w:rtl/>
        </w:rPr>
        <w:t xml:space="preserve">23. </w:t>
      </w:r>
      <w:r>
        <w:rPr>
          <w:rFonts w:hint="cs"/>
          <w:rtl/>
        </w:rPr>
        <w:tab/>
      </w:r>
      <w:r>
        <w:rPr>
          <w:rtl/>
        </w:rPr>
        <w:t xml:space="preserve">בסיכומו של דבר, ולאחר שהגיש אסופת פסיקה מטעמו </w:t>
      </w:r>
      <w:r>
        <w:rPr>
          <w:rFonts w:cs="Miriam"/>
          <w:rtl/>
        </w:rPr>
        <w:t>(נ/1</w:t>
      </w:r>
      <w:r>
        <w:rPr>
          <w:rtl/>
        </w:rPr>
        <w:t>), עתר ב"כ הנאשם להשית, כאמור, על הנאשם מאסר בפועל בדרך של עבודות שירות, תוך שטען כי העבירות הנלוות בתיק זה הן עבירות תעבורה בגינן מושת אך עונש של מאסר מותנה וקנס מתון. לעניין הפיצוי המבוקש על ידי המאשימה, ציין ב"כ הנאשם כי הנאשם נכון</w:t>
      </w:r>
      <w:r>
        <w:rPr>
          <w:rFonts w:hint="cs"/>
          <w:rtl/>
        </w:rPr>
        <w:t xml:space="preserve">, </w:t>
      </w:r>
      <w:r>
        <w:rPr>
          <w:rtl/>
        </w:rPr>
        <w:t>לצורך איזון בין מכלול רכיבי הענישה,  לשלם פיצוי למתלונן, אך ביקש להתחשב מבחינה כלכלית במצבם של הנאשם ומשפחתו. כאן יוער כי מעובדות כתב האישום המתוקן נמחק אזכור המתלונן המופיע אך בעובדות כתב האישום המקורי. עם זאת, נוכח הסכמתו הנ"ל של  הנאשם לשאת בפיצוי המתלונן, איעתר לבקשתה של המאשימה ואשית על הנאשם בתיק זה פיצוי לטובת המתלונן הנ"ל.</w:t>
      </w:r>
    </w:p>
    <w:p w14:paraId="37E413B3" w14:textId="77777777" w:rsidR="00157F13" w:rsidRDefault="00157F13" w:rsidP="00157F13">
      <w:pPr>
        <w:spacing w:line="360" w:lineRule="auto"/>
        <w:ind w:left="720" w:hanging="720"/>
        <w:jc w:val="both"/>
        <w:rPr>
          <w:rtl/>
        </w:rPr>
      </w:pPr>
    </w:p>
    <w:p w14:paraId="43D49CB5" w14:textId="77777777" w:rsidR="00157F13" w:rsidRPr="0056058C" w:rsidRDefault="00157F13" w:rsidP="00157F13">
      <w:pPr>
        <w:spacing w:line="360" w:lineRule="auto"/>
        <w:ind w:left="720" w:hanging="720"/>
        <w:jc w:val="both"/>
        <w:rPr>
          <w:rFonts w:ascii="Miriam" w:hAnsi="Miriam" w:cs="Miriam"/>
          <w:u w:val="single"/>
          <w:rtl/>
        </w:rPr>
      </w:pPr>
      <w:r w:rsidRPr="0056058C">
        <w:rPr>
          <w:rFonts w:ascii="Miriam" w:hAnsi="Miriam" w:cs="Miriam"/>
          <w:u w:val="single"/>
          <w:rtl/>
        </w:rPr>
        <w:t>דבר הנאשם</w:t>
      </w:r>
    </w:p>
    <w:p w14:paraId="4E8CAE0F" w14:textId="77777777" w:rsidR="00157F13" w:rsidRDefault="00157F13" w:rsidP="00157F13">
      <w:pPr>
        <w:spacing w:line="360" w:lineRule="auto"/>
        <w:ind w:left="720" w:hanging="720"/>
        <w:jc w:val="both"/>
        <w:rPr>
          <w:rFonts w:ascii="Miriam" w:hAnsi="Miriam" w:cs="Miriam"/>
          <w:rtl/>
        </w:rPr>
      </w:pPr>
    </w:p>
    <w:p w14:paraId="05FE5B48" w14:textId="77777777" w:rsidR="00157F13" w:rsidRPr="00805FEA" w:rsidRDefault="00157F13" w:rsidP="00157F13">
      <w:pPr>
        <w:spacing w:line="360" w:lineRule="auto"/>
        <w:ind w:left="720" w:hanging="720"/>
        <w:jc w:val="both"/>
        <w:rPr>
          <w:rFonts w:ascii="David" w:hAnsi="David"/>
          <w:rtl/>
        </w:rPr>
      </w:pPr>
      <w:r w:rsidRPr="00805FEA">
        <w:rPr>
          <w:rFonts w:ascii="David" w:hAnsi="David"/>
          <w:rtl/>
        </w:rPr>
        <w:t xml:space="preserve">24. </w:t>
      </w:r>
      <w:r w:rsidRPr="00805FEA">
        <w:rPr>
          <w:rFonts w:ascii="David" w:hAnsi="David"/>
          <w:rtl/>
        </w:rPr>
        <w:tab/>
        <w:t xml:space="preserve">הנאשם, בדיון בפניי,  נשא את הדברים הבאים: </w:t>
      </w:r>
    </w:p>
    <w:p w14:paraId="0A0086DE" w14:textId="77777777" w:rsidR="00157F13" w:rsidRDefault="00157F13" w:rsidP="00157F13">
      <w:pPr>
        <w:spacing w:line="360" w:lineRule="auto"/>
        <w:ind w:left="720" w:hanging="720"/>
        <w:jc w:val="both"/>
        <w:rPr>
          <w:rtl/>
        </w:rPr>
      </w:pPr>
      <w:r>
        <w:rPr>
          <w:rtl/>
        </w:rPr>
        <w:tab/>
        <w:t>"</w:t>
      </w:r>
      <w:r>
        <w:rPr>
          <w:rFonts w:cs="Miriam"/>
          <w:rtl/>
        </w:rPr>
        <w:t>אני מבקש סליחה, אני רוצה להשתקם, לא רוצה לחזור לכלא. עברתי הרבה בגילי הצעיר. אני רוצה להשתקם</w:t>
      </w:r>
      <w:r>
        <w:rPr>
          <w:rtl/>
        </w:rPr>
        <w:t>."</w:t>
      </w:r>
    </w:p>
    <w:p w14:paraId="51429E7B" w14:textId="77777777" w:rsidR="00157F13" w:rsidRDefault="00157F13" w:rsidP="00157F13">
      <w:pPr>
        <w:spacing w:line="360" w:lineRule="auto"/>
        <w:ind w:left="720" w:hanging="720"/>
        <w:jc w:val="both"/>
        <w:rPr>
          <w:rtl/>
        </w:rPr>
      </w:pPr>
    </w:p>
    <w:p w14:paraId="03C6B87E" w14:textId="77777777" w:rsidR="00157F13" w:rsidRPr="00805FEA" w:rsidRDefault="00157F13" w:rsidP="00157F13">
      <w:pPr>
        <w:spacing w:line="360" w:lineRule="auto"/>
        <w:ind w:left="720" w:hanging="720"/>
        <w:jc w:val="both"/>
        <w:rPr>
          <w:rFonts w:ascii="Miriam" w:hAnsi="Miriam" w:cs="Miriam"/>
          <w:u w:val="single"/>
          <w:rtl/>
        </w:rPr>
      </w:pPr>
      <w:r w:rsidRPr="00805FEA">
        <w:rPr>
          <w:rFonts w:ascii="Miriam" w:hAnsi="Miriam" w:cs="Miriam"/>
          <w:u w:val="single"/>
          <w:rtl/>
        </w:rPr>
        <w:t>דיון והכרעה</w:t>
      </w:r>
    </w:p>
    <w:p w14:paraId="79A06B26" w14:textId="77777777" w:rsidR="00157F13" w:rsidRDefault="00157F13" w:rsidP="00157F13">
      <w:pPr>
        <w:spacing w:line="360" w:lineRule="auto"/>
        <w:jc w:val="both"/>
        <w:rPr>
          <w:b/>
          <w:bCs/>
          <w:u w:val="single"/>
          <w:rtl/>
        </w:rPr>
      </w:pPr>
    </w:p>
    <w:p w14:paraId="1A3B858C" w14:textId="77777777" w:rsidR="00157F13" w:rsidRDefault="00157F13" w:rsidP="00157F13">
      <w:pPr>
        <w:spacing w:line="360" w:lineRule="auto"/>
        <w:jc w:val="both"/>
        <w:rPr>
          <w:rtl/>
        </w:rPr>
      </w:pPr>
      <w:r w:rsidRPr="00805FEA">
        <w:rPr>
          <w:rFonts w:hint="cs"/>
          <w:rtl/>
        </w:rPr>
        <w:t>25</w:t>
      </w:r>
      <w:r>
        <w:rPr>
          <w:rFonts w:hint="cs"/>
          <w:rtl/>
        </w:rPr>
        <w:t xml:space="preserve">. </w:t>
      </w:r>
      <w:r>
        <w:rPr>
          <w:rFonts w:hint="cs"/>
          <w:rtl/>
        </w:rPr>
        <w:tab/>
      </w:r>
      <w:r>
        <w:rPr>
          <w:rtl/>
        </w:rPr>
        <w:t>תיקון מס' 113 ל</w:t>
      </w:r>
      <w:hyperlink r:id="rId32" w:history="1">
        <w:r w:rsidR="00E67E3E" w:rsidRPr="00E67E3E">
          <w:rPr>
            <w:color w:val="0000FF"/>
            <w:u w:val="single"/>
            <w:rtl/>
          </w:rPr>
          <w:t>חוק העונשין</w:t>
        </w:r>
      </w:hyperlink>
      <w:r>
        <w:rPr>
          <w:rtl/>
        </w:rPr>
        <w:t xml:space="preserve"> מתווה את העיקרון המנחה את ביהמ"ש בבואו לגזור דינו של נאשם שהינו, לפי </w:t>
      </w:r>
      <w:hyperlink r:id="rId33" w:history="1">
        <w:r w:rsidR="00B02EAE" w:rsidRPr="00B02EAE">
          <w:rPr>
            <w:color w:val="0000FF"/>
            <w:u w:val="single"/>
            <w:rtl/>
          </w:rPr>
          <w:t>סעיף 40ב</w:t>
        </w:r>
      </w:hyperlink>
      <w:r>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34" w:history="1">
        <w:r w:rsidR="00E67E3E" w:rsidRPr="00E67E3E">
          <w:rPr>
            <w:color w:val="0000FF"/>
            <w:u w:val="single"/>
            <w:rtl/>
          </w:rPr>
          <w:t>ע.פ. 1523/10</w:t>
        </w:r>
      </w:hyperlink>
      <w:r>
        <w:rPr>
          <w:rtl/>
        </w:rPr>
        <w:t xml:space="preserve"> </w:t>
      </w:r>
      <w:r>
        <w:rPr>
          <w:rFonts w:cs="Miriam"/>
          <w:rtl/>
        </w:rPr>
        <w:t>פלוני נ' מדינת ישראל</w:t>
      </w:r>
      <w:r>
        <w:rPr>
          <w:rtl/>
        </w:rPr>
        <w:t xml:space="preserve">, 18/4/12 ). </w:t>
      </w:r>
      <w:hyperlink r:id="rId35" w:history="1">
        <w:r w:rsidR="00B02EAE" w:rsidRPr="00B02EAE">
          <w:rPr>
            <w:color w:val="0000FF"/>
            <w:u w:val="single"/>
            <w:rtl/>
          </w:rPr>
          <w:t>סעיף 40ג</w:t>
        </w:r>
      </w:hyperlink>
      <w:r>
        <w:rPr>
          <w:rtl/>
        </w:rPr>
        <w:t xml:space="preserve"> ל</w:t>
      </w:r>
      <w:hyperlink r:id="rId36" w:history="1">
        <w:r w:rsidR="00E67E3E" w:rsidRPr="00E67E3E">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7" w:history="1">
        <w:r w:rsidR="00B02EAE" w:rsidRPr="00B02EAE">
          <w:rPr>
            <w:color w:val="0000FF"/>
            <w:u w:val="single"/>
            <w:rtl/>
          </w:rPr>
          <w:t>בסעיף 40ט</w:t>
        </w:r>
      </w:hyperlink>
      <w:r>
        <w:rPr>
          <w:rtl/>
        </w:rPr>
        <w:t xml:space="preserve"> ל</w:t>
      </w:r>
      <w:hyperlink r:id="rId38" w:history="1">
        <w:r w:rsidR="00E67E3E" w:rsidRPr="00E67E3E">
          <w:rPr>
            <w:color w:val="0000FF"/>
            <w:u w:val="single"/>
            <w:rtl/>
          </w:rPr>
          <w:t>חוק העונשין</w:t>
        </w:r>
      </w:hyperlink>
      <w:r>
        <w:rPr>
          <w:rtl/>
        </w:rPr>
        <w:t xml:space="preserve">.  אין חולק בתיק זה כי העבירות מושא כתב האישום המתוקן מהוות אירוע אחד, בגינו ייקבע להלן מתחם העונש ההולם. ראשית, אציין כי הערכים החברתיים שנפגעו כתוצאה מביצוע העבירות על ידי הנאשם הם – שלומו ובטחונו של הציבור, רכושו וכן הסדר הציבורי, תחושת הביטחון האישי ובטחונו, שלומו ורכושו של המתלונן. </w:t>
      </w:r>
    </w:p>
    <w:p w14:paraId="787EFF55" w14:textId="77777777" w:rsidR="00157F13" w:rsidRDefault="00157F13" w:rsidP="00157F13">
      <w:pPr>
        <w:spacing w:line="360" w:lineRule="auto"/>
        <w:jc w:val="both"/>
        <w:rPr>
          <w:rtl/>
        </w:rPr>
      </w:pPr>
    </w:p>
    <w:p w14:paraId="3B1657EA" w14:textId="77777777" w:rsidR="00157F13" w:rsidRDefault="00157F13" w:rsidP="00157F13">
      <w:pPr>
        <w:spacing w:line="360" w:lineRule="auto"/>
        <w:jc w:val="both"/>
        <w:rPr>
          <w:rtl/>
        </w:rPr>
      </w:pPr>
      <w:r>
        <w:rPr>
          <w:rFonts w:hint="cs"/>
          <w:rtl/>
        </w:rPr>
        <w:t xml:space="preserve">26. </w:t>
      </w:r>
      <w:r>
        <w:rPr>
          <w:rFonts w:hint="cs"/>
          <w:rtl/>
        </w:rPr>
        <w:tab/>
      </w:r>
      <w:r>
        <w:rPr>
          <w:rtl/>
        </w:rPr>
        <w:t>הנאשם הורשע, כאמור, בעבירות שעניינן החזקה, נשיאה והובלה של נשק מסוג רימון הלם, וזאת לצד עבירות תעבורה שעניינן אי ציות לתמרור ונהיגה רשלנית. אין צורך להכביר במילים באשר לנזק הפוטנציאלי הטמון בשימוש בנשק, לסוגיו השונים. עם זאת, ראוי לציין כי סכנתו של רימון הלם פחותה מהסכנה הטמונה בכלי נשק אחרים, שבכוחם לגרום גם למותו של אדם. לעניין הנזק העלול להיגרם כתוצאה משימוש ברימון הלם, יפים דבריו הבאים של בית המשפט העליון, כפי שנאמרו ב</w:t>
      </w:r>
      <w:hyperlink r:id="rId39" w:history="1">
        <w:r w:rsidR="00E67E3E" w:rsidRPr="00E67E3E">
          <w:rPr>
            <w:color w:val="0000FF"/>
            <w:u w:val="single"/>
            <w:rtl/>
          </w:rPr>
          <w:t>ע"פ 7386/13</w:t>
        </w:r>
      </w:hyperlink>
      <w:r>
        <w:rPr>
          <w:rtl/>
        </w:rPr>
        <w:t xml:space="preserve"> </w:t>
      </w:r>
      <w:r>
        <w:rPr>
          <w:rFonts w:cs="Miriam"/>
          <w:rtl/>
        </w:rPr>
        <w:t xml:space="preserve">עווד נ' מדינת ישראל </w:t>
      </w:r>
      <w:r>
        <w:rPr>
          <w:rtl/>
        </w:rPr>
        <w:t>(23/3/13):</w:t>
      </w:r>
      <w:r>
        <w:rPr>
          <w:b/>
          <w:bCs/>
          <w:rtl/>
        </w:rPr>
        <w:t xml:space="preserve"> </w:t>
      </w:r>
      <w:r>
        <w:rPr>
          <w:rFonts w:cs="Miriam"/>
          <w:rtl/>
        </w:rPr>
        <w:t>"...גם אם סכנתו של רימון ההלם פחותה משל רימון רסס 'עדיין מדובר בנשק שבכוחו לגרום פציעה לאדם, בכפוף לקרבתו למוקד הפעלתו...</w:t>
      </w:r>
      <w:r>
        <w:rPr>
          <w:b/>
          <w:bCs/>
          <w:rtl/>
        </w:rPr>
        <w:t xml:space="preserve">". </w:t>
      </w:r>
      <w:r>
        <w:rPr>
          <w:rtl/>
        </w:rPr>
        <w:t xml:space="preserve">נקבע זה מכבר על ידי בית המשפט העליון כי רימון הלם נועד לגרום לאי נוחות לאדם, והנזק שנגרם ממנו גורם בעצם לטשטושו של אדם, ולהכנסתו למצב של הלם. דירוגו של רימון ההלם אינו בין החמורים, אך אין להקל בו ראש (ראו: רע"פ 7124/06 </w:t>
      </w:r>
      <w:r>
        <w:rPr>
          <w:rFonts w:cs="Miriam"/>
          <w:rtl/>
        </w:rPr>
        <w:t>דרורי נ' מדינת ישראל</w:t>
      </w:r>
      <w:r>
        <w:rPr>
          <w:b/>
          <w:bCs/>
          <w:rtl/>
        </w:rPr>
        <w:t xml:space="preserve"> </w:t>
      </w:r>
      <w:r>
        <w:rPr>
          <w:rtl/>
        </w:rPr>
        <w:t xml:space="preserve">(9/5/07)). </w:t>
      </w:r>
    </w:p>
    <w:p w14:paraId="6337858C" w14:textId="77777777" w:rsidR="00157F13" w:rsidRDefault="00157F13" w:rsidP="00157F13">
      <w:pPr>
        <w:spacing w:line="360" w:lineRule="auto"/>
        <w:jc w:val="both"/>
        <w:rPr>
          <w:rtl/>
        </w:rPr>
      </w:pPr>
    </w:p>
    <w:p w14:paraId="640B2805" w14:textId="77777777" w:rsidR="00157F13" w:rsidRDefault="00157F13" w:rsidP="00157F13">
      <w:pPr>
        <w:spacing w:line="360" w:lineRule="auto"/>
        <w:jc w:val="both"/>
        <w:rPr>
          <w:rtl/>
        </w:rPr>
      </w:pPr>
      <w:r>
        <w:rPr>
          <w:rFonts w:hint="cs"/>
          <w:rtl/>
        </w:rPr>
        <w:t xml:space="preserve">27. </w:t>
      </w:r>
      <w:r>
        <w:rPr>
          <w:rFonts w:hint="cs"/>
          <w:rtl/>
        </w:rPr>
        <w:tab/>
      </w:r>
      <w:r>
        <w:rPr>
          <w:rtl/>
        </w:rPr>
        <w:t>ומהתם להכא: הנאשם השליך את רימון ההלם לעבר דלת הכניסה של הבניין. הרימון התפוצץ, סמוך לאותה דלת, וגרם לרעש חזק ופיח בכניסה לבניין. כאן אציין, במסגרת סקירת נסיבות ביצוע העבירה, כי הנזק שנגרם, כאמור, כתוצאה מפיצוץ רימון ההלם, אינו כבד, כי אם רעש חזק ופיח, ולא יותר מכך, כפי שטען הסניגור המלומד, ובצדק. עם זאת, אין להקל ראש אשר לפגיעה הרגשית ולערעור תחושת הביטחון כתוצאה מחשיפה לפיצוץ כגון דא שארע בפתחו של בניין מגורים.</w:t>
      </w:r>
    </w:p>
    <w:p w14:paraId="1B0B31B1" w14:textId="77777777" w:rsidR="00157F13" w:rsidRDefault="00157F13" w:rsidP="00157F13">
      <w:pPr>
        <w:spacing w:line="360" w:lineRule="auto"/>
        <w:jc w:val="both"/>
        <w:rPr>
          <w:rtl/>
        </w:rPr>
      </w:pPr>
    </w:p>
    <w:p w14:paraId="177E2008" w14:textId="77777777" w:rsidR="00157F13" w:rsidRDefault="00157F13" w:rsidP="00157F13">
      <w:pPr>
        <w:spacing w:line="360" w:lineRule="auto"/>
        <w:jc w:val="both"/>
        <w:rPr>
          <w:rtl/>
        </w:rPr>
      </w:pPr>
      <w:r>
        <w:rPr>
          <w:rFonts w:hint="cs"/>
          <w:rtl/>
        </w:rPr>
        <w:t xml:space="preserve">28. </w:t>
      </w:r>
      <w:r>
        <w:rPr>
          <w:rFonts w:hint="cs"/>
          <w:rtl/>
        </w:rPr>
        <w:tab/>
      </w:r>
      <w:r>
        <w:rPr>
          <w:rtl/>
        </w:rPr>
        <w:t xml:space="preserve">הנאשם תכנן את מעשיו, כפי שעולה מעובדות כתב האישום המתוקן, שפורטו לעיל. כאן אוסיף, לחובת הנאשם, את העובדה שהוא נשא והוביל מרחק רב את רימון ההלם מאום אל פחם לעיר חיפה. עוד אציין, לחומרה, כי הנאשם ביצע, לאחר שנמלט מהמקום, עבירות תעבורה, תוך שגרם נזק לרכב פרטי ולניידת משטרה, ואף גרם נזק לקטנוע שלו. </w:t>
      </w:r>
    </w:p>
    <w:p w14:paraId="5C9F8661" w14:textId="77777777" w:rsidR="00157F13" w:rsidRDefault="00157F13" w:rsidP="00157F13">
      <w:pPr>
        <w:spacing w:line="360" w:lineRule="auto"/>
        <w:jc w:val="both"/>
        <w:rPr>
          <w:rtl/>
        </w:rPr>
      </w:pPr>
    </w:p>
    <w:p w14:paraId="6EF32F45" w14:textId="77777777" w:rsidR="00157F13" w:rsidRDefault="00157F13" w:rsidP="00157F13">
      <w:pPr>
        <w:spacing w:line="360" w:lineRule="auto"/>
        <w:jc w:val="both"/>
        <w:rPr>
          <w:rtl/>
        </w:rPr>
      </w:pPr>
      <w:r>
        <w:rPr>
          <w:rFonts w:hint="cs"/>
          <w:rtl/>
        </w:rPr>
        <w:t xml:space="preserve">29. </w:t>
      </w:r>
      <w:r>
        <w:rPr>
          <w:rFonts w:hint="cs"/>
          <w:rtl/>
        </w:rPr>
        <w:tab/>
      </w:r>
      <w:r>
        <w:rPr>
          <w:rtl/>
        </w:rPr>
        <w:t>במסגרת סקירת מדיניות הענישה הנהוגה, תובא הפסיקה הבאה:</w:t>
      </w:r>
    </w:p>
    <w:p w14:paraId="026969D3" w14:textId="77777777" w:rsidR="00157F13" w:rsidRDefault="00157F13" w:rsidP="00157F13">
      <w:pPr>
        <w:spacing w:line="360" w:lineRule="auto"/>
        <w:jc w:val="both"/>
        <w:rPr>
          <w:rtl/>
        </w:rPr>
      </w:pPr>
    </w:p>
    <w:p w14:paraId="210D6B97" w14:textId="77777777" w:rsidR="00157F13" w:rsidRDefault="00157F13" w:rsidP="00157F13">
      <w:pPr>
        <w:numPr>
          <w:ilvl w:val="0"/>
          <w:numId w:val="1"/>
        </w:numPr>
        <w:shd w:val="clear" w:color="auto" w:fill="FFFFFF"/>
        <w:spacing w:line="360" w:lineRule="auto"/>
        <w:contextualSpacing/>
        <w:jc w:val="both"/>
        <w:rPr>
          <w:rtl/>
        </w:rPr>
      </w:pPr>
      <w:r>
        <w:rPr>
          <w:rFonts w:ascii="Calibri" w:hAnsi="Calibri"/>
          <w:rtl/>
        </w:rPr>
        <w:t>ב</w:t>
      </w:r>
      <w:hyperlink r:id="rId40" w:history="1">
        <w:r w:rsidR="00E67E3E" w:rsidRPr="00E67E3E">
          <w:rPr>
            <w:rFonts w:ascii="Calibri" w:hAnsi="Calibri" w:hint="eastAsia"/>
            <w:color w:val="0000FF"/>
            <w:u w:val="single"/>
            <w:rtl/>
          </w:rPr>
          <w:t>ת</w:t>
        </w:r>
        <w:r w:rsidR="00E67E3E" w:rsidRPr="00E67E3E">
          <w:rPr>
            <w:rFonts w:ascii="Calibri" w:hAnsi="Calibri"/>
            <w:color w:val="0000FF"/>
            <w:u w:val="single"/>
            <w:rtl/>
          </w:rPr>
          <w:t>.</w:t>
        </w:r>
        <w:r w:rsidR="00E67E3E" w:rsidRPr="00E67E3E">
          <w:rPr>
            <w:rFonts w:ascii="Calibri" w:hAnsi="Calibri" w:hint="eastAsia"/>
            <w:color w:val="0000FF"/>
            <w:u w:val="single"/>
            <w:rtl/>
          </w:rPr>
          <w:t>פ</w:t>
        </w:r>
        <w:r w:rsidR="00E67E3E" w:rsidRPr="00E67E3E">
          <w:rPr>
            <w:rFonts w:ascii="Calibri" w:hAnsi="Calibri"/>
            <w:color w:val="0000FF"/>
            <w:u w:val="single"/>
            <w:rtl/>
          </w:rPr>
          <w:t>. (</w:t>
        </w:r>
        <w:r w:rsidR="00E67E3E" w:rsidRPr="00E67E3E">
          <w:rPr>
            <w:rFonts w:ascii="Calibri" w:hAnsi="Calibri" w:hint="eastAsia"/>
            <w:color w:val="0000FF"/>
            <w:u w:val="single"/>
            <w:rtl/>
          </w:rPr>
          <w:t>מחוזי</w:t>
        </w:r>
        <w:r w:rsidR="00E67E3E" w:rsidRPr="00E67E3E">
          <w:rPr>
            <w:rFonts w:ascii="Calibri" w:hAnsi="Calibri"/>
            <w:color w:val="0000FF"/>
            <w:u w:val="single"/>
            <w:rtl/>
          </w:rPr>
          <w:t>-</w:t>
        </w:r>
        <w:r w:rsidR="00E67E3E" w:rsidRPr="00E67E3E">
          <w:rPr>
            <w:rFonts w:ascii="Calibri" w:hAnsi="Calibri" w:hint="eastAsia"/>
            <w:color w:val="0000FF"/>
            <w:u w:val="single"/>
            <w:rtl/>
          </w:rPr>
          <w:t>חיפה</w:t>
        </w:r>
        <w:r w:rsidR="00E67E3E" w:rsidRPr="00E67E3E">
          <w:rPr>
            <w:rFonts w:ascii="Calibri" w:hAnsi="Calibri"/>
            <w:color w:val="0000FF"/>
            <w:u w:val="single"/>
            <w:rtl/>
          </w:rPr>
          <w:t>) 31218-10-14</w:t>
        </w:r>
      </w:hyperlink>
      <w:r>
        <w:rPr>
          <w:rFonts w:ascii="Calibri" w:hAnsi="Calibri"/>
          <w:rtl/>
        </w:rPr>
        <w:t xml:space="preserve"> </w:t>
      </w:r>
      <w:r>
        <w:rPr>
          <w:rFonts w:ascii="Calibri" w:hAnsi="Calibri" w:cs="Miriam"/>
          <w:rtl/>
        </w:rPr>
        <w:t>מדינת ישראל נ' אסדי</w:t>
      </w:r>
      <w:r>
        <w:rPr>
          <w:rFonts w:ascii="Calibri" w:hAnsi="Calibri"/>
          <w:rtl/>
        </w:rPr>
        <w:t xml:space="preserve"> (11/2/15) דובר בנאשם שהשליך רימון הלם לעבר מרפסת ביתו של המתלונן. שם נקבע מתחם עונש הולם שנע בין 8 ל-20 חודשי מאסר בפועל, ובסופו של דבר הושת על הנאשם שהיה בעל עבר פלילי בעבירות נשק, עונש מאסר בפועל לתקופה של 9 חודשים. יצוין כי נזקפו לטובת הנאשם הודאתו ונסיבות אישיות חריגות. </w:t>
      </w:r>
    </w:p>
    <w:p w14:paraId="1AE55295" w14:textId="77777777" w:rsidR="00157F13" w:rsidRDefault="00157F13" w:rsidP="00157F13">
      <w:pPr>
        <w:shd w:val="clear" w:color="auto" w:fill="FFFFFF"/>
        <w:spacing w:line="360" w:lineRule="auto"/>
        <w:ind w:left="778"/>
        <w:contextualSpacing/>
        <w:jc w:val="both"/>
      </w:pPr>
    </w:p>
    <w:p w14:paraId="6A9DD69F" w14:textId="77777777" w:rsidR="00157F13" w:rsidRDefault="00157F13" w:rsidP="00157F13">
      <w:pPr>
        <w:numPr>
          <w:ilvl w:val="0"/>
          <w:numId w:val="1"/>
        </w:numPr>
        <w:shd w:val="clear" w:color="auto" w:fill="FFFFFF"/>
        <w:spacing w:line="360" w:lineRule="auto"/>
        <w:contextualSpacing/>
        <w:jc w:val="both"/>
      </w:pPr>
      <w:r>
        <w:rPr>
          <w:rFonts w:ascii="Calibri" w:hAnsi="Calibri"/>
          <w:rtl/>
        </w:rPr>
        <w:t>ב</w:t>
      </w:r>
      <w:hyperlink r:id="rId41" w:history="1">
        <w:r w:rsidR="00E67E3E" w:rsidRPr="00E67E3E">
          <w:rPr>
            <w:rFonts w:ascii="Calibri" w:hAnsi="Calibri" w:hint="eastAsia"/>
            <w:color w:val="0000FF"/>
            <w:u w:val="single"/>
            <w:rtl/>
          </w:rPr>
          <w:t>ע</w:t>
        </w:r>
        <w:r w:rsidR="00E67E3E" w:rsidRPr="00E67E3E">
          <w:rPr>
            <w:rFonts w:ascii="Calibri" w:hAnsi="Calibri"/>
            <w:color w:val="0000FF"/>
            <w:u w:val="single"/>
            <w:rtl/>
          </w:rPr>
          <w:t>"</w:t>
        </w:r>
        <w:r w:rsidR="00E67E3E" w:rsidRPr="00E67E3E">
          <w:rPr>
            <w:rFonts w:ascii="Calibri" w:hAnsi="Calibri" w:hint="eastAsia"/>
            <w:color w:val="0000FF"/>
            <w:u w:val="single"/>
            <w:rtl/>
          </w:rPr>
          <w:t>פ</w:t>
        </w:r>
        <w:r w:rsidR="00E67E3E" w:rsidRPr="00E67E3E">
          <w:rPr>
            <w:rFonts w:ascii="Calibri" w:hAnsi="Calibri"/>
            <w:color w:val="0000FF"/>
            <w:u w:val="single"/>
            <w:rtl/>
          </w:rPr>
          <w:t xml:space="preserve"> 8845/15</w:t>
        </w:r>
      </w:hyperlink>
      <w:r>
        <w:rPr>
          <w:rFonts w:ascii="Calibri" w:hAnsi="Calibri"/>
          <w:rtl/>
        </w:rPr>
        <w:t xml:space="preserve"> </w:t>
      </w:r>
      <w:r>
        <w:rPr>
          <w:rFonts w:ascii="Calibri" w:hAnsi="Calibri" w:cs="Miriam"/>
          <w:rtl/>
        </w:rPr>
        <w:t>מנסור נ' מדינת ישראל</w:t>
      </w:r>
      <w:r>
        <w:rPr>
          <w:rFonts w:ascii="Calibri" w:hAnsi="Calibri"/>
          <w:rtl/>
        </w:rPr>
        <w:t xml:space="preserve"> (17/11/16) – דובר במערער שהשליך רימון הלם לעבר בית, אשר התפוצץ סמוך לשני בני משפחה. לא נגרם נזק. בית המשפט המחוזי קבע מתחם עונש הולם שנע</w:t>
      </w:r>
      <w:r>
        <w:rPr>
          <w:rFonts w:ascii="Calibri" w:hAnsi="Calibri" w:hint="cs"/>
          <w:rtl/>
        </w:rPr>
        <w:t xml:space="preserve"> בין</w:t>
      </w:r>
      <w:r>
        <w:rPr>
          <w:rFonts w:ascii="Calibri" w:hAnsi="Calibri"/>
          <w:rtl/>
        </w:rPr>
        <w:t xml:space="preserve"> 3-1 שנות מאסר בפועל. אותו מערער היה בחור צעיר, שניהל את משפטו והיה בעל עבר פלילי אם כי לא מכביד. ערעורו על חומרת העונש (מאסר בפועל בן 18 חודשים) - נדחה. </w:t>
      </w:r>
    </w:p>
    <w:p w14:paraId="443F9051" w14:textId="77777777" w:rsidR="00157F13" w:rsidRDefault="00157F13" w:rsidP="00157F13">
      <w:pPr>
        <w:spacing w:line="360" w:lineRule="auto"/>
        <w:jc w:val="both"/>
        <w:rPr>
          <w:rtl/>
        </w:rPr>
      </w:pPr>
    </w:p>
    <w:p w14:paraId="5590453F" w14:textId="77777777" w:rsidR="00157F13" w:rsidRDefault="00157F13" w:rsidP="00157F13">
      <w:pPr>
        <w:numPr>
          <w:ilvl w:val="0"/>
          <w:numId w:val="1"/>
        </w:numPr>
        <w:spacing w:line="360" w:lineRule="auto"/>
        <w:contextualSpacing/>
        <w:jc w:val="both"/>
        <w:rPr>
          <w:rFonts w:ascii="Calibri" w:hAnsi="Calibri"/>
          <w:rtl/>
        </w:rPr>
      </w:pPr>
      <w:r>
        <w:rPr>
          <w:rFonts w:ascii="Calibri" w:hAnsi="Calibri"/>
          <w:rtl/>
        </w:rPr>
        <w:t>ב</w:t>
      </w:r>
      <w:hyperlink r:id="rId42" w:history="1">
        <w:r w:rsidR="00E67E3E" w:rsidRPr="00E67E3E">
          <w:rPr>
            <w:rFonts w:ascii="Calibri" w:hAnsi="Calibri" w:hint="eastAsia"/>
            <w:color w:val="0000FF"/>
            <w:u w:val="single"/>
            <w:rtl/>
          </w:rPr>
          <w:t>ת</w:t>
        </w:r>
        <w:r w:rsidR="00E67E3E" w:rsidRPr="00E67E3E">
          <w:rPr>
            <w:rFonts w:ascii="Calibri" w:hAnsi="Calibri"/>
            <w:color w:val="0000FF"/>
            <w:u w:val="single"/>
            <w:rtl/>
          </w:rPr>
          <w:t>.</w:t>
        </w:r>
        <w:r w:rsidR="00E67E3E" w:rsidRPr="00E67E3E">
          <w:rPr>
            <w:rFonts w:ascii="Calibri" w:hAnsi="Calibri" w:hint="eastAsia"/>
            <w:color w:val="0000FF"/>
            <w:u w:val="single"/>
            <w:rtl/>
          </w:rPr>
          <w:t>פ</w:t>
        </w:r>
        <w:r w:rsidR="00E67E3E" w:rsidRPr="00E67E3E">
          <w:rPr>
            <w:rFonts w:ascii="Calibri" w:hAnsi="Calibri"/>
            <w:color w:val="0000FF"/>
            <w:u w:val="single"/>
            <w:rtl/>
          </w:rPr>
          <w:t>. (</w:t>
        </w:r>
        <w:r w:rsidR="00E67E3E" w:rsidRPr="00E67E3E">
          <w:rPr>
            <w:rFonts w:ascii="Calibri" w:hAnsi="Calibri" w:hint="eastAsia"/>
            <w:color w:val="0000FF"/>
            <w:u w:val="single"/>
            <w:rtl/>
          </w:rPr>
          <w:t>מחוזי</w:t>
        </w:r>
        <w:r w:rsidR="00E67E3E" w:rsidRPr="00E67E3E">
          <w:rPr>
            <w:rFonts w:ascii="Calibri" w:hAnsi="Calibri"/>
            <w:color w:val="0000FF"/>
            <w:u w:val="single"/>
            <w:rtl/>
          </w:rPr>
          <w:t xml:space="preserve"> </w:t>
        </w:r>
        <w:r w:rsidR="00E67E3E" w:rsidRPr="00E67E3E">
          <w:rPr>
            <w:rFonts w:ascii="Calibri" w:hAnsi="Calibri" w:hint="eastAsia"/>
            <w:color w:val="0000FF"/>
            <w:u w:val="single"/>
            <w:rtl/>
          </w:rPr>
          <w:t>חיפה</w:t>
        </w:r>
        <w:r w:rsidR="00E67E3E" w:rsidRPr="00E67E3E">
          <w:rPr>
            <w:rFonts w:ascii="Calibri" w:hAnsi="Calibri"/>
            <w:color w:val="0000FF"/>
            <w:u w:val="single"/>
            <w:rtl/>
          </w:rPr>
          <w:t>) 40450-09-15</w:t>
        </w:r>
      </w:hyperlink>
      <w:r>
        <w:rPr>
          <w:rFonts w:ascii="Calibri" w:hAnsi="Calibri"/>
          <w:rtl/>
        </w:rPr>
        <w:t xml:space="preserve"> </w:t>
      </w:r>
      <w:r>
        <w:rPr>
          <w:rFonts w:ascii="Calibri" w:hAnsi="Calibri" w:cs="Miriam"/>
          <w:rtl/>
        </w:rPr>
        <w:t>מדינת ישראל נ' עכאווי</w:t>
      </w:r>
      <w:r>
        <w:rPr>
          <w:rFonts w:ascii="Calibri" w:hAnsi="Calibri"/>
          <w:rtl/>
        </w:rPr>
        <w:t xml:space="preserve"> (20/1/16) דובר בנאשם שהשליך רימון הלם לתוך חנות בה עבד המתלונן. שם נקבע מתחם עונש הולם שנע בין 6 ל-24 חודשי מאסר בפועל, והוטל עונש של 10 חודשי מאסר בפועל, תוך מתן הדעת להודאת הנאשם, להיותו בחור צעיר, להסכם סולחה ולכך שעברו של הנאשם לא היה מכביד. </w:t>
      </w:r>
    </w:p>
    <w:p w14:paraId="1ABD6937" w14:textId="77777777" w:rsidR="00157F13" w:rsidRDefault="00157F13" w:rsidP="00157F13">
      <w:pPr>
        <w:spacing w:line="360" w:lineRule="auto"/>
        <w:jc w:val="both"/>
        <w:rPr>
          <w:rFonts w:ascii="Calibri" w:hAnsi="Calibri"/>
          <w:rtl/>
        </w:rPr>
      </w:pPr>
    </w:p>
    <w:p w14:paraId="6F7A28F6" w14:textId="77777777" w:rsidR="00157F13" w:rsidRDefault="00157F13" w:rsidP="00157F13">
      <w:pPr>
        <w:spacing w:line="360" w:lineRule="auto"/>
        <w:jc w:val="both"/>
        <w:rPr>
          <w:rtl/>
        </w:rPr>
      </w:pPr>
      <w:r>
        <w:rPr>
          <w:rFonts w:ascii="Calibri" w:hAnsi="Calibri" w:hint="cs"/>
          <w:rtl/>
        </w:rPr>
        <w:t xml:space="preserve">30. </w:t>
      </w:r>
      <w:r>
        <w:rPr>
          <w:rFonts w:ascii="Calibri" w:hAnsi="Calibri" w:hint="cs"/>
          <w:rtl/>
        </w:rPr>
        <w:tab/>
      </w:r>
      <w:r>
        <w:rPr>
          <w:rFonts w:hint="cs"/>
          <w:rtl/>
        </w:rPr>
        <w:t>ל</w:t>
      </w:r>
      <w:r>
        <w:rPr>
          <w:rtl/>
        </w:rPr>
        <w:t xml:space="preserve">אחר שנתתי דעתי לערכים החברתיים שנפגעו כתוצאה מביצוע העבירות שבפנינו, לנסיבות ביצוע העבירות, וכן למדיניות הענישה הנהוגה, לרבות לפסיקה אליה הפנה כל אחד מהצדדים, הגעתי לכלל מסקנה כי מתחם העונש ההולם בתיק זה נע בין עונש של 9 חודשי מאסר בפועל, לרבות לריצוי בדרך של עבודות שירות, לבין עונש של 24 חודשי מאסר בפועל. </w:t>
      </w:r>
    </w:p>
    <w:p w14:paraId="3C82583C" w14:textId="77777777" w:rsidR="00157F13" w:rsidRDefault="00157F13" w:rsidP="00157F13">
      <w:pPr>
        <w:spacing w:line="360" w:lineRule="auto"/>
        <w:jc w:val="both"/>
        <w:rPr>
          <w:rtl/>
        </w:rPr>
      </w:pPr>
    </w:p>
    <w:p w14:paraId="6F7FBACE" w14:textId="77777777" w:rsidR="00157F13" w:rsidRDefault="00157F13" w:rsidP="00157F13">
      <w:pPr>
        <w:spacing w:line="360" w:lineRule="auto"/>
        <w:jc w:val="both"/>
        <w:rPr>
          <w:rtl/>
        </w:rPr>
      </w:pPr>
      <w:r>
        <w:rPr>
          <w:rFonts w:hint="cs"/>
          <w:rtl/>
        </w:rPr>
        <w:t xml:space="preserve">31. </w:t>
      </w:r>
      <w:r>
        <w:rPr>
          <w:rFonts w:hint="cs"/>
          <w:rtl/>
        </w:rPr>
        <w:tab/>
      </w:r>
      <w:r>
        <w:rPr>
          <w:rtl/>
        </w:rPr>
        <w:t xml:space="preserve">במסגרת בחינת הנסיבות שאינן קשורות בביצוע העבירה, אציין לטובת הנאשם את עברו הפלילי הנקי ללא רבב, וכן את גילו הצעיר, שכן הנאשם היה בן 20 שנה בעת ביצוע העבירות. עוד אציין לקולה את העובדה שהנאשם היה נתון בגין תיק זה במעצר של ממש, במשך 23 ימים, וכי במשך תקופה ממושכת (מיום 14/12/17) נתון הנאשם במעצר בית, אף כי לפני כשנה הורחבו חלונות ההתאווררות של הנאשם. </w:t>
      </w:r>
    </w:p>
    <w:p w14:paraId="122E55D8" w14:textId="77777777" w:rsidR="00157F13" w:rsidRDefault="00157F13" w:rsidP="00157F13">
      <w:pPr>
        <w:spacing w:line="360" w:lineRule="auto"/>
        <w:jc w:val="both"/>
        <w:rPr>
          <w:rtl/>
        </w:rPr>
      </w:pPr>
    </w:p>
    <w:p w14:paraId="169FED41" w14:textId="77777777" w:rsidR="00157F13" w:rsidRDefault="00157F13" w:rsidP="00157F13">
      <w:pPr>
        <w:spacing w:line="360" w:lineRule="auto"/>
        <w:jc w:val="both"/>
        <w:rPr>
          <w:rtl/>
        </w:rPr>
      </w:pPr>
      <w:r>
        <w:rPr>
          <w:rFonts w:hint="cs"/>
          <w:rtl/>
        </w:rPr>
        <w:t xml:space="preserve">32. </w:t>
      </w:r>
      <w:r>
        <w:rPr>
          <w:rFonts w:hint="cs"/>
          <w:rtl/>
        </w:rPr>
        <w:tab/>
      </w:r>
      <w:r>
        <w:rPr>
          <w:rtl/>
        </w:rPr>
        <w:t>אוסיף, לטובת הנאשם, את הודאתו בעובדות כתב האישום המתוקן, אשר חסכה הן את העדת עדי התביעה והן מזמנו היקר של בית המשפט. בנקודה זו אוסיף, כי הנאשם לקח אחריות על מעשיו בפני שירות המבחן. הנאשם לא שיתף פעולה עם שירות המבחן, ולכן שירות המבחן נמנע ממתן המלצה בעניינו. כאן ראוי לציין את מצבו הנפשי של הנאשם, העולה, כאמור, הן ממקרא תסקיר שירות המבחן והן מטיעוני הסניגור לעונש, והנעוץ באירוע ה</w:t>
      </w:r>
      <w:r>
        <w:rPr>
          <w:rFonts w:hint="cs"/>
          <w:rtl/>
        </w:rPr>
        <w:t>משפחתי ה</w:t>
      </w:r>
      <w:r>
        <w:rPr>
          <w:rtl/>
        </w:rPr>
        <w:t>טרגי שפקד את הנאשם לפני כחצי שנה עת שנהרג אחיו. הנאשם, לדברי הסניגור, ניסה להחיות את האח השותת דם, דבר שהותיר בו חותם רגשי קשה.</w:t>
      </w:r>
    </w:p>
    <w:p w14:paraId="105D896B" w14:textId="77777777" w:rsidR="00157F13" w:rsidRDefault="00157F13" w:rsidP="00157F13">
      <w:pPr>
        <w:spacing w:line="360" w:lineRule="auto"/>
        <w:jc w:val="both"/>
        <w:rPr>
          <w:rtl/>
        </w:rPr>
      </w:pPr>
    </w:p>
    <w:p w14:paraId="6F6D8730" w14:textId="77777777" w:rsidR="00157F13" w:rsidRDefault="00157F13" w:rsidP="00157F13">
      <w:pPr>
        <w:spacing w:line="360" w:lineRule="auto"/>
        <w:jc w:val="both"/>
        <w:rPr>
          <w:rtl/>
        </w:rPr>
      </w:pPr>
      <w:r>
        <w:rPr>
          <w:rFonts w:hint="cs"/>
          <w:rtl/>
        </w:rPr>
        <w:t xml:space="preserve">33. </w:t>
      </w:r>
      <w:r>
        <w:rPr>
          <w:rFonts w:hint="cs"/>
          <w:rtl/>
        </w:rPr>
        <w:tab/>
      </w:r>
      <w:r>
        <w:rPr>
          <w:rtl/>
        </w:rPr>
        <w:t xml:space="preserve">לאחר ששקלתי את מכלול הנסיבות הנ"ל, שאינן קשורות בביצוע העבירות, הגעתי לכלל מסקנה כי מן הראוי להשית על הנאשם בתיק זה עונש המצוי ברף התחתון של מתחם העונש ההולם הנ"ל. כאן אציין כי, לדידי, עונש של מאסר בפועל לתקופה של 9 חודשים בדרך של עבודות שירות מאזן נאותה בין מכלול השיקולים. השתת עונש מאסר בפועל של ממש על הנאשם עלולה, בנסיבות העניין, ונוכח גילו הצעיר ומצבו הנפשי הקשה, להסב לו נזק נפשי נוסף ואף חלילה להביא לשילובו במעגל הפשיעה, דבר המחטיא את האינטרס הציבורי. </w:t>
      </w:r>
    </w:p>
    <w:p w14:paraId="57E83AEA" w14:textId="77777777" w:rsidR="00157F13" w:rsidRDefault="00157F13" w:rsidP="00157F13">
      <w:pPr>
        <w:spacing w:line="360" w:lineRule="auto"/>
        <w:jc w:val="both"/>
        <w:rPr>
          <w:rtl/>
        </w:rPr>
      </w:pPr>
    </w:p>
    <w:p w14:paraId="0329143A" w14:textId="77777777" w:rsidR="00157F13" w:rsidRDefault="00157F13" w:rsidP="00157F13">
      <w:pPr>
        <w:spacing w:line="360" w:lineRule="auto"/>
        <w:jc w:val="both"/>
        <w:rPr>
          <w:rtl/>
        </w:rPr>
      </w:pPr>
      <w:r>
        <w:rPr>
          <w:rFonts w:hint="cs"/>
          <w:rtl/>
        </w:rPr>
        <w:t xml:space="preserve">34. </w:t>
      </w:r>
      <w:r>
        <w:rPr>
          <w:rFonts w:hint="cs"/>
          <w:rtl/>
        </w:rPr>
        <w:tab/>
      </w:r>
      <w:r>
        <w:rPr>
          <w:rtl/>
        </w:rPr>
        <w:t>בסיכומו של דבר, אני דנה את הנאשם, כדלקמן:</w:t>
      </w:r>
    </w:p>
    <w:p w14:paraId="59F9BA27" w14:textId="77777777" w:rsidR="00157F13" w:rsidRPr="00B12981" w:rsidRDefault="00157F13" w:rsidP="00157F13">
      <w:pPr>
        <w:numPr>
          <w:ilvl w:val="0"/>
          <w:numId w:val="2"/>
        </w:numPr>
        <w:tabs>
          <w:tab w:val="left" w:pos="800"/>
        </w:tabs>
        <w:overflowPunct w:val="0"/>
        <w:autoSpaceDE w:val="0"/>
        <w:autoSpaceDN w:val="0"/>
        <w:adjustRightInd w:val="0"/>
        <w:spacing w:after="160" w:line="360" w:lineRule="auto"/>
        <w:contextualSpacing/>
        <w:jc w:val="both"/>
        <w:textAlignment w:val="baseline"/>
        <w:rPr>
          <w:rtl/>
        </w:rPr>
      </w:pPr>
      <w:r w:rsidRPr="00B12981">
        <w:rPr>
          <w:rtl/>
        </w:rPr>
        <w:t xml:space="preserve">למאסר בפועל למשך 9 חודשים שירוצה בדרך של עבודות שירות, כאמור בחוות דעת הממונה על עבודות שירות, היינו </w:t>
      </w:r>
      <w:r>
        <w:rPr>
          <w:rFonts w:hint="cs"/>
          <w:rtl/>
        </w:rPr>
        <w:t xml:space="preserve">במועצה המקומית עירון. הנאשם </w:t>
      </w:r>
      <w:r w:rsidRPr="00B12981">
        <w:rPr>
          <w:rtl/>
        </w:rPr>
        <w:t xml:space="preserve">יתייצב </w:t>
      </w:r>
      <w:r>
        <w:rPr>
          <w:rFonts w:hint="cs"/>
          <w:rtl/>
        </w:rPr>
        <w:t xml:space="preserve">ביום 21.8.19 בשעה 8:00 </w:t>
      </w:r>
      <w:r w:rsidRPr="00B12981">
        <w:rPr>
          <w:rtl/>
        </w:rPr>
        <w:t>לתחילת ריצוי עבודות השירות בשד' הציונות 14, טבריה. הנאשם מוזהר בזה, לבקשת הממונה על עבודות שירות כי</w:t>
      </w:r>
      <w:r>
        <w:rPr>
          <w:rFonts w:hint="cs"/>
          <w:rtl/>
        </w:rPr>
        <w:t xml:space="preserve"> מדובר בתנאי העסקה קפדניים המצריכים התייצבות רציפה וכל חריגה מהכללים עלולה להביא להפסקת ריצוי עבודות השירות ולריצוי יתרת העונש במאסר של ממש</w:t>
      </w:r>
      <w:r w:rsidRPr="00B12981">
        <w:rPr>
          <w:rtl/>
        </w:rPr>
        <w:t>.</w:t>
      </w:r>
    </w:p>
    <w:p w14:paraId="5C675624" w14:textId="77777777" w:rsidR="00157F13" w:rsidRDefault="00157F13" w:rsidP="00157F13">
      <w:pPr>
        <w:tabs>
          <w:tab w:val="left" w:pos="800"/>
        </w:tabs>
        <w:overflowPunct w:val="0"/>
        <w:autoSpaceDE w:val="0"/>
        <w:autoSpaceDN w:val="0"/>
        <w:adjustRightInd w:val="0"/>
        <w:spacing w:line="360" w:lineRule="auto"/>
        <w:ind w:left="720"/>
        <w:contextualSpacing/>
        <w:jc w:val="both"/>
        <w:textAlignment w:val="baseline"/>
      </w:pPr>
    </w:p>
    <w:p w14:paraId="03608A1C" w14:textId="77777777" w:rsidR="00157F13" w:rsidRDefault="00157F13" w:rsidP="00157F13">
      <w:pPr>
        <w:numPr>
          <w:ilvl w:val="0"/>
          <w:numId w:val="2"/>
        </w:numPr>
        <w:spacing w:after="160" w:line="360" w:lineRule="auto"/>
        <w:contextualSpacing/>
        <w:jc w:val="both"/>
      </w:pPr>
      <w:r>
        <w:rPr>
          <w:rtl/>
        </w:rPr>
        <w:t xml:space="preserve">למאסר על תנאי לתקופה של 12 חודשים למשך 3 שנים והתנאי הוא לבל יעבור הנאשם עבירה מסוג פשע, לפי </w:t>
      </w:r>
      <w:hyperlink r:id="rId43" w:history="1">
        <w:r w:rsidR="00B02EAE" w:rsidRPr="00B02EAE">
          <w:rPr>
            <w:color w:val="0000FF"/>
            <w:u w:val="single"/>
            <w:rtl/>
          </w:rPr>
          <w:t>סעיף 144</w:t>
        </w:r>
      </w:hyperlink>
      <w:r>
        <w:rPr>
          <w:rtl/>
        </w:rPr>
        <w:t xml:space="preserve"> ל</w:t>
      </w:r>
      <w:hyperlink r:id="rId44" w:history="1">
        <w:r w:rsidR="00E67E3E" w:rsidRPr="00E67E3E">
          <w:rPr>
            <w:color w:val="0000FF"/>
            <w:u w:val="single"/>
            <w:rtl/>
          </w:rPr>
          <w:t>חוק העונשין</w:t>
        </w:r>
      </w:hyperlink>
      <w:r>
        <w:rPr>
          <w:rtl/>
        </w:rPr>
        <w:t xml:space="preserve"> התשל"ז-1977. </w:t>
      </w:r>
    </w:p>
    <w:p w14:paraId="299EFE49" w14:textId="77777777" w:rsidR="00157F13" w:rsidRDefault="00157F13" w:rsidP="00157F13">
      <w:pPr>
        <w:spacing w:line="360" w:lineRule="auto"/>
        <w:ind w:left="720"/>
        <w:contextualSpacing/>
        <w:jc w:val="both"/>
      </w:pPr>
    </w:p>
    <w:p w14:paraId="538DED24" w14:textId="77777777" w:rsidR="00157F13" w:rsidRDefault="00157F13" w:rsidP="00157F13">
      <w:pPr>
        <w:numPr>
          <w:ilvl w:val="0"/>
          <w:numId w:val="2"/>
        </w:numPr>
        <w:spacing w:after="160" w:line="360" w:lineRule="auto"/>
        <w:contextualSpacing/>
        <w:jc w:val="both"/>
        <w:rPr>
          <w:rtl/>
        </w:rPr>
      </w:pPr>
      <w:r>
        <w:rPr>
          <w:rtl/>
        </w:rPr>
        <w:t xml:space="preserve">למאסר על תנאי לתקופה של  5 חודשים למשך 3 שנים והתנאי הוא לבל יעבור הנאשם עבירה מסוג עוון, לפי </w:t>
      </w:r>
      <w:hyperlink r:id="rId45" w:history="1">
        <w:r w:rsidR="00B02EAE" w:rsidRPr="00B02EAE">
          <w:rPr>
            <w:color w:val="0000FF"/>
            <w:u w:val="single"/>
            <w:rtl/>
          </w:rPr>
          <w:t>סעיף 144</w:t>
        </w:r>
      </w:hyperlink>
      <w:r>
        <w:rPr>
          <w:rtl/>
        </w:rPr>
        <w:t xml:space="preserve"> ל</w:t>
      </w:r>
      <w:hyperlink r:id="rId46" w:history="1">
        <w:r w:rsidR="00E67E3E" w:rsidRPr="00E67E3E">
          <w:rPr>
            <w:color w:val="0000FF"/>
            <w:u w:val="single"/>
            <w:rtl/>
          </w:rPr>
          <w:t>חוק העונשין</w:t>
        </w:r>
      </w:hyperlink>
      <w:r>
        <w:rPr>
          <w:rtl/>
        </w:rPr>
        <w:t xml:space="preserve"> התשל"ז-1977. </w:t>
      </w:r>
    </w:p>
    <w:p w14:paraId="06CF67E1" w14:textId="77777777" w:rsidR="00157F13" w:rsidRDefault="00157F13" w:rsidP="00157F13">
      <w:pPr>
        <w:spacing w:line="360" w:lineRule="auto"/>
        <w:ind w:left="720"/>
        <w:contextualSpacing/>
        <w:jc w:val="both"/>
      </w:pPr>
    </w:p>
    <w:p w14:paraId="5DD0E87F" w14:textId="77777777" w:rsidR="00157F13" w:rsidRDefault="00157F13" w:rsidP="00157F13">
      <w:pPr>
        <w:numPr>
          <w:ilvl w:val="0"/>
          <w:numId w:val="3"/>
        </w:numPr>
        <w:spacing w:line="360" w:lineRule="auto"/>
        <w:contextualSpacing/>
        <w:jc w:val="both"/>
      </w:pPr>
      <w:r>
        <w:rPr>
          <w:rtl/>
        </w:rPr>
        <w:t xml:space="preserve">אני מורה </w:t>
      </w:r>
      <w:r>
        <w:rPr>
          <w:rFonts w:hint="cs"/>
          <w:rtl/>
        </w:rPr>
        <w:t>ל</w:t>
      </w:r>
      <w:r>
        <w:rPr>
          <w:rtl/>
        </w:rPr>
        <w:t xml:space="preserve">נאשם לשלם למתלונן, הנזכר בכתב האישום המקורי כ-ח.כ, פיצוי בסכום של 5,000 ₪, אשר יופקד על ידי הנאשם עבור המתלונן בקופת בית המשפט ב-10 תשלומים, חודשיים, שווים ורצופים החל מיום 15/9/19 ואילך. אי עמידה באחד מתשלומי הפיצוי, תביא להעמדת מלוא יתרת הסכום לפירעון מידי. </w:t>
      </w:r>
    </w:p>
    <w:p w14:paraId="32742E19" w14:textId="77777777" w:rsidR="00157F13" w:rsidRDefault="00157F13" w:rsidP="00157F13">
      <w:pPr>
        <w:spacing w:line="360" w:lineRule="auto"/>
        <w:jc w:val="both"/>
        <w:rPr>
          <w:rtl/>
        </w:rPr>
      </w:pPr>
    </w:p>
    <w:p w14:paraId="2E194661" w14:textId="77777777" w:rsidR="00157F13" w:rsidRDefault="00157F13" w:rsidP="00157F13">
      <w:pPr>
        <w:spacing w:line="360" w:lineRule="auto"/>
        <w:jc w:val="both"/>
        <w:rPr>
          <w:b/>
          <w:bCs/>
          <w:u w:val="single"/>
          <w:rtl/>
        </w:rPr>
      </w:pPr>
      <w:r>
        <w:rPr>
          <w:b/>
          <w:bCs/>
          <w:u w:val="single"/>
          <w:rtl/>
        </w:rPr>
        <w:t>המזכירות תמציא גזר הדין לשירות המבחן ולממונה על עבודות שירות.</w:t>
      </w:r>
    </w:p>
    <w:p w14:paraId="1AADD427" w14:textId="77777777" w:rsidR="00157F13" w:rsidRDefault="00157F13" w:rsidP="00157F13">
      <w:pPr>
        <w:spacing w:line="360" w:lineRule="auto"/>
        <w:jc w:val="both"/>
        <w:rPr>
          <w:b/>
          <w:bCs/>
          <w:u w:val="single"/>
          <w:rtl/>
        </w:rPr>
      </w:pPr>
    </w:p>
    <w:p w14:paraId="19B098A3" w14:textId="77777777" w:rsidR="00157F13" w:rsidRDefault="00157F13" w:rsidP="00157F13">
      <w:pPr>
        <w:spacing w:line="360" w:lineRule="auto"/>
        <w:jc w:val="both"/>
        <w:rPr>
          <w:b/>
          <w:bCs/>
          <w:u w:val="single"/>
          <w:rtl/>
        </w:rPr>
      </w:pPr>
      <w:r>
        <w:rPr>
          <w:b/>
          <w:bCs/>
          <w:u w:val="single"/>
          <w:rtl/>
        </w:rPr>
        <w:t>זכות ערעור לבית המשפט העליון תוך 45 ימים.</w:t>
      </w:r>
    </w:p>
    <w:p w14:paraId="26DC6F19" w14:textId="77777777" w:rsidR="00157F13" w:rsidRDefault="00157F13" w:rsidP="00157F13">
      <w:pPr>
        <w:jc w:val="both"/>
        <w:rPr>
          <w:rtl/>
        </w:rPr>
      </w:pPr>
    </w:p>
    <w:p w14:paraId="719EC94D" w14:textId="77777777" w:rsidR="00157F13" w:rsidRDefault="00157F13" w:rsidP="00157F13">
      <w:pPr>
        <w:jc w:val="both"/>
        <w:rPr>
          <w:rtl/>
        </w:rPr>
      </w:pPr>
    </w:p>
    <w:p w14:paraId="739D8A27" w14:textId="77777777" w:rsidR="00157F13" w:rsidRDefault="00E67E3E" w:rsidP="00157F13">
      <w:pPr>
        <w:spacing w:line="360" w:lineRule="auto"/>
        <w:jc w:val="both"/>
        <w:rPr>
          <w:rFonts w:ascii="Arial" w:hAnsi="Arial"/>
          <w:rtl/>
        </w:rPr>
      </w:pPr>
      <w:bookmarkStart w:id="7" w:name="Nitan"/>
      <w:r>
        <w:rPr>
          <w:rFonts w:ascii="Arial" w:hAnsi="Arial"/>
          <w:rtl/>
        </w:rPr>
        <w:t xml:space="preserve">ניתן היום,  י"א תמוז תשע"ט, 14 יולי 2019, במעמד ב"כ המאשימה, עו"ד בורג, ב"כ הנאשם, עו"ד </w:t>
      </w:r>
      <w:bookmarkEnd w:id="7"/>
      <w:r w:rsidR="00157F13">
        <w:rPr>
          <w:rFonts w:ascii="Arial" w:hAnsi="Arial" w:hint="cs"/>
          <w:rtl/>
        </w:rPr>
        <w:t xml:space="preserve">שפרלינג </w:t>
      </w:r>
      <w:r w:rsidR="00157F13">
        <w:rPr>
          <w:rFonts w:ascii="Arial" w:hAnsi="Arial"/>
          <w:rtl/>
        </w:rPr>
        <w:t>והנאשם בעצמו.</w:t>
      </w:r>
    </w:p>
    <w:p w14:paraId="7DC9EBAE" w14:textId="77777777" w:rsidR="00157F13" w:rsidRPr="00157F13" w:rsidRDefault="00157F13" w:rsidP="00157F13">
      <w:pPr>
        <w:rPr>
          <w:rFonts w:ascii="Calibri" w:eastAsia="Calibri" w:hAnsi="Calibri" w:cs="Arial"/>
          <w:sz w:val="22"/>
          <w:szCs w:val="22"/>
        </w:rPr>
      </w:pPr>
    </w:p>
    <w:p w14:paraId="4663799B" w14:textId="77777777" w:rsidR="00157F13" w:rsidRPr="000A57F3" w:rsidRDefault="00157F13" w:rsidP="00157F13">
      <w:pPr>
        <w:pStyle w:val="ListParagraph"/>
        <w:jc w:val="both"/>
        <w:rPr>
          <w:rtl/>
        </w:rPr>
      </w:pPr>
    </w:p>
    <w:p w14:paraId="713D11D6" w14:textId="77777777" w:rsidR="00157F13" w:rsidRDefault="00157F13" w:rsidP="00157F13">
      <w:pPr>
        <w:jc w:val="both"/>
        <w:rPr>
          <w:rFonts w:cs="FrankRuehl"/>
          <w:sz w:val="28"/>
          <w:szCs w:val="28"/>
        </w:rPr>
      </w:pPr>
    </w:p>
    <w:p w14:paraId="4EE23979" w14:textId="77777777" w:rsidR="00157F13" w:rsidRPr="00E67E3E" w:rsidRDefault="00E67E3E" w:rsidP="00157F13">
      <w:pPr>
        <w:spacing w:line="360" w:lineRule="auto"/>
        <w:jc w:val="both"/>
        <w:rPr>
          <w:rFonts w:ascii="Arial" w:hAnsi="Arial"/>
          <w:color w:val="FFFFFF"/>
          <w:sz w:val="2"/>
          <w:szCs w:val="2"/>
        </w:rPr>
      </w:pPr>
      <w:r w:rsidRPr="00E67E3E">
        <w:rPr>
          <w:rFonts w:ascii="Arial" w:hAnsi="Arial"/>
          <w:color w:val="FFFFFF"/>
          <w:sz w:val="2"/>
          <w:szCs w:val="2"/>
          <w:rtl/>
        </w:rPr>
        <w:t>5129371</w:t>
      </w:r>
    </w:p>
    <w:p w14:paraId="57C3C52D" w14:textId="77777777" w:rsidR="00157F13" w:rsidRPr="00E67E3E" w:rsidRDefault="00E67E3E" w:rsidP="00157F13">
      <w:pPr>
        <w:jc w:val="both"/>
        <w:rPr>
          <w:rFonts w:cs="FrankRuehl"/>
          <w:color w:val="FFFFFF"/>
          <w:sz w:val="2"/>
          <w:szCs w:val="2"/>
          <w:rtl/>
        </w:rPr>
      </w:pPr>
      <w:r w:rsidRPr="00E67E3E">
        <w:rPr>
          <w:rFonts w:cs="FrankRuehl"/>
          <w:color w:val="FFFFFF"/>
          <w:sz w:val="2"/>
          <w:szCs w:val="2"/>
          <w:rtl/>
        </w:rPr>
        <w:t>54678313</w:t>
      </w:r>
    </w:p>
    <w:p w14:paraId="0C70309C" w14:textId="77777777" w:rsidR="00157F13" w:rsidRDefault="00157F13" w:rsidP="00E67E3E">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7057B4E" w14:textId="77777777" w:rsidR="00157F13" w:rsidRDefault="00157F13" w:rsidP="00157F13">
      <w:pPr>
        <w:jc w:val="both"/>
        <w:rPr>
          <w:rFonts w:ascii="Arial" w:hAnsi="Arial" w:cs="FrankRuehl"/>
          <w:sz w:val="28"/>
          <w:szCs w:val="28"/>
          <w:rtl/>
        </w:rPr>
      </w:pPr>
    </w:p>
    <w:p w14:paraId="385846BD" w14:textId="77777777" w:rsidR="00157F13" w:rsidRDefault="00157F13" w:rsidP="00157F13">
      <w:pPr>
        <w:jc w:val="both"/>
        <w:rPr>
          <w:rFonts w:cs="FrankRuehl"/>
          <w:sz w:val="28"/>
          <w:szCs w:val="28"/>
          <w:rtl/>
        </w:rPr>
      </w:pPr>
    </w:p>
    <w:p w14:paraId="2D9E8D9D" w14:textId="77777777" w:rsidR="00157F13" w:rsidRPr="00B02EAE" w:rsidRDefault="00B02EAE" w:rsidP="00157F13">
      <w:pPr>
        <w:pStyle w:val="a3"/>
        <w:jc w:val="both"/>
        <w:rPr>
          <w:color w:val="FFFFFF"/>
          <w:sz w:val="2"/>
          <w:szCs w:val="2"/>
          <w:rtl/>
        </w:rPr>
      </w:pPr>
      <w:r w:rsidRPr="00B02EAE">
        <w:rPr>
          <w:color w:val="FFFFFF"/>
          <w:sz w:val="2"/>
          <w:szCs w:val="2"/>
          <w:rtl/>
        </w:rPr>
        <w:t>5129371</w:t>
      </w:r>
    </w:p>
    <w:p w14:paraId="36AB886B" w14:textId="77777777" w:rsidR="00702DCF" w:rsidRPr="00B02EAE" w:rsidRDefault="00B02EAE" w:rsidP="00E67E3E">
      <w:pPr>
        <w:keepNext/>
        <w:rPr>
          <w:rFonts w:ascii="David" w:hAnsi="David"/>
          <w:color w:val="FFFFFF"/>
          <w:sz w:val="2"/>
          <w:szCs w:val="2"/>
          <w:rtl/>
        </w:rPr>
      </w:pPr>
      <w:r w:rsidRPr="00B02EAE">
        <w:rPr>
          <w:rFonts w:ascii="David" w:hAnsi="David"/>
          <w:color w:val="FFFFFF"/>
          <w:sz w:val="2"/>
          <w:szCs w:val="2"/>
          <w:rtl/>
        </w:rPr>
        <w:t>54678313</w:t>
      </w:r>
    </w:p>
    <w:p w14:paraId="6D9D362D" w14:textId="77777777" w:rsidR="00E67E3E" w:rsidRPr="00E67E3E" w:rsidRDefault="00E67E3E" w:rsidP="00E67E3E">
      <w:pPr>
        <w:keepNext/>
        <w:rPr>
          <w:rFonts w:ascii="David" w:hAnsi="David"/>
          <w:color w:val="000000"/>
          <w:sz w:val="22"/>
          <w:szCs w:val="22"/>
          <w:rtl/>
        </w:rPr>
      </w:pPr>
      <w:r w:rsidRPr="00E67E3E">
        <w:rPr>
          <w:rFonts w:ascii="David" w:hAnsi="David"/>
          <w:color w:val="000000"/>
          <w:sz w:val="22"/>
          <w:szCs w:val="22"/>
          <w:rtl/>
        </w:rPr>
        <w:t>רונית בש 54678313</w:t>
      </w:r>
    </w:p>
    <w:p w14:paraId="43345D39" w14:textId="77777777" w:rsidR="00E67E3E" w:rsidRDefault="00E67E3E" w:rsidP="00E67E3E">
      <w:r w:rsidRPr="00E67E3E">
        <w:rPr>
          <w:color w:val="000000"/>
          <w:rtl/>
        </w:rPr>
        <w:t>נוסח מסמך זה כפוף לשינויי ניסוח ועריכה</w:t>
      </w:r>
    </w:p>
    <w:p w14:paraId="4AE93DBB" w14:textId="77777777" w:rsidR="00E67E3E" w:rsidRDefault="00E67E3E" w:rsidP="00E67E3E">
      <w:pPr>
        <w:rPr>
          <w:rtl/>
        </w:rPr>
      </w:pPr>
    </w:p>
    <w:p w14:paraId="70F20998" w14:textId="77777777" w:rsidR="00E67E3E" w:rsidRDefault="00E67E3E" w:rsidP="00E67E3E">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1067042F" w14:textId="77777777" w:rsidR="00B02EAE" w:rsidRPr="00B02EAE" w:rsidRDefault="00B02EAE" w:rsidP="00B02EAE">
      <w:pPr>
        <w:keepNext/>
        <w:rPr>
          <w:rFonts w:ascii="David" w:hAnsi="David"/>
          <w:color w:val="000000"/>
          <w:sz w:val="22"/>
          <w:szCs w:val="22"/>
          <w:rtl/>
        </w:rPr>
      </w:pPr>
    </w:p>
    <w:p w14:paraId="5B182B35" w14:textId="77777777" w:rsidR="00E67E3E" w:rsidRPr="00E67E3E" w:rsidRDefault="00E67E3E" w:rsidP="00B02EAE">
      <w:pPr>
        <w:rPr>
          <w:color w:val="0000FF"/>
          <w:u w:val="single"/>
        </w:rPr>
      </w:pPr>
    </w:p>
    <w:sectPr w:rsidR="00E67E3E" w:rsidRPr="00E67E3E" w:rsidSect="00B02EAE">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ECCAA" w14:textId="77777777" w:rsidR="00216FAB" w:rsidRDefault="00216FAB" w:rsidP="00697B3C">
      <w:r>
        <w:separator/>
      </w:r>
    </w:p>
  </w:endnote>
  <w:endnote w:type="continuationSeparator" w:id="0">
    <w:p w14:paraId="0612B5F4" w14:textId="77777777" w:rsidR="00216FAB" w:rsidRDefault="00216FAB" w:rsidP="00697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5A2FE" w14:textId="77777777" w:rsidR="00B02EAE" w:rsidRDefault="00B02EAE" w:rsidP="00B02E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0ACBC1" w14:textId="77777777" w:rsidR="006E5F96" w:rsidRPr="00B02EAE" w:rsidRDefault="00B02EAE" w:rsidP="00B02EAE">
    <w:pPr>
      <w:pStyle w:val="a5"/>
      <w:pBdr>
        <w:top w:val="single" w:sz="4" w:space="1" w:color="auto"/>
        <w:between w:val="single" w:sz="4" w:space="0" w:color="auto"/>
      </w:pBdr>
      <w:spacing w:after="60"/>
      <w:jc w:val="center"/>
      <w:rPr>
        <w:rFonts w:ascii="FrankRuehl" w:hAnsi="FrankRuehl" w:cs="FrankRuehl"/>
        <w:color w:val="000000"/>
      </w:rPr>
    </w:pPr>
    <w:r w:rsidRPr="00B02EA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60171" w14:textId="77777777" w:rsidR="00B02EAE" w:rsidRDefault="00B02EAE" w:rsidP="00B02E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55E2">
      <w:rPr>
        <w:rFonts w:ascii="FrankRuehl" w:hAnsi="FrankRuehl" w:cs="FrankRuehl"/>
        <w:noProof/>
        <w:rtl/>
      </w:rPr>
      <w:t>1</w:t>
    </w:r>
    <w:r>
      <w:rPr>
        <w:rFonts w:ascii="FrankRuehl" w:hAnsi="FrankRuehl" w:cs="FrankRuehl"/>
        <w:rtl/>
      </w:rPr>
      <w:fldChar w:fldCharType="end"/>
    </w:r>
  </w:p>
  <w:p w14:paraId="4731F69C" w14:textId="77777777" w:rsidR="006E5F96" w:rsidRPr="00B02EAE" w:rsidRDefault="00B02EAE" w:rsidP="00B02EAE">
    <w:pPr>
      <w:pStyle w:val="a5"/>
      <w:pBdr>
        <w:top w:val="single" w:sz="4" w:space="1" w:color="auto"/>
        <w:between w:val="single" w:sz="4" w:space="0" w:color="auto"/>
      </w:pBdr>
      <w:spacing w:after="60"/>
      <w:jc w:val="center"/>
      <w:rPr>
        <w:rFonts w:ascii="FrankRuehl" w:hAnsi="FrankRuehl" w:cs="FrankRuehl"/>
        <w:color w:val="000000"/>
      </w:rPr>
    </w:pPr>
    <w:r w:rsidRPr="00B02EAE">
      <w:rPr>
        <w:rFonts w:ascii="FrankRuehl" w:hAnsi="FrankRuehl" w:cs="FrankRuehl"/>
        <w:color w:val="000000"/>
      </w:rPr>
      <w:pict w14:anchorId="334C3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4CD4B" w14:textId="77777777" w:rsidR="00216FAB" w:rsidRDefault="00216FAB" w:rsidP="00697B3C">
      <w:r>
        <w:separator/>
      </w:r>
    </w:p>
  </w:footnote>
  <w:footnote w:type="continuationSeparator" w:id="0">
    <w:p w14:paraId="01F9DCCE" w14:textId="77777777" w:rsidR="00216FAB" w:rsidRDefault="00216FAB" w:rsidP="00697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395D" w14:textId="77777777" w:rsidR="00E67E3E" w:rsidRPr="00B02EAE" w:rsidRDefault="00B02EAE" w:rsidP="00B02E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10476-12-17</w:t>
    </w:r>
    <w:r>
      <w:rPr>
        <w:rFonts w:ascii="David" w:hAnsi="David"/>
        <w:color w:val="000000"/>
        <w:sz w:val="22"/>
        <w:szCs w:val="22"/>
        <w:rtl/>
      </w:rPr>
      <w:tab/>
      <w:t xml:space="preserve"> מדינת ישראל נ' אברהים מחאג'נה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41FE1" w14:textId="77777777" w:rsidR="00E67E3E" w:rsidRPr="00B02EAE" w:rsidRDefault="00B02EAE" w:rsidP="00B02E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10476-12-17</w:t>
    </w:r>
    <w:r>
      <w:rPr>
        <w:rFonts w:ascii="David" w:hAnsi="David"/>
        <w:color w:val="000000"/>
        <w:sz w:val="22"/>
        <w:szCs w:val="22"/>
        <w:rtl/>
      </w:rPr>
      <w:tab/>
      <w:t xml:space="preserve"> מדינת ישראל נ' אברהים מחאג'נה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9479A"/>
    <w:multiLevelType w:val="hybridMultilevel"/>
    <w:tmpl w:val="DFC2ACC2"/>
    <w:lvl w:ilvl="0" w:tplc="EA5A357A">
      <w:numFmt w:val="bullet"/>
      <w:lvlText w:val=""/>
      <w:lvlJc w:val="left"/>
      <w:pPr>
        <w:ind w:left="1440" w:hanging="72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3BE6CA8"/>
    <w:multiLevelType w:val="hybridMultilevel"/>
    <w:tmpl w:val="71F67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1643F7"/>
    <w:multiLevelType w:val="hybridMultilevel"/>
    <w:tmpl w:val="9742338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num w:numId="1" w16cid:durableId="900291383">
    <w:abstractNumId w:val="2"/>
  </w:num>
  <w:num w:numId="2" w16cid:durableId="450052301">
    <w:abstractNumId w:val="0"/>
  </w:num>
  <w:num w:numId="3" w16cid:durableId="108141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7F13"/>
    <w:rsid w:val="00157F13"/>
    <w:rsid w:val="00216FAB"/>
    <w:rsid w:val="00381020"/>
    <w:rsid w:val="00697B3C"/>
    <w:rsid w:val="006E5F96"/>
    <w:rsid w:val="00702DCF"/>
    <w:rsid w:val="007E22FD"/>
    <w:rsid w:val="00B02EAE"/>
    <w:rsid w:val="00E67E3E"/>
    <w:rsid w:val="00E955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217E24"/>
  <w15:chartTrackingRefBased/>
  <w15:docId w15:val="{CA343539-56C8-494C-B798-2CB3A6B6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7F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57F13"/>
    <w:pPr>
      <w:tabs>
        <w:tab w:val="center" w:pos="4153"/>
        <w:tab w:val="right" w:pos="8306"/>
      </w:tabs>
    </w:pPr>
  </w:style>
  <w:style w:type="character" w:customStyle="1" w:styleId="a4">
    <w:name w:val="כותרת עליונה תו"/>
    <w:link w:val="a3"/>
    <w:rsid w:val="00157F13"/>
    <w:rPr>
      <w:rFonts w:ascii="Times New Roman" w:eastAsia="Times New Roman" w:hAnsi="Times New Roman" w:cs="David"/>
      <w:sz w:val="24"/>
      <w:szCs w:val="24"/>
    </w:rPr>
  </w:style>
  <w:style w:type="paragraph" w:styleId="a5">
    <w:name w:val="footer"/>
    <w:basedOn w:val="a"/>
    <w:link w:val="a6"/>
    <w:rsid w:val="00157F13"/>
    <w:pPr>
      <w:tabs>
        <w:tab w:val="center" w:pos="4153"/>
        <w:tab w:val="right" w:pos="8306"/>
      </w:tabs>
    </w:pPr>
  </w:style>
  <w:style w:type="character" w:customStyle="1" w:styleId="a6">
    <w:name w:val="כותרת תחתונה תו"/>
    <w:link w:val="a5"/>
    <w:rsid w:val="00157F13"/>
    <w:rPr>
      <w:rFonts w:ascii="Times New Roman" w:eastAsia="Times New Roman" w:hAnsi="Times New Roman" w:cs="David"/>
      <w:sz w:val="24"/>
      <w:szCs w:val="24"/>
    </w:rPr>
  </w:style>
  <w:style w:type="table" w:styleId="a7">
    <w:name w:val="Table Grid"/>
    <w:basedOn w:val="a1"/>
    <w:rsid w:val="00157F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57F13"/>
  </w:style>
  <w:style w:type="character" w:customStyle="1" w:styleId="TimesNewRomanTimesNewRoman">
    <w:name w:val="סגנון (לטיני) Times New Roman (עברית ושפות אחרות) Times New Roman..."/>
    <w:rsid w:val="00157F13"/>
    <w:rPr>
      <w:rFonts w:ascii="Times New Roman" w:hAnsi="Times New Roman" w:cs="David" w:hint="default"/>
      <w:b/>
      <w:bCs/>
      <w:sz w:val="26"/>
      <w:szCs w:val="26"/>
    </w:rPr>
  </w:style>
  <w:style w:type="paragraph" w:customStyle="1" w:styleId="ListParagraph">
    <w:name w:val="List Paragraph"/>
    <w:basedOn w:val="a"/>
    <w:qFormat/>
    <w:rsid w:val="00157F13"/>
    <w:pPr>
      <w:ind w:left="720"/>
      <w:contextualSpacing/>
    </w:pPr>
  </w:style>
  <w:style w:type="character" w:styleId="Hyperlink">
    <w:name w:val="Hyperlink"/>
    <w:rsid w:val="00E67E3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5227/38.2" TargetMode="External"/><Relationship Id="rId26" Type="http://schemas.openxmlformats.org/officeDocument/2006/relationships/hyperlink" Target="http://www.nevo.co.il/law/5227/62.8" TargetMode="External"/><Relationship Id="rId39" Type="http://schemas.openxmlformats.org/officeDocument/2006/relationships/hyperlink" Target="http://www.nevo.co.il/case/10443017"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6243627" TargetMode="External"/><Relationship Id="rId42" Type="http://schemas.openxmlformats.org/officeDocument/2006/relationships/hyperlink" Target="http://www.nevo.co.il/case/20590970"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274/22.a" TargetMode="External"/><Relationship Id="rId29" Type="http://schemas.openxmlformats.org/officeDocument/2006/relationships/hyperlink" Target="http://www.nevo.co.il/law/5227/62.2"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4274/22.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18105668" TargetMode="External"/><Relationship Id="rId45" Type="http://schemas.openxmlformats.org/officeDocument/2006/relationships/hyperlink" Target="http://www.nevo.co.il/law/70301/144"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40i" TargetMode="External"/><Relationship Id="rId19" Type="http://schemas.openxmlformats.org/officeDocument/2006/relationships/hyperlink" Target="http://www.nevo.co.il/law/5227/62.2"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4274"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5227" TargetMode="External"/><Relationship Id="rId30" Type="http://schemas.openxmlformats.org/officeDocument/2006/relationships/hyperlink" Target="http://www.nevo.co.il/law/5227/38.2" TargetMode="External"/><Relationship Id="rId35" Type="http://schemas.openxmlformats.org/officeDocument/2006/relationships/hyperlink" Target="http://www.nevo.co.il/law/70301/40c" TargetMode="External"/><Relationship Id="rId43" Type="http://schemas.openxmlformats.org/officeDocument/2006/relationships/hyperlink" Target="http://www.nevo.co.il/law/70301/144" TargetMode="External"/><Relationship Id="rId48"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5227" TargetMode="External"/><Relationship Id="rId25" Type="http://schemas.openxmlformats.org/officeDocument/2006/relationships/hyperlink" Target="http://www.nevo.co.il/law/74274"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law/5227/62.8" TargetMode="External"/><Relationship Id="rId41" Type="http://schemas.openxmlformats.org/officeDocument/2006/relationships/hyperlink" Target="http://www.nevo.co.il/case/2081788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274/21.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274/21.c" TargetMode="External"/><Relationship Id="rId36" Type="http://schemas.openxmlformats.org/officeDocument/2006/relationships/hyperlink" Target="http://www.nevo.co.il/law/7030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2973</Words>
  <Characters>14868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17806</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6357092</vt:i4>
      </vt:variant>
      <vt:variant>
        <vt:i4>114</vt:i4>
      </vt:variant>
      <vt:variant>
        <vt:i4>0</vt:i4>
      </vt:variant>
      <vt:variant>
        <vt:i4>5</vt:i4>
      </vt:variant>
      <vt:variant>
        <vt:lpwstr>http://www.nevo.co.il/law/70301/144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3145844</vt:i4>
      </vt:variant>
      <vt:variant>
        <vt:i4>105</vt:i4>
      </vt:variant>
      <vt:variant>
        <vt:i4>0</vt:i4>
      </vt:variant>
      <vt:variant>
        <vt:i4>5</vt:i4>
      </vt:variant>
      <vt:variant>
        <vt:lpwstr>http://www.nevo.co.il/case/20590970</vt:lpwstr>
      </vt:variant>
      <vt:variant>
        <vt:lpwstr/>
      </vt:variant>
      <vt:variant>
        <vt:i4>3473533</vt:i4>
      </vt:variant>
      <vt:variant>
        <vt:i4>102</vt:i4>
      </vt:variant>
      <vt:variant>
        <vt:i4>0</vt:i4>
      </vt:variant>
      <vt:variant>
        <vt:i4>5</vt:i4>
      </vt:variant>
      <vt:variant>
        <vt:lpwstr>http://www.nevo.co.il/case/20817889</vt:lpwstr>
      </vt:variant>
      <vt:variant>
        <vt:lpwstr/>
      </vt:variant>
      <vt:variant>
        <vt:i4>3342458</vt:i4>
      </vt:variant>
      <vt:variant>
        <vt:i4>99</vt:i4>
      </vt:variant>
      <vt:variant>
        <vt:i4>0</vt:i4>
      </vt:variant>
      <vt:variant>
        <vt:i4>5</vt:i4>
      </vt:variant>
      <vt:variant>
        <vt:lpwstr>http://www.nevo.co.il/case/18105668</vt:lpwstr>
      </vt:variant>
      <vt:variant>
        <vt:lpwstr/>
      </vt:variant>
      <vt:variant>
        <vt:i4>3604592</vt:i4>
      </vt:variant>
      <vt:variant>
        <vt:i4>96</vt:i4>
      </vt:variant>
      <vt:variant>
        <vt:i4>0</vt:i4>
      </vt:variant>
      <vt:variant>
        <vt:i4>5</vt:i4>
      </vt:variant>
      <vt:variant>
        <vt:lpwstr>http://www.nevo.co.il/case/10443017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3342455</vt:i4>
      </vt:variant>
      <vt:variant>
        <vt:i4>81</vt:i4>
      </vt:variant>
      <vt:variant>
        <vt:i4>0</vt:i4>
      </vt:variant>
      <vt:variant>
        <vt:i4>5</vt:i4>
      </vt:variant>
      <vt:variant>
        <vt:lpwstr>http://www.nevo.co.il/case/6243627</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6422640</vt:i4>
      </vt:variant>
      <vt:variant>
        <vt:i4>69</vt:i4>
      </vt:variant>
      <vt:variant>
        <vt:i4>0</vt:i4>
      </vt:variant>
      <vt:variant>
        <vt:i4>5</vt:i4>
      </vt:variant>
      <vt:variant>
        <vt:lpwstr>http://www.nevo.co.il/law/5227/38.2</vt:lpwstr>
      </vt:variant>
      <vt:variant>
        <vt:lpwstr/>
      </vt:variant>
      <vt:variant>
        <vt:i4>6750330</vt:i4>
      </vt:variant>
      <vt:variant>
        <vt:i4>66</vt:i4>
      </vt:variant>
      <vt:variant>
        <vt:i4>0</vt:i4>
      </vt:variant>
      <vt:variant>
        <vt:i4>5</vt:i4>
      </vt:variant>
      <vt:variant>
        <vt:lpwstr>http://www.nevo.co.il/law/5227/62.2</vt:lpwstr>
      </vt:variant>
      <vt:variant>
        <vt:lpwstr/>
      </vt:variant>
      <vt:variant>
        <vt:i4>262221</vt:i4>
      </vt:variant>
      <vt:variant>
        <vt:i4>63</vt:i4>
      </vt:variant>
      <vt:variant>
        <vt:i4>0</vt:i4>
      </vt:variant>
      <vt:variant>
        <vt:i4>5</vt:i4>
      </vt:variant>
      <vt:variant>
        <vt:lpwstr>http://www.nevo.co.il/law/74274/21.c</vt:lpwstr>
      </vt:variant>
      <vt:variant>
        <vt:lpwstr/>
      </vt:variant>
      <vt:variant>
        <vt:i4>8323175</vt:i4>
      </vt:variant>
      <vt:variant>
        <vt:i4>60</vt:i4>
      </vt:variant>
      <vt:variant>
        <vt:i4>0</vt:i4>
      </vt:variant>
      <vt:variant>
        <vt:i4>5</vt:i4>
      </vt:variant>
      <vt:variant>
        <vt:lpwstr>http://www.nevo.co.il/law/5227</vt:lpwstr>
      </vt:variant>
      <vt:variant>
        <vt:lpwstr/>
      </vt:variant>
      <vt:variant>
        <vt:i4>6750330</vt:i4>
      </vt:variant>
      <vt:variant>
        <vt:i4>57</vt:i4>
      </vt:variant>
      <vt:variant>
        <vt:i4>0</vt:i4>
      </vt:variant>
      <vt:variant>
        <vt:i4>5</vt:i4>
      </vt:variant>
      <vt:variant>
        <vt:lpwstr>http://www.nevo.co.il/law/5227/62.8</vt:lpwstr>
      </vt:variant>
      <vt:variant>
        <vt:lpwstr/>
      </vt:variant>
      <vt:variant>
        <vt:i4>7929957</vt:i4>
      </vt:variant>
      <vt:variant>
        <vt:i4>54</vt:i4>
      </vt:variant>
      <vt:variant>
        <vt:i4>0</vt:i4>
      </vt:variant>
      <vt:variant>
        <vt:i4>5</vt:i4>
      </vt:variant>
      <vt:variant>
        <vt:lpwstr>http://www.nevo.co.il/law/74274</vt:lpwstr>
      </vt:variant>
      <vt:variant>
        <vt:lpwstr/>
      </vt:variant>
      <vt:variant>
        <vt:i4>327757</vt:i4>
      </vt:variant>
      <vt:variant>
        <vt:i4>51</vt:i4>
      </vt:variant>
      <vt:variant>
        <vt:i4>0</vt:i4>
      </vt:variant>
      <vt:variant>
        <vt:i4>5</vt:i4>
      </vt:variant>
      <vt:variant>
        <vt:lpwstr>http://www.nevo.co.il/law/74274/22.a</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6750330</vt:i4>
      </vt:variant>
      <vt:variant>
        <vt:i4>39</vt:i4>
      </vt:variant>
      <vt:variant>
        <vt:i4>0</vt:i4>
      </vt:variant>
      <vt:variant>
        <vt:i4>5</vt:i4>
      </vt:variant>
      <vt:variant>
        <vt:lpwstr>http://www.nevo.co.il/law/5227/62.8</vt:lpwstr>
      </vt:variant>
      <vt:variant>
        <vt:lpwstr/>
      </vt:variant>
      <vt:variant>
        <vt:i4>6750330</vt:i4>
      </vt:variant>
      <vt:variant>
        <vt:i4>36</vt:i4>
      </vt:variant>
      <vt:variant>
        <vt:i4>0</vt:i4>
      </vt:variant>
      <vt:variant>
        <vt:i4>5</vt:i4>
      </vt:variant>
      <vt:variant>
        <vt:lpwstr>http://www.nevo.co.il/law/5227/62.2</vt:lpwstr>
      </vt:variant>
      <vt:variant>
        <vt:lpwstr/>
      </vt:variant>
      <vt:variant>
        <vt:i4>6422640</vt:i4>
      </vt:variant>
      <vt:variant>
        <vt:i4>33</vt:i4>
      </vt:variant>
      <vt:variant>
        <vt:i4>0</vt:i4>
      </vt:variant>
      <vt:variant>
        <vt:i4>5</vt:i4>
      </vt:variant>
      <vt:variant>
        <vt:lpwstr>http://www.nevo.co.il/law/5227/38.2</vt:lpwstr>
      </vt:variant>
      <vt:variant>
        <vt:lpwstr/>
      </vt:variant>
      <vt:variant>
        <vt:i4>8323175</vt:i4>
      </vt:variant>
      <vt:variant>
        <vt:i4>30</vt:i4>
      </vt:variant>
      <vt:variant>
        <vt:i4>0</vt:i4>
      </vt:variant>
      <vt:variant>
        <vt:i4>5</vt:i4>
      </vt:variant>
      <vt:variant>
        <vt:lpwstr>http://www.nevo.co.il/law/5227</vt:lpwstr>
      </vt:variant>
      <vt:variant>
        <vt:lpwstr/>
      </vt:variant>
      <vt:variant>
        <vt:i4>327757</vt:i4>
      </vt:variant>
      <vt:variant>
        <vt:i4>27</vt:i4>
      </vt:variant>
      <vt:variant>
        <vt:i4>0</vt:i4>
      </vt:variant>
      <vt:variant>
        <vt:i4>5</vt:i4>
      </vt:variant>
      <vt:variant>
        <vt:lpwstr>http://www.nevo.co.il/law/74274/22.a</vt:lpwstr>
      </vt:variant>
      <vt:variant>
        <vt:lpwstr/>
      </vt:variant>
      <vt:variant>
        <vt:i4>262221</vt:i4>
      </vt:variant>
      <vt:variant>
        <vt:i4>24</vt:i4>
      </vt:variant>
      <vt:variant>
        <vt:i4>0</vt:i4>
      </vt:variant>
      <vt:variant>
        <vt:i4>5</vt:i4>
      </vt:variant>
      <vt:variant>
        <vt:lpwstr>http://www.nevo.co.il/law/74274/21.c</vt:lpwstr>
      </vt:variant>
      <vt:variant>
        <vt:lpwstr/>
      </vt:variant>
      <vt:variant>
        <vt:i4>7929957</vt:i4>
      </vt:variant>
      <vt:variant>
        <vt:i4>21</vt:i4>
      </vt:variant>
      <vt:variant>
        <vt:i4>0</vt:i4>
      </vt:variant>
      <vt:variant>
        <vt:i4>5</vt:i4>
      </vt:variant>
      <vt:variant>
        <vt:lpwstr>http://www.nevo.co.il/law/74274</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10476</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אברהים מחאג'נה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20190714</vt:lpwstr>
  </property>
  <property fmtid="{D5CDD505-2E9C-101B-9397-08002B2CF9AE}" pid="13" name="TYPE_N_DATE">
    <vt:lpwstr>39020190714</vt:lpwstr>
  </property>
  <property fmtid="{D5CDD505-2E9C-101B-9397-08002B2CF9AE}" pid="14" name="CASESLISTTMP1">
    <vt:lpwstr>6243627;10443017;18105668;20817889;20590970</vt:lpwstr>
  </property>
  <property fmtid="{D5CDD505-2E9C-101B-9397-08002B2CF9AE}" pid="15" name="CASENOTES1">
    <vt:lpwstr>ProcID=174&amp;PartA=7124&amp;PartC=06</vt:lpwstr>
  </property>
  <property fmtid="{D5CDD505-2E9C-101B-9397-08002B2CF9AE}" pid="16" name="WORDNUMPAGES">
    <vt:lpwstr>9</vt:lpwstr>
  </property>
  <property fmtid="{D5CDD505-2E9C-101B-9397-08002B2CF9AE}" pid="17" name="TYPE_ABS_DATE">
    <vt:lpwstr>390020190714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70301/144.a;144.b;040b;040c;040i;144:2</vt:lpwstr>
  </property>
  <property fmtid="{D5CDD505-2E9C-101B-9397-08002B2CF9AE}" pid="38" name="LAWLISTTMP2">
    <vt:lpwstr>74274/022.a;021.c</vt:lpwstr>
  </property>
  <property fmtid="{D5CDD505-2E9C-101B-9397-08002B2CF9AE}" pid="39" name="LAWLISTTMP3">
    <vt:lpwstr>5227/062.8;062.2;038.2</vt:lpwstr>
  </property>
</Properties>
</file>