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F807AC" w:rsidRPr="00757C31" w14:paraId="0BBB2EED" w14:textId="77777777" w:rsidTr="000640FE">
        <w:trPr>
          <w:trHeight w:hRule="exact" w:val="418"/>
          <w:jc w:val="center"/>
        </w:trPr>
        <w:tc>
          <w:tcPr>
            <w:tcW w:w="8861" w:type="dxa"/>
            <w:gridSpan w:val="2"/>
          </w:tcPr>
          <w:p w14:paraId="4AAA8B9F" w14:textId="77777777" w:rsidR="00F807AC" w:rsidRPr="00757C31" w:rsidRDefault="00F807AC" w:rsidP="000640FE">
            <w:pPr>
              <w:pStyle w:val="a3"/>
              <w:jc w:val="center"/>
              <w:rPr>
                <w:rFonts w:ascii="Tahoma" w:hAnsi="Tahoma"/>
                <w:color w:val="000080"/>
                <w:sz w:val="32"/>
                <w:szCs w:val="32"/>
                <w:rtl/>
              </w:rPr>
            </w:pPr>
            <w:bookmarkStart w:id="0" w:name="LastJudge"/>
            <w:r w:rsidRPr="00757C31">
              <w:rPr>
                <w:rFonts w:ascii="Tahoma" w:hAnsi="Tahoma"/>
                <w:b/>
                <w:bCs/>
                <w:color w:val="000080"/>
                <w:sz w:val="32"/>
                <w:szCs w:val="32"/>
                <w:rtl/>
              </w:rPr>
              <w:t>בית המשפט המחוזי בתל אביב - יפו</w:t>
            </w:r>
          </w:p>
        </w:tc>
      </w:tr>
      <w:tr w:rsidR="00F807AC" w:rsidRPr="00757C31" w14:paraId="20CFC2DE" w14:textId="77777777" w:rsidTr="000640FE">
        <w:trPr>
          <w:trHeight w:val="337"/>
          <w:jc w:val="center"/>
        </w:trPr>
        <w:tc>
          <w:tcPr>
            <w:tcW w:w="5131" w:type="dxa"/>
          </w:tcPr>
          <w:p w14:paraId="2703FD9C" w14:textId="77777777" w:rsidR="00F807AC" w:rsidRPr="00757C31" w:rsidRDefault="00F807AC" w:rsidP="000640FE">
            <w:pPr>
              <w:rPr>
                <w:b/>
                <w:bCs/>
                <w:rtl/>
              </w:rPr>
            </w:pPr>
            <w:r w:rsidRPr="00757C31">
              <w:rPr>
                <w:b/>
                <w:bCs/>
                <w:rtl/>
              </w:rPr>
              <w:t>ת"פ</w:t>
            </w:r>
            <w:r w:rsidRPr="00757C31">
              <w:rPr>
                <w:rFonts w:hint="cs"/>
                <w:b/>
                <w:bCs/>
                <w:rtl/>
              </w:rPr>
              <w:t xml:space="preserve"> </w:t>
            </w:r>
            <w:r w:rsidRPr="00757C31">
              <w:rPr>
                <w:b/>
                <w:bCs/>
                <w:rtl/>
              </w:rPr>
              <w:t>312-12-17</w:t>
            </w:r>
            <w:r w:rsidRPr="00757C31">
              <w:rPr>
                <w:rFonts w:hint="cs"/>
                <w:b/>
                <w:bCs/>
                <w:rtl/>
              </w:rPr>
              <w:t xml:space="preserve"> </w:t>
            </w:r>
            <w:r w:rsidRPr="00757C31">
              <w:rPr>
                <w:b/>
                <w:bCs/>
                <w:rtl/>
              </w:rPr>
              <w:t>מדינת ישראל נ' אל מוסראתי</w:t>
            </w:r>
          </w:p>
          <w:p w14:paraId="5F251666" w14:textId="77777777" w:rsidR="00F807AC" w:rsidRPr="00757C31" w:rsidRDefault="00F807AC" w:rsidP="000640FE">
            <w:pPr>
              <w:pStyle w:val="a3"/>
              <w:rPr>
                <w:rFonts w:cs="FrankRuehl"/>
                <w:b/>
                <w:bCs/>
                <w:rtl/>
              </w:rPr>
            </w:pPr>
          </w:p>
        </w:tc>
        <w:tc>
          <w:tcPr>
            <w:tcW w:w="3730" w:type="dxa"/>
          </w:tcPr>
          <w:p w14:paraId="2CD920E5" w14:textId="77777777" w:rsidR="00F807AC" w:rsidRPr="00757C31" w:rsidRDefault="00F807AC" w:rsidP="000640FE">
            <w:pPr>
              <w:pStyle w:val="a3"/>
              <w:jc w:val="right"/>
              <w:rPr>
                <w:b/>
                <w:bCs/>
                <w:rtl/>
              </w:rPr>
            </w:pPr>
            <w:r w:rsidRPr="00757C31">
              <w:rPr>
                <w:rFonts w:hint="cs"/>
                <w:b/>
                <w:bCs/>
                <w:rtl/>
              </w:rPr>
              <w:t>6 אוגוסט 2018</w:t>
            </w:r>
          </w:p>
        </w:tc>
      </w:tr>
    </w:tbl>
    <w:p w14:paraId="5D7371AC" w14:textId="77777777" w:rsidR="00F807AC" w:rsidRPr="00757C31" w:rsidRDefault="00F807AC" w:rsidP="00F807AC">
      <w:pPr>
        <w:pStyle w:val="a3"/>
        <w:rPr>
          <w:rtl/>
        </w:rPr>
      </w:pPr>
      <w:r w:rsidRPr="00757C31">
        <w:rPr>
          <w:rFonts w:hint="cs"/>
          <w:rtl/>
        </w:rPr>
        <w:t xml:space="preserve"> </w:t>
      </w:r>
    </w:p>
    <w:p w14:paraId="30DCC813" w14:textId="77777777" w:rsidR="00F807AC" w:rsidRPr="00757C31" w:rsidRDefault="00F807AC" w:rsidP="00F807AC">
      <w:pPr>
        <w:rPr>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922"/>
        <w:gridCol w:w="46"/>
      </w:tblGrid>
      <w:tr w:rsidR="000640FE" w:rsidRPr="00757C31" w14:paraId="0ABA4E9D" w14:textId="77777777" w:rsidTr="00F807AC">
        <w:trPr>
          <w:trHeight w:val="295"/>
          <w:jc w:val="center"/>
        </w:trPr>
        <w:tc>
          <w:tcPr>
            <w:tcW w:w="8820" w:type="dxa"/>
            <w:gridSpan w:val="3"/>
            <w:tcBorders>
              <w:top w:val="nil"/>
              <w:left w:val="nil"/>
              <w:bottom w:val="nil"/>
              <w:right w:val="nil"/>
            </w:tcBorders>
            <w:shd w:val="clear" w:color="auto" w:fill="auto"/>
          </w:tcPr>
          <w:p w14:paraId="20F44CA8" w14:textId="77777777" w:rsidR="00F807AC" w:rsidRPr="00757C31" w:rsidRDefault="00F807AC" w:rsidP="00F807AC">
            <w:pPr>
              <w:jc w:val="both"/>
              <w:rPr>
                <w:rFonts w:ascii="Arial" w:hAnsi="Arial"/>
                <w:b/>
                <w:bCs/>
                <w:sz w:val="26"/>
                <w:szCs w:val="26"/>
                <w:rtl/>
              </w:rPr>
            </w:pPr>
            <w:r w:rsidRPr="00757C31">
              <w:rPr>
                <w:rFonts w:ascii="Arial" w:hAnsi="Arial" w:hint="cs"/>
                <w:b/>
                <w:bCs/>
                <w:sz w:val="26"/>
                <w:szCs w:val="26"/>
                <w:rtl/>
              </w:rPr>
              <w:t>ל</w:t>
            </w:r>
            <w:r w:rsidRPr="00757C31">
              <w:rPr>
                <w:rFonts w:ascii="Arial" w:hAnsi="Arial"/>
                <w:b/>
                <w:bCs/>
                <w:sz w:val="26"/>
                <w:szCs w:val="26"/>
                <w:rtl/>
              </w:rPr>
              <w:t xml:space="preserve">פני </w:t>
            </w:r>
            <w:r w:rsidRPr="00757C31">
              <w:rPr>
                <w:rFonts w:ascii="Arial" w:hAnsi="Arial" w:hint="cs"/>
                <w:b/>
                <w:bCs/>
                <w:sz w:val="26"/>
                <w:szCs w:val="26"/>
                <w:rtl/>
              </w:rPr>
              <w:t>כבוד ה</w:t>
            </w:r>
            <w:r w:rsidRPr="00757C31">
              <w:rPr>
                <w:rFonts w:ascii="Arial" w:hAnsi="Arial"/>
                <w:b/>
                <w:bCs/>
                <w:sz w:val="26"/>
                <w:szCs w:val="26"/>
                <w:rtl/>
              </w:rPr>
              <w:t>שופט</w:t>
            </w:r>
            <w:r w:rsidRPr="00757C31">
              <w:rPr>
                <w:rFonts w:ascii="Arial" w:hAnsi="Arial" w:hint="cs"/>
                <w:b/>
                <w:bCs/>
                <w:sz w:val="26"/>
                <w:szCs w:val="26"/>
                <w:rtl/>
              </w:rPr>
              <w:t xml:space="preserve">  </w:t>
            </w:r>
            <w:r w:rsidRPr="00757C31">
              <w:rPr>
                <w:rFonts w:ascii="Arial" w:hAnsi="Arial"/>
                <w:b/>
                <w:bCs/>
                <w:sz w:val="26"/>
                <w:szCs w:val="26"/>
                <w:rtl/>
              </w:rPr>
              <w:t>בני שגיא</w:t>
            </w:r>
          </w:p>
          <w:p w14:paraId="572D9502" w14:textId="77777777" w:rsidR="00F807AC" w:rsidRPr="00757C31" w:rsidRDefault="00F807AC" w:rsidP="00F807AC">
            <w:pPr>
              <w:jc w:val="both"/>
              <w:rPr>
                <w:rFonts w:ascii="Arial" w:hAnsi="Arial"/>
                <w:sz w:val="26"/>
                <w:szCs w:val="26"/>
              </w:rPr>
            </w:pPr>
          </w:p>
        </w:tc>
      </w:tr>
      <w:tr w:rsidR="000640FE" w:rsidRPr="00757C31" w14:paraId="7FD6A012" w14:textId="77777777" w:rsidTr="00F807A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724"/>
        </w:trPr>
        <w:tc>
          <w:tcPr>
            <w:tcW w:w="2880" w:type="dxa"/>
            <w:shd w:val="clear" w:color="auto" w:fill="auto"/>
          </w:tcPr>
          <w:p w14:paraId="28668B31" w14:textId="77777777" w:rsidR="00F807AC" w:rsidRPr="00757C31" w:rsidRDefault="00F807AC" w:rsidP="00F807AC">
            <w:pPr>
              <w:ind w:left="26"/>
              <w:jc w:val="right"/>
              <w:rPr>
                <w:b/>
                <w:bCs/>
              </w:rPr>
            </w:pPr>
            <w:bookmarkStart w:id="1" w:name="FirstAppellant"/>
            <w:bookmarkStart w:id="2" w:name="FirstLawyer"/>
          </w:p>
          <w:p w14:paraId="00F6AC73" w14:textId="77777777" w:rsidR="00F807AC" w:rsidRPr="00757C31" w:rsidRDefault="00F807AC" w:rsidP="00F807AC">
            <w:pPr>
              <w:ind w:left="26"/>
              <w:rPr>
                <w:b/>
                <w:bCs/>
              </w:rPr>
            </w:pPr>
            <w:r w:rsidRPr="00757C31">
              <w:rPr>
                <w:rFonts w:hint="cs"/>
                <w:b/>
                <w:bCs/>
                <w:rtl/>
              </w:rPr>
              <w:t>המאשימה</w:t>
            </w:r>
          </w:p>
        </w:tc>
        <w:tc>
          <w:tcPr>
            <w:tcW w:w="5922" w:type="dxa"/>
            <w:shd w:val="clear" w:color="auto" w:fill="auto"/>
          </w:tcPr>
          <w:p w14:paraId="12425C7F" w14:textId="77777777" w:rsidR="00F807AC" w:rsidRPr="00757C31" w:rsidRDefault="00F807AC" w:rsidP="00F807AC">
            <w:pPr>
              <w:jc w:val="right"/>
            </w:pPr>
          </w:p>
          <w:p w14:paraId="16E327C4" w14:textId="77777777" w:rsidR="00F807AC" w:rsidRPr="00757C31" w:rsidRDefault="00F807AC" w:rsidP="00F807AC">
            <w:pPr>
              <w:spacing w:line="360" w:lineRule="auto"/>
              <w:rPr>
                <w:b/>
                <w:bCs/>
                <w:rtl/>
              </w:rPr>
            </w:pPr>
            <w:r w:rsidRPr="00757C31">
              <w:rPr>
                <w:rFonts w:hint="cs"/>
                <w:b/>
                <w:bCs/>
                <w:rtl/>
              </w:rPr>
              <w:t>מדינת ישראל</w:t>
            </w:r>
          </w:p>
          <w:p w14:paraId="23794EF4" w14:textId="77777777" w:rsidR="00F807AC" w:rsidRPr="00757C31" w:rsidRDefault="00F807AC" w:rsidP="00F807AC">
            <w:pPr>
              <w:spacing w:line="360" w:lineRule="auto"/>
            </w:pPr>
            <w:r w:rsidRPr="00757C31">
              <w:rPr>
                <w:rFonts w:hint="cs"/>
                <w:rtl/>
              </w:rPr>
              <w:t>על-ידי ב"כ עו"ד צחי יונגר</w:t>
            </w:r>
          </w:p>
        </w:tc>
      </w:tr>
      <w:bookmarkEnd w:id="1"/>
      <w:bookmarkEnd w:id="2"/>
      <w:tr w:rsidR="000640FE" w:rsidRPr="00757C31" w14:paraId="3F6049F9" w14:textId="77777777" w:rsidTr="00F807A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2"/>
            <w:shd w:val="clear" w:color="auto" w:fill="auto"/>
            <w:vAlign w:val="center"/>
          </w:tcPr>
          <w:p w14:paraId="67C7C849" w14:textId="77777777" w:rsidR="00F807AC" w:rsidRPr="00757C31" w:rsidRDefault="00F807AC" w:rsidP="00F807AC">
            <w:pPr>
              <w:jc w:val="center"/>
              <w:rPr>
                <w:rFonts w:ascii="Arial" w:hAnsi="Arial"/>
                <w:b/>
                <w:bCs/>
              </w:rPr>
            </w:pPr>
          </w:p>
          <w:p w14:paraId="765B96C5" w14:textId="77777777" w:rsidR="00F807AC" w:rsidRPr="00757C31" w:rsidRDefault="00F807AC" w:rsidP="00F807AC">
            <w:pPr>
              <w:jc w:val="center"/>
              <w:rPr>
                <w:rFonts w:ascii="Arial" w:hAnsi="Arial"/>
                <w:b/>
                <w:bCs/>
              </w:rPr>
            </w:pPr>
            <w:r w:rsidRPr="00757C31">
              <w:rPr>
                <w:rFonts w:ascii="Arial" w:hAnsi="Arial" w:hint="cs"/>
                <w:b/>
                <w:bCs/>
                <w:rtl/>
              </w:rPr>
              <w:t>נגד</w:t>
            </w:r>
          </w:p>
          <w:p w14:paraId="32B4063E" w14:textId="77777777" w:rsidR="00F807AC" w:rsidRPr="00757C31" w:rsidRDefault="00F807AC" w:rsidP="00F807AC">
            <w:pPr>
              <w:jc w:val="right"/>
              <w:rPr>
                <w:rFonts w:ascii="Arial" w:hAnsi="Arial"/>
                <w:b/>
                <w:bCs/>
              </w:rPr>
            </w:pPr>
          </w:p>
        </w:tc>
      </w:tr>
      <w:tr w:rsidR="000640FE" w:rsidRPr="00757C31" w14:paraId="1FC3A579" w14:textId="77777777" w:rsidTr="00F807A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shd w:val="clear" w:color="auto" w:fill="auto"/>
          </w:tcPr>
          <w:p w14:paraId="6C0299F0" w14:textId="77777777" w:rsidR="00F807AC" w:rsidRPr="00757C31" w:rsidRDefault="00F807AC" w:rsidP="00F807AC">
            <w:pPr>
              <w:ind w:left="26"/>
              <w:rPr>
                <w:b/>
                <w:bCs/>
                <w:rtl/>
              </w:rPr>
            </w:pPr>
            <w:r w:rsidRPr="00757C31">
              <w:rPr>
                <w:rFonts w:hint="cs"/>
                <w:b/>
                <w:bCs/>
                <w:rtl/>
              </w:rPr>
              <w:t>הנאשם</w:t>
            </w:r>
          </w:p>
        </w:tc>
        <w:tc>
          <w:tcPr>
            <w:tcW w:w="5922" w:type="dxa"/>
            <w:shd w:val="clear" w:color="auto" w:fill="auto"/>
          </w:tcPr>
          <w:p w14:paraId="3AD88D24" w14:textId="77777777" w:rsidR="00F807AC" w:rsidRPr="00757C31" w:rsidRDefault="00F807AC" w:rsidP="00760649">
            <w:pPr>
              <w:spacing w:line="360" w:lineRule="auto"/>
              <w:rPr>
                <w:rFonts w:hint="cs"/>
                <w:b/>
                <w:bCs/>
                <w:rtl/>
              </w:rPr>
            </w:pPr>
            <w:r w:rsidRPr="00757C31">
              <w:rPr>
                <w:rFonts w:hint="cs"/>
                <w:rtl/>
              </w:rPr>
              <w:t xml:space="preserve"> </w:t>
            </w:r>
            <w:r w:rsidRPr="00757C31">
              <w:rPr>
                <w:rFonts w:hint="cs"/>
                <w:b/>
                <w:bCs/>
                <w:rtl/>
              </w:rPr>
              <w:t>חדר אל מוסראתי (עציר)</w:t>
            </w:r>
            <w:r w:rsidRPr="00757C31">
              <w:rPr>
                <w:rFonts w:hint="cs"/>
                <w:rtl/>
              </w:rPr>
              <w:t xml:space="preserve"> </w:t>
            </w:r>
          </w:p>
          <w:p w14:paraId="20AB68C9" w14:textId="77777777" w:rsidR="00F807AC" w:rsidRPr="00757C31" w:rsidRDefault="00F807AC" w:rsidP="00F807AC">
            <w:pPr>
              <w:spacing w:line="360" w:lineRule="auto"/>
              <w:rPr>
                <w:rtl/>
              </w:rPr>
            </w:pPr>
            <w:r w:rsidRPr="00757C31">
              <w:rPr>
                <w:rFonts w:hint="cs"/>
                <w:rtl/>
              </w:rPr>
              <w:t>על-ידי ב"כ עו"ד איתן און</w:t>
            </w:r>
          </w:p>
          <w:p w14:paraId="6ADF9E2A" w14:textId="77777777" w:rsidR="00F807AC" w:rsidRPr="00757C31" w:rsidRDefault="00F807AC" w:rsidP="00F807AC">
            <w:pPr>
              <w:jc w:val="right"/>
              <w:rPr>
                <w:b/>
                <w:bCs/>
                <w:rtl/>
              </w:rPr>
            </w:pPr>
          </w:p>
        </w:tc>
      </w:tr>
    </w:tbl>
    <w:p w14:paraId="2FAFE24F" w14:textId="77777777" w:rsidR="00644176" w:rsidRDefault="00644176" w:rsidP="00F807AC">
      <w:pPr>
        <w:rPr>
          <w:rtl/>
        </w:rPr>
      </w:pPr>
    </w:p>
    <w:p w14:paraId="0989B1E4" w14:textId="77777777" w:rsidR="00644176" w:rsidRPr="00644176" w:rsidRDefault="00644176" w:rsidP="00644176">
      <w:pPr>
        <w:spacing w:after="120" w:line="240" w:lineRule="exact"/>
        <w:ind w:left="283" w:hanging="283"/>
        <w:jc w:val="both"/>
        <w:rPr>
          <w:rFonts w:ascii="FrankRuehl" w:hAnsi="FrankRuehl" w:cs="FrankRuehl"/>
          <w:rtl/>
        </w:rPr>
      </w:pPr>
    </w:p>
    <w:p w14:paraId="027A2C5B" w14:textId="77777777" w:rsidR="00654810" w:rsidRDefault="00654810" w:rsidP="00654810">
      <w:pPr>
        <w:rPr>
          <w:rtl/>
        </w:rPr>
      </w:pPr>
      <w:bookmarkStart w:id="3" w:name="LawTable"/>
      <w:bookmarkEnd w:id="3"/>
    </w:p>
    <w:p w14:paraId="24045F33" w14:textId="77777777" w:rsidR="00654810" w:rsidRPr="00654810" w:rsidRDefault="00654810" w:rsidP="00654810">
      <w:pPr>
        <w:spacing w:before="120" w:after="120" w:line="240" w:lineRule="exact"/>
        <w:ind w:left="283" w:hanging="283"/>
        <w:jc w:val="both"/>
        <w:rPr>
          <w:rFonts w:ascii="FrankRuehl" w:hAnsi="FrankRuehl" w:cs="FrankRuehl"/>
          <w:rtl/>
        </w:rPr>
      </w:pPr>
    </w:p>
    <w:p w14:paraId="56C4ED96" w14:textId="77777777" w:rsidR="00654810" w:rsidRPr="00654810" w:rsidRDefault="00654810" w:rsidP="00654810">
      <w:pPr>
        <w:spacing w:before="120" w:after="120" w:line="240" w:lineRule="exact"/>
        <w:ind w:left="283" w:hanging="283"/>
        <w:jc w:val="both"/>
        <w:rPr>
          <w:rFonts w:ascii="FrankRuehl" w:hAnsi="FrankRuehl" w:cs="FrankRuehl"/>
          <w:rtl/>
        </w:rPr>
      </w:pPr>
    </w:p>
    <w:p w14:paraId="5BDB7DF7" w14:textId="77777777" w:rsidR="00654810" w:rsidRPr="00654810" w:rsidRDefault="00654810" w:rsidP="00654810">
      <w:pPr>
        <w:spacing w:before="120" w:after="120" w:line="240" w:lineRule="exact"/>
        <w:ind w:left="283" w:hanging="283"/>
        <w:jc w:val="both"/>
        <w:rPr>
          <w:rFonts w:ascii="FrankRuehl" w:hAnsi="FrankRuehl" w:cs="FrankRuehl"/>
          <w:rtl/>
        </w:rPr>
      </w:pPr>
      <w:r w:rsidRPr="00654810">
        <w:rPr>
          <w:rFonts w:ascii="FrankRuehl" w:hAnsi="FrankRuehl" w:cs="FrankRuehl"/>
          <w:rtl/>
        </w:rPr>
        <w:t xml:space="preserve">חקיקה שאוזכרה: </w:t>
      </w:r>
    </w:p>
    <w:p w14:paraId="0E7C4AD8" w14:textId="77777777" w:rsidR="00654810" w:rsidRPr="00654810" w:rsidRDefault="00654810" w:rsidP="00654810">
      <w:pPr>
        <w:spacing w:before="120" w:after="120" w:line="240" w:lineRule="exact"/>
        <w:ind w:left="283" w:hanging="283"/>
        <w:jc w:val="both"/>
        <w:rPr>
          <w:rFonts w:ascii="FrankRuehl" w:hAnsi="FrankRuehl" w:cs="FrankRuehl"/>
          <w:rtl/>
        </w:rPr>
      </w:pPr>
      <w:hyperlink r:id="rId6" w:history="1">
        <w:r w:rsidRPr="00654810">
          <w:rPr>
            <w:rFonts w:ascii="FrankRuehl" w:hAnsi="FrankRuehl" w:cs="FrankRuehl"/>
            <w:color w:val="0000FF"/>
            <w:rtl/>
          </w:rPr>
          <w:t>חוק העונשין, תשל"ז-1977</w:t>
        </w:r>
      </w:hyperlink>
      <w:r w:rsidRPr="00654810">
        <w:rPr>
          <w:rFonts w:ascii="FrankRuehl" w:hAnsi="FrankRuehl" w:cs="FrankRuehl"/>
          <w:rtl/>
        </w:rPr>
        <w:t xml:space="preserve">: סע'  </w:t>
      </w:r>
      <w:hyperlink r:id="rId7" w:history="1">
        <w:r w:rsidRPr="00654810">
          <w:rPr>
            <w:rFonts w:ascii="FrankRuehl" w:hAnsi="FrankRuehl" w:cs="FrankRuehl"/>
            <w:color w:val="0000FF"/>
            <w:rtl/>
          </w:rPr>
          <w:t>29</w:t>
        </w:r>
      </w:hyperlink>
      <w:r w:rsidRPr="00654810">
        <w:rPr>
          <w:rFonts w:ascii="FrankRuehl" w:hAnsi="FrankRuehl" w:cs="FrankRuehl"/>
          <w:rtl/>
        </w:rPr>
        <w:t xml:space="preserve">, </w:t>
      </w:r>
      <w:hyperlink r:id="rId8" w:history="1">
        <w:r w:rsidRPr="00654810">
          <w:rPr>
            <w:rFonts w:ascii="FrankRuehl" w:hAnsi="FrankRuehl" w:cs="FrankRuehl"/>
            <w:color w:val="0000FF"/>
            <w:rtl/>
          </w:rPr>
          <w:t>144(ב)</w:t>
        </w:r>
      </w:hyperlink>
      <w:r w:rsidRPr="00654810">
        <w:rPr>
          <w:rFonts w:ascii="FrankRuehl" w:hAnsi="FrankRuehl" w:cs="FrankRuehl"/>
          <w:rtl/>
        </w:rPr>
        <w:t xml:space="preserve">, </w:t>
      </w:r>
      <w:hyperlink r:id="rId9" w:history="1">
        <w:r w:rsidRPr="00654810">
          <w:rPr>
            <w:rFonts w:ascii="FrankRuehl" w:hAnsi="FrankRuehl" w:cs="FrankRuehl"/>
            <w:color w:val="0000FF"/>
            <w:rtl/>
          </w:rPr>
          <w:t>338(1)</w:t>
        </w:r>
      </w:hyperlink>
      <w:r w:rsidRPr="00654810">
        <w:rPr>
          <w:rFonts w:ascii="FrankRuehl" w:hAnsi="FrankRuehl" w:cs="FrankRuehl"/>
          <w:rtl/>
        </w:rPr>
        <w:t xml:space="preserve">, </w:t>
      </w:r>
      <w:hyperlink r:id="rId10" w:history="1">
        <w:r w:rsidRPr="00654810">
          <w:rPr>
            <w:rFonts w:ascii="FrankRuehl" w:hAnsi="FrankRuehl" w:cs="FrankRuehl"/>
            <w:color w:val="0000FF"/>
            <w:rtl/>
          </w:rPr>
          <w:t>402(ב)</w:t>
        </w:r>
      </w:hyperlink>
      <w:r w:rsidRPr="00654810">
        <w:rPr>
          <w:rFonts w:ascii="FrankRuehl" w:hAnsi="FrankRuehl" w:cs="FrankRuehl"/>
          <w:rtl/>
        </w:rPr>
        <w:t xml:space="preserve">, </w:t>
      </w:r>
      <w:hyperlink r:id="rId11" w:history="1">
        <w:r w:rsidRPr="00654810">
          <w:rPr>
            <w:rFonts w:ascii="FrankRuehl" w:hAnsi="FrankRuehl" w:cs="FrankRuehl"/>
            <w:color w:val="0000FF"/>
            <w:rtl/>
          </w:rPr>
          <w:t>499(א)(1)</w:t>
        </w:r>
      </w:hyperlink>
    </w:p>
    <w:p w14:paraId="514FF957" w14:textId="77777777" w:rsidR="00654810" w:rsidRPr="00654810" w:rsidRDefault="00654810" w:rsidP="00654810">
      <w:pPr>
        <w:spacing w:before="120" w:after="120" w:line="240" w:lineRule="exact"/>
        <w:ind w:left="283" w:hanging="283"/>
        <w:jc w:val="both"/>
        <w:rPr>
          <w:rFonts w:ascii="FrankRuehl" w:hAnsi="FrankRuehl" w:cs="FrankRuehl"/>
          <w:rtl/>
        </w:rPr>
      </w:pPr>
      <w:hyperlink r:id="rId12" w:history="1">
        <w:r w:rsidRPr="00654810">
          <w:rPr>
            <w:rFonts w:ascii="FrankRuehl" w:hAnsi="FrankRuehl" w:cs="FrankRuehl"/>
            <w:color w:val="0000FF"/>
            <w:rtl/>
          </w:rPr>
          <w:t>פקודת התעבורה [נוסח חדש]</w:t>
        </w:r>
      </w:hyperlink>
      <w:r w:rsidRPr="00654810">
        <w:rPr>
          <w:rFonts w:ascii="FrankRuehl" w:hAnsi="FrankRuehl" w:cs="FrankRuehl"/>
          <w:rtl/>
        </w:rPr>
        <w:t xml:space="preserve">: סע'  </w:t>
      </w:r>
      <w:hyperlink r:id="rId13" w:history="1">
        <w:r w:rsidRPr="00654810">
          <w:rPr>
            <w:rFonts w:ascii="FrankRuehl" w:hAnsi="FrankRuehl" w:cs="FrankRuehl"/>
            <w:color w:val="0000FF"/>
            <w:rtl/>
          </w:rPr>
          <w:t>38(2)</w:t>
        </w:r>
      </w:hyperlink>
      <w:r w:rsidRPr="00654810">
        <w:rPr>
          <w:rFonts w:ascii="FrankRuehl" w:hAnsi="FrankRuehl" w:cs="FrankRuehl"/>
          <w:rtl/>
        </w:rPr>
        <w:t xml:space="preserve">, </w:t>
      </w:r>
      <w:hyperlink r:id="rId14" w:history="1">
        <w:r w:rsidRPr="00654810">
          <w:rPr>
            <w:rFonts w:ascii="FrankRuehl" w:hAnsi="FrankRuehl" w:cs="FrankRuehl"/>
            <w:color w:val="0000FF"/>
            <w:rtl/>
          </w:rPr>
          <w:t>62(2)</w:t>
        </w:r>
      </w:hyperlink>
    </w:p>
    <w:p w14:paraId="041D5347" w14:textId="77777777" w:rsidR="00654810" w:rsidRPr="00654810" w:rsidRDefault="00654810" w:rsidP="00654810">
      <w:pPr>
        <w:rPr>
          <w:rtl/>
        </w:rPr>
      </w:pPr>
      <w:bookmarkStart w:id="4" w:name="LawTable_End"/>
      <w:bookmarkEnd w:id="4"/>
    </w:p>
    <w:p w14:paraId="74108802" w14:textId="77777777" w:rsidR="00F807AC" w:rsidRPr="00757C31" w:rsidRDefault="00F807AC" w:rsidP="00F807A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40FE" w14:paraId="78C5554E" w14:textId="77777777" w:rsidTr="00F807AC">
        <w:trPr>
          <w:trHeight w:val="355"/>
          <w:jc w:val="center"/>
        </w:trPr>
        <w:tc>
          <w:tcPr>
            <w:tcW w:w="8820" w:type="dxa"/>
            <w:tcBorders>
              <w:top w:val="nil"/>
              <w:left w:val="nil"/>
              <w:bottom w:val="nil"/>
              <w:right w:val="nil"/>
            </w:tcBorders>
            <w:shd w:val="clear" w:color="auto" w:fill="auto"/>
          </w:tcPr>
          <w:p w14:paraId="393E9DED" w14:textId="77777777" w:rsidR="00757C31" w:rsidRPr="00757C31" w:rsidRDefault="00757C31" w:rsidP="00757C31">
            <w:pPr>
              <w:jc w:val="center"/>
              <w:rPr>
                <w:rFonts w:ascii="Arial" w:hAnsi="Arial"/>
                <w:b/>
                <w:bCs/>
                <w:sz w:val="28"/>
                <w:szCs w:val="28"/>
                <w:u w:val="single"/>
                <w:rtl/>
              </w:rPr>
            </w:pPr>
            <w:bookmarkStart w:id="5" w:name="PsakDin" w:colFirst="0" w:colLast="0"/>
            <w:bookmarkEnd w:id="0"/>
            <w:r w:rsidRPr="00757C31">
              <w:rPr>
                <w:rFonts w:ascii="Arial" w:hAnsi="Arial"/>
                <w:b/>
                <w:bCs/>
                <w:sz w:val="28"/>
                <w:szCs w:val="28"/>
                <w:u w:val="single"/>
                <w:rtl/>
              </w:rPr>
              <w:t>גזר דין</w:t>
            </w:r>
          </w:p>
          <w:p w14:paraId="323D67D6" w14:textId="77777777" w:rsidR="00F807AC" w:rsidRPr="00757C31" w:rsidRDefault="00F807AC" w:rsidP="00757C31">
            <w:pPr>
              <w:jc w:val="center"/>
              <w:rPr>
                <w:rFonts w:ascii="Arial" w:hAnsi="Arial"/>
                <w:bCs/>
                <w:sz w:val="28"/>
                <w:szCs w:val="28"/>
                <w:u w:val="single"/>
                <w:rtl/>
              </w:rPr>
            </w:pPr>
          </w:p>
        </w:tc>
      </w:tr>
      <w:bookmarkEnd w:id="5"/>
    </w:tbl>
    <w:p w14:paraId="45668600" w14:textId="77777777" w:rsidR="00F807AC" w:rsidRPr="00B05847" w:rsidRDefault="00F807AC" w:rsidP="00F807AC">
      <w:pPr>
        <w:rPr>
          <w:rFonts w:ascii="Arial" w:hAnsi="Arial"/>
          <w:rtl/>
        </w:rPr>
      </w:pPr>
    </w:p>
    <w:p w14:paraId="092F80CD" w14:textId="77777777" w:rsidR="00F807AC" w:rsidRDefault="00F807AC" w:rsidP="00F807AC">
      <w:pPr>
        <w:spacing w:line="360" w:lineRule="auto"/>
        <w:rPr>
          <w:rFonts w:ascii="Arial" w:hAnsi="Arial"/>
          <w:rtl/>
        </w:rPr>
      </w:pPr>
    </w:p>
    <w:p w14:paraId="7E6CE0EE" w14:textId="77777777" w:rsidR="00F807AC" w:rsidRDefault="00F807AC" w:rsidP="00F807AC">
      <w:pPr>
        <w:spacing w:line="360" w:lineRule="auto"/>
        <w:rPr>
          <w:rFonts w:ascii="Arial" w:hAnsi="Arial"/>
          <w:rtl/>
        </w:rPr>
      </w:pPr>
    </w:p>
    <w:p w14:paraId="31FE0DF6" w14:textId="77777777" w:rsidR="00F807AC" w:rsidRDefault="00F807AC" w:rsidP="00F807AC">
      <w:pPr>
        <w:spacing w:line="360" w:lineRule="auto"/>
        <w:rPr>
          <w:rFonts w:ascii="Arial" w:hAnsi="Arial"/>
          <w:rtl/>
        </w:rPr>
      </w:pPr>
      <w:r>
        <w:rPr>
          <w:rFonts w:ascii="Arial" w:hAnsi="Arial"/>
          <w:rtl/>
        </w:rPr>
        <w:tab/>
      </w:r>
      <w:r>
        <w:rPr>
          <w:rFonts w:ascii="Arial" w:hAnsi="Arial" w:hint="cs"/>
          <w:u w:val="single"/>
          <w:rtl/>
        </w:rPr>
        <w:t>כללי</w:t>
      </w:r>
    </w:p>
    <w:p w14:paraId="7A6A67D0" w14:textId="77777777" w:rsidR="00F807AC" w:rsidRDefault="00F807AC" w:rsidP="00F807AC">
      <w:pPr>
        <w:spacing w:line="360" w:lineRule="auto"/>
        <w:rPr>
          <w:rFonts w:ascii="Arial" w:hAnsi="Arial"/>
          <w:rtl/>
        </w:rPr>
      </w:pPr>
    </w:p>
    <w:p w14:paraId="5F1D8169" w14:textId="77777777" w:rsidR="00F807AC" w:rsidRDefault="00F807AC" w:rsidP="00F807AC">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 יסוד הודאתו בעבירות של קשירת קשר לביצוע פשע, לפי </w:t>
      </w:r>
      <w:hyperlink r:id="rId15" w:history="1">
        <w:r w:rsidR="00760649" w:rsidRPr="00760649">
          <w:rPr>
            <w:rFonts w:ascii="Arial" w:hAnsi="Arial"/>
            <w:color w:val="0000FF"/>
            <w:u w:val="single"/>
            <w:rtl/>
          </w:rPr>
          <w:t>סעיף 499(א)(1)</w:t>
        </w:r>
      </w:hyperlink>
      <w:r>
        <w:rPr>
          <w:rFonts w:ascii="Arial" w:hAnsi="Arial" w:hint="cs"/>
          <w:rtl/>
        </w:rPr>
        <w:t xml:space="preserve"> ל</w:t>
      </w:r>
      <w:hyperlink r:id="rId16" w:history="1">
        <w:r w:rsidR="00757C31" w:rsidRPr="00757C31">
          <w:rPr>
            <w:rFonts w:ascii="Arial" w:hAnsi="Arial"/>
            <w:color w:val="0000FF"/>
            <w:u w:val="single"/>
            <w:rtl/>
          </w:rPr>
          <w:t>חוק העונשין</w:t>
        </w:r>
      </w:hyperlink>
      <w:r>
        <w:rPr>
          <w:rFonts w:ascii="Arial" w:hAnsi="Arial" w:hint="cs"/>
          <w:rtl/>
        </w:rPr>
        <w:t xml:space="preserve"> תשל"ז-1977; שוד (בחבורה ובנשק חם), לפי </w:t>
      </w:r>
      <w:hyperlink r:id="rId17" w:history="1">
        <w:r w:rsidR="00760649" w:rsidRPr="00760649">
          <w:rPr>
            <w:rFonts w:ascii="Arial" w:hAnsi="Arial"/>
            <w:color w:val="0000FF"/>
            <w:u w:val="single"/>
            <w:rtl/>
          </w:rPr>
          <w:t>סעיף 402(ב)</w:t>
        </w:r>
      </w:hyperlink>
      <w:r>
        <w:rPr>
          <w:rFonts w:ascii="Arial" w:hAnsi="Arial" w:hint="cs"/>
          <w:rtl/>
        </w:rPr>
        <w:t xml:space="preserve"> לחוק העונשין; נשיאת נשק ותחמושת שלא ברשות על-פי דין, לפי </w:t>
      </w:r>
      <w:hyperlink r:id="rId18" w:history="1">
        <w:r w:rsidR="00760649" w:rsidRPr="00760649">
          <w:rPr>
            <w:rFonts w:ascii="Arial" w:hAnsi="Arial"/>
            <w:color w:val="0000FF"/>
            <w:u w:val="single"/>
            <w:rtl/>
          </w:rPr>
          <w:t>סעיף 144(ב)</w:t>
        </w:r>
      </w:hyperlink>
      <w:r>
        <w:rPr>
          <w:rFonts w:ascii="Arial" w:hAnsi="Arial" w:hint="cs"/>
          <w:rtl/>
        </w:rPr>
        <w:t xml:space="preserve"> רישא וסיפא יחד עם </w:t>
      </w:r>
      <w:hyperlink r:id="rId19" w:history="1">
        <w:r w:rsidR="00760649" w:rsidRPr="00760649">
          <w:rPr>
            <w:rFonts w:ascii="Arial" w:hAnsi="Arial"/>
            <w:color w:val="0000FF"/>
            <w:u w:val="single"/>
            <w:rtl/>
          </w:rPr>
          <w:t>סעיף 29</w:t>
        </w:r>
      </w:hyperlink>
      <w:r>
        <w:rPr>
          <w:rFonts w:ascii="Arial" w:hAnsi="Arial" w:hint="cs"/>
          <w:rtl/>
        </w:rPr>
        <w:t xml:space="preserve"> לחוק העונשין; נהיגה פוחזת של רכב, לפי </w:t>
      </w:r>
      <w:hyperlink r:id="rId20" w:history="1">
        <w:r w:rsidR="00760649" w:rsidRPr="00760649">
          <w:rPr>
            <w:rFonts w:ascii="Arial" w:hAnsi="Arial"/>
            <w:color w:val="0000FF"/>
            <w:u w:val="single"/>
            <w:rtl/>
          </w:rPr>
          <w:t>סעיף 338(1)</w:t>
        </w:r>
      </w:hyperlink>
      <w:r>
        <w:rPr>
          <w:rFonts w:ascii="Arial" w:hAnsi="Arial" w:hint="cs"/>
          <w:rtl/>
        </w:rPr>
        <w:t xml:space="preserve"> יחד עם </w:t>
      </w:r>
      <w:hyperlink r:id="rId21" w:history="1">
        <w:r w:rsidR="00760649" w:rsidRPr="00760649">
          <w:rPr>
            <w:rFonts w:ascii="Arial" w:hAnsi="Arial"/>
            <w:color w:val="0000FF"/>
            <w:u w:val="single"/>
            <w:rtl/>
          </w:rPr>
          <w:t>סעיף 29</w:t>
        </w:r>
      </w:hyperlink>
      <w:r>
        <w:rPr>
          <w:rFonts w:ascii="Arial" w:hAnsi="Arial" w:hint="cs"/>
          <w:rtl/>
        </w:rPr>
        <w:t xml:space="preserve"> לחוק העונשין; ונהיגה בקלות ראש, לפי </w:t>
      </w:r>
      <w:hyperlink r:id="rId22" w:history="1">
        <w:r w:rsidR="00595168" w:rsidRPr="00595168">
          <w:rPr>
            <w:rFonts w:ascii="Arial" w:hAnsi="Arial"/>
            <w:color w:val="0000FF"/>
            <w:u w:val="single"/>
            <w:rtl/>
          </w:rPr>
          <w:t>סעיף 62(2)</w:t>
        </w:r>
      </w:hyperlink>
      <w:r>
        <w:rPr>
          <w:rFonts w:ascii="Arial" w:hAnsi="Arial" w:hint="cs"/>
          <w:rtl/>
        </w:rPr>
        <w:t xml:space="preserve"> יחד עם </w:t>
      </w:r>
      <w:hyperlink r:id="rId23" w:history="1">
        <w:r w:rsidR="00595168" w:rsidRPr="00595168">
          <w:rPr>
            <w:rFonts w:ascii="Arial" w:hAnsi="Arial"/>
            <w:color w:val="0000FF"/>
            <w:u w:val="single"/>
            <w:rtl/>
          </w:rPr>
          <w:t>סעיף 38(2)</w:t>
        </w:r>
      </w:hyperlink>
      <w:r>
        <w:rPr>
          <w:rFonts w:ascii="Arial" w:hAnsi="Arial" w:hint="cs"/>
          <w:rtl/>
        </w:rPr>
        <w:t xml:space="preserve"> ל</w:t>
      </w:r>
      <w:hyperlink r:id="rId24" w:history="1">
        <w:r w:rsidR="00757C31" w:rsidRPr="00757C31">
          <w:rPr>
            <w:rFonts w:ascii="Arial" w:hAnsi="Arial"/>
            <w:color w:val="0000FF"/>
            <w:u w:val="single"/>
            <w:rtl/>
          </w:rPr>
          <w:t>פקודת התעבורה</w:t>
        </w:r>
      </w:hyperlink>
      <w:r>
        <w:rPr>
          <w:rFonts w:ascii="Arial" w:hAnsi="Arial" w:hint="cs"/>
          <w:rtl/>
        </w:rPr>
        <w:t xml:space="preserve"> יחד עם </w:t>
      </w:r>
      <w:hyperlink r:id="rId25" w:history="1">
        <w:r w:rsidR="00595168" w:rsidRPr="00595168">
          <w:rPr>
            <w:rFonts w:ascii="Arial" w:hAnsi="Arial"/>
            <w:color w:val="0000FF"/>
            <w:u w:val="single"/>
            <w:rtl/>
          </w:rPr>
          <w:t>סעיף 29</w:t>
        </w:r>
      </w:hyperlink>
      <w:r>
        <w:rPr>
          <w:rFonts w:ascii="Arial" w:hAnsi="Arial" w:hint="cs"/>
          <w:rtl/>
        </w:rPr>
        <w:t xml:space="preserve"> לחוק העונשין.</w:t>
      </w:r>
    </w:p>
    <w:p w14:paraId="09FA73E3" w14:textId="77777777" w:rsidR="00F807AC" w:rsidRDefault="00F807AC" w:rsidP="00F807AC">
      <w:pPr>
        <w:spacing w:line="360" w:lineRule="auto"/>
        <w:ind w:left="720" w:hanging="720"/>
        <w:jc w:val="both"/>
        <w:rPr>
          <w:rFonts w:ascii="Arial" w:hAnsi="Arial"/>
          <w:rtl/>
        </w:rPr>
      </w:pPr>
    </w:p>
    <w:p w14:paraId="683C7DAA" w14:textId="77777777" w:rsidR="00F807AC" w:rsidRDefault="00F807AC" w:rsidP="00F807AC">
      <w:pPr>
        <w:spacing w:line="360" w:lineRule="auto"/>
        <w:ind w:left="720" w:hanging="720"/>
        <w:jc w:val="both"/>
        <w:rPr>
          <w:rFonts w:ascii="Arial" w:hAnsi="Arial"/>
          <w:rtl/>
        </w:rPr>
      </w:pPr>
      <w:bookmarkStart w:id="7" w:name="ABSTRACT_END"/>
      <w:bookmarkEnd w:id="7"/>
      <w:r>
        <w:rPr>
          <w:rFonts w:ascii="Arial" w:hAnsi="Arial" w:hint="cs"/>
          <w:rtl/>
        </w:rPr>
        <w:t>2.</w:t>
      </w:r>
      <w:r>
        <w:rPr>
          <w:rFonts w:ascii="Arial" w:hAnsi="Arial" w:hint="cs"/>
          <w:rtl/>
        </w:rPr>
        <w:tab/>
        <w:t xml:space="preserve">הודאת הנאשם ניתנה במסגרת הסדר טיעון שגובש בין הצדדים, במסגרתו תוקן כתב האישום, אך לא גובשה הסכמה לעניין העונש, וכל צד טען בהקשר זה על-פי מיטב שיקול דעתו. </w:t>
      </w:r>
    </w:p>
    <w:p w14:paraId="73ADD76B" w14:textId="77777777" w:rsidR="00F807AC" w:rsidRDefault="00F807AC" w:rsidP="00F807AC">
      <w:pPr>
        <w:spacing w:line="360" w:lineRule="auto"/>
        <w:ind w:left="720" w:hanging="720"/>
        <w:jc w:val="both"/>
        <w:rPr>
          <w:rFonts w:ascii="Arial" w:hAnsi="Arial"/>
          <w:rtl/>
        </w:rPr>
      </w:pPr>
    </w:p>
    <w:p w14:paraId="6F2E1CF4" w14:textId="77777777" w:rsidR="00F807AC" w:rsidRPr="00F0303D" w:rsidRDefault="00F807AC" w:rsidP="00F807AC">
      <w:pPr>
        <w:spacing w:line="360" w:lineRule="auto"/>
        <w:ind w:left="720" w:hanging="720"/>
        <w:jc w:val="both"/>
        <w:rPr>
          <w:rFonts w:ascii="Arial" w:hAnsi="Arial"/>
          <w:rtl/>
        </w:rPr>
      </w:pPr>
      <w:r>
        <w:rPr>
          <w:rFonts w:ascii="Arial" w:hAnsi="Arial"/>
          <w:rtl/>
        </w:rPr>
        <w:tab/>
      </w:r>
      <w:r>
        <w:rPr>
          <w:rFonts w:ascii="Arial" w:hAnsi="Arial" w:hint="cs"/>
          <w:u w:val="single"/>
          <w:rtl/>
        </w:rPr>
        <w:t>עובדות כתב האישום המתוקן</w:t>
      </w:r>
    </w:p>
    <w:p w14:paraId="5719AADC" w14:textId="77777777" w:rsidR="00F807AC" w:rsidRPr="00B05847" w:rsidRDefault="00F807AC" w:rsidP="00F807AC">
      <w:pPr>
        <w:spacing w:line="360" w:lineRule="auto"/>
        <w:ind w:left="720" w:hanging="720"/>
        <w:rPr>
          <w:rFonts w:ascii="Arial" w:hAnsi="Arial"/>
          <w:rtl/>
        </w:rPr>
      </w:pPr>
      <w:r>
        <w:rPr>
          <w:rFonts w:ascii="Arial" w:hAnsi="Arial" w:hint="cs"/>
          <w:rtl/>
        </w:rPr>
        <w:lastRenderedPageBreak/>
        <w:t xml:space="preserve"> </w:t>
      </w:r>
    </w:p>
    <w:p w14:paraId="0EBC9B42" w14:textId="77777777" w:rsidR="00F807AC" w:rsidRDefault="00F807AC" w:rsidP="00F807AC">
      <w:pPr>
        <w:spacing w:line="360" w:lineRule="auto"/>
        <w:ind w:left="720" w:hanging="720"/>
        <w:jc w:val="both"/>
        <w:rPr>
          <w:rtl/>
        </w:rPr>
      </w:pPr>
      <w:r>
        <w:rPr>
          <w:rFonts w:hint="cs"/>
          <w:rtl/>
        </w:rPr>
        <w:t>3.</w:t>
      </w:r>
      <w:r>
        <w:rPr>
          <w:rFonts w:hint="cs"/>
          <w:rtl/>
        </w:rPr>
        <w:tab/>
        <w:t xml:space="preserve">א.ב (להלן </w:t>
      </w:r>
      <w:r>
        <w:rPr>
          <w:rtl/>
        </w:rPr>
        <w:t>–</w:t>
      </w:r>
      <w:r>
        <w:rPr>
          <w:rFonts w:hint="cs"/>
          <w:rtl/>
        </w:rPr>
        <w:t xml:space="preserve"> </w:t>
      </w:r>
      <w:r>
        <w:rPr>
          <w:rFonts w:hint="cs"/>
          <w:b/>
          <w:bCs/>
          <w:rtl/>
        </w:rPr>
        <w:t>המתלונן</w:t>
      </w:r>
      <w:r>
        <w:rPr>
          <w:rFonts w:hint="cs"/>
          <w:rtl/>
        </w:rPr>
        <w:t xml:space="preserve">) עובד כשליח בחברת ש.ל פיננסים בע"מ שברחוב הירקון 8 בני ברק (להלן </w:t>
      </w:r>
      <w:r>
        <w:rPr>
          <w:rtl/>
        </w:rPr>
        <w:t>–</w:t>
      </w:r>
      <w:r>
        <w:rPr>
          <w:rFonts w:hint="cs"/>
          <w:rtl/>
        </w:rPr>
        <w:t xml:space="preserve"> </w:t>
      </w:r>
      <w:r>
        <w:rPr>
          <w:rFonts w:hint="cs"/>
          <w:b/>
          <w:bCs/>
          <w:rtl/>
        </w:rPr>
        <w:t>החברה</w:t>
      </w:r>
      <w:r>
        <w:rPr>
          <w:rFonts w:hint="cs"/>
          <w:rtl/>
        </w:rPr>
        <w:t xml:space="preserve">). </w:t>
      </w:r>
    </w:p>
    <w:p w14:paraId="749CE494" w14:textId="77777777" w:rsidR="00F807AC" w:rsidRDefault="00F807AC" w:rsidP="00F807AC">
      <w:pPr>
        <w:spacing w:line="360" w:lineRule="auto"/>
        <w:ind w:left="720" w:hanging="720"/>
        <w:jc w:val="both"/>
        <w:rPr>
          <w:rtl/>
        </w:rPr>
      </w:pPr>
    </w:p>
    <w:p w14:paraId="41F9E50C" w14:textId="77777777" w:rsidR="00F807AC" w:rsidRDefault="00F807AC" w:rsidP="00F807AC">
      <w:pPr>
        <w:spacing w:line="360" w:lineRule="auto"/>
        <w:ind w:left="720" w:hanging="720"/>
        <w:jc w:val="both"/>
        <w:rPr>
          <w:rtl/>
        </w:rPr>
      </w:pPr>
      <w:r>
        <w:rPr>
          <w:rFonts w:hint="cs"/>
          <w:rtl/>
        </w:rPr>
        <w:tab/>
        <w:t xml:space="preserve">במועד מדויק שאינו ידוע למאשימה, עובר לתאריך 15.11.17, קשר הנאשם קשר עם אחרים שזהותם אינה ידועה למאשימה (להלן </w:t>
      </w:r>
      <w:r>
        <w:rPr>
          <w:rtl/>
        </w:rPr>
        <w:t>–</w:t>
      </w:r>
      <w:r>
        <w:rPr>
          <w:rFonts w:hint="cs"/>
          <w:rtl/>
        </w:rPr>
        <w:t xml:space="preserve"> </w:t>
      </w:r>
      <w:r>
        <w:rPr>
          <w:rFonts w:hint="cs"/>
          <w:b/>
          <w:bCs/>
          <w:rtl/>
        </w:rPr>
        <w:t>האחרים</w:t>
      </w:r>
      <w:r>
        <w:rPr>
          <w:rFonts w:hint="cs"/>
          <w:rtl/>
        </w:rPr>
        <w:t xml:space="preserve">), לשדוד שליח של החברה (להלן </w:t>
      </w:r>
      <w:r>
        <w:rPr>
          <w:rtl/>
        </w:rPr>
        <w:t>–</w:t>
      </w:r>
      <w:r>
        <w:rPr>
          <w:rFonts w:hint="cs"/>
          <w:rtl/>
        </w:rPr>
        <w:t xml:space="preserve"> </w:t>
      </w:r>
      <w:r>
        <w:rPr>
          <w:rFonts w:hint="cs"/>
          <w:b/>
          <w:bCs/>
          <w:rtl/>
        </w:rPr>
        <w:t>הקשר</w:t>
      </w:r>
      <w:r>
        <w:rPr>
          <w:rFonts w:hint="cs"/>
          <w:rtl/>
        </w:rPr>
        <w:t xml:space="preserve">). במסגרת הקשר ולשם קידומו, הצטיידו הנאשם והאחרים, בצוותא חדא, באמצעים כדלקמן: (א) אקדח גנוב מסוג יריחו הטעון במחסנית תואמת מלאה ב- 5 כדורי 9 מ"מ וכדור נוסף בקנה (להלן </w:t>
      </w:r>
      <w:r>
        <w:rPr>
          <w:rtl/>
        </w:rPr>
        <w:t>–</w:t>
      </w:r>
      <w:r>
        <w:rPr>
          <w:rFonts w:hint="cs"/>
          <w:rtl/>
        </w:rPr>
        <w:t xml:space="preserve"> </w:t>
      </w:r>
      <w:r>
        <w:rPr>
          <w:rFonts w:hint="cs"/>
          <w:b/>
          <w:bCs/>
          <w:rtl/>
        </w:rPr>
        <w:t>האקדח</w:t>
      </w:r>
      <w:r>
        <w:rPr>
          <w:rFonts w:hint="cs"/>
          <w:rtl/>
        </w:rPr>
        <w:t xml:space="preserve">); (ב) רכב גנוב מ.ר. 27-768-63 תוצרת חברת שברולט (להלן </w:t>
      </w:r>
      <w:r>
        <w:rPr>
          <w:rtl/>
        </w:rPr>
        <w:t>–</w:t>
      </w:r>
      <w:r>
        <w:rPr>
          <w:rFonts w:hint="cs"/>
          <w:rtl/>
        </w:rPr>
        <w:t xml:space="preserve"> </w:t>
      </w:r>
      <w:r>
        <w:rPr>
          <w:rFonts w:hint="cs"/>
          <w:b/>
          <w:bCs/>
          <w:rtl/>
        </w:rPr>
        <w:t>הרכב הגנוב</w:t>
      </w:r>
      <w:r>
        <w:rPr>
          <w:rFonts w:hint="cs"/>
          <w:rtl/>
        </w:rPr>
        <w:t xml:space="preserve">); (ג) לוחיות רישוי גנובות מרכב מספר 66-533-59 (להלן </w:t>
      </w:r>
      <w:r>
        <w:rPr>
          <w:rtl/>
        </w:rPr>
        <w:t>–</w:t>
      </w:r>
      <w:r>
        <w:rPr>
          <w:rFonts w:hint="cs"/>
          <w:rtl/>
        </w:rPr>
        <w:t xml:space="preserve"> </w:t>
      </w:r>
      <w:r>
        <w:rPr>
          <w:rFonts w:hint="cs"/>
          <w:b/>
          <w:bCs/>
          <w:rtl/>
        </w:rPr>
        <w:t>הלוחיות הגנובות</w:t>
      </w:r>
      <w:r>
        <w:rPr>
          <w:rFonts w:hint="cs"/>
          <w:rtl/>
        </w:rPr>
        <w:t xml:space="preserve">); (ד) רכב מ.ר. 31-363-70 תוצרת חברת טויוטה (להלן </w:t>
      </w:r>
      <w:r>
        <w:rPr>
          <w:rtl/>
        </w:rPr>
        <w:t>–</w:t>
      </w:r>
      <w:r>
        <w:rPr>
          <w:rFonts w:hint="cs"/>
          <w:rtl/>
        </w:rPr>
        <w:t xml:space="preserve"> </w:t>
      </w:r>
      <w:r>
        <w:rPr>
          <w:rFonts w:hint="cs"/>
          <w:b/>
          <w:bCs/>
          <w:rtl/>
        </w:rPr>
        <w:t>רכב המילוט</w:t>
      </w:r>
      <w:r>
        <w:rPr>
          <w:rFonts w:hint="cs"/>
          <w:rtl/>
        </w:rPr>
        <w:t xml:space="preserve">); (ה) "חם צוואר", קפוצ'ון, כובע וכפפות.  </w:t>
      </w:r>
    </w:p>
    <w:p w14:paraId="2AD4CAC3" w14:textId="77777777" w:rsidR="00F807AC" w:rsidRDefault="00F807AC" w:rsidP="00F807AC">
      <w:pPr>
        <w:spacing w:line="360" w:lineRule="auto"/>
        <w:ind w:left="720"/>
        <w:jc w:val="both"/>
        <w:rPr>
          <w:rtl/>
        </w:rPr>
      </w:pPr>
      <w:r>
        <w:rPr>
          <w:rFonts w:hint="cs"/>
          <w:rtl/>
        </w:rPr>
        <w:t xml:space="preserve">הנאשם והאחרים התקינו בעצמם או באמצעות אחר את הלוחיות הגנובות על-גבי הרכב הגנוב. </w:t>
      </w:r>
    </w:p>
    <w:p w14:paraId="407366AB" w14:textId="77777777" w:rsidR="00F807AC" w:rsidRDefault="00F807AC" w:rsidP="00F807AC">
      <w:pPr>
        <w:spacing w:line="360" w:lineRule="auto"/>
        <w:ind w:left="1440" w:hanging="720"/>
        <w:jc w:val="both"/>
        <w:rPr>
          <w:rtl/>
        </w:rPr>
      </w:pPr>
    </w:p>
    <w:p w14:paraId="26368112" w14:textId="77777777" w:rsidR="00F807AC" w:rsidRDefault="00F807AC" w:rsidP="00F807AC">
      <w:pPr>
        <w:spacing w:line="360" w:lineRule="auto"/>
        <w:ind w:left="720" w:hanging="720"/>
        <w:jc w:val="both"/>
        <w:rPr>
          <w:rtl/>
        </w:rPr>
      </w:pPr>
      <w:r>
        <w:rPr>
          <w:rFonts w:hint="cs"/>
          <w:rtl/>
        </w:rPr>
        <w:tab/>
        <w:t>ביום 15.12.17 עובר לשעה 09:44, במסגרת תפקידו כשליח החברה, משך המתלונן סך של</w:t>
      </w:r>
      <w:r w:rsidRPr="00D22E3D">
        <w:rPr>
          <w:rFonts w:hint="cs"/>
          <w:b/>
          <w:bCs/>
          <w:rtl/>
        </w:rPr>
        <w:t xml:space="preserve"> 800,000 ₪ במזומן </w:t>
      </w:r>
      <w:r>
        <w:rPr>
          <w:rFonts w:hint="cs"/>
          <w:rtl/>
        </w:rPr>
        <w:t xml:space="preserve">מבנק דיסקונט ברחוב רבי עקיבא בבני ברק (להלן </w:t>
      </w:r>
      <w:r>
        <w:rPr>
          <w:rtl/>
        </w:rPr>
        <w:t>–</w:t>
      </w:r>
      <w:r>
        <w:rPr>
          <w:rFonts w:hint="cs"/>
          <w:rtl/>
        </w:rPr>
        <w:t xml:space="preserve"> </w:t>
      </w:r>
      <w:r>
        <w:rPr>
          <w:rFonts w:hint="cs"/>
          <w:b/>
          <w:bCs/>
          <w:rtl/>
        </w:rPr>
        <w:t>הכסף</w:t>
      </w:r>
      <w:r>
        <w:rPr>
          <w:rFonts w:hint="cs"/>
          <w:rtl/>
        </w:rPr>
        <w:t xml:space="preserve">). המתלונן הכניס את הכסף לתיק גב שחור ורכב על קטנועו לכיוון החברה. </w:t>
      </w:r>
    </w:p>
    <w:p w14:paraId="140245F1" w14:textId="77777777" w:rsidR="00F807AC" w:rsidRDefault="00F807AC" w:rsidP="00F807AC">
      <w:pPr>
        <w:spacing w:line="360" w:lineRule="auto"/>
        <w:ind w:left="720" w:hanging="720"/>
        <w:jc w:val="both"/>
        <w:rPr>
          <w:rtl/>
        </w:rPr>
      </w:pPr>
    </w:p>
    <w:p w14:paraId="3641DD15" w14:textId="77777777" w:rsidR="00F807AC" w:rsidRDefault="00F807AC" w:rsidP="00F807AC">
      <w:pPr>
        <w:spacing w:line="360" w:lineRule="auto"/>
        <w:ind w:left="720"/>
        <w:jc w:val="both"/>
        <w:rPr>
          <w:rtl/>
        </w:rPr>
      </w:pPr>
      <w:r>
        <w:rPr>
          <w:rFonts w:hint="cs"/>
          <w:rtl/>
        </w:rPr>
        <w:t xml:space="preserve">באותה עת, לשם קידום הקשר ומימושו ועל דעת הנאשם, ארבו האחרים למתלונן, ברכב הגנוב, ברחוב כנרת בבני ברק (להלן </w:t>
      </w:r>
      <w:r>
        <w:rPr>
          <w:rtl/>
        </w:rPr>
        <w:t>–</w:t>
      </w:r>
      <w:r>
        <w:rPr>
          <w:rFonts w:hint="cs"/>
          <w:rtl/>
        </w:rPr>
        <w:t xml:space="preserve"> </w:t>
      </w:r>
      <w:r>
        <w:rPr>
          <w:rFonts w:hint="cs"/>
          <w:b/>
          <w:bCs/>
          <w:rtl/>
        </w:rPr>
        <w:t>המקום</w:t>
      </w:r>
      <w:r>
        <w:rPr>
          <w:rFonts w:hint="cs"/>
          <w:rtl/>
        </w:rPr>
        <w:t xml:space="preserve">). </w:t>
      </w:r>
    </w:p>
    <w:p w14:paraId="17CB40C1" w14:textId="77777777" w:rsidR="00F807AC" w:rsidRDefault="00F807AC" w:rsidP="00F807AC">
      <w:pPr>
        <w:spacing w:line="360" w:lineRule="auto"/>
        <w:ind w:left="720" w:hanging="720"/>
        <w:jc w:val="both"/>
        <w:rPr>
          <w:rtl/>
        </w:rPr>
      </w:pPr>
    </w:p>
    <w:p w14:paraId="6B7FE295" w14:textId="77777777" w:rsidR="00F807AC" w:rsidRDefault="00F807AC" w:rsidP="00F807AC">
      <w:pPr>
        <w:spacing w:line="360" w:lineRule="auto"/>
        <w:ind w:left="720"/>
        <w:jc w:val="both"/>
        <w:rPr>
          <w:rtl/>
        </w:rPr>
      </w:pPr>
      <w:r>
        <w:rPr>
          <w:rFonts w:hint="cs"/>
          <w:rtl/>
        </w:rPr>
        <w:t xml:space="preserve">בשעה 09:44 או בסמוך לכך, במסגרת הקשר ולשם קידומו, הגיע המתלונן למקום כשהוא רכוב על קטנועו. בשלב זה, בצוותא חדא ועל דעת הנאשם, מימשו האחרים את תכנונם וביצעו את הפעולות הבאות: (א) האחרים פרצו באמצעות הרכב הגנוב לנתיב נסיעת המתלונן וחסמו את דרכו; (ב) אחד מהאחרים יצא מן הרכב כאשר פניו מכוסות בחם-צוואר וידו אוחזת באקדח, כיוון את האקדח אל עבר המתלונן באופן מאיים, שדד ממנו את התיק עם הכסף ושב בריצה לרכב הגנוב; (ג) האחרים נמלטו מהמקום בנסיעה ברכב הגנוב בעוד הנאשם ממתין להם ברכב המילוט, בקניון איילון מול אצטדיון רמת-גן. </w:t>
      </w:r>
    </w:p>
    <w:p w14:paraId="2424705B" w14:textId="77777777" w:rsidR="00F807AC" w:rsidRDefault="00F807AC" w:rsidP="00F807AC">
      <w:pPr>
        <w:spacing w:line="360" w:lineRule="auto"/>
        <w:ind w:left="720"/>
        <w:jc w:val="both"/>
        <w:rPr>
          <w:rtl/>
        </w:rPr>
      </w:pPr>
    </w:p>
    <w:p w14:paraId="24F72136" w14:textId="77777777" w:rsidR="00F807AC" w:rsidRDefault="00F807AC" w:rsidP="00F807AC">
      <w:pPr>
        <w:spacing w:line="360" w:lineRule="auto"/>
        <w:ind w:left="720"/>
        <w:jc w:val="both"/>
        <w:rPr>
          <w:rtl/>
        </w:rPr>
      </w:pPr>
      <w:r>
        <w:rPr>
          <w:rFonts w:hint="cs"/>
          <w:rtl/>
        </w:rPr>
        <w:t xml:space="preserve">בסמוך לאחר השוד, חברו האחרים לנאשם בחניון קניון איילון, ועברו מהרכב הגנוב אל רכב המילוט בו נהג הנאשם, ובאמתחתם התיק. </w:t>
      </w:r>
    </w:p>
    <w:p w14:paraId="37C1D967" w14:textId="77777777" w:rsidR="00F807AC" w:rsidRDefault="00F807AC" w:rsidP="00F807AC">
      <w:pPr>
        <w:spacing w:line="360" w:lineRule="auto"/>
        <w:ind w:left="720"/>
        <w:jc w:val="both"/>
        <w:rPr>
          <w:rtl/>
        </w:rPr>
      </w:pPr>
    </w:p>
    <w:p w14:paraId="22BE1485" w14:textId="77777777" w:rsidR="00F807AC" w:rsidRDefault="00F807AC" w:rsidP="00F807AC">
      <w:pPr>
        <w:spacing w:line="360" w:lineRule="auto"/>
        <w:ind w:left="720"/>
        <w:jc w:val="both"/>
        <w:rPr>
          <w:rtl/>
        </w:rPr>
      </w:pPr>
      <w:r>
        <w:rPr>
          <w:rFonts w:hint="cs"/>
          <w:rtl/>
        </w:rPr>
        <w:t>בשעה 09:57 או בסמוך לכך, במסגרת הקשר ולשם הבטחת הימלטותם עם התיק ובו שלל השוד, נסעו הנאשם והאחרים ברכב המילוט על כביש מספר 4 לכיוון דרום בדרך נמהרת ורשלנית. כאשר נתקלו בפקק תנועה בין מחלף אלוף שדה למחלף מסובים, פגעו עם צידו הימני של רכב המילוט בצידו השמאלי של רכב מ.ר. 76-464-39 בבעלות מר אברהם גנצפריד שניזוק. בעקבות התאונה פרקו הנאשם והאחר מן הרכב ונמלטו רגלית מזרחה, אל עבר כביש מספר 4 לכיוון צפון כשהנאשם מחזיק בתיק ובו האקדח, עד שהנאשם נלכד ונעצר בסמוך על-ידי משטרת ישראל.</w:t>
      </w:r>
    </w:p>
    <w:p w14:paraId="7125EC75" w14:textId="77777777" w:rsidR="00F807AC" w:rsidRDefault="00F807AC" w:rsidP="00F807AC">
      <w:pPr>
        <w:spacing w:line="360" w:lineRule="auto"/>
        <w:ind w:left="720"/>
        <w:jc w:val="both"/>
        <w:rPr>
          <w:rtl/>
        </w:rPr>
      </w:pPr>
    </w:p>
    <w:p w14:paraId="56ED42E8" w14:textId="77777777" w:rsidR="00F807AC" w:rsidRDefault="00F807AC" w:rsidP="00F807AC">
      <w:pPr>
        <w:spacing w:line="360" w:lineRule="auto"/>
        <w:ind w:left="720"/>
        <w:jc w:val="both"/>
        <w:rPr>
          <w:rtl/>
        </w:rPr>
      </w:pPr>
      <w:r>
        <w:rPr>
          <w:rFonts w:hint="cs"/>
          <w:u w:val="single"/>
          <w:rtl/>
        </w:rPr>
        <w:t>טיעוני הצדדים</w:t>
      </w:r>
    </w:p>
    <w:p w14:paraId="672CA89A" w14:textId="77777777" w:rsidR="00F807AC" w:rsidRDefault="00F807AC" w:rsidP="00F807AC">
      <w:pPr>
        <w:spacing w:line="360" w:lineRule="auto"/>
        <w:ind w:left="720"/>
        <w:jc w:val="both"/>
        <w:rPr>
          <w:rtl/>
        </w:rPr>
      </w:pPr>
    </w:p>
    <w:p w14:paraId="374D127C" w14:textId="77777777" w:rsidR="00F807AC" w:rsidRDefault="00F807AC" w:rsidP="00F807AC">
      <w:pPr>
        <w:spacing w:line="360" w:lineRule="auto"/>
        <w:ind w:left="720" w:hanging="720"/>
        <w:jc w:val="both"/>
        <w:rPr>
          <w:rtl/>
        </w:rPr>
      </w:pPr>
      <w:r>
        <w:rPr>
          <w:rFonts w:hint="cs"/>
          <w:rtl/>
        </w:rPr>
        <w:lastRenderedPageBreak/>
        <w:t>4.</w:t>
      </w:r>
      <w:r>
        <w:rPr>
          <w:rFonts w:hint="cs"/>
          <w:rtl/>
        </w:rPr>
        <w:tab/>
        <w:t xml:space="preserve">התובע, עו"ד צחי יונגר, עמד בטיעוניו על חומרתו הרבה של האירוע, על הערכים המוגנים שנפגעו ועל העונשים המשתקפים מפסיקת בית המשפט העליון ובתי המשפט המחוזיים. על יסוד כלל טיעוניו, סבר התובע כי יש לקבוע מתחם עונש הולם הנע בין 5 שנות מאסר ל-8 שנות מאסר, ובהינתן עברו הפלילי של הנאשם הכולל הרשעות קודמות ומאסר מותנה בן 6 חודשים, יש להעמיד את עונשו של הנאשם על 6 שנות מאסר ולהפעיל את המאסר המותנה במצטבר. </w:t>
      </w:r>
    </w:p>
    <w:p w14:paraId="22CAE029" w14:textId="77777777" w:rsidR="00F807AC" w:rsidRDefault="00F807AC" w:rsidP="00F807AC">
      <w:pPr>
        <w:spacing w:line="360" w:lineRule="auto"/>
        <w:ind w:left="720" w:hanging="720"/>
        <w:jc w:val="both"/>
        <w:rPr>
          <w:rtl/>
        </w:rPr>
      </w:pPr>
    </w:p>
    <w:p w14:paraId="5C0658D0" w14:textId="77777777" w:rsidR="00F807AC" w:rsidRDefault="00F807AC" w:rsidP="00F807AC">
      <w:pPr>
        <w:spacing w:line="360" w:lineRule="auto"/>
        <w:ind w:left="720" w:hanging="720"/>
        <w:jc w:val="both"/>
        <w:rPr>
          <w:rtl/>
        </w:rPr>
      </w:pPr>
      <w:r>
        <w:rPr>
          <w:rFonts w:hint="cs"/>
          <w:rtl/>
        </w:rPr>
        <w:t>5.</w:t>
      </w:r>
      <w:r>
        <w:rPr>
          <w:rtl/>
        </w:rPr>
        <w:tab/>
      </w:r>
      <w:r>
        <w:rPr>
          <w:rFonts w:hint="cs"/>
          <w:rtl/>
        </w:rPr>
        <w:t xml:space="preserve">הסנגור, עו"ד איתן און, היה מודע לעובדה כי הנאשם הורשע בכל העבירות שיוחסו לו כמבצע בצוותא, אולם סבר כי מבחינה מהותית, יש לבחון את העונש הראוי לנאשם במשקפי "מסייע לביצוע העבירה" וזאת בהינתן העובדה כי הנאשם לא נכח בזירת השוד אלא המתין ברכב המילוט, קילומטרים מאותה זירה,  ולא היה  חלק מהפעולות הספציפיות שבוצעו אל מול המתלונן. עוד ביקש הסנגור ליתן את הדעת לעובדה כי לא ננקטה אלימות פיזית כנגד המתלונן, וגם חלקו של הנאשם שהסתכם במילוט, בוצע ללא הצלחה. נטען כי יש ליתן משקל להודאת הנאשם, בוודאי על רקע כישלונה של המשטרה לאתר את האחרים. עוד עמד הסנגור על נתוניו האישיים של הנאשם ועל החרטה שהביע. </w:t>
      </w:r>
    </w:p>
    <w:p w14:paraId="7A8A0E2F" w14:textId="77777777" w:rsidR="00F807AC" w:rsidRDefault="00F807AC" w:rsidP="00F807AC">
      <w:pPr>
        <w:spacing w:line="360" w:lineRule="auto"/>
        <w:ind w:left="720" w:hanging="720"/>
        <w:jc w:val="both"/>
        <w:rPr>
          <w:rtl/>
        </w:rPr>
      </w:pPr>
    </w:p>
    <w:p w14:paraId="1D4F0D20" w14:textId="77777777" w:rsidR="00F807AC" w:rsidRDefault="00F807AC" w:rsidP="00F807AC">
      <w:pPr>
        <w:spacing w:line="360" w:lineRule="auto"/>
        <w:ind w:left="720"/>
        <w:jc w:val="both"/>
        <w:rPr>
          <w:rtl/>
        </w:rPr>
      </w:pPr>
      <w:r>
        <w:rPr>
          <w:rFonts w:hint="cs"/>
          <w:rtl/>
        </w:rPr>
        <w:t xml:space="preserve">כמו התובע, גם הסנגור הגיש אסופת פסקי דין, מהם ביקש ללמוד כי מתחם העונש ההולם נמוך באופן משמעותי מהמתחם לו עתרה התביעה, ויש מקום להטיל על הנאשם עונש המשקף את תחתית המתחם הראוי, העומד על 18 חודשי מאסר. </w:t>
      </w:r>
    </w:p>
    <w:p w14:paraId="7CB73566" w14:textId="77777777" w:rsidR="00F807AC" w:rsidRDefault="00F807AC" w:rsidP="00F807AC">
      <w:pPr>
        <w:spacing w:line="360" w:lineRule="auto"/>
        <w:ind w:left="720"/>
        <w:jc w:val="both"/>
        <w:rPr>
          <w:rtl/>
        </w:rPr>
      </w:pPr>
    </w:p>
    <w:p w14:paraId="1B8893C7" w14:textId="77777777" w:rsidR="00F807AC" w:rsidRDefault="00F807AC" w:rsidP="00F807AC">
      <w:pPr>
        <w:spacing w:line="360" w:lineRule="auto"/>
        <w:ind w:left="720"/>
        <w:jc w:val="both"/>
        <w:rPr>
          <w:rtl/>
        </w:rPr>
      </w:pPr>
      <w:r>
        <w:rPr>
          <w:rFonts w:hint="cs"/>
          <w:u w:val="single"/>
          <w:rtl/>
        </w:rPr>
        <w:t>דיון והכרעה</w:t>
      </w:r>
    </w:p>
    <w:p w14:paraId="6199E75F" w14:textId="77777777" w:rsidR="00F807AC" w:rsidRDefault="00F807AC" w:rsidP="00F807AC">
      <w:pPr>
        <w:spacing w:line="360" w:lineRule="auto"/>
        <w:ind w:left="720"/>
        <w:jc w:val="both"/>
        <w:rPr>
          <w:rtl/>
        </w:rPr>
      </w:pPr>
    </w:p>
    <w:p w14:paraId="684E1C8C" w14:textId="77777777" w:rsidR="00F807AC" w:rsidRPr="00D81967" w:rsidRDefault="00F807AC" w:rsidP="00F807AC">
      <w:pPr>
        <w:spacing w:line="360" w:lineRule="auto"/>
        <w:ind w:left="720"/>
        <w:jc w:val="both"/>
        <w:rPr>
          <w:u w:val="single"/>
          <w:rtl/>
        </w:rPr>
      </w:pPr>
      <w:r w:rsidRPr="00D81967">
        <w:rPr>
          <w:rFonts w:hint="cs"/>
          <w:u w:val="single"/>
          <w:rtl/>
        </w:rPr>
        <w:t>קביעת מתחם העונש ההולם</w:t>
      </w:r>
    </w:p>
    <w:p w14:paraId="17AA1C6D" w14:textId="77777777" w:rsidR="00F807AC" w:rsidRPr="00D81967" w:rsidRDefault="00F807AC" w:rsidP="00F807AC">
      <w:pPr>
        <w:spacing w:line="360" w:lineRule="auto"/>
        <w:ind w:left="720"/>
        <w:jc w:val="both"/>
        <w:rPr>
          <w:b/>
          <w:bCs/>
          <w:rtl/>
        </w:rPr>
      </w:pPr>
    </w:p>
    <w:p w14:paraId="741134D9" w14:textId="77777777" w:rsidR="00F807AC" w:rsidRDefault="00F807AC" w:rsidP="00F807AC">
      <w:pPr>
        <w:spacing w:line="360" w:lineRule="auto"/>
        <w:ind w:left="720" w:hanging="720"/>
        <w:jc w:val="both"/>
        <w:rPr>
          <w:rtl/>
        </w:rPr>
      </w:pPr>
      <w:r>
        <w:rPr>
          <w:rFonts w:hint="cs"/>
          <w:rtl/>
        </w:rPr>
        <w:t>5.</w:t>
      </w:r>
      <w:r>
        <w:rPr>
          <w:rtl/>
        </w:rPr>
        <w:tab/>
      </w:r>
      <w:r>
        <w:rPr>
          <w:rFonts w:hint="cs"/>
          <w:rtl/>
        </w:rPr>
        <w:t xml:space="preserve">עמדתי בפירוט על עובדות כתב האישום המתוקן, שכן לטעמי, די בקריאת העובדות על-מנת ללמוד על החומרה הרבה הטמונה בביצוע המעשים בהם הורשע הנאשם. עסקינן בשוד מתוכנן, אלים (אף שהאלימות מוצאת ביטוי באיום) שנעשה תוך שימוש באקדח, ותוך הקפדה על רכיבים נוספים, כגון הצטיידות באקדח גנוב, ברכב גנוב, בלוחיות רישוי גנובות, ברכב מילוט, ובפריטים אשר יש בהם כדי להקשות על זיהויים של המבצעים. גם שלל השוד, על אף שנתפס בסופו של יום, מדבר בעד עצמו ומעצים את חומרת האירוע. יש לראות גם באופן נהיגתו של הנאשם ברכב המילוט ובתאונה שנגרמה, כנתונים רלוונטיים, אשר יש אף בהם כדי להעצים את חומרת המעשים. </w:t>
      </w:r>
    </w:p>
    <w:p w14:paraId="53254BF6" w14:textId="77777777" w:rsidR="00F807AC" w:rsidRDefault="00F807AC" w:rsidP="00F807AC">
      <w:pPr>
        <w:spacing w:line="360" w:lineRule="auto"/>
        <w:ind w:left="720" w:hanging="720"/>
        <w:jc w:val="both"/>
        <w:rPr>
          <w:rtl/>
        </w:rPr>
      </w:pPr>
    </w:p>
    <w:p w14:paraId="58E00232" w14:textId="77777777" w:rsidR="00F807AC" w:rsidRDefault="00F807AC" w:rsidP="00F807AC">
      <w:pPr>
        <w:spacing w:line="360" w:lineRule="auto"/>
        <w:ind w:left="720" w:hanging="720"/>
        <w:jc w:val="both"/>
        <w:rPr>
          <w:rtl/>
        </w:rPr>
      </w:pPr>
      <w:r>
        <w:rPr>
          <w:rtl/>
        </w:rPr>
        <w:tab/>
      </w:r>
      <w:r>
        <w:rPr>
          <w:rFonts w:hint="cs"/>
          <w:rtl/>
        </w:rPr>
        <w:t xml:space="preserve">נתוני האירוע מלמדים על פגיעה משמעותית ביותר בערכים המוגנים, שהם שמירה על שלמות הגוף, על רכוש הציבור ועל ביטחונו.  </w:t>
      </w:r>
    </w:p>
    <w:p w14:paraId="24C10C3C" w14:textId="77777777" w:rsidR="00F807AC" w:rsidRDefault="00F807AC" w:rsidP="00F807AC">
      <w:pPr>
        <w:spacing w:line="360" w:lineRule="auto"/>
        <w:ind w:left="720" w:hanging="720"/>
        <w:jc w:val="both"/>
        <w:rPr>
          <w:rtl/>
        </w:rPr>
      </w:pPr>
    </w:p>
    <w:p w14:paraId="1CFF2BFF" w14:textId="77777777" w:rsidR="00F807AC" w:rsidRDefault="00F807AC" w:rsidP="00F807AC">
      <w:pPr>
        <w:spacing w:line="360" w:lineRule="auto"/>
        <w:ind w:left="720" w:hanging="720"/>
        <w:jc w:val="both"/>
        <w:rPr>
          <w:rtl/>
        </w:rPr>
      </w:pPr>
      <w:r>
        <w:rPr>
          <w:rtl/>
        </w:rPr>
        <w:tab/>
      </w:r>
      <w:r>
        <w:rPr>
          <w:rFonts w:hint="cs"/>
          <w:rtl/>
        </w:rPr>
        <w:t>עמד על כך בית המשפט העליון ב</w:t>
      </w:r>
      <w:hyperlink r:id="rId26" w:history="1">
        <w:r w:rsidR="00757C31" w:rsidRPr="00757C31">
          <w:rPr>
            <w:color w:val="0000FF"/>
            <w:u w:val="single"/>
            <w:rtl/>
          </w:rPr>
          <w:t>ע"פ 4012/13</w:t>
        </w:r>
      </w:hyperlink>
      <w:r>
        <w:rPr>
          <w:rFonts w:hint="cs"/>
          <w:rtl/>
        </w:rPr>
        <w:t xml:space="preserve"> </w:t>
      </w:r>
      <w:r>
        <w:rPr>
          <w:rFonts w:hint="cs"/>
          <w:b/>
          <w:bCs/>
          <w:rtl/>
        </w:rPr>
        <w:t xml:space="preserve">אוריזיני נ' מדינת ישראל </w:t>
      </w:r>
      <w:r>
        <w:rPr>
          <w:rFonts w:hint="cs"/>
          <w:rtl/>
        </w:rPr>
        <w:t>(12.2.2014) שם נקבע כי "</w:t>
      </w:r>
      <w:r>
        <w:rPr>
          <w:rFonts w:hint="cs"/>
          <w:b/>
          <w:bCs/>
          <w:rtl/>
        </w:rPr>
        <w:t>עבירת השוד, קל וחומר שוד בנסיבות מחמירות, היא עבירה קשה. ומכוונת לנטילת רכוש בכוח הזרוע לצורך רווח כלכלי, תוך פגיעה ברכוש ובגוף. בגזירת עונשם של עבריינים שהורשעו בעבירה זו נדרש בית המשפט לשדר מסר ברור כי היא גוררת עימה עונש משמעותי שיש בו כדי לשקף את פגיעתה הרעה בחברה</w:t>
      </w:r>
      <w:r>
        <w:rPr>
          <w:rFonts w:hint="cs"/>
          <w:rtl/>
        </w:rPr>
        <w:t xml:space="preserve">". </w:t>
      </w:r>
    </w:p>
    <w:p w14:paraId="04479315" w14:textId="77777777" w:rsidR="00F807AC" w:rsidRDefault="00F807AC" w:rsidP="00F807AC">
      <w:pPr>
        <w:spacing w:line="360" w:lineRule="auto"/>
        <w:ind w:left="720" w:hanging="720"/>
        <w:jc w:val="both"/>
        <w:rPr>
          <w:rtl/>
        </w:rPr>
      </w:pPr>
    </w:p>
    <w:p w14:paraId="48E23E02" w14:textId="77777777" w:rsidR="00F807AC" w:rsidRPr="006840E0" w:rsidRDefault="00F807AC" w:rsidP="00F807AC">
      <w:pPr>
        <w:spacing w:line="360" w:lineRule="auto"/>
        <w:ind w:left="720" w:hanging="720"/>
        <w:jc w:val="both"/>
        <w:rPr>
          <w:rtl/>
        </w:rPr>
      </w:pPr>
      <w:r>
        <w:rPr>
          <w:rtl/>
        </w:rPr>
        <w:tab/>
      </w:r>
      <w:r>
        <w:rPr>
          <w:rFonts w:hint="cs"/>
          <w:rtl/>
        </w:rPr>
        <w:t xml:space="preserve">ראה גם </w:t>
      </w:r>
      <w:hyperlink r:id="rId27" w:history="1">
        <w:r w:rsidR="00757C31" w:rsidRPr="00757C31">
          <w:rPr>
            <w:color w:val="0000FF"/>
            <w:u w:val="single"/>
            <w:rtl/>
          </w:rPr>
          <w:t>ע"פ 4841/13</w:t>
        </w:r>
      </w:hyperlink>
      <w:r>
        <w:rPr>
          <w:rFonts w:hint="cs"/>
          <w:rtl/>
        </w:rPr>
        <w:t xml:space="preserve"> </w:t>
      </w:r>
      <w:r>
        <w:rPr>
          <w:rFonts w:hint="cs"/>
          <w:b/>
          <w:bCs/>
          <w:rtl/>
        </w:rPr>
        <w:t xml:space="preserve">ספי נ' מדינת ישראל </w:t>
      </w:r>
      <w:r>
        <w:rPr>
          <w:rFonts w:hint="cs"/>
          <w:rtl/>
        </w:rPr>
        <w:t xml:space="preserve">(6.2.2014): </w:t>
      </w:r>
    </w:p>
    <w:p w14:paraId="2A71A11A" w14:textId="77777777" w:rsidR="00F807AC" w:rsidRDefault="00F807AC" w:rsidP="00F807AC">
      <w:pPr>
        <w:spacing w:line="360" w:lineRule="auto"/>
        <w:ind w:left="720" w:hanging="720"/>
        <w:jc w:val="both"/>
        <w:rPr>
          <w:rtl/>
        </w:rPr>
      </w:pPr>
    </w:p>
    <w:p w14:paraId="643E3C22" w14:textId="77777777" w:rsidR="00F807AC" w:rsidRPr="006840E0" w:rsidRDefault="00F807AC" w:rsidP="00F807AC">
      <w:pPr>
        <w:spacing w:line="360" w:lineRule="auto"/>
        <w:ind w:left="720"/>
        <w:jc w:val="both"/>
      </w:pPr>
      <w:r>
        <w:rPr>
          <w:rFonts w:hint="cs"/>
          <w:rtl/>
        </w:rPr>
        <w:t>"</w:t>
      </w:r>
      <w:r w:rsidRPr="006840E0">
        <w:rPr>
          <w:b/>
          <w:bCs/>
          <w:rtl/>
        </w:rPr>
        <w:t xml:space="preserve">כבר נכתב פעם אחר פעם כי עבירת השוד צריך שתידון במאסר מאחורי סורג ובריח ועל פי רוב גם לא לתקופה קצרה. זאת, ראשית, בשל הוראת המחוקק </w:t>
      </w:r>
      <w:r w:rsidRPr="00757C31">
        <w:rPr>
          <w:b/>
          <w:bCs/>
          <w:color w:val="000000"/>
          <w:rtl/>
        </w:rPr>
        <w:t>בסעיף 402</w:t>
      </w:r>
      <w:r w:rsidRPr="006840E0">
        <w:rPr>
          <w:b/>
          <w:bCs/>
          <w:rtl/>
        </w:rPr>
        <w:t xml:space="preserve"> ל</w:t>
      </w:r>
      <w:hyperlink r:id="rId28" w:history="1">
        <w:r w:rsidR="00757C31" w:rsidRPr="00757C31">
          <w:rPr>
            <w:b/>
            <w:bCs/>
            <w:color w:val="0000FF"/>
            <w:u w:val="single"/>
            <w:rtl/>
          </w:rPr>
          <w:t>חוק העונשין</w:t>
        </w:r>
      </w:hyperlink>
      <w:r w:rsidRPr="006840E0">
        <w:rPr>
          <w:b/>
          <w:bCs/>
          <w:rtl/>
        </w:rPr>
        <w:t xml:space="preserve"> הקובעת עונש מירבי של 14 שנות מאסר, ובנידון דידן בשוד בנסיבות מחמירות (בחבורה) אף 20 שנות מאסר, כפי שגם הזכיר בית משפט קמא. שנית, עבירה זו חמורה מטבעה, שכן משמיעה היא אלימות או פוטנציאל לאלימות, כי לא אחת יתנגד הקרבן לשוד, ולא אחת ישלוף השודד נשק חם או קר ויכלה זעמו בקרבן, או יפגע בו כדי להשתיקו; כך – עד כדי רצח (ראו </w:t>
      </w:r>
      <w:r w:rsidRPr="00757C31">
        <w:rPr>
          <w:b/>
          <w:bCs/>
          <w:color w:val="000000"/>
          <w:rtl/>
        </w:rPr>
        <w:t>סעיף 300(א)(3)</w:t>
      </w:r>
      <w:r w:rsidRPr="006840E0">
        <w:rPr>
          <w:b/>
          <w:bCs/>
          <w:rtl/>
        </w:rPr>
        <w:t xml:space="preserve"> ל</w:t>
      </w:r>
      <w:hyperlink r:id="rId29" w:history="1">
        <w:r w:rsidR="00757C31" w:rsidRPr="00757C31">
          <w:rPr>
            <w:b/>
            <w:bCs/>
            <w:color w:val="0000FF"/>
            <w:u w:val="single"/>
            <w:rtl/>
          </w:rPr>
          <w:t>חוק העונשין</w:t>
        </w:r>
      </w:hyperlink>
      <w:r w:rsidRPr="006840E0">
        <w:rPr>
          <w:b/>
          <w:bCs/>
          <w:rtl/>
        </w:rPr>
        <w:t>). ניתן דעתנו גם לטראומה הנלוית לעבירה זו אצל הקרבן. המחוקק ביקש, למצער, להרתיע –את הנאשמים שלפנינו, ומכל מקום להרחיקם מן החברה לתקופה מתאימה</w:t>
      </w:r>
      <w:r>
        <w:rPr>
          <w:rFonts w:hint="cs"/>
          <w:rtl/>
        </w:rPr>
        <w:t>".</w:t>
      </w:r>
    </w:p>
    <w:p w14:paraId="4295CE73" w14:textId="77777777" w:rsidR="00F807AC" w:rsidRDefault="00F807AC" w:rsidP="00F807AC">
      <w:pPr>
        <w:spacing w:line="360" w:lineRule="auto"/>
        <w:ind w:left="720" w:hanging="720"/>
        <w:jc w:val="both"/>
        <w:rPr>
          <w:rtl/>
        </w:rPr>
      </w:pPr>
    </w:p>
    <w:p w14:paraId="081DF36A" w14:textId="77777777" w:rsidR="00F807AC" w:rsidRDefault="00F807AC" w:rsidP="00F807AC">
      <w:pPr>
        <w:spacing w:line="360" w:lineRule="auto"/>
        <w:ind w:left="720" w:hanging="720"/>
        <w:jc w:val="both"/>
        <w:rPr>
          <w:rtl/>
        </w:rPr>
      </w:pPr>
      <w:r>
        <w:rPr>
          <w:rtl/>
        </w:rPr>
        <w:tab/>
      </w:r>
      <w:r>
        <w:rPr>
          <w:rFonts w:hint="cs"/>
          <w:rtl/>
        </w:rPr>
        <w:t xml:space="preserve">נקל לשער את האימה שאחזה במתלונן עת חסמו המעורבים את דרכו, תוך שאחד מהם יוצא החוצה, כאשר פניו מכוסות, מכוון אליו אקדח ושודד את סכום הכסף שהחזיק. </w:t>
      </w:r>
    </w:p>
    <w:p w14:paraId="000FD0A0" w14:textId="77777777" w:rsidR="00F807AC" w:rsidRDefault="00F807AC" w:rsidP="00F807AC">
      <w:pPr>
        <w:spacing w:line="360" w:lineRule="auto"/>
        <w:ind w:left="720" w:hanging="720"/>
        <w:jc w:val="both"/>
        <w:rPr>
          <w:rtl/>
        </w:rPr>
      </w:pPr>
    </w:p>
    <w:p w14:paraId="79C3368E" w14:textId="77777777" w:rsidR="00F807AC" w:rsidRDefault="00F807AC" w:rsidP="00F807AC">
      <w:pPr>
        <w:spacing w:line="360" w:lineRule="auto"/>
        <w:ind w:left="720" w:hanging="720"/>
        <w:jc w:val="both"/>
        <w:rPr>
          <w:rtl/>
        </w:rPr>
      </w:pPr>
      <w:r>
        <w:rPr>
          <w:rtl/>
        </w:rPr>
        <w:tab/>
      </w:r>
      <w:r>
        <w:rPr>
          <w:rFonts w:hint="cs"/>
          <w:rtl/>
        </w:rPr>
        <w:t xml:space="preserve">באשר לטענת ההגנה לפיה יש לראות, מבחינה מהותית, את חלקו של הנאשם, כמסייע, אומר כך: לטעמי, מעורב באירוע מהסוג דנן אינו יכול "להסתתר" מאחורי טענה, לפיה תפקידו "הסתכם" בנהיגה ברכב המילוט, שכן עינינו הרואות כי הנאשם הורשע בעבירה של קשירת קשר ובביצוע העבירות הנוספות כמבצע בצוותא. יתרה מכך, גם עובדות כתב האישום המתוקן מלמדות כי ההצטיידות נעשתה במשותף, והפעולות שבוצעו, נעשו לשם קידום הקשר הפלילי </w:t>
      </w:r>
      <w:r w:rsidRPr="00822FD2">
        <w:rPr>
          <w:rFonts w:hint="cs"/>
          <w:u w:val="single"/>
          <w:rtl/>
        </w:rPr>
        <w:t>ועל דעת הנאשם</w:t>
      </w:r>
      <w:r>
        <w:rPr>
          <w:rFonts w:hint="cs"/>
          <w:rtl/>
        </w:rPr>
        <w:t xml:space="preserve"> (ראה סעיפים 3 ו-5 לכתב האישום המתוקן). </w:t>
      </w:r>
    </w:p>
    <w:p w14:paraId="5110DAC6" w14:textId="77777777" w:rsidR="00F807AC" w:rsidRDefault="00F807AC" w:rsidP="00F807AC">
      <w:pPr>
        <w:spacing w:line="360" w:lineRule="auto"/>
        <w:ind w:left="720" w:hanging="720"/>
        <w:jc w:val="both"/>
        <w:rPr>
          <w:rtl/>
        </w:rPr>
      </w:pPr>
    </w:p>
    <w:p w14:paraId="0EA5C8DB" w14:textId="77777777" w:rsidR="00F807AC" w:rsidRDefault="00F807AC" w:rsidP="00F807AC">
      <w:pPr>
        <w:spacing w:line="360" w:lineRule="auto"/>
        <w:ind w:left="720" w:hanging="720"/>
        <w:jc w:val="both"/>
        <w:rPr>
          <w:rtl/>
        </w:rPr>
      </w:pPr>
      <w:r>
        <w:rPr>
          <w:rtl/>
        </w:rPr>
        <w:tab/>
      </w:r>
      <w:r>
        <w:rPr>
          <w:rFonts w:hint="cs"/>
          <w:rtl/>
        </w:rPr>
        <w:t xml:space="preserve">ניתן לומר כי ככל שהייתי נדרש לגזירת דינו של אותו מעורב שאיים על המתלונן באקדח, הייתי נכון לקבוע מתחם עונש הולם גבוה יותר מזה שאקבע בעניינו של הנאשם שבפניי כעת, אך בין סיטואציה מעין זו לבין ראיית חלקו של הנאשם שבפניי כעת כ"מסייע", קיים פער משמעותי ובלתי ניתן לגישור. הנאשם הוא מבצע בצוותא מובהק, ומתחם הענישה ייקבע בהתאם לנתון זה, תוך התחשבות בפעולות שביצע באופן קונקרטי. </w:t>
      </w:r>
    </w:p>
    <w:p w14:paraId="091734C1" w14:textId="77777777" w:rsidR="00F807AC" w:rsidRDefault="00F807AC" w:rsidP="00F807AC">
      <w:pPr>
        <w:spacing w:line="360" w:lineRule="auto"/>
        <w:ind w:left="720" w:hanging="720"/>
        <w:jc w:val="both"/>
        <w:rPr>
          <w:rtl/>
        </w:rPr>
      </w:pPr>
    </w:p>
    <w:p w14:paraId="5A4F969F" w14:textId="77777777" w:rsidR="00F807AC" w:rsidRDefault="00F807AC" w:rsidP="00F807AC">
      <w:pPr>
        <w:spacing w:line="360" w:lineRule="auto"/>
        <w:ind w:left="720" w:hanging="720"/>
        <w:jc w:val="both"/>
        <w:rPr>
          <w:rtl/>
        </w:rPr>
      </w:pPr>
      <w:r>
        <w:rPr>
          <w:rtl/>
        </w:rPr>
        <w:tab/>
      </w:r>
      <w:r>
        <w:rPr>
          <w:rFonts w:hint="cs"/>
          <w:rtl/>
        </w:rPr>
        <w:t xml:space="preserve">מתוך כלל פסקי הדין שהגישו הצדדים, ופסקי דין נוספים, ראיתי כרלוונטיים את פסקי הדין הבאים: </w:t>
      </w:r>
    </w:p>
    <w:p w14:paraId="3A5228AE" w14:textId="77777777" w:rsidR="00F807AC" w:rsidRDefault="00F807AC" w:rsidP="00F807AC">
      <w:pPr>
        <w:spacing w:line="360" w:lineRule="auto"/>
        <w:ind w:left="720" w:hanging="720"/>
        <w:jc w:val="both"/>
        <w:rPr>
          <w:rtl/>
        </w:rPr>
      </w:pPr>
    </w:p>
    <w:p w14:paraId="7CEF69A8" w14:textId="77777777" w:rsidR="00F807AC" w:rsidRDefault="00F807AC" w:rsidP="00F807AC">
      <w:pPr>
        <w:spacing w:line="360" w:lineRule="auto"/>
        <w:ind w:left="720" w:hanging="720"/>
        <w:jc w:val="both"/>
        <w:rPr>
          <w:rtl/>
        </w:rPr>
      </w:pPr>
      <w:r>
        <w:rPr>
          <w:rtl/>
        </w:rPr>
        <w:tab/>
      </w:r>
      <w:hyperlink r:id="rId30" w:history="1">
        <w:r w:rsidR="00757C31" w:rsidRPr="00757C31">
          <w:rPr>
            <w:color w:val="0000FF"/>
            <w:u w:val="single"/>
            <w:rtl/>
          </w:rPr>
          <w:t>ע"פ 1312/16</w:t>
        </w:r>
      </w:hyperlink>
      <w:r>
        <w:rPr>
          <w:rFonts w:hint="cs"/>
          <w:rtl/>
        </w:rPr>
        <w:t xml:space="preserve"> </w:t>
      </w:r>
      <w:r>
        <w:rPr>
          <w:rFonts w:hint="cs"/>
          <w:b/>
          <w:bCs/>
          <w:rtl/>
        </w:rPr>
        <w:t>מדינת ישראל נ' ג'מאל ומחמוד מטר</w:t>
      </w:r>
      <w:r>
        <w:rPr>
          <w:rFonts w:hint="cs"/>
          <w:rtl/>
        </w:rPr>
        <w:t xml:space="preserve"> (6.11.2016) שם נקבע מתחם עונש הולם הנע בין 3 ל- 7 שנות מאסר, בגין שוד בנק שנעשה בחבורה תוך הצטיידות בכלי נשק (כאשר אחד הנאשמים אף ירה ירייה אחת באוויר בעת מנוסתו). שלל השוד באותו מקרה עמד על 19,000 ₪ ושיקים. בית המשפט המחוזי השית על הנאשמים 4 שנות מאסר, אולם בית המשפט העליון קיבל את ערעור המדינה והעמיד את עונשם על 5.5 שנות מאסר. </w:t>
      </w:r>
    </w:p>
    <w:p w14:paraId="07B5590E" w14:textId="77777777" w:rsidR="00F807AC" w:rsidRDefault="00F807AC" w:rsidP="00F807AC">
      <w:pPr>
        <w:spacing w:line="360" w:lineRule="auto"/>
        <w:ind w:left="720" w:hanging="720"/>
        <w:jc w:val="both"/>
        <w:rPr>
          <w:rtl/>
        </w:rPr>
      </w:pPr>
    </w:p>
    <w:p w14:paraId="53262DD9" w14:textId="77777777" w:rsidR="00F807AC" w:rsidRDefault="00F807AC" w:rsidP="00F807AC">
      <w:pPr>
        <w:spacing w:line="360" w:lineRule="auto"/>
        <w:ind w:left="720" w:hanging="720"/>
        <w:jc w:val="both"/>
        <w:rPr>
          <w:rtl/>
        </w:rPr>
      </w:pPr>
      <w:r>
        <w:rPr>
          <w:rtl/>
        </w:rPr>
        <w:tab/>
      </w:r>
      <w:hyperlink r:id="rId31" w:history="1">
        <w:r w:rsidR="00757C31" w:rsidRPr="00757C31">
          <w:rPr>
            <w:color w:val="0000FF"/>
            <w:u w:val="single"/>
            <w:rtl/>
          </w:rPr>
          <w:t>ע"פ 5780/13</w:t>
        </w:r>
      </w:hyperlink>
      <w:r>
        <w:rPr>
          <w:rFonts w:hint="cs"/>
          <w:rtl/>
        </w:rPr>
        <w:t xml:space="preserve"> </w:t>
      </w:r>
      <w:r>
        <w:rPr>
          <w:rFonts w:hint="cs"/>
          <w:b/>
          <w:bCs/>
          <w:rtl/>
        </w:rPr>
        <w:t xml:space="preserve">בן אבו נ' מדינת ישראל </w:t>
      </w:r>
      <w:r>
        <w:rPr>
          <w:rFonts w:hint="cs"/>
          <w:rtl/>
        </w:rPr>
        <w:t xml:space="preserve">(16.7.2014) שם נדון עניינו של נאשם ששדד חנות מכולת, תוך שהצמיד סכין יפנית לצווארו של המוכר. בית המשפט העליון התערב במידת מה במתחם שנקבע על-ידי בית המשפט המחוזי, והעמידו על 30 </w:t>
      </w:r>
      <w:r>
        <w:rPr>
          <w:rtl/>
        </w:rPr>
        <w:t>–</w:t>
      </w:r>
      <w:r>
        <w:rPr>
          <w:rFonts w:hint="cs"/>
          <w:rtl/>
        </w:rPr>
        <w:t xml:space="preserve"> 60 חודשי מאסר. </w:t>
      </w:r>
    </w:p>
    <w:p w14:paraId="7AB9CDC6" w14:textId="77777777" w:rsidR="00F807AC" w:rsidRDefault="00F807AC" w:rsidP="00F807AC">
      <w:pPr>
        <w:spacing w:line="360" w:lineRule="auto"/>
        <w:ind w:left="720" w:hanging="720"/>
        <w:jc w:val="both"/>
        <w:rPr>
          <w:rtl/>
        </w:rPr>
      </w:pPr>
    </w:p>
    <w:p w14:paraId="45180D01" w14:textId="77777777" w:rsidR="00F807AC" w:rsidRDefault="00F807AC" w:rsidP="00F807AC">
      <w:pPr>
        <w:spacing w:line="360" w:lineRule="auto"/>
        <w:ind w:left="720"/>
        <w:jc w:val="both"/>
        <w:rPr>
          <w:rtl/>
        </w:rPr>
      </w:pPr>
      <w:r>
        <w:rPr>
          <w:rFonts w:hint="cs"/>
          <w:rtl/>
        </w:rPr>
        <w:t xml:space="preserve">לשיטתי, המקרה העומד להכרעה בענייננו חמור יותר, הן נוכח העובדה כי מדובר בשוד בצוותא, הן נוכח העובדה כי רמת התכנון גבוהה באופן משמעותי, והן נוכח סכום הכסף שנשדד. </w:t>
      </w:r>
    </w:p>
    <w:p w14:paraId="46B7C4BE" w14:textId="77777777" w:rsidR="00F807AC" w:rsidRDefault="00F807AC" w:rsidP="00F807AC">
      <w:pPr>
        <w:spacing w:line="360" w:lineRule="auto"/>
        <w:ind w:left="720"/>
        <w:jc w:val="both"/>
        <w:rPr>
          <w:rtl/>
        </w:rPr>
      </w:pPr>
    </w:p>
    <w:p w14:paraId="13037DA6" w14:textId="77777777" w:rsidR="00F807AC" w:rsidRPr="00037A18" w:rsidRDefault="00757C31" w:rsidP="00F807AC">
      <w:pPr>
        <w:spacing w:line="360" w:lineRule="auto"/>
        <w:ind w:left="720"/>
        <w:jc w:val="both"/>
        <w:rPr>
          <w:rtl/>
        </w:rPr>
      </w:pPr>
      <w:hyperlink r:id="rId32" w:history="1">
        <w:r w:rsidRPr="00757C31">
          <w:rPr>
            <w:color w:val="0000FF"/>
            <w:u w:val="single"/>
            <w:rtl/>
          </w:rPr>
          <w:t>ע"פ 3079/16</w:t>
        </w:r>
      </w:hyperlink>
      <w:r w:rsidR="00F807AC">
        <w:rPr>
          <w:rFonts w:hint="cs"/>
          <w:rtl/>
        </w:rPr>
        <w:t xml:space="preserve"> </w:t>
      </w:r>
      <w:r w:rsidR="00F807AC">
        <w:rPr>
          <w:rFonts w:hint="cs"/>
          <w:b/>
          <w:bCs/>
          <w:rtl/>
        </w:rPr>
        <w:t xml:space="preserve">פלג ואח' נ' מדינת ישראל </w:t>
      </w:r>
      <w:r w:rsidR="00F807AC">
        <w:rPr>
          <w:rFonts w:hint="cs"/>
          <w:rtl/>
        </w:rPr>
        <w:t xml:space="preserve">(27.12.2016) שם נדון עניינם של שני נאשמים שהורשעו בשתי עבירות של שוד, לאחר ששדדו סניף בנק דואר וחנות נוחות. בית המשפט המחוזי בחיפה גזר על שני הנאשמים 54 ו- 60 חודשי מאסר. בית המשפט העליון הפחית חצי שנה בעונשו של כל אחד מהם. </w:t>
      </w:r>
    </w:p>
    <w:p w14:paraId="07F80DDE" w14:textId="77777777" w:rsidR="00F807AC" w:rsidRDefault="00F807AC" w:rsidP="00F807AC">
      <w:pPr>
        <w:spacing w:line="360" w:lineRule="auto"/>
        <w:ind w:left="720"/>
        <w:jc w:val="both"/>
        <w:rPr>
          <w:rtl/>
        </w:rPr>
      </w:pPr>
    </w:p>
    <w:p w14:paraId="5238B8D7" w14:textId="77777777" w:rsidR="00F807AC" w:rsidRDefault="00757C31" w:rsidP="00F807AC">
      <w:pPr>
        <w:spacing w:line="360" w:lineRule="auto"/>
        <w:ind w:left="720"/>
        <w:jc w:val="both"/>
        <w:rPr>
          <w:rtl/>
        </w:rPr>
      </w:pPr>
      <w:hyperlink r:id="rId33" w:history="1">
        <w:r w:rsidRPr="00757C31">
          <w:rPr>
            <w:color w:val="0000FF"/>
            <w:u w:val="single"/>
            <w:rtl/>
          </w:rPr>
          <w:t>ת.פ. 3670-10-13</w:t>
        </w:r>
      </w:hyperlink>
      <w:r w:rsidR="00F807AC">
        <w:rPr>
          <w:rFonts w:hint="cs"/>
          <w:rtl/>
        </w:rPr>
        <w:t xml:space="preserve"> </w:t>
      </w:r>
      <w:r w:rsidR="00F807AC">
        <w:rPr>
          <w:rFonts w:hint="cs"/>
          <w:b/>
          <w:bCs/>
          <w:rtl/>
        </w:rPr>
        <w:t>מדינת ישראל נ' דנון ואח'</w:t>
      </w:r>
      <w:r w:rsidR="00F807AC">
        <w:rPr>
          <w:rFonts w:hint="cs"/>
          <w:rtl/>
        </w:rPr>
        <w:t xml:space="preserve"> (מחוזי מרכז לוד) שם נקבע מתחם עונש הולם בעניינו של נאשם 1 שהורשע בעבירות של שוד באמצעות אקדח, ככזה הנע בין 30 חודשי מאסר ל-60 חודשי מאסר. בעניינו של שותף נוסף לביצוע המעשה, שלא החזיק באקדח, נקבע מתחם הנע בין 27 חודשי מאסר ל- 54 חודשי מאסר. </w:t>
      </w:r>
    </w:p>
    <w:p w14:paraId="6517FCF9" w14:textId="77777777" w:rsidR="00F807AC" w:rsidRDefault="00F807AC" w:rsidP="00F807AC">
      <w:pPr>
        <w:spacing w:line="360" w:lineRule="auto"/>
        <w:ind w:left="720" w:hanging="720"/>
        <w:jc w:val="both"/>
        <w:rPr>
          <w:rtl/>
        </w:rPr>
      </w:pPr>
    </w:p>
    <w:p w14:paraId="6450D9BC" w14:textId="77777777" w:rsidR="00F807AC" w:rsidRDefault="00757C31" w:rsidP="00F807AC">
      <w:pPr>
        <w:spacing w:line="360" w:lineRule="auto"/>
        <w:ind w:left="720"/>
        <w:jc w:val="both"/>
      </w:pPr>
      <w:hyperlink r:id="rId34" w:history="1">
        <w:r w:rsidRPr="00757C31">
          <w:rPr>
            <w:color w:val="0000FF"/>
            <w:u w:val="single"/>
            <w:rtl/>
          </w:rPr>
          <w:t>ע"פ 1449/15</w:t>
        </w:r>
      </w:hyperlink>
      <w:r w:rsidR="00F807AC">
        <w:rPr>
          <w:rFonts w:hint="cs"/>
          <w:rtl/>
        </w:rPr>
        <w:t xml:space="preserve"> </w:t>
      </w:r>
      <w:r w:rsidR="00F807AC">
        <w:rPr>
          <w:rFonts w:hint="cs"/>
          <w:b/>
          <w:bCs/>
          <w:rtl/>
        </w:rPr>
        <w:t xml:space="preserve">עוזיאל נ' מדינת ישראל </w:t>
      </w:r>
      <w:r w:rsidR="00F807AC">
        <w:rPr>
          <w:rFonts w:hint="cs"/>
          <w:rtl/>
        </w:rPr>
        <w:t xml:space="preserve">(29.11.2016) שם הורשע הנאשם בתשעה מעשי שוד ובניסיון שוד אחד, מעשים שבוצעו באמצעות פתק, בגינם גרף כ- 113,000 ₪. בית המשפט המחוזי הטיל על הנאשם 8.5 שנות מאסר, וערעורו נדחה על-ידי בית המשפט העליון. </w:t>
      </w:r>
    </w:p>
    <w:p w14:paraId="0CBDF61D" w14:textId="77777777" w:rsidR="00F807AC" w:rsidRDefault="00F807AC" w:rsidP="00F807AC">
      <w:pPr>
        <w:spacing w:line="360" w:lineRule="auto"/>
        <w:ind w:left="720" w:hanging="720"/>
        <w:jc w:val="both"/>
        <w:rPr>
          <w:rtl/>
        </w:rPr>
      </w:pPr>
    </w:p>
    <w:p w14:paraId="6E9770D4" w14:textId="77777777" w:rsidR="00F807AC" w:rsidRDefault="00F807AC" w:rsidP="00F807AC">
      <w:pPr>
        <w:spacing w:line="360" w:lineRule="auto"/>
        <w:ind w:left="720" w:hanging="720"/>
        <w:jc w:val="both"/>
        <w:rPr>
          <w:rtl/>
        </w:rPr>
      </w:pPr>
      <w:r>
        <w:rPr>
          <w:rFonts w:hint="cs"/>
          <w:rtl/>
        </w:rPr>
        <w:tab/>
      </w:r>
      <w:hyperlink r:id="rId35" w:history="1">
        <w:r w:rsidR="00757C31" w:rsidRPr="00757C31">
          <w:rPr>
            <w:color w:val="0000FF"/>
            <w:u w:val="single"/>
            <w:rtl/>
          </w:rPr>
          <w:t>ע"פ 4050/14</w:t>
        </w:r>
      </w:hyperlink>
      <w:r>
        <w:rPr>
          <w:rFonts w:hint="cs"/>
          <w:rtl/>
        </w:rPr>
        <w:t xml:space="preserve"> </w:t>
      </w:r>
      <w:r>
        <w:rPr>
          <w:rFonts w:hint="cs"/>
          <w:b/>
          <w:bCs/>
          <w:rtl/>
        </w:rPr>
        <w:t xml:space="preserve">גרשר נ' מדינת ישראל </w:t>
      </w:r>
      <w:r>
        <w:rPr>
          <w:rFonts w:hint="cs"/>
          <w:rtl/>
        </w:rPr>
        <w:t xml:space="preserve">(17.6.2015) שם הורשע הנאשם בשישה מעשי שוד של סניפי בנקים תוך שימוש באקדח. בית המשפט המחוזי הטיל על הנאשם 10 שנות מאסר וערעורו נדחה על-ידי בית המשפט העליון, אשר התייחס גם לעברו הפלילי המכביד [ראה גם באותה פרשה </w:t>
      </w:r>
      <w:hyperlink r:id="rId36" w:history="1">
        <w:r w:rsidR="00757C31" w:rsidRPr="00757C31">
          <w:rPr>
            <w:color w:val="0000FF"/>
            <w:u w:val="single"/>
            <w:rtl/>
          </w:rPr>
          <w:t>ע"פ 945/15</w:t>
        </w:r>
      </w:hyperlink>
      <w:r>
        <w:rPr>
          <w:rFonts w:hint="cs"/>
          <w:rtl/>
        </w:rPr>
        <w:t xml:space="preserve"> </w:t>
      </w:r>
      <w:r>
        <w:rPr>
          <w:rFonts w:hint="cs"/>
          <w:b/>
          <w:bCs/>
          <w:rtl/>
        </w:rPr>
        <w:t xml:space="preserve">אורזלין נ' מדינת ישראל </w:t>
      </w:r>
      <w:r>
        <w:rPr>
          <w:rFonts w:hint="cs"/>
          <w:rtl/>
        </w:rPr>
        <w:t>(24.9.2015), שם הוטל על נאשם אחר עונש של 10 שנות מאסר לצד הפעלת עונש מותנה בן 12 חודשים, חציו בחופף וחציו במצטבר].</w:t>
      </w:r>
    </w:p>
    <w:p w14:paraId="42D05AFE" w14:textId="77777777" w:rsidR="00F807AC" w:rsidRDefault="00F807AC" w:rsidP="00F807AC">
      <w:pPr>
        <w:spacing w:line="360" w:lineRule="auto"/>
        <w:ind w:left="720" w:hanging="720"/>
        <w:jc w:val="both"/>
        <w:rPr>
          <w:rtl/>
        </w:rPr>
      </w:pPr>
    </w:p>
    <w:p w14:paraId="4E3FA45B" w14:textId="77777777" w:rsidR="00F807AC" w:rsidRDefault="00F807AC" w:rsidP="00F807AC">
      <w:pPr>
        <w:spacing w:line="360" w:lineRule="auto"/>
        <w:ind w:left="720" w:hanging="720"/>
        <w:jc w:val="both"/>
        <w:rPr>
          <w:rtl/>
        </w:rPr>
      </w:pPr>
      <w:r>
        <w:rPr>
          <w:rFonts w:hint="cs"/>
          <w:rtl/>
        </w:rPr>
        <w:tab/>
      </w:r>
      <w:hyperlink r:id="rId37" w:history="1">
        <w:r w:rsidR="00757C31" w:rsidRPr="00757C31">
          <w:rPr>
            <w:color w:val="0000FF"/>
            <w:u w:val="single"/>
            <w:rtl/>
          </w:rPr>
          <w:t>ע"פ 7751/08</w:t>
        </w:r>
      </w:hyperlink>
      <w:r>
        <w:rPr>
          <w:rFonts w:hint="cs"/>
          <w:rtl/>
        </w:rPr>
        <w:t xml:space="preserve"> </w:t>
      </w:r>
      <w:r>
        <w:rPr>
          <w:rFonts w:hint="cs"/>
          <w:b/>
          <w:bCs/>
          <w:rtl/>
        </w:rPr>
        <w:t xml:space="preserve">צסקי נ' מדינת ישראל </w:t>
      </w:r>
      <w:r>
        <w:rPr>
          <w:rFonts w:hint="cs"/>
          <w:rtl/>
        </w:rPr>
        <w:t xml:space="preserve">(1.10.2009) שם נדחה ערעור על חומרת עונש בן 7 שנות מאסר שהושת בגין שמונה עבירות של שוד בנסיבות מחמירות (תוך שימוש בסכין) ובגין עבירה של ניסיון שוד. </w:t>
      </w:r>
    </w:p>
    <w:p w14:paraId="7A9107FA" w14:textId="77777777" w:rsidR="00F807AC" w:rsidRDefault="00F807AC" w:rsidP="00F807AC">
      <w:pPr>
        <w:spacing w:line="360" w:lineRule="auto"/>
        <w:ind w:left="720" w:hanging="720"/>
        <w:jc w:val="both"/>
        <w:rPr>
          <w:rtl/>
        </w:rPr>
      </w:pPr>
      <w:r>
        <w:rPr>
          <w:rFonts w:hint="cs"/>
          <w:rtl/>
        </w:rPr>
        <w:tab/>
      </w:r>
    </w:p>
    <w:p w14:paraId="28EC089E" w14:textId="77777777" w:rsidR="00F807AC" w:rsidRDefault="00F807AC" w:rsidP="00F807AC">
      <w:pPr>
        <w:spacing w:line="360" w:lineRule="auto"/>
        <w:ind w:left="720" w:hanging="720"/>
        <w:jc w:val="both"/>
        <w:rPr>
          <w:rtl/>
        </w:rPr>
      </w:pPr>
      <w:r>
        <w:rPr>
          <w:rFonts w:hint="cs"/>
          <w:rtl/>
        </w:rPr>
        <w:tab/>
      </w:r>
      <w:hyperlink r:id="rId38" w:history="1">
        <w:r w:rsidR="00757C31" w:rsidRPr="00757C31">
          <w:rPr>
            <w:color w:val="0000FF"/>
            <w:u w:val="single"/>
            <w:rtl/>
          </w:rPr>
          <w:t>ע"פ 8693/13</w:t>
        </w:r>
      </w:hyperlink>
      <w:r>
        <w:rPr>
          <w:rFonts w:hint="cs"/>
          <w:rtl/>
        </w:rPr>
        <w:t xml:space="preserve"> </w:t>
      </w:r>
      <w:r>
        <w:rPr>
          <w:rFonts w:hint="cs"/>
          <w:b/>
          <w:bCs/>
          <w:rtl/>
        </w:rPr>
        <w:t xml:space="preserve">מזרחי נ' מדינת ישראל </w:t>
      </w:r>
      <w:r>
        <w:rPr>
          <w:rFonts w:hint="cs"/>
          <w:rtl/>
        </w:rPr>
        <w:t>(3.2.2015) שם נדחה ערעור על חומרת עונש בן 7 שנות מאסר (לצד הפעלת תנאי בן 18 חודשים באופן שמחציתו תרוצה בחופף ומחציתו במצטבר), וזאת בגין חמישה מעשי שוד, כאשר לנאשם עבר פלילי מכביד.</w:t>
      </w:r>
    </w:p>
    <w:p w14:paraId="0213668D" w14:textId="77777777" w:rsidR="00F807AC" w:rsidRDefault="00F807AC" w:rsidP="00F807AC">
      <w:pPr>
        <w:spacing w:line="360" w:lineRule="auto"/>
        <w:ind w:left="720" w:hanging="720"/>
        <w:jc w:val="both"/>
        <w:rPr>
          <w:rtl/>
        </w:rPr>
      </w:pPr>
      <w:r>
        <w:rPr>
          <w:rtl/>
        </w:rPr>
        <w:tab/>
      </w:r>
    </w:p>
    <w:p w14:paraId="3D51D7D6" w14:textId="77777777" w:rsidR="00F807AC" w:rsidRDefault="00F807AC" w:rsidP="00F807AC">
      <w:pPr>
        <w:spacing w:line="360" w:lineRule="auto"/>
        <w:ind w:left="720" w:hanging="720"/>
        <w:jc w:val="both"/>
        <w:rPr>
          <w:rtl/>
        </w:rPr>
      </w:pPr>
      <w:r>
        <w:rPr>
          <w:rtl/>
        </w:rPr>
        <w:tab/>
      </w:r>
      <w:r>
        <w:rPr>
          <w:rFonts w:hint="cs"/>
          <w:rtl/>
        </w:rPr>
        <w:t xml:space="preserve">לאור האמור לעיל, ראיתי לקבוע כי מתחם העונש ההולם בענייננו נע בין 32 חודשי מאסר ל- 60 חודשי מאסר.  </w:t>
      </w:r>
    </w:p>
    <w:p w14:paraId="07D1F175" w14:textId="77777777" w:rsidR="00F807AC" w:rsidRDefault="00F807AC" w:rsidP="00F807AC">
      <w:pPr>
        <w:spacing w:line="360" w:lineRule="auto"/>
        <w:ind w:left="720" w:hanging="720"/>
        <w:jc w:val="both"/>
        <w:rPr>
          <w:rtl/>
        </w:rPr>
      </w:pPr>
    </w:p>
    <w:p w14:paraId="1C28CF47" w14:textId="77777777" w:rsidR="00F807AC" w:rsidRDefault="00F807AC" w:rsidP="00F807AC">
      <w:pPr>
        <w:spacing w:line="360" w:lineRule="auto"/>
        <w:ind w:left="720" w:hanging="720"/>
        <w:jc w:val="both"/>
        <w:rPr>
          <w:rtl/>
        </w:rPr>
      </w:pPr>
      <w:r>
        <w:rPr>
          <w:rtl/>
        </w:rPr>
        <w:tab/>
      </w:r>
      <w:r>
        <w:rPr>
          <w:rFonts w:hint="cs"/>
          <w:u w:val="single"/>
          <w:rtl/>
        </w:rPr>
        <w:t>קביעת העונש המתאים</w:t>
      </w:r>
    </w:p>
    <w:p w14:paraId="64A48BFD" w14:textId="77777777" w:rsidR="00F807AC" w:rsidRDefault="00F807AC" w:rsidP="00F807AC">
      <w:pPr>
        <w:spacing w:line="360" w:lineRule="auto"/>
        <w:ind w:left="720" w:hanging="720"/>
        <w:jc w:val="both"/>
        <w:rPr>
          <w:rtl/>
        </w:rPr>
      </w:pPr>
    </w:p>
    <w:p w14:paraId="179B67C4" w14:textId="77777777" w:rsidR="00F807AC" w:rsidRDefault="00F807AC" w:rsidP="00F807AC">
      <w:pPr>
        <w:spacing w:line="360" w:lineRule="auto"/>
        <w:ind w:left="720" w:hanging="720"/>
        <w:jc w:val="both"/>
        <w:rPr>
          <w:rtl/>
        </w:rPr>
      </w:pPr>
      <w:r>
        <w:rPr>
          <w:rFonts w:hint="cs"/>
          <w:rtl/>
        </w:rPr>
        <w:t>6.</w:t>
      </w:r>
      <w:r>
        <w:rPr>
          <w:rFonts w:hint="cs"/>
          <w:rtl/>
        </w:rPr>
        <w:tab/>
        <w:t>בבואי לבחון את העונש המתאים לנאשם, נתתי משקל לנתונים הבאים:</w:t>
      </w:r>
    </w:p>
    <w:p w14:paraId="3FE89189" w14:textId="77777777" w:rsidR="00F807AC" w:rsidRDefault="00F807AC" w:rsidP="00F807AC">
      <w:pPr>
        <w:spacing w:line="360" w:lineRule="auto"/>
        <w:ind w:left="720" w:hanging="720"/>
        <w:jc w:val="both"/>
        <w:rPr>
          <w:rtl/>
        </w:rPr>
      </w:pPr>
    </w:p>
    <w:p w14:paraId="58240B9C" w14:textId="77777777" w:rsidR="00F807AC" w:rsidRDefault="00F807AC" w:rsidP="00F807AC">
      <w:pPr>
        <w:spacing w:line="360" w:lineRule="auto"/>
        <w:ind w:left="720" w:hanging="720"/>
        <w:jc w:val="both"/>
        <w:rPr>
          <w:rtl/>
        </w:rPr>
      </w:pPr>
      <w:r w:rsidRPr="00361CD9">
        <w:rPr>
          <w:b/>
          <w:bCs/>
          <w:rtl/>
        </w:rPr>
        <w:tab/>
      </w:r>
      <w:r w:rsidRPr="00361CD9">
        <w:rPr>
          <w:rFonts w:hint="cs"/>
          <w:b/>
          <w:bCs/>
          <w:rtl/>
        </w:rPr>
        <w:t xml:space="preserve">הודאת הנאשם </w:t>
      </w:r>
      <w:r>
        <w:rPr>
          <w:rtl/>
        </w:rPr>
        <w:t>–</w:t>
      </w:r>
      <w:r>
        <w:rPr>
          <w:rFonts w:hint="cs"/>
          <w:rtl/>
        </w:rPr>
        <w:t xml:space="preserve"> שעה שעסקינן בנאשם אשר בחר לקבל אחריות מלאה על מעשיו, יש להעניק לו הקלה מסוימת בענישה, וזאת נוכח מוטיב הפנמת הפסול הטמון בהודעה ואף נוכח החיסכון בזמן ציבורי. </w:t>
      </w:r>
    </w:p>
    <w:p w14:paraId="79DE4D83" w14:textId="77777777" w:rsidR="00F807AC" w:rsidRDefault="00F807AC" w:rsidP="00F807AC">
      <w:pPr>
        <w:spacing w:line="360" w:lineRule="auto"/>
        <w:ind w:left="720" w:hanging="720"/>
        <w:jc w:val="both"/>
        <w:rPr>
          <w:rtl/>
        </w:rPr>
      </w:pPr>
    </w:p>
    <w:p w14:paraId="6050A5BB" w14:textId="77777777" w:rsidR="00F807AC" w:rsidRDefault="00F807AC" w:rsidP="00F807AC">
      <w:pPr>
        <w:spacing w:line="360" w:lineRule="auto"/>
        <w:ind w:left="720" w:hanging="720"/>
        <w:jc w:val="both"/>
        <w:rPr>
          <w:rtl/>
        </w:rPr>
      </w:pPr>
      <w:r w:rsidRPr="00361CD9">
        <w:rPr>
          <w:b/>
          <w:bCs/>
          <w:rtl/>
        </w:rPr>
        <w:tab/>
      </w:r>
      <w:r w:rsidRPr="00361CD9">
        <w:rPr>
          <w:rFonts w:hint="cs"/>
          <w:b/>
          <w:bCs/>
          <w:rtl/>
        </w:rPr>
        <w:t>עבר פלילי</w:t>
      </w:r>
      <w:r>
        <w:rPr>
          <w:rFonts w:hint="cs"/>
          <w:rtl/>
        </w:rPr>
        <w:t xml:space="preserve"> </w:t>
      </w:r>
      <w:r>
        <w:rPr>
          <w:rtl/>
        </w:rPr>
        <w:t>–</w:t>
      </w:r>
      <w:r>
        <w:rPr>
          <w:rFonts w:hint="cs"/>
          <w:rtl/>
        </w:rPr>
        <w:t xml:space="preserve"> בחינת עברו הפלילי של הנאשם מלמדת כי מדובר במי שהורשע בעבר בעבירות אלימות, רכוש, סמים, ואף ריצה תקופות מאסר לא מבוטלות (30 חודשים; 12 חודשים ו- 10 חודשים). יתרה מכך, הנאשם ביצע את שביצע כאשר לחובתו מאסר מותנה בן 6 חודשים שהוטל עליו ב</w:t>
      </w:r>
      <w:hyperlink r:id="rId39" w:history="1">
        <w:r w:rsidR="00757C31" w:rsidRPr="00757C31">
          <w:rPr>
            <w:color w:val="0000FF"/>
            <w:u w:val="single"/>
            <w:rtl/>
          </w:rPr>
          <w:t>ת.פ. 62679-01-15</w:t>
        </w:r>
      </w:hyperlink>
      <w:r>
        <w:rPr>
          <w:rFonts w:hint="cs"/>
          <w:rtl/>
        </w:rPr>
        <w:t>. לציין כי במסגרת אותו גזר דין ריצה הנאשם עונש מאסר של 6 חודשי מאסר בדרך של עבודות שרות. מדובר בעבר פלילי אשר אינו מאפשר גזירת דין בהתאם לרף התחתון של מתחם הענישה.</w:t>
      </w:r>
    </w:p>
    <w:p w14:paraId="10F2DC9D" w14:textId="77777777" w:rsidR="00F807AC" w:rsidRDefault="00F807AC" w:rsidP="00F807AC">
      <w:pPr>
        <w:spacing w:line="360" w:lineRule="auto"/>
        <w:ind w:left="720" w:hanging="720"/>
        <w:jc w:val="both"/>
        <w:rPr>
          <w:rtl/>
        </w:rPr>
      </w:pPr>
    </w:p>
    <w:p w14:paraId="5006392B" w14:textId="77777777" w:rsidR="00F807AC" w:rsidRDefault="00F807AC" w:rsidP="00F807AC">
      <w:pPr>
        <w:spacing w:line="360" w:lineRule="auto"/>
        <w:ind w:left="720" w:hanging="720"/>
        <w:jc w:val="both"/>
        <w:rPr>
          <w:rtl/>
        </w:rPr>
      </w:pPr>
      <w:r>
        <w:rPr>
          <w:rtl/>
        </w:rPr>
        <w:tab/>
      </w:r>
      <w:r>
        <w:rPr>
          <w:rFonts w:hint="cs"/>
          <w:b/>
          <w:bCs/>
          <w:rtl/>
        </w:rPr>
        <w:t>נתונים אישיים</w:t>
      </w:r>
      <w:r>
        <w:rPr>
          <w:rFonts w:hint="cs"/>
          <w:rtl/>
        </w:rPr>
        <w:t xml:space="preserve"> </w:t>
      </w:r>
      <w:r>
        <w:rPr>
          <w:rtl/>
        </w:rPr>
        <w:t>–</w:t>
      </w:r>
      <w:r>
        <w:rPr>
          <w:rFonts w:hint="cs"/>
          <w:rtl/>
        </w:rPr>
        <w:t xml:space="preserve"> נתתי דעתי לנתוניו האישיים של הנאשם, ובין היתר, לגילו הצעיר יחסית (יליד 1988). לא ראיתי כי יש בנתונים אלה כדי להצדיק הקלה בעונש. </w:t>
      </w:r>
    </w:p>
    <w:p w14:paraId="19CC0110" w14:textId="77777777" w:rsidR="00F807AC" w:rsidRDefault="00F807AC" w:rsidP="00F807AC">
      <w:pPr>
        <w:spacing w:line="360" w:lineRule="auto"/>
        <w:ind w:left="720" w:hanging="720"/>
        <w:jc w:val="both"/>
        <w:rPr>
          <w:rtl/>
        </w:rPr>
      </w:pPr>
    </w:p>
    <w:p w14:paraId="42517F81" w14:textId="77777777" w:rsidR="00F807AC" w:rsidRPr="00FD1D95" w:rsidRDefault="00F807AC" w:rsidP="00F807AC">
      <w:pPr>
        <w:spacing w:line="360" w:lineRule="auto"/>
        <w:ind w:left="720" w:hanging="720"/>
        <w:jc w:val="both"/>
        <w:rPr>
          <w:rtl/>
        </w:rPr>
      </w:pPr>
      <w:r>
        <w:rPr>
          <w:rtl/>
        </w:rPr>
        <w:tab/>
      </w:r>
      <w:r>
        <w:rPr>
          <w:rFonts w:hint="cs"/>
          <w:rtl/>
        </w:rPr>
        <w:t xml:space="preserve">בהתייחס לטענה כי הנאשם הוא היחיד העומד לדין ועל כן הוא זכאי להקלה מסוימת בעונש, אציין כי הנאשם סירב לשתף פעולה בחקירתו, ולא מסר את שמות שותפיו. בנסיבות אלה, אינני סבור כי יכול הוא  להיבנות מטענה מהסוג דנן. </w:t>
      </w:r>
    </w:p>
    <w:p w14:paraId="4B9556A6" w14:textId="77777777" w:rsidR="00F807AC" w:rsidRDefault="00F807AC" w:rsidP="00F807AC">
      <w:pPr>
        <w:spacing w:line="360" w:lineRule="auto"/>
        <w:ind w:left="720" w:hanging="720"/>
        <w:jc w:val="both"/>
        <w:rPr>
          <w:rtl/>
        </w:rPr>
      </w:pPr>
    </w:p>
    <w:p w14:paraId="3B29EF87" w14:textId="77777777" w:rsidR="00F807AC" w:rsidRDefault="00F807AC" w:rsidP="00F807AC">
      <w:pPr>
        <w:spacing w:line="360" w:lineRule="auto"/>
        <w:ind w:left="720" w:hanging="720"/>
        <w:jc w:val="both"/>
        <w:rPr>
          <w:rtl/>
        </w:rPr>
      </w:pPr>
      <w:r>
        <w:rPr>
          <w:rtl/>
        </w:rPr>
        <w:tab/>
      </w:r>
      <w:r>
        <w:rPr>
          <w:rFonts w:hint="cs"/>
          <w:u w:val="single"/>
          <w:rtl/>
        </w:rPr>
        <w:t>סיכום</w:t>
      </w:r>
    </w:p>
    <w:p w14:paraId="52D6E3FC" w14:textId="77777777" w:rsidR="00F807AC" w:rsidRDefault="00F807AC" w:rsidP="00F807AC">
      <w:pPr>
        <w:spacing w:line="360" w:lineRule="auto"/>
        <w:ind w:left="720" w:hanging="720"/>
        <w:jc w:val="both"/>
        <w:rPr>
          <w:rtl/>
        </w:rPr>
      </w:pPr>
    </w:p>
    <w:p w14:paraId="18F52180" w14:textId="77777777" w:rsidR="00F807AC" w:rsidRDefault="00F807AC" w:rsidP="00F807AC">
      <w:pPr>
        <w:spacing w:line="360" w:lineRule="auto"/>
        <w:jc w:val="both"/>
        <w:rPr>
          <w:rtl/>
        </w:rPr>
      </w:pPr>
      <w:r>
        <w:rPr>
          <w:rFonts w:hint="cs"/>
          <w:rtl/>
        </w:rPr>
        <w:t>7.</w:t>
      </w:r>
      <w:r>
        <w:rPr>
          <w:rFonts w:hint="cs"/>
          <w:rtl/>
        </w:rPr>
        <w:tab/>
        <w:t>לאור האמור לעיל, החלטתי לגזור על הנאשם את העונשים הבאים:</w:t>
      </w:r>
    </w:p>
    <w:p w14:paraId="0F12F502" w14:textId="77777777" w:rsidR="00F807AC" w:rsidRDefault="00F807AC" w:rsidP="00F807AC">
      <w:pPr>
        <w:spacing w:line="360" w:lineRule="auto"/>
        <w:jc w:val="both"/>
        <w:rPr>
          <w:rtl/>
        </w:rPr>
      </w:pPr>
    </w:p>
    <w:p w14:paraId="654E0878" w14:textId="77777777" w:rsidR="00F807AC" w:rsidRDefault="00F807AC" w:rsidP="00F807AC">
      <w:pPr>
        <w:spacing w:line="360" w:lineRule="auto"/>
        <w:jc w:val="both"/>
        <w:rPr>
          <w:rFonts w:ascii="Arial" w:hAnsi="Arial"/>
          <w:rtl/>
        </w:rPr>
      </w:pPr>
      <w:r>
        <w:rPr>
          <w:rFonts w:ascii="Arial" w:hAnsi="Arial" w:hint="cs"/>
          <w:rtl/>
        </w:rPr>
        <w:t>א.</w:t>
      </w:r>
      <w:r>
        <w:rPr>
          <w:rFonts w:ascii="Arial" w:hAnsi="Arial" w:hint="cs"/>
          <w:rtl/>
        </w:rPr>
        <w:tab/>
        <w:t xml:space="preserve"> 40 חודשי מאסר לריצוי בפועל.</w:t>
      </w:r>
    </w:p>
    <w:p w14:paraId="7DA7CD04" w14:textId="77777777" w:rsidR="00F807AC" w:rsidRDefault="00F807AC" w:rsidP="00F807AC">
      <w:pPr>
        <w:spacing w:line="360" w:lineRule="auto"/>
        <w:jc w:val="both"/>
        <w:rPr>
          <w:rFonts w:ascii="Arial" w:hAnsi="Arial"/>
          <w:rtl/>
        </w:rPr>
      </w:pPr>
    </w:p>
    <w:p w14:paraId="29710219" w14:textId="77777777" w:rsidR="00F807AC" w:rsidRPr="00BD0522" w:rsidRDefault="00F807AC" w:rsidP="00F807AC">
      <w:pPr>
        <w:spacing w:line="360" w:lineRule="auto"/>
        <w:ind w:left="720" w:hanging="720"/>
        <w:jc w:val="both"/>
        <w:rPr>
          <w:rFonts w:ascii="Arial" w:hAnsi="Arial"/>
          <w:b/>
          <w:bCs/>
        </w:rPr>
      </w:pPr>
      <w:r>
        <w:rPr>
          <w:rFonts w:ascii="Arial" w:hAnsi="Arial" w:hint="cs"/>
          <w:rtl/>
        </w:rPr>
        <w:t>ב.</w:t>
      </w:r>
      <w:r>
        <w:rPr>
          <w:rFonts w:ascii="Arial" w:hAnsi="Arial"/>
          <w:rtl/>
        </w:rPr>
        <w:tab/>
      </w:r>
      <w:r>
        <w:rPr>
          <w:rFonts w:ascii="Arial" w:hAnsi="Arial" w:hint="cs"/>
          <w:rtl/>
        </w:rPr>
        <w:t>אני מפעיל את המאסר המותנה בן 6 חודשים שהוטל על הנאשם ב</w:t>
      </w:r>
      <w:hyperlink r:id="rId40" w:history="1">
        <w:r w:rsidR="00757C31" w:rsidRPr="00757C31">
          <w:rPr>
            <w:rFonts w:ascii="Arial" w:hAnsi="Arial"/>
            <w:color w:val="0000FF"/>
            <w:u w:val="single"/>
            <w:rtl/>
          </w:rPr>
          <w:t>ת.פ. 62679-01-15</w:t>
        </w:r>
      </w:hyperlink>
      <w:r>
        <w:rPr>
          <w:rFonts w:ascii="Arial" w:hAnsi="Arial" w:hint="cs"/>
          <w:rtl/>
        </w:rPr>
        <w:t xml:space="preserve"> באופן שארבעה חודשים ירוצו במצטבר לעונש שנגזר בסעיף "א" וחודשיים בחופף, </w:t>
      </w:r>
      <w:r w:rsidRPr="00231B0E">
        <w:rPr>
          <w:rFonts w:ascii="Arial" w:hAnsi="Arial" w:hint="cs"/>
          <w:b/>
          <w:bCs/>
          <w:rtl/>
        </w:rPr>
        <w:t>כך</w:t>
      </w:r>
      <w:r>
        <w:rPr>
          <w:rFonts w:ascii="Arial" w:hAnsi="Arial" w:hint="cs"/>
          <w:rtl/>
        </w:rPr>
        <w:t xml:space="preserve"> </w:t>
      </w:r>
      <w:r w:rsidRPr="00BD0522">
        <w:rPr>
          <w:rFonts w:ascii="Arial" w:hAnsi="Arial" w:hint="cs"/>
          <w:b/>
          <w:bCs/>
          <w:rtl/>
        </w:rPr>
        <w:t xml:space="preserve">שסך הכל יירצה הנאשם </w:t>
      </w:r>
      <w:r>
        <w:rPr>
          <w:rFonts w:ascii="Arial" w:hAnsi="Arial" w:hint="cs"/>
          <w:b/>
          <w:bCs/>
          <w:rtl/>
        </w:rPr>
        <w:t>44</w:t>
      </w:r>
      <w:r w:rsidRPr="00BD0522">
        <w:rPr>
          <w:rFonts w:ascii="Arial" w:hAnsi="Arial" w:hint="cs"/>
          <w:b/>
          <w:bCs/>
          <w:rtl/>
        </w:rPr>
        <w:t xml:space="preserve"> חודשי </w:t>
      </w:r>
      <w:r>
        <w:rPr>
          <w:rFonts w:ascii="Arial" w:hAnsi="Arial" w:hint="cs"/>
          <w:b/>
          <w:bCs/>
          <w:rtl/>
        </w:rPr>
        <w:t xml:space="preserve">מאסר החל מיום מעצרו </w:t>
      </w:r>
      <w:r>
        <w:rPr>
          <w:rFonts w:ascii="Arial" w:hAnsi="Arial"/>
          <w:b/>
          <w:bCs/>
          <w:rtl/>
        </w:rPr>
        <w:t>–</w:t>
      </w:r>
      <w:r>
        <w:rPr>
          <w:rFonts w:ascii="Arial" w:hAnsi="Arial" w:hint="cs"/>
          <w:b/>
          <w:bCs/>
          <w:rtl/>
        </w:rPr>
        <w:t xml:space="preserve"> 15.11.17.</w:t>
      </w:r>
    </w:p>
    <w:p w14:paraId="6F6A456E" w14:textId="77777777" w:rsidR="00F807AC" w:rsidRDefault="00F807AC" w:rsidP="00F807AC">
      <w:pPr>
        <w:spacing w:line="360" w:lineRule="auto"/>
        <w:jc w:val="both"/>
        <w:rPr>
          <w:rFonts w:ascii="Arial" w:hAnsi="Arial"/>
          <w:rtl/>
        </w:rPr>
      </w:pPr>
    </w:p>
    <w:p w14:paraId="5AF690AF" w14:textId="77777777" w:rsidR="00F807AC" w:rsidRDefault="00F807AC" w:rsidP="00F807AC">
      <w:pPr>
        <w:spacing w:line="360" w:lineRule="auto"/>
        <w:ind w:left="720" w:hanging="720"/>
        <w:jc w:val="both"/>
        <w:rPr>
          <w:rFonts w:ascii="Arial" w:hAnsi="Arial"/>
        </w:rPr>
      </w:pPr>
      <w:r>
        <w:rPr>
          <w:rFonts w:ascii="Arial" w:hAnsi="Arial" w:hint="cs"/>
          <w:rtl/>
        </w:rPr>
        <w:t>ג.</w:t>
      </w:r>
      <w:r>
        <w:rPr>
          <w:rFonts w:ascii="Arial" w:hAnsi="Arial" w:hint="cs"/>
          <w:rtl/>
        </w:rPr>
        <w:tab/>
        <w:t xml:space="preserve">6 חודשי מאסר, אולם הנאשם לא יישא עונש זה אלא אם יעבור תוך שלוש שנים מיום שחרורו על כל אחת מהעבירות בהן הורשע. </w:t>
      </w:r>
    </w:p>
    <w:p w14:paraId="40197000" w14:textId="77777777" w:rsidR="00F807AC" w:rsidRDefault="00F807AC" w:rsidP="00F807AC">
      <w:pPr>
        <w:spacing w:line="360" w:lineRule="auto"/>
        <w:jc w:val="both"/>
        <w:rPr>
          <w:rFonts w:ascii="Arial" w:hAnsi="Arial"/>
          <w:rtl/>
        </w:rPr>
      </w:pPr>
    </w:p>
    <w:p w14:paraId="2AEA9574" w14:textId="77777777" w:rsidR="00F807AC" w:rsidRDefault="00F807AC" w:rsidP="00F807AC">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קנס בסך 5,000 ₪ או 50 ימי מאסר תמורתו. </w:t>
      </w:r>
    </w:p>
    <w:p w14:paraId="04745ABC" w14:textId="77777777" w:rsidR="00F807AC" w:rsidRDefault="00F807AC" w:rsidP="00F807AC">
      <w:pPr>
        <w:spacing w:line="360" w:lineRule="auto"/>
        <w:ind w:left="720" w:hanging="720"/>
        <w:jc w:val="both"/>
        <w:rPr>
          <w:rFonts w:ascii="Arial" w:hAnsi="Arial"/>
          <w:rtl/>
        </w:rPr>
      </w:pPr>
    </w:p>
    <w:p w14:paraId="7EC99EBB" w14:textId="77777777" w:rsidR="00F807AC" w:rsidRDefault="00F807AC" w:rsidP="00F807AC">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17DB743B" w14:textId="77777777" w:rsidR="00F807AC" w:rsidRDefault="00F807AC" w:rsidP="00F807AC">
      <w:pPr>
        <w:spacing w:line="360" w:lineRule="auto"/>
        <w:ind w:left="720" w:hanging="720"/>
        <w:jc w:val="both"/>
        <w:rPr>
          <w:rFonts w:ascii="Arial" w:hAnsi="Arial"/>
          <w:rtl/>
        </w:rPr>
      </w:pPr>
    </w:p>
    <w:p w14:paraId="5906BE7E" w14:textId="77777777" w:rsidR="00F807AC" w:rsidRDefault="00F807AC" w:rsidP="00F807AC">
      <w:pPr>
        <w:spacing w:line="360" w:lineRule="auto"/>
        <w:ind w:left="720" w:hanging="720"/>
        <w:jc w:val="both"/>
        <w:rPr>
          <w:rFonts w:ascii="Arial" w:hAnsi="Arial"/>
          <w:rtl/>
        </w:rPr>
      </w:pPr>
      <w:r>
        <w:rPr>
          <w:rFonts w:ascii="Arial" w:hAnsi="Arial" w:hint="cs"/>
          <w:rtl/>
        </w:rPr>
        <w:t xml:space="preserve">זכות ערעור כחוק. </w:t>
      </w:r>
    </w:p>
    <w:p w14:paraId="72C6D76A" w14:textId="77777777" w:rsidR="00F807AC" w:rsidRPr="00B05847" w:rsidRDefault="00F807AC" w:rsidP="00F807AC">
      <w:pPr>
        <w:rPr>
          <w:rtl/>
        </w:rPr>
      </w:pPr>
    </w:p>
    <w:p w14:paraId="5142F013" w14:textId="77777777" w:rsidR="00F807AC" w:rsidRPr="00757C31" w:rsidRDefault="00757C31" w:rsidP="00F807AC">
      <w:pPr>
        <w:rPr>
          <w:color w:val="FFFFFF"/>
          <w:sz w:val="2"/>
          <w:szCs w:val="2"/>
          <w:rtl/>
        </w:rPr>
      </w:pPr>
      <w:r w:rsidRPr="00757C31">
        <w:rPr>
          <w:color w:val="FFFFFF"/>
          <w:sz w:val="2"/>
          <w:szCs w:val="2"/>
          <w:rtl/>
        </w:rPr>
        <w:t>5129371</w:t>
      </w:r>
    </w:p>
    <w:p w14:paraId="1000D868" w14:textId="77777777" w:rsidR="00F807AC" w:rsidRPr="00250B83" w:rsidRDefault="00757C31" w:rsidP="00F807AC">
      <w:pPr>
        <w:rPr>
          <w:rtl/>
        </w:rPr>
      </w:pPr>
      <w:r w:rsidRPr="00757C31">
        <w:rPr>
          <w:rFonts w:ascii="Arial" w:hAnsi="Arial"/>
          <w:color w:val="FFFFFF"/>
          <w:sz w:val="2"/>
          <w:szCs w:val="2"/>
          <w:rtl/>
        </w:rPr>
        <w:t>54678313</w:t>
      </w:r>
      <w:r>
        <w:rPr>
          <w:rFonts w:ascii="Arial" w:hAnsi="Arial"/>
          <w:rtl/>
        </w:rPr>
        <w:t xml:space="preserve">ניתן היום,  כ"ה אב תשע"ח, 6 אוגוסט 2018, במעמד הצדדים. </w:t>
      </w:r>
    </w:p>
    <w:p w14:paraId="0B7AB68C" w14:textId="77777777" w:rsidR="00F807AC" w:rsidRPr="00250B83" w:rsidRDefault="00F807AC" w:rsidP="00F807A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7DB9C523" w14:textId="77777777" w:rsidR="00F807AC" w:rsidRPr="00250B83" w:rsidRDefault="00F807AC" w:rsidP="00F807AC">
      <w:pPr>
        <w:jc w:val="center"/>
        <w:rPr>
          <w:rFonts w:ascii="Arial" w:hAnsi="Arial"/>
          <w:rtl/>
        </w:rPr>
      </w:pPr>
    </w:p>
    <w:p w14:paraId="5ACCDD54" w14:textId="77777777" w:rsidR="00F807AC" w:rsidRPr="00250B83" w:rsidRDefault="00F807AC" w:rsidP="00F807AC">
      <w:pPr>
        <w:rPr>
          <w:rtl/>
        </w:rPr>
      </w:pPr>
    </w:p>
    <w:p w14:paraId="0053C50C" w14:textId="77777777" w:rsidR="00F807AC" w:rsidRPr="00760649" w:rsidRDefault="00760649" w:rsidP="00F807AC">
      <w:pPr>
        <w:pStyle w:val="a3"/>
        <w:jc w:val="center"/>
        <w:rPr>
          <w:color w:val="FFFFFF"/>
          <w:sz w:val="2"/>
          <w:szCs w:val="2"/>
          <w:rtl/>
        </w:rPr>
      </w:pPr>
      <w:r w:rsidRPr="00760649">
        <w:rPr>
          <w:color w:val="FFFFFF"/>
          <w:sz w:val="2"/>
          <w:szCs w:val="2"/>
          <w:rtl/>
        </w:rPr>
        <w:t>5129371</w:t>
      </w:r>
    </w:p>
    <w:p w14:paraId="28BB158F" w14:textId="77777777" w:rsidR="00C53659" w:rsidRPr="00760649" w:rsidRDefault="00760649" w:rsidP="00757C31">
      <w:pPr>
        <w:keepNext/>
        <w:rPr>
          <w:rFonts w:ascii="David" w:hAnsi="David"/>
          <w:color w:val="FFFFFF"/>
          <w:sz w:val="2"/>
          <w:szCs w:val="2"/>
          <w:rtl/>
        </w:rPr>
      </w:pPr>
      <w:r w:rsidRPr="00760649">
        <w:rPr>
          <w:rFonts w:ascii="David" w:hAnsi="David"/>
          <w:color w:val="FFFFFF"/>
          <w:sz w:val="2"/>
          <w:szCs w:val="2"/>
          <w:rtl/>
        </w:rPr>
        <w:t>54678313</w:t>
      </w:r>
    </w:p>
    <w:p w14:paraId="2C36CB45" w14:textId="77777777" w:rsidR="00757C31" w:rsidRPr="00757C31" w:rsidRDefault="00757C31" w:rsidP="00757C31">
      <w:pPr>
        <w:keepNext/>
        <w:rPr>
          <w:rFonts w:ascii="David" w:hAnsi="David"/>
          <w:color w:val="000000"/>
          <w:sz w:val="22"/>
          <w:szCs w:val="22"/>
          <w:rtl/>
        </w:rPr>
      </w:pPr>
      <w:r w:rsidRPr="00757C31">
        <w:rPr>
          <w:rFonts w:ascii="David" w:hAnsi="David"/>
          <w:color w:val="000000"/>
          <w:sz w:val="22"/>
          <w:szCs w:val="22"/>
          <w:rtl/>
        </w:rPr>
        <w:t>בני שגיא 54678313</w:t>
      </w:r>
    </w:p>
    <w:p w14:paraId="4D20E065" w14:textId="77777777" w:rsidR="00757C31" w:rsidRDefault="00757C31" w:rsidP="00757C31">
      <w:r w:rsidRPr="00757C31">
        <w:rPr>
          <w:color w:val="000000"/>
          <w:rtl/>
        </w:rPr>
        <w:t>נוסח מסמך זה כפוף לשינויי ניסוח ועריכה</w:t>
      </w:r>
    </w:p>
    <w:p w14:paraId="014D63BA" w14:textId="77777777" w:rsidR="00757C31" w:rsidRDefault="00757C31" w:rsidP="00757C31">
      <w:pPr>
        <w:rPr>
          <w:rtl/>
        </w:rPr>
      </w:pPr>
    </w:p>
    <w:p w14:paraId="10F792AA" w14:textId="77777777" w:rsidR="00757C31" w:rsidRPr="00757C31" w:rsidRDefault="00757C31" w:rsidP="00760649">
      <w:pPr>
        <w:jc w:val="center"/>
        <w:rPr>
          <w:rFonts w:hint="cs"/>
          <w:color w:val="0000FF"/>
          <w:u w:val="single"/>
        </w:rPr>
      </w:pPr>
      <w:hyperlink r:id="rId41" w:history="1">
        <w:r>
          <w:rPr>
            <w:color w:val="0000FF"/>
            <w:u w:val="single"/>
            <w:rtl/>
          </w:rPr>
          <w:t>בעניין עריכה ושינויים במסמכי פסיקה, חקיקה ועוד באתר נבו – הקש כאן</w:t>
        </w:r>
      </w:hyperlink>
    </w:p>
    <w:sectPr w:rsidR="00757C31" w:rsidRPr="00757C31" w:rsidSect="00760649">
      <w:headerReference w:type="even" r:id="rId42"/>
      <w:headerReference w:type="default" r:id="rId43"/>
      <w:footerReference w:type="even" r:id="rId44"/>
      <w:footerReference w:type="default" r:id="rId4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74864" w14:textId="77777777" w:rsidR="0073576D" w:rsidRDefault="0073576D" w:rsidP="00394218">
      <w:r>
        <w:separator/>
      </w:r>
    </w:p>
  </w:endnote>
  <w:endnote w:type="continuationSeparator" w:id="0">
    <w:p w14:paraId="6567E033" w14:textId="77777777" w:rsidR="0073576D" w:rsidRDefault="0073576D" w:rsidP="0039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6F78A" w14:textId="77777777" w:rsidR="00760649" w:rsidRDefault="00760649" w:rsidP="007606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231B42" w14:textId="77777777" w:rsidR="000640FE" w:rsidRPr="00760649" w:rsidRDefault="00760649" w:rsidP="00760649">
    <w:pPr>
      <w:pStyle w:val="a5"/>
      <w:pBdr>
        <w:top w:val="single" w:sz="4" w:space="1" w:color="auto"/>
        <w:between w:val="single" w:sz="4" w:space="0" w:color="auto"/>
      </w:pBdr>
      <w:spacing w:after="60"/>
      <w:jc w:val="center"/>
      <w:rPr>
        <w:rFonts w:ascii="FrankRuehl" w:hAnsi="FrankRuehl" w:cs="FrankRuehl"/>
        <w:color w:val="000000"/>
      </w:rPr>
    </w:pPr>
    <w:r w:rsidRPr="007606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5BD53" w14:textId="77777777" w:rsidR="00760649" w:rsidRDefault="00760649" w:rsidP="007606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2D4B">
      <w:rPr>
        <w:rFonts w:ascii="FrankRuehl" w:hAnsi="FrankRuehl" w:cs="FrankRuehl"/>
        <w:noProof/>
        <w:rtl/>
      </w:rPr>
      <w:t>1</w:t>
    </w:r>
    <w:r>
      <w:rPr>
        <w:rFonts w:ascii="FrankRuehl" w:hAnsi="FrankRuehl" w:cs="FrankRuehl"/>
        <w:rtl/>
      </w:rPr>
      <w:fldChar w:fldCharType="end"/>
    </w:r>
  </w:p>
  <w:p w14:paraId="646D06FF" w14:textId="77777777" w:rsidR="000640FE" w:rsidRPr="00760649" w:rsidRDefault="00760649" w:rsidP="00760649">
    <w:pPr>
      <w:pStyle w:val="a5"/>
      <w:pBdr>
        <w:top w:val="single" w:sz="4" w:space="1" w:color="auto"/>
        <w:between w:val="single" w:sz="4" w:space="0" w:color="auto"/>
      </w:pBdr>
      <w:spacing w:after="60"/>
      <w:jc w:val="center"/>
      <w:rPr>
        <w:rFonts w:ascii="FrankRuehl" w:hAnsi="FrankRuehl" w:cs="FrankRuehl"/>
        <w:color w:val="000000"/>
      </w:rPr>
    </w:pPr>
    <w:r w:rsidRPr="00760649">
      <w:rPr>
        <w:rFonts w:ascii="FrankRuehl" w:hAnsi="FrankRuehl" w:cs="FrankRuehl"/>
        <w:color w:val="000000"/>
      </w:rPr>
      <w:pict w14:anchorId="66A2E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0693A" w14:textId="77777777" w:rsidR="0073576D" w:rsidRDefault="0073576D" w:rsidP="00394218">
      <w:r>
        <w:separator/>
      </w:r>
    </w:p>
  </w:footnote>
  <w:footnote w:type="continuationSeparator" w:id="0">
    <w:p w14:paraId="13F01426" w14:textId="77777777" w:rsidR="0073576D" w:rsidRDefault="0073576D" w:rsidP="00394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A2959" w14:textId="77777777" w:rsidR="00757C31" w:rsidRPr="00760649" w:rsidRDefault="00760649" w:rsidP="007606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312-12-17</w:t>
    </w:r>
    <w:r>
      <w:rPr>
        <w:rFonts w:ascii="David" w:hAnsi="David"/>
        <w:color w:val="000000"/>
        <w:sz w:val="22"/>
        <w:szCs w:val="22"/>
        <w:rtl/>
      </w:rPr>
      <w:tab/>
      <w:t xml:space="preserve"> מדינת ישראל נ' חדר אל מוסראתי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55CB1" w14:textId="77777777" w:rsidR="00757C31" w:rsidRPr="00760649" w:rsidRDefault="00760649" w:rsidP="007606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312-12-17</w:t>
    </w:r>
    <w:r>
      <w:rPr>
        <w:rFonts w:ascii="David" w:hAnsi="David"/>
        <w:color w:val="000000"/>
        <w:sz w:val="22"/>
        <w:szCs w:val="22"/>
        <w:rtl/>
      </w:rPr>
      <w:tab/>
      <w:t xml:space="preserve"> מדינת ישראל נ' חדר אל מוסראתי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07AC"/>
    <w:rsid w:val="000640FE"/>
    <w:rsid w:val="002A5909"/>
    <w:rsid w:val="00394218"/>
    <w:rsid w:val="004339EE"/>
    <w:rsid w:val="00595168"/>
    <w:rsid w:val="00644176"/>
    <w:rsid w:val="00654810"/>
    <w:rsid w:val="0073576D"/>
    <w:rsid w:val="00757C31"/>
    <w:rsid w:val="00760649"/>
    <w:rsid w:val="009710B8"/>
    <w:rsid w:val="00972D4B"/>
    <w:rsid w:val="009C1C2C"/>
    <w:rsid w:val="00AD711D"/>
    <w:rsid w:val="00BD29BF"/>
    <w:rsid w:val="00C53659"/>
    <w:rsid w:val="00DE625F"/>
    <w:rsid w:val="00DF0C46"/>
    <w:rsid w:val="00F77E8A"/>
    <w:rsid w:val="00F807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38E8EA"/>
  <w15:chartTrackingRefBased/>
  <w15:docId w15:val="{F3BBC9D5-56FA-4E16-8A7E-DF94D144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07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07AC"/>
    <w:pPr>
      <w:tabs>
        <w:tab w:val="center" w:pos="4153"/>
        <w:tab w:val="right" w:pos="8306"/>
      </w:tabs>
    </w:pPr>
  </w:style>
  <w:style w:type="character" w:customStyle="1" w:styleId="a4">
    <w:name w:val="כותרת עליונה תו"/>
    <w:link w:val="a3"/>
    <w:rsid w:val="00F807AC"/>
    <w:rPr>
      <w:rFonts w:ascii="Times New Roman" w:eastAsia="Times New Roman" w:hAnsi="Times New Roman" w:cs="David"/>
      <w:sz w:val="24"/>
      <w:szCs w:val="24"/>
    </w:rPr>
  </w:style>
  <w:style w:type="paragraph" w:styleId="a5">
    <w:name w:val="footer"/>
    <w:basedOn w:val="a"/>
    <w:link w:val="a6"/>
    <w:rsid w:val="00F807AC"/>
    <w:pPr>
      <w:tabs>
        <w:tab w:val="center" w:pos="4153"/>
        <w:tab w:val="right" w:pos="8306"/>
      </w:tabs>
    </w:pPr>
  </w:style>
  <w:style w:type="character" w:customStyle="1" w:styleId="a6">
    <w:name w:val="כותרת תחתונה תו"/>
    <w:link w:val="a5"/>
    <w:rsid w:val="00F807AC"/>
    <w:rPr>
      <w:rFonts w:ascii="Times New Roman" w:eastAsia="Times New Roman" w:hAnsi="Times New Roman" w:cs="David"/>
      <w:sz w:val="24"/>
      <w:szCs w:val="24"/>
    </w:rPr>
  </w:style>
  <w:style w:type="table" w:styleId="a7">
    <w:name w:val="Table Grid"/>
    <w:basedOn w:val="a1"/>
    <w:rsid w:val="00F807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07AC"/>
  </w:style>
  <w:style w:type="character" w:styleId="Hyperlink">
    <w:name w:val="Hyperlink"/>
    <w:rsid w:val="00757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38.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7662230" TargetMode="External"/><Relationship Id="rId39" Type="http://schemas.openxmlformats.org/officeDocument/2006/relationships/hyperlink" Target="http://www.nevo.co.il/case/18857882"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005257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1473207" TargetMode="External"/><Relationship Id="rId37" Type="http://schemas.openxmlformats.org/officeDocument/2006/relationships/hyperlink" Target="http://www.nevo.co.il/case/6112070" TargetMode="External"/><Relationship Id="rId40" Type="http://schemas.openxmlformats.org/officeDocument/2006/relationships/hyperlink" Target="http://www.nevo.co.il/case/18857882"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5227/38.2"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012969" TargetMode="External"/><Relationship Id="rId10" Type="http://schemas.openxmlformats.org/officeDocument/2006/relationships/hyperlink" Target="http://www.nevo.co.il/law/70301/402.b"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7980258"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38.1" TargetMode="External"/><Relationship Id="rId14" Type="http://schemas.openxmlformats.org/officeDocument/2006/relationships/hyperlink" Target="http://www.nevo.co.il/law/5227/62.2" TargetMode="External"/><Relationship Id="rId22" Type="http://schemas.openxmlformats.org/officeDocument/2006/relationships/hyperlink" Target="http://www.nevo.co.il/law/5227/62.2" TargetMode="External"/><Relationship Id="rId27" Type="http://schemas.openxmlformats.org/officeDocument/2006/relationships/hyperlink" Target="http://www.nevo.co.il/case/7773349" TargetMode="External"/><Relationship Id="rId30" Type="http://schemas.openxmlformats.org/officeDocument/2006/relationships/hyperlink" Target="http://www.nevo.co.il/case/21472799" TargetMode="External"/><Relationship Id="rId35" Type="http://schemas.openxmlformats.org/officeDocument/2006/relationships/hyperlink" Target="http://www.nevo.co.il/case/16983337" TargetMode="External"/><Relationship Id="rId43"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5227" TargetMode="External"/><Relationship Id="rId17" Type="http://schemas.openxmlformats.org/officeDocument/2006/relationships/hyperlink" Target="http://www.nevo.co.il/law/70301/402.b"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8253392" TargetMode="External"/><Relationship Id="rId38" Type="http://schemas.openxmlformats.org/officeDocument/2006/relationships/hyperlink" Target="http://www.nevo.co.il/case/10543988" TargetMode="External"/><Relationship Id="rId46" Type="http://schemas.openxmlformats.org/officeDocument/2006/relationships/fontTable" Target="fontTable.xml"/><Relationship Id="rId20" Type="http://schemas.openxmlformats.org/officeDocument/2006/relationships/hyperlink" Target="http://www.nevo.co.il/law/70301/338.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2235</Words>
  <Characters>11178</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13387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3539057</vt:i4>
      </vt:variant>
      <vt:variant>
        <vt:i4>102</vt:i4>
      </vt:variant>
      <vt:variant>
        <vt:i4>0</vt:i4>
      </vt:variant>
      <vt:variant>
        <vt:i4>5</vt:i4>
      </vt:variant>
      <vt:variant>
        <vt:lpwstr>http://www.nevo.co.il/case/18857882</vt:lpwstr>
      </vt:variant>
      <vt:variant>
        <vt:lpwstr/>
      </vt:variant>
      <vt:variant>
        <vt:i4>3539057</vt:i4>
      </vt:variant>
      <vt:variant>
        <vt:i4>99</vt:i4>
      </vt:variant>
      <vt:variant>
        <vt:i4>0</vt:i4>
      </vt:variant>
      <vt:variant>
        <vt:i4>5</vt:i4>
      </vt:variant>
      <vt:variant>
        <vt:lpwstr>http://www.nevo.co.il/case/18857882</vt:lpwstr>
      </vt:variant>
      <vt:variant>
        <vt:lpwstr/>
      </vt:variant>
      <vt:variant>
        <vt:i4>4128889</vt:i4>
      </vt:variant>
      <vt:variant>
        <vt:i4>96</vt:i4>
      </vt:variant>
      <vt:variant>
        <vt:i4>0</vt:i4>
      </vt:variant>
      <vt:variant>
        <vt:i4>5</vt:i4>
      </vt:variant>
      <vt:variant>
        <vt:lpwstr>http://www.nevo.co.il/case/10543988</vt:lpwstr>
      </vt:variant>
      <vt:variant>
        <vt:lpwstr/>
      </vt:variant>
      <vt:variant>
        <vt:i4>3604592</vt:i4>
      </vt:variant>
      <vt:variant>
        <vt:i4>93</vt:i4>
      </vt:variant>
      <vt:variant>
        <vt:i4>0</vt:i4>
      </vt:variant>
      <vt:variant>
        <vt:i4>5</vt:i4>
      </vt:variant>
      <vt:variant>
        <vt:lpwstr>http://www.nevo.co.il/case/6112070</vt:lpwstr>
      </vt:variant>
      <vt:variant>
        <vt:lpwstr/>
      </vt:variant>
      <vt:variant>
        <vt:i4>3539068</vt:i4>
      </vt:variant>
      <vt:variant>
        <vt:i4>90</vt:i4>
      </vt:variant>
      <vt:variant>
        <vt:i4>0</vt:i4>
      </vt:variant>
      <vt:variant>
        <vt:i4>5</vt:i4>
      </vt:variant>
      <vt:variant>
        <vt:lpwstr>http://www.nevo.co.il/case/20012969</vt:lpwstr>
      </vt:variant>
      <vt:variant>
        <vt:lpwstr/>
      </vt:variant>
      <vt:variant>
        <vt:i4>3670137</vt:i4>
      </vt:variant>
      <vt:variant>
        <vt:i4>87</vt:i4>
      </vt:variant>
      <vt:variant>
        <vt:i4>0</vt:i4>
      </vt:variant>
      <vt:variant>
        <vt:i4>5</vt:i4>
      </vt:variant>
      <vt:variant>
        <vt:lpwstr>http://www.nevo.co.il/case/16983337</vt:lpwstr>
      </vt:variant>
      <vt:variant>
        <vt:lpwstr/>
      </vt:variant>
      <vt:variant>
        <vt:i4>3604596</vt:i4>
      </vt:variant>
      <vt:variant>
        <vt:i4>84</vt:i4>
      </vt:variant>
      <vt:variant>
        <vt:i4>0</vt:i4>
      </vt:variant>
      <vt:variant>
        <vt:i4>5</vt:i4>
      </vt:variant>
      <vt:variant>
        <vt:lpwstr>http://www.nevo.co.il/case/20052574</vt:lpwstr>
      </vt:variant>
      <vt:variant>
        <vt:lpwstr/>
      </vt:variant>
      <vt:variant>
        <vt:i4>3932284</vt:i4>
      </vt:variant>
      <vt:variant>
        <vt:i4>81</vt:i4>
      </vt:variant>
      <vt:variant>
        <vt:i4>0</vt:i4>
      </vt:variant>
      <vt:variant>
        <vt:i4>5</vt:i4>
      </vt:variant>
      <vt:variant>
        <vt:lpwstr>http://www.nevo.co.il/case/8253392</vt:lpwstr>
      </vt:variant>
      <vt:variant>
        <vt:lpwstr/>
      </vt:variant>
      <vt:variant>
        <vt:i4>3473520</vt:i4>
      </vt:variant>
      <vt:variant>
        <vt:i4>78</vt:i4>
      </vt:variant>
      <vt:variant>
        <vt:i4>0</vt:i4>
      </vt:variant>
      <vt:variant>
        <vt:i4>5</vt:i4>
      </vt:variant>
      <vt:variant>
        <vt:lpwstr>http://www.nevo.co.il/case/21473207</vt:lpwstr>
      </vt:variant>
      <vt:variant>
        <vt:lpwstr/>
      </vt:variant>
      <vt:variant>
        <vt:i4>3473528</vt:i4>
      </vt:variant>
      <vt:variant>
        <vt:i4>75</vt:i4>
      </vt:variant>
      <vt:variant>
        <vt:i4>0</vt:i4>
      </vt:variant>
      <vt:variant>
        <vt:i4>5</vt:i4>
      </vt:variant>
      <vt:variant>
        <vt:lpwstr>http://www.nevo.co.il/case/7980258</vt:lpwstr>
      </vt:variant>
      <vt:variant>
        <vt:lpwstr/>
      </vt:variant>
      <vt:variant>
        <vt:i4>3997813</vt:i4>
      </vt:variant>
      <vt:variant>
        <vt:i4>72</vt:i4>
      </vt:variant>
      <vt:variant>
        <vt:i4>0</vt:i4>
      </vt:variant>
      <vt:variant>
        <vt:i4>5</vt:i4>
      </vt:variant>
      <vt:variant>
        <vt:lpwstr>http://www.nevo.co.il/case/21472799</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3801204</vt:i4>
      </vt:variant>
      <vt:variant>
        <vt:i4>63</vt:i4>
      </vt:variant>
      <vt:variant>
        <vt:i4>0</vt:i4>
      </vt:variant>
      <vt:variant>
        <vt:i4>5</vt:i4>
      </vt:variant>
      <vt:variant>
        <vt:lpwstr>http://www.nevo.co.il/case/7773349</vt:lpwstr>
      </vt:variant>
      <vt:variant>
        <vt:lpwstr/>
      </vt:variant>
      <vt:variant>
        <vt:i4>3342451</vt:i4>
      </vt:variant>
      <vt:variant>
        <vt:i4>60</vt:i4>
      </vt:variant>
      <vt:variant>
        <vt:i4>0</vt:i4>
      </vt:variant>
      <vt:variant>
        <vt:i4>5</vt:i4>
      </vt:variant>
      <vt:variant>
        <vt:lpwstr>http://www.nevo.co.il/case/7662230</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8323175</vt:i4>
      </vt:variant>
      <vt:variant>
        <vt:i4>54</vt:i4>
      </vt:variant>
      <vt:variant>
        <vt:i4>0</vt:i4>
      </vt:variant>
      <vt:variant>
        <vt:i4>5</vt:i4>
      </vt:variant>
      <vt:variant>
        <vt:lpwstr>http://www.nevo.co.il/law/5227</vt:lpwstr>
      </vt:variant>
      <vt:variant>
        <vt:lpwstr/>
      </vt:variant>
      <vt:variant>
        <vt:i4>6422640</vt:i4>
      </vt:variant>
      <vt:variant>
        <vt:i4>51</vt:i4>
      </vt:variant>
      <vt:variant>
        <vt:i4>0</vt:i4>
      </vt:variant>
      <vt:variant>
        <vt:i4>5</vt:i4>
      </vt:variant>
      <vt:variant>
        <vt:lpwstr>http://www.nevo.co.il/law/5227/38.2</vt:lpwstr>
      </vt:variant>
      <vt:variant>
        <vt:lpwstr/>
      </vt:variant>
      <vt:variant>
        <vt:i4>6750330</vt:i4>
      </vt:variant>
      <vt:variant>
        <vt:i4>48</vt:i4>
      </vt:variant>
      <vt:variant>
        <vt:i4>0</vt:i4>
      </vt:variant>
      <vt:variant>
        <vt:i4>5</vt:i4>
      </vt:variant>
      <vt:variant>
        <vt:lpwstr>http://www.nevo.co.il/law/5227/62.2</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4718686</vt:i4>
      </vt:variant>
      <vt:variant>
        <vt:i4>42</vt:i4>
      </vt:variant>
      <vt:variant>
        <vt:i4>0</vt:i4>
      </vt:variant>
      <vt:variant>
        <vt:i4>5</vt:i4>
      </vt:variant>
      <vt:variant>
        <vt:lpwstr>http://www.nevo.co.il/law/70301/338.1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6750330</vt:i4>
      </vt:variant>
      <vt:variant>
        <vt:i4>24</vt:i4>
      </vt:variant>
      <vt:variant>
        <vt:i4>0</vt:i4>
      </vt:variant>
      <vt:variant>
        <vt:i4>5</vt:i4>
      </vt:variant>
      <vt:variant>
        <vt:lpwstr>http://www.nevo.co.il/law/5227/62.2</vt:lpwstr>
      </vt:variant>
      <vt:variant>
        <vt:lpwstr/>
      </vt:variant>
      <vt:variant>
        <vt:i4>6422640</vt:i4>
      </vt:variant>
      <vt:variant>
        <vt:i4>21</vt:i4>
      </vt:variant>
      <vt:variant>
        <vt:i4>0</vt:i4>
      </vt:variant>
      <vt:variant>
        <vt:i4>5</vt:i4>
      </vt:variant>
      <vt:variant>
        <vt:lpwstr>http://www.nevo.co.il/law/5227/38.2</vt:lpwstr>
      </vt:variant>
      <vt:variant>
        <vt:lpwstr/>
      </vt:variant>
      <vt:variant>
        <vt:i4>8323175</vt:i4>
      </vt:variant>
      <vt:variant>
        <vt:i4>18</vt:i4>
      </vt:variant>
      <vt:variant>
        <vt:i4>0</vt:i4>
      </vt:variant>
      <vt:variant>
        <vt:i4>5</vt:i4>
      </vt:variant>
      <vt:variant>
        <vt:lpwstr>http://www.nevo.co.il/law/5227</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4718686</vt:i4>
      </vt:variant>
      <vt:variant>
        <vt:i4>9</vt:i4>
      </vt:variant>
      <vt:variant>
        <vt:i4>0</vt:i4>
      </vt:variant>
      <vt:variant>
        <vt:i4>5</vt:i4>
      </vt:variant>
      <vt:variant>
        <vt:lpwstr>http://www.nevo.co.il/law/70301/338.1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חדר אל מוסראתי  </vt:lpwstr>
  </property>
  <property fmtid="{D5CDD505-2E9C-101B-9397-08002B2CF9AE}" pid="10" name="LAWYER">
    <vt:lpwstr>צחי יונגר;איתן און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20180806</vt:lpwstr>
  </property>
  <property fmtid="{D5CDD505-2E9C-101B-9397-08002B2CF9AE}" pid="14" name="TYPE_N_DATE">
    <vt:lpwstr>39020180806</vt:lpwstr>
  </property>
  <property fmtid="{D5CDD505-2E9C-101B-9397-08002B2CF9AE}" pid="15" name="WORDNUMPAGES">
    <vt:lpwstr>6</vt:lpwstr>
  </property>
  <property fmtid="{D5CDD505-2E9C-101B-9397-08002B2CF9AE}" pid="16" name="TYPE_ABS_DATE">
    <vt:lpwstr>390020180806</vt:lpwstr>
  </property>
  <property fmtid="{D5CDD505-2E9C-101B-9397-08002B2CF9AE}" pid="17" name="ISABSTRACT">
    <vt:lpwstr>Y</vt:lpwstr>
  </property>
  <property fmtid="{D5CDD505-2E9C-101B-9397-08002B2CF9AE}" pid="18" name="CASESLISTTMP1">
    <vt:lpwstr>7662230;7773349;21472799;7980258;21473207;8253392;20052574;16983337;20012969;6112070;10543988;18857882:2</vt:lpwstr>
  </property>
  <property fmtid="{D5CDD505-2E9C-101B-9397-08002B2CF9AE}" pid="19" name="LAWLISTTMP1">
    <vt:lpwstr>70301/499.a.1;402.b;144.b;029:3;338.1</vt:lpwstr>
  </property>
  <property fmtid="{D5CDD505-2E9C-101B-9397-08002B2CF9AE}" pid="20" name="LAWLISTTMP2">
    <vt:lpwstr>5227/062.2;038.2</vt:lpwstr>
  </property>
</Properties>
</file>