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70766" w:rsidRPr="00B70766" w14:paraId="3B6163EE" w14:textId="77777777" w:rsidTr="0024029F">
        <w:trPr>
          <w:trHeight w:hRule="exact" w:val="418"/>
          <w:jc w:val="center"/>
        </w:trPr>
        <w:tc>
          <w:tcPr>
            <w:tcW w:w="8720" w:type="dxa"/>
            <w:gridSpan w:val="3"/>
          </w:tcPr>
          <w:p w14:paraId="6F556DC7" w14:textId="77777777" w:rsidR="00B70766" w:rsidRPr="00B70766" w:rsidRDefault="00B70766" w:rsidP="0024029F">
            <w:pPr>
              <w:pStyle w:val="a3"/>
              <w:tabs>
                <w:tab w:val="clear" w:pos="8306"/>
              </w:tabs>
              <w:jc w:val="center"/>
              <w:rPr>
                <w:rFonts w:ascii="Tahoma" w:hAnsi="Tahoma" w:cs="Tahoma"/>
                <w:b/>
                <w:bCs/>
                <w:color w:val="000080"/>
                <w:sz w:val="20"/>
                <w:szCs w:val="20"/>
                <w:rtl/>
              </w:rPr>
            </w:pPr>
            <w:bookmarkStart w:id="0" w:name="LastJudge"/>
            <w:r w:rsidRPr="00B70766">
              <w:rPr>
                <w:rFonts w:ascii="Tahoma" w:hAnsi="Tahoma" w:cs="Tahoma"/>
                <w:b/>
                <w:bCs/>
                <w:color w:val="000080"/>
                <w:sz w:val="20"/>
                <w:szCs w:val="20"/>
                <w:rtl/>
              </w:rPr>
              <w:t>בית המשפט המחוזי בבאר שבע</w:t>
            </w:r>
          </w:p>
        </w:tc>
      </w:tr>
      <w:tr w:rsidR="00B70766" w:rsidRPr="00B70766" w14:paraId="2DB906C5" w14:textId="77777777" w:rsidTr="0024029F">
        <w:trPr>
          <w:trHeight w:val="337"/>
          <w:jc w:val="center"/>
        </w:trPr>
        <w:tc>
          <w:tcPr>
            <w:tcW w:w="6396" w:type="dxa"/>
          </w:tcPr>
          <w:p w14:paraId="22436606" w14:textId="77777777" w:rsidR="00B70766" w:rsidRPr="00B70766" w:rsidRDefault="00B70766" w:rsidP="0024029F">
            <w:pPr>
              <w:rPr>
                <w:b/>
                <w:bCs/>
                <w:sz w:val="26"/>
                <w:szCs w:val="26"/>
                <w:rtl/>
              </w:rPr>
            </w:pPr>
            <w:r w:rsidRPr="00B70766">
              <w:rPr>
                <w:b/>
                <w:bCs/>
                <w:sz w:val="26"/>
                <w:szCs w:val="26"/>
                <w:rtl/>
              </w:rPr>
              <w:t>ת"פ 32889-12-17 מדינת ישראל נ' בירנדורף(עציר)</w:t>
            </w:r>
          </w:p>
          <w:p w14:paraId="0EADAF60" w14:textId="77777777" w:rsidR="00B70766" w:rsidRPr="00B70766" w:rsidRDefault="00B70766" w:rsidP="0024029F">
            <w:pPr>
              <w:rPr>
                <w:b/>
                <w:bCs/>
                <w:sz w:val="26"/>
                <w:szCs w:val="26"/>
                <w:rtl/>
              </w:rPr>
            </w:pPr>
          </w:p>
        </w:tc>
        <w:tc>
          <w:tcPr>
            <w:tcW w:w="236" w:type="dxa"/>
          </w:tcPr>
          <w:p w14:paraId="382DBC62" w14:textId="77777777" w:rsidR="00B70766" w:rsidRPr="00B70766" w:rsidRDefault="00B70766" w:rsidP="0024029F">
            <w:pPr>
              <w:pStyle w:val="a3"/>
              <w:jc w:val="right"/>
              <w:rPr>
                <w:b/>
                <w:bCs/>
                <w:sz w:val="26"/>
                <w:szCs w:val="26"/>
                <w:rtl/>
              </w:rPr>
            </w:pPr>
          </w:p>
        </w:tc>
        <w:tc>
          <w:tcPr>
            <w:tcW w:w="2088" w:type="dxa"/>
          </w:tcPr>
          <w:p w14:paraId="4DA0D285" w14:textId="77777777" w:rsidR="00B70766" w:rsidRPr="00B70766" w:rsidRDefault="00B70766" w:rsidP="0024029F">
            <w:pPr>
              <w:pStyle w:val="a3"/>
              <w:tabs>
                <w:tab w:val="clear" w:pos="4153"/>
              </w:tabs>
              <w:jc w:val="right"/>
              <w:rPr>
                <w:b/>
                <w:bCs/>
                <w:sz w:val="26"/>
                <w:szCs w:val="26"/>
                <w:rtl/>
              </w:rPr>
            </w:pPr>
            <w:r w:rsidRPr="00B70766">
              <w:rPr>
                <w:b/>
                <w:bCs/>
                <w:sz w:val="26"/>
                <w:szCs w:val="26"/>
                <w:rtl/>
              </w:rPr>
              <w:t>25 יולי 2018</w:t>
            </w:r>
          </w:p>
        </w:tc>
      </w:tr>
    </w:tbl>
    <w:p w14:paraId="2E456DDD" w14:textId="77777777" w:rsidR="00B70766" w:rsidRPr="00B70766" w:rsidRDefault="00B70766" w:rsidP="00B70766">
      <w:pPr>
        <w:pStyle w:val="a3"/>
        <w:jc w:val="center"/>
        <w:rPr>
          <w:rFonts w:ascii="Tahoma" w:hAnsi="Tahoma" w:cs="Tahoma"/>
          <w:b/>
          <w:bCs/>
          <w:color w:val="000080"/>
          <w:sz w:val="20"/>
          <w:szCs w:val="20"/>
          <w:rtl/>
        </w:rPr>
      </w:pPr>
    </w:p>
    <w:p w14:paraId="389476E6" w14:textId="77777777" w:rsidR="00B70766" w:rsidRPr="00B70766" w:rsidRDefault="00B7076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B70766" w:rsidRPr="00B70766" w14:paraId="143A5945" w14:textId="77777777" w:rsidTr="0024029F">
        <w:trPr>
          <w:gridAfter w:val="1"/>
          <w:wAfter w:w="56" w:type="dxa"/>
        </w:trPr>
        <w:tc>
          <w:tcPr>
            <w:tcW w:w="8718" w:type="dxa"/>
            <w:gridSpan w:val="2"/>
          </w:tcPr>
          <w:p w14:paraId="32A23790" w14:textId="77777777" w:rsidR="00B70766" w:rsidRPr="00B70766" w:rsidRDefault="00B70766" w:rsidP="0024029F">
            <w:pPr>
              <w:spacing w:line="360" w:lineRule="auto"/>
              <w:jc w:val="both"/>
              <w:rPr>
                <w:rFonts w:ascii="Times New Roman" w:hAnsi="Times New Roman"/>
                <w:b/>
                <w:bCs/>
                <w:sz w:val="26"/>
                <w:szCs w:val="26"/>
                <w:rtl/>
              </w:rPr>
            </w:pPr>
            <w:bookmarkStart w:id="1" w:name="_GoBack"/>
            <w:bookmarkEnd w:id="1"/>
            <w:r w:rsidRPr="00B70766">
              <w:rPr>
                <w:rFonts w:ascii="Times New Roman" w:hAnsi="Times New Roman"/>
                <w:b/>
                <w:bCs/>
                <w:sz w:val="26"/>
                <w:szCs w:val="26"/>
                <w:rtl/>
              </w:rPr>
              <w:t xml:space="preserve">   לפני כבוד השופט דניאל בן טולילה</w:t>
            </w:r>
            <w:r w:rsidRPr="00B70766">
              <w:rPr>
                <w:rStyle w:val="TimesNewRomanTimesNewRoman"/>
                <w:rtl/>
              </w:rPr>
              <w:t xml:space="preserve"> </w:t>
            </w:r>
          </w:p>
        </w:tc>
      </w:tr>
      <w:tr w:rsidR="00B70766" w:rsidRPr="00B70766" w14:paraId="630ADC4F" w14:textId="77777777" w:rsidTr="0024029F">
        <w:trPr>
          <w:cantSplit/>
          <w:trHeight w:val="724"/>
        </w:trPr>
        <w:tc>
          <w:tcPr>
            <w:tcW w:w="2880" w:type="dxa"/>
          </w:tcPr>
          <w:p w14:paraId="1D7F6A42" w14:textId="77777777" w:rsidR="00B70766" w:rsidRPr="00B70766" w:rsidRDefault="00B70766" w:rsidP="0024029F">
            <w:pPr>
              <w:ind w:left="26"/>
              <w:rPr>
                <w:rFonts w:ascii="Times New Roman" w:hAnsi="Times New Roman"/>
                <w:b/>
                <w:bCs/>
                <w:sz w:val="26"/>
                <w:szCs w:val="26"/>
                <w:rtl/>
              </w:rPr>
            </w:pPr>
            <w:bookmarkStart w:id="2" w:name="FirstAppellant"/>
          </w:p>
          <w:p w14:paraId="3C1C36AD" w14:textId="77777777" w:rsidR="00B70766" w:rsidRPr="00B70766" w:rsidRDefault="00B70766" w:rsidP="0024029F">
            <w:pPr>
              <w:ind w:left="26"/>
              <w:rPr>
                <w:rFonts w:ascii="Times New Roman" w:hAnsi="Times New Roman"/>
                <w:b/>
                <w:bCs/>
                <w:sz w:val="26"/>
                <w:szCs w:val="26"/>
                <w:rtl/>
              </w:rPr>
            </w:pPr>
            <w:r w:rsidRPr="00B70766">
              <w:rPr>
                <w:rFonts w:ascii="Times New Roman" w:hAnsi="Times New Roman"/>
                <w:b/>
                <w:bCs/>
                <w:sz w:val="26"/>
                <w:szCs w:val="26"/>
                <w:rtl/>
              </w:rPr>
              <w:t>המאשימה</w:t>
            </w:r>
          </w:p>
        </w:tc>
        <w:tc>
          <w:tcPr>
            <w:tcW w:w="5922" w:type="dxa"/>
            <w:gridSpan w:val="2"/>
          </w:tcPr>
          <w:p w14:paraId="216A5661" w14:textId="77777777" w:rsidR="00B70766" w:rsidRPr="00B70766" w:rsidRDefault="00B70766" w:rsidP="0024029F">
            <w:pPr>
              <w:rPr>
                <w:rFonts w:ascii="Times New Roman" w:hAnsi="Times New Roman" w:cs="Times New Roman"/>
                <w:rtl/>
              </w:rPr>
            </w:pPr>
          </w:p>
          <w:p w14:paraId="07807E50" w14:textId="77777777" w:rsidR="00B70766" w:rsidRPr="00B70766" w:rsidRDefault="00B70766" w:rsidP="0024029F">
            <w:pPr>
              <w:rPr>
                <w:rFonts w:ascii="Times New Roman" w:hAnsi="Times New Roman"/>
                <w:b/>
                <w:bCs/>
                <w:sz w:val="26"/>
                <w:szCs w:val="26"/>
                <w:rtl/>
              </w:rPr>
            </w:pPr>
            <w:r w:rsidRPr="00B70766">
              <w:rPr>
                <w:rFonts w:ascii="Times New Roman" w:hAnsi="Times New Roman" w:cs="Times New Roman"/>
                <w:rtl/>
              </w:rPr>
              <w:t xml:space="preserve"> </w:t>
            </w:r>
            <w:r w:rsidRPr="00B70766">
              <w:rPr>
                <w:rFonts w:ascii="Times New Roman" w:hAnsi="Times New Roman"/>
                <w:b/>
                <w:bCs/>
                <w:sz w:val="26"/>
                <w:szCs w:val="26"/>
                <w:rtl/>
              </w:rPr>
              <w:t>מדינת ישראל</w:t>
            </w:r>
          </w:p>
          <w:p w14:paraId="677A89F1" w14:textId="77777777" w:rsidR="00B70766" w:rsidRPr="00B70766" w:rsidRDefault="00B70766" w:rsidP="0024029F">
            <w:pPr>
              <w:rPr>
                <w:rFonts w:ascii="Times New Roman" w:hAnsi="Times New Roman"/>
                <w:b/>
                <w:bCs/>
                <w:sz w:val="26"/>
                <w:szCs w:val="26"/>
                <w:rtl/>
              </w:rPr>
            </w:pPr>
          </w:p>
        </w:tc>
      </w:tr>
      <w:bookmarkEnd w:id="2"/>
      <w:tr w:rsidR="00B70766" w:rsidRPr="00B70766" w14:paraId="0A2080D1" w14:textId="77777777" w:rsidTr="0024029F">
        <w:tc>
          <w:tcPr>
            <w:tcW w:w="8802" w:type="dxa"/>
            <w:gridSpan w:val="3"/>
            <w:vAlign w:val="center"/>
          </w:tcPr>
          <w:p w14:paraId="32B2A2E9" w14:textId="77777777" w:rsidR="00B70766" w:rsidRPr="00B70766" w:rsidRDefault="00B70766" w:rsidP="0024029F">
            <w:pPr>
              <w:jc w:val="center"/>
              <w:rPr>
                <w:rFonts w:ascii="Arial" w:hAnsi="Arial"/>
                <w:b/>
                <w:bCs/>
                <w:sz w:val="26"/>
                <w:szCs w:val="26"/>
              </w:rPr>
            </w:pPr>
            <w:r w:rsidRPr="00B70766">
              <w:rPr>
                <w:rFonts w:ascii="Arial" w:hAnsi="Arial"/>
                <w:b/>
                <w:bCs/>
                <w:sz w:val="26"/>
                <w:szCs w:val="26"/>
                <w:rtl/>
              </w:rPr>
              <w:t>נגד</w:t>
            </w:r>
          </w:p>
        </w:tc>
      </w:tr>
      <w:tr w:rsidR="00B70766" w:rsidRPr="00B70766" w14:paraId="716C6FCF" w14:textId="77777777" w:rsidTr="0024029F">
        <w:tc>
          <w:tcPr>
            <w:tcW w:w="2880" w:type="dxa"/>
          </w:tcPr>
          <w:p w14:paraId="1BFA7FEF" w14:textId="77777777" w:rsidR="00B70766" w:rsidRPr="00B70766" w:rsidRDefault="00B70766" w:rsidP="0024029F">
            <w:pPr>
              <w:ind w:left="26"/>
              <w:rPr>
                <w:rFonts w:ascii="Times New Roman" w:hAnsi="Times New Roman"/>
                <w:b/>
                <w:bCs/>
                <w:sz w:val="26"/>
                <w:szCs w:val="26"/>
                <w:rtl/>
              </w:rPr>
            </w:pPr>
            <w:r w:rsidRPr="00B70766">
              <w:rPr>
                <w:rFonts w:ascii="Times New Roman" w:hAnsi="Times New Roman"/>
                <w:b/>
                <w:bCs/>
                <w:sz w:val="26"/>
                <w:szCs w:val="26"/>
                <w:rtl/>
              </w:rPr>
              <w:t>הנאשם</w:t>
            </w:r>
          </w:p>
        </w:tc>
        <w:tc>
          <w:tcPr>
            <w:tcW w:w="5922" w:type="dxa"/>
            <w:gridSpan w:val="2"/>
          </w:tcPr>
          <w:p w14:paraId="740ABB87" w14:textId="77777777" w:rsidR="00B70766" w:rsidRPr="00B70766" w:rsidRDefault="00B70766" w:rsidP="0024029F">
            <w:pPr>
              <w:rPr>
                <w:rFonts w:ascii="Times New Roman" w:hAnsi="Times New Roman"/>
                <w:b/>
                <w:bCs/>
                <w:sz w:val="26"/>
                <w:szCs w:val="26"/>
                <w:rtl/>
              </w:rPr>
            </w:pPr>
            <w:r w:rsidRPr="00B70766">
              <w:rPr>
                <w:rFonts w:ascii="Times New Roman" w:hAnsi="Times New Roman" w:cs="Times New Roman"/>
                <w:rtl/>
              </w:rPr>
              <w:t xml:space="preserve"> </w:t>
            </w:r>
            <w:r w:rsidRPr="00B70766">
              <w:rPr>
                <w:rFonts w:ascii="Times New Roman" w:hAnsi="Times New Roman"/>
                <w:b/>
                <w:bCs/>
                <w:sz w:val="26"/>
                <w:szCs w:val="26"/>
                <w:rtl/>
              </w:rPr>
              <w:t>מרסלו בירנדורף (עציר)</w:t>
            </w:r>
            <w:r w:rsidRPr="00B70766">
              <w:rPr>
                <w:rFonts w:ascii="Times New Roman" w:hAnsi="Times New Roman" w:cs="Times New Roman"/>
                <w:rtl/>
              </w:rPr>
              <w:t xml:space="preserve"> </w:t>
            </w:r>
            <w:r w:rsidRPr="00B70766">
              <w:rPr>
                <w:rFonts w:ascii="Times New Roman" w:hAnsi="Times New Roman"/>
                <w:b/>
                <w:bCs/>
                <w:sz w:val="26"/>
                <w:szCs w:val="26"/>
                <w:rtl/>
              </w:rPr>
              <w:t xml:space="preserve">ת.ז.  </w:t>
            </w:r>
            <w:r>
              <w:rPr>
                <w:rFonts w:ascii="Times New Roman" w:hAnsi="Times New Roman"/>
                <w:b/>
                <w:bCs/>
                <w:sz w:val="26"/>
                <w:szCs w:val="26"/>
              </w:rPr>
              <w:t>xxxxxxxxxx</w:t>
            </w:r>
          </w:p>
          <w:p w14:paraId="5AC923BA" w14:textId="77777777" w:rsidR="00B70766" w:rsidRPr="00B70766" w:rsidRDefault="00B70766" w:rsidP="0024029F">
            <w:pPr>
              <w:rPr>
                <w:rFonts w:ascii="Times New Roman" w:hAnsi="Times New Roman"/>
                <w:b/>
                <w:bCs/>
                <w:sz w:val="26"/>
                <w:szCs w:val="26"/>
                <w:rtl/>
              </w:rPr>
            </w:pPr>
          </w:p>
        </w:tc>
      </w:tr>
    </w:tbl>
    <w:p w14:paraId="680A3ED9" w14:textId="77777777" w:rsidR="002C1F98" w:rsidRPr="00B70766" w:rsidRDefault="002C1F98">
      <w:pPr>
        <w:spacing w:line="360" w:lineRule="auto"/>
        <w:jc w:val="both"/>
        <w:rPr>
          <w:sz w:val="6"/>
          <w:szCs w:val="6"/>
          <w:rtl/>
        </w:rPr>
      </w:pPr>
      <w:r w:rsidRPr="00B70766">
        <w:rPr>
          <w:sz w:val="6"/>
          <w:szCs w:val="6"/>
          <w:rtl/>
        </w:rPr>
        <w:t>&lt;#1#&gt;</w:t>
      </w:r>
    </w:p>
    <w:p w14:paraId="6C1A0556" w14:textId="77777777" w:rsidR="002C1F98" w:rsidRPr="00B70766" w:rsidRDefault="002C1F98" w:rsidP="00E06ED4">
      <w:pPr>
        <w:pStyle w:val="12"/>
        <w:rPr>
          <w:b w:val="0"/>
          <w:bCs w:val="0"/>
          <w:u w:val="none"/>
          <w:rtl/>
        </w:rPr>
      </w:pPr>
      <w:r w:rsidRPr="00B70766">
        <w:rPr>
          <w:b w:val="0"/>
          <w:bCs w:val="0"/>
          <w:u w:val="none"/>
          <w:rtl/>
        </w:rPr>
        <w:t>נוכחים :</w:t>
      </w:r>
    </w:p>
    <w:p w14:paraId="3D4BB3C5" w14:textId="77777777" w:rsidR="002C1F98" w:rsidRPr="00B70766" w:rsidRDefault="002C1F98" w:rsidP="00E06ED4">
      <w:pPr>
        <w:pStyle w:val="12"/>
        <w:rPr>
          <w:b w:val="0"/>
          <w:bCs w:val="0"/>
          <w:u w:val="none"/>
          <w:rtl/>
        </w:rPr>
      </w:pPr>
      <w:bookmarkStart w:id="3" w:name="FirstLawyer"/>
      <w:r w:rsidRPr="00B70766">
        <w:rPr>
          <w:b w:val="0"/>
          <w:bCs w:val="0"/>
          <w:u w:val="none"/>
          <w:rtl/>
        </w:rPr>
        <w:t>ב"כ</w:t>
      </w:r>
      <w:bookmarkEnd w:id="3"/>
      <w:r w:rsidRPr="00B70766">
        <w:rPr>
          <w:b w:val="0"/>
          <w:bCs w:val="0"/>
          <w:u w:val="none"/>
          <w:rtl/>
        </w:rPr>
        <w:t xml:space="preserve"> המאשימה עו"ד אסף בר יוסף </w:t>
      </w:r>
    </w:p>
    <w:p w14:paraId="1C3C6C67" w14:textId="77777777" w:rsidR="002C1F98" w:rsidRPr="00B70766" w:rsidRDefault="002C1F98" w:rsidP="00E06ED4">
      <w:pPr>
        <w:pStyle w:val="12"/>
        <w:rPr>
          <w:b w:val="0"/>
          <w:bCs w:val="0"/>
          <w:u w:val="none"/>
          <w:rtl/>
        </w:rPr>
      </w:pPr>
      <w:r w:rsidRPr="00B70766">
        <w:rPr>
          <w:b w:val="0"/>
          <w:bCs w:val="0"/>
          <w:u w:val="none"/>
          <w:rtl/>
        </w:rPr>
        <w:t xml:space="preserve">הנאשם וב"כ עו"ד  סלמי </w:t>
      </w:r>
    </w:p>
    <w:p w14:paraId="55176B1B" w14:textId="77777777" w:rsidR="00CF57BC" w:rsidRDefault="00CF57BC" w:rsidP="00E06ED4">
      <w:pPr>
        <w:pStyle w:val="12"/>
        <w:rPr>
          <w:b w:val="0"/>
          <w:bCs w:val="0"/>
          <w:u w:val="none"/>
          <w:rtl/>
        </w:rPr>
      </w:pPr>
      <w:bookmarkStart w:id="4" w:name="LawTable"/>
      <w:bookmarkEnd w:id="4"/>
    </w:p>
    <w:p w14:paraId="7E74D3C8" w14:textId="77777777" w:rsidR="00CF57BC" w:rsidRPr="00CF57BC" w:rsidRDefault="00CF57BC" w:rsidP="00CF57BC">
      <w:pPr>
        <w:pStyle w:val="12"/>
        <w:spacing w:after="120" w:line="240" w:lineRule="exact"/>
        <w:ind w:left="283" w:hanging="283"/>
        <w:jc w:val="both"/>
        <w:rPr>
          <w:rFonts w:ascii="FrankRuehl" w:hAnsi="FrankRuehl" w:cs="FrankRuehl"/>
          <w:b w:val="0"/>
          <w:bCs w:val="0"/>
          <w:u w:val="none"/>
          <w:rtl/>
        </w:rPr>
      </w:pPr>
    </w:p>
    <w:p w14:paraId="62ED8BDA" w14:textId="77777777" w:rsidR="00CF57BC" w:rsidRPr="00CF57BC" w:rsidRDefault="00CF57BC" w:rsidP="00CF57BC">
      <w:pPr>
        <w:pStyle w:val="12"/>
        <w:spacing w:after="120" w:line="240" w:lineRule="exact"/>
        <w:ind w:left="283" w:hanging="283"/>
        <w:jc w:val="both"/>
        <w:rPr>
          <w:rFonts w:ascii="FrankRuehl" w:hAnsi="FrankRuehl" w:cs="FrankRuehl"/>
          <w:b w:val="0"/>
          <w:bCs w:val="0"/>
          <w:u w:val="none"/>
          <w:rtl/>
        </w:rPr>
      </w:pPr>
      <w:r w:rsidRPr="00CF57BC">
        <w:rPr>
          <w:rFonts w:ascii="FrankRuehl" w:hAnsi="FrankRuehl" w:cs="FrankRuehl"/>
          <w:b w:val="0"/>
          <w:bCs w:val="0"/>
          <w:u w:val="none"/>
          <w:rtl/>
        </w:rPr>
        <w:t xml:space="preserve">חקיקה שאוזכרה: </w:t>
      </w:r>
    </w:p>
    <w:p w14:paraId="4E1B0F20" w14:textId="77777777" w:rsidR="00CF57BC" w:rsidRPr="00CF57BC" w:rsidRDefault="00CF57BC" w:rsidP="00CF57BC">
      <w:pPr>
        <w:pStyle w:val="12"/>
        <w:spacing w:after="120" w:line="240" w:lineRule="exact"/>
        <w:ind w:left="283" w:hanging="283"/>
        <w:jc w:val="both"/>
        <w:rPr>
          <w:rFonts w:ascii="FrankRuehl" w:hAnsi="FrankRuehl" w:cs="FrankRuehl"/>
          <w:b w:val="0"/>
          <w:bCs w:val="0"/>
          <w:u w:val="none"/>
          <w:rtl/>
        </w:rPr>
      </w:pPr>
      <w:hyperlink r:id="rId8" w:history="1">
        <w:r w:rsidRPr="00CF57BC">
          <w:rPr>
            <w:rFonts w:ascii="FrankRuehl" w:hAnsi="FrankRuehl" w:cs="FrankRuehl"/>
            <w:b w:val="0"/>
            <w:bCs w:val="0"/>
            <w:color w:val="0000FF"/>
            <w:rtl/>
          </w:rPr>
          <w:t>חוק העונשין, תשל"ז-1977</w:t>
        </w:r>
      </w:hyperlink>
      <w:r w:rsidRPr="00CF57BC">
        <w:rPr>
          <w:rFonts w:ascii="FrankRuehl" w:hAnsi="FrankRuehl" w:cs="FrankRuehl"/>
          <w:b w:val="0"/>
          <w:bCs w:val="0"/>
          <w:u w:val="none"/>
          <w:rtl/>
        </w:rPr>
        <w:t xml:space="preserve">: סע'  </w:t>
      </w:r>
      <w:hyperlink r:id="rId9" w:history="1">
        <w:r w:rsidRPr="00CF57BC">
          <w:rPr>
            <w:rFonts w:ascii="FrankRuehl" w:hAnsi="FrankRuehl" w:cs="FrankRuehl"/>
            <w:b w:val="0"/>
            <w:bCs w:val="0"/>
            <w:color w:val="0000FF"/>
            <w:rtl/>
          </w:rPr>
          <w:t>40ג(א)</w:t>
        </w:r>
      </w:hyperlink>
      <w:r w:rsidRPr="00CF57BC">
        <w:rPr>
          <w:rFonts w:ascii="FrankRuehl" w:hAnsi="FrankRuehl" w:cs="FrankRuehl"/>
          <w:b w:val="0"/>
          <w:bCs w:val="0"/>
          <w:u w:val="none"/>
          <w:rtl/>
        </w:rPr>
        <w:t xml:space="preserve">, </w:t>
      </w:r>
      <w:hyperlink r:id="rId10" w:history="1">
        <w:r w:rsidRPr="00CF57BC">
          <w:rPr>
            <w:rFonts w:ascii="FrankRuehl" w:hAnsi="FrankRuehl" w:cs="FrankRuehl"/>
            <w:b w:val="0"/>
            <w:bCs w:val="0"/>
            <w:color w:val="0000FF"/>
            <w:rtl/>
          </w:rPr>
          <w:t>144(א)</w:t>
        </w:r>
      </w:hyperlink>
      <w:r w:rsidRPr="00CF57BC">
        <w:rPr>
          <w:rFonts w:ascii="FrankRuehl" w:hAnsi="FrankRuehl" w:cs="FrankRuehl"/>
          <w:b w:val="0"/>
          <w:bCs w:val="0"/>
          <w:u w:val="none"/>
          <w:rtl/>
        </w:rPr>
        <w:t xml:space="preserve">, </w:t>
      </w:r>
      <w:hyperlink r:id="rId11" w:history="1">
        <w:r w:rsidRPr="00CF57BC">
          <w:rPr>
            <w:rFonts w:ascii="FrankRuehl" w:hAnsi="FrankRuehl" w:cs="FrankRuehl"/>
            <w:b w:val="0"/>
            <w:bCs w:val="0"/>
            <w:color w:val="0000FF"/>
            <w:rtl/>
          </w:rPr>
          <w:t>144(ב)</w:t>
        </w:r>
      </w:hyperlink>
      <w:r w:rsidRPr="00CF57BC">
        <w:rPr>
          <w:rFonts w:ascii="FrankRuehl" w:hAnsi="FrankRuehl" w:cs="FrankRuehl"/>
          <w:b w:val="0"/>
          <w:bCs w:val="0"/>
          <w:u w:val="none"/>
          <w:rtl/>
        </w:rPr>
        <w:t xml:space="preserve">, </w:t>
      </w:r>
      <w:hyperlink r:id="rId12" w:history="1">
        <w:r w:rsidRPr="00CF57BC">
          <w:rPr>
            <w:rFonts w:ascii="FrankRuehl" w:hAnsi="FrankRuehl" w:cs="FrankRuehl"/>
            <w:b w:val="0"/>
            <w:bCs w:val="0"/>
            <w:color w:val="0000FF"/>
            <w:rtl/>
          </w:rPr>
          <w:t>144(ב2)</w:t>
        </w:r>
      </w:hyperlink>
      <w:r w:rsidRPr="00CF57BC">
        <w:rPr>
          <w:rFonts w:ascii="FrankRuehl" w:hAnsi="FrankRuehl" w:cs="FrankRuehl"/>
          <w:b w:val="0"/>
          <w:bCs w:val="0"/>
          <w:u w:val="none"/>
          <w:rtl/>
        </w:rPr>
        <w:t xml:space="preserve">, </w:t>
      </w:r>
      <w:hyperlink r:id="rId13" w:history="1">
        <w:r w:rsidRPr="00CF57BC">
          <w:rPr>
            <w:rFonts w:ascii="FrankRuehl" w:hAnsi="FrankRuehl" w:cs="FrankRuehl"/>
            <w:b w:val="0"/>
            <w:bCs w:val="0"/>
            <w:color w:val="0000FF"/>
            <w:rtl/>
          </w:rPr>
          <w:t>415</w:t>
        </w:r>
      </w:hyperlink>
      <w:r w:rsidRPr="00CF57BC">
        <w:rPr>
          <w:rFonts w:ascii="FrankRuehl" w:hAnsi="FrankRuehl" w:cs="FrankRuehl"/>
          <w:b w:val="0"/>
          <w:bCs w:val="0"/>
          <w:u w:val="none"/>
          <w:rtl/>
        </w:rPr>
        <w:t xml:space="preserve">, </w:t>
      </w:r>
      <w:hyperlink r:id="rId14" w:history="1">
        <w:r w:rsidRPr="00CF57BC">
          <w:rPr>
            <w:rFonts w:ascii="FrankRuehl" w:hAnsi="FrankRuehl" w:cs="FrankRuehl"/>
            <w:b w:val="0"/>
            <w:bCs w:val="0"/>
            <w:color w:val="0000FF"/>
            <w:rtl/>
          </w:rPr>
          <w:t>בפרק ח'</w:t>
        </w:r>
      </w:hyperlink>
      <w:r w:rsidRPr="00CF57BC">
        <w:rPr>
          <w:rFonts w:ascii="FrankRuehl" w:hAnsi="FrankRuehl" w:cs="FrankRuehl"/>
          <w:b w:val="0"/>
          <w:bCs w:val="0"/>
          <w:u w:val="none"/>
          <w:rtl/>
        </w:rPr>
        <w:t xml:space="preserve">, </w:t>
      </w:r>
      <w:hyperlink r:id="rId15" w:history="1">
        <w:r w:rsidRPr="00CF57BC">
          <w:rPr>
            <w:rFonts w:ascii="FrankRuehl" w:hAnsi="FrankRuehl" w:cs="FrankRuehl"/>
            <w:b w:val="0"/>
            <w:bCs w:val="0"/>
            <w:color w:val="0000FF"/>
            <w:rtl/>
          </w:rPr>
          <w:t>פרק יא'</w:t>
        </w:r>
      </w:hyperlink>
    </w:p>
    <w:p w14:paraId="7F200BCC" w14:textId="77777777" w:rsidR="00CF57BC" w:rsidRPr="00CF57BC" w:rsidRDefault="00CF57BC" w:rsidP="00CF57BC">
      <w:pPr>
        <w:pStyle w:val="12"/>
        <w:spacing w:after="120" w:line="240" w:lineRule="exact"/>
        <w:ind w:left="283" w:hanging="283"/>
        <w:jc w:val="both"/>
        <w:rPr>
          <w:rFonts w:ascii="FrankRuehl" w:hAnsi="FrankRuehl" w:cs="FrankRuehl"/>
          <w:b w:val="0"/>
          <w:bCs w:val="0"/>
          <w:u w:val="none"/>
          <w:rtl/>
        </w:rPr>
      </w:pPr>
      <w:hyperlink r:id="rId16" w:history="1">
        <w:r w:rsidRPr="00CF57BC">
          <w:rPr>
            <w:rFonts w:ascii="FrankRuehl" w:hAnsi="FrankRuehl" w:cs="FrankRuehl"/>
            <w:b w:val="0"/>
            <w:bCs w:val="0"/>
            <w:color w:val="0000FF"/>
            <w:rtl/>
          </w:rPr>
          <w:t>פקודת מס הכנסה [נוסח חדש] - לא מרובד</w:t>
        </w:r>
      </w:hyperlink>
      <w:r w:rsidRPr="00CF57BC">
        <w:rPr>
          <w:rFonts w:ascii="FrankRuehl" w:hAnsi="FrankRuehl" w:cs="FrankRuehl"/>
          <w:b w:val="0"/>
          <w:bCs w:val="0"/>
          <w:u w:val="none"/>
          <w:rtl/>
        </w:rPr>
        <w:t xml:space="preserve">: סע'  </w:t>
      </w:r>
      <w:hyperlink r:id="rId17" w:history="1">
        <w:r w:rsidRPr="00CF57BC">
          <w:rPr>
            <w:rFonts w:ascii="FrankRuehl" w:hAnsi="FrankRuehl" w:cs="FrankRuehl"/>
            <w:b w:val="0"/>
            <w:bCs w:val="0"/>
            <w:color w:val="0000FF"/>
            <w:rtl/>
          </w:rPr>
          <w:t>220(1)</w:t>
        </w:r>
      </w:hyperlink>
      <w:r w:rsidRPr="00CF57BC">
        <w:rPr>
          <w:rFonts w:ascii="FrankRuehl" w:hAnsi="FrankRuehl" w:cs="FrankRuehl"/>
          <w:b w:val="0"/>
          <w:bCs w:val="0"/>
          <w:u w:val="none"/>
          <w:rtl/>
        </w:rPr>
        <w:t xml:space="preserve">, </w:t>
      </w:r>
      <w:hyperlink r:id="rId18" w:history="1">
        <w:r w:rsidRPr="00CF57BC">
          <w:rPr>
            <w:rFonts w:ascii="FrankRuehl" w:hAnsi="FrankRuehl" w:cs="FrankRuehl"/>
            <w:b w:val="0"/>
            <w:bCs w:val="0"/>
            <w:color w:val="0000FF"/>
            <w:rtl/>
          </w:rPr>
          <w:t>220(5)</w:t>
        </w:r>
      </w:hyperlink>
    </w:p>
    <w:p w14:paraId="0B7194C3" w14:textId="77777777" w:rsidR="00CF57BC" w:rsidRPr="00CF57BC" w:rsidRDefault="00CF57BC" w:rsidP="00CF57BC">
      <w:pPr>
        <w:pStyle w:val="12"/>
        <w:spacing w:after="120" w:line="240" w:lineRule="exact"/>
        <w:ind w:left="283" w:hanging="283"/>
        <w:jc w:val="both"/>
        <w:rPr>
          <w:rFonts w:ascii="FrankRuehl" w:hAnsi="FrankRuehl" w:cs="FrankRuehl"/>
          <w:b w:val="0"/>
          <w:bCs w:val="0"/>
          <w:u w:val="none"/>
          <w:rtl/>
        </w:rPr>
      </w:pPr>
    </w:p>
    <w:p w14:paraId="1F64B5DD" w14:textId="77777777" w:rsidR="00CF57BC" w:rsidRPr="00CF57BC" w:rsidRDefault="00CF57BC" w:rsidP="00E06ED4">
      <w:pPr>
        <w:pStyle w:val="12"/>
        <w:rPr>
          <w:b w:val="0"/>
          <w:bCs w:val="0"/>
          <w:u w:val="none"/>
          <w:rtl/>
        </w:rPr>
      </w:pPr>
      <w:bookmarkStart w:id="5" w:name="LawTable_End"/>
      <w:bookmarkEnd w:id="5"/>
    </w:p>
    <w:p w14:paraId="75A19B86" w14:textId="77777777" w:rsidR="00CF57BC" w:rsidRPr="00CF57BC" w:rsidRDefault="00CF57BC" w:rsidP="00E06ED4">
      <w:pPr>
        <w:pStyle w:val="12"/>
        <w:rPr>
          <w:b w:val="0"/>
          <w:bCs w:val="0"/>
          <w:u w:val="none"/>
          <w:rtl/>
        </w:rPr>
      </w:pPr>
    </w:p>
    <w:p w14:paraId="53D86561" w14:textId="77777777" w:rsidR="002C1F98" w:rsidRPr="00CF57BC" w:rsidRDefault="002C1F98" w:rsidP="00E06ED4">
      <w:pPr>
        <w:pStyle w:val="12"/>
        <w:rPr>
          <w:b w:val="0"/>
          <w:bCs w:val="0"/>
          <w:u w:val="none"/>
          <w:rtl/>
        </w:rPr>
      </w:pPr>
    </w:p>
    <w:p w14:paraId="2FB62443" w14:textId="77777777" w:rsidR="00B70766" w:rsidRPr="00B70766" w:rsidRDefault="00B70766" w:rsidP="00985C11">
      <w:pPr>
        <w:spacing w:line="360" w:lineRule="auto"/>
        <w:jc w:val="both"/>
        <w:rPr>
          <w:rFonts w:ascii="Arial" w:hAnsi="Arial"/>
          <w:rtl/>
        </w:rPr>
      </w:pPr>
    </w:p>
    <w:p w14:paraId="7999F900" w14:textId="77777777" w:rsidR="00B70766" w:rsidRPr="00B70766" w:rsidRDefault="00B70766" w:rsidP="00B70766">
      <w:pPr>
        <w:spacing w:line="360" w:lineRule="auto"/>
        <w:jc w:val="center"/>
        <w:rPr>
          <w:rFonts w:ascii="Arial" w:hAnsi="Arial"/>
          <w:bCs/>
          <w:rtl/>
        </w:rPr>
      </w:pPr>
      <w:bookmarkStart w:id="6" w:name="PsakDin"/>
      <w:bookmarkEnd w:id="0"/>
      <w:r w:rsidRPr="00B70766">
        <w:rPr>
          <w:rFonts w:ascii="Arial" w:hAnsi="Arial"/>
          <w:bCs/>
          <w:rtl/>
        </w:rPr>
        <w:t>גזר דין</w:t>
      </w:r>
    </w:p>
    <w:p w14:paraId="22F26CF6" w14:textId="77777777" w:rsidR="002C1F98" w:rsidRPr="000F0561" w:rsidRDefault="002C1F98" w:rsidP="000F0561">
      <w:pPr>
        <w:spacing w:line="360" w:lineRule="auto"/>
        <w:jc w:val="both"/>
        <w:rPr>
          <w:rFonts w:ascii="Times New Roman" w:hAnsi="Times New Roman"/>
          <w:rtl/>
        </w:rPr>
      </w:pPr>
      <w:bookmarkStart w:id="7" w:name="ABSTRACT_START"/>
      <w:bookmarkEnd w:id="6"/>
      <w:bookmarkEnd w:id="7"/>
      <w:r w:rsidRPr="000F0561">
        <w:rPr>
          <w:rFonts w:ascii="Times New Roman" w:hAnsi="Times New Roman"/>
          <w:rtl/>
        </w:rPr>
        <w:t xml:space="preserve">הנאשם הורשע על פי הודאתו, במסגרת הסדר טיעון, בעובדות כתב אישום מתוקן בעבירות נשק (סחר בנשק) בהתאם </w:t>
      </w:r>
      <w:hyperlink r:id="rId19" w:history="1">
        <w:r w:rsidR="00CF57BC" w:rsidRPr="00CF57BC">
          <w:rPr>
            <w:rFonts w:ascii="Times New Roman" w:hAnsi="Times New Roman"/>
            <w:color w:val="0000FF"/>
            <w:u w:val="single"/>
            <w:rtl/>
          </w:rPr>
          <w:t>לסעיף 144(ב2)</w:t>
        </w:r>
      </w:hyperlink>
      <w:r w:rsidRPr="000F0561">
        <w:rPr>
          <w:rFonts w:ascii="Times New Roman" w:hAnsi="Times New Roman"/>
          <w:rtl/>
        </w:rPr>
        <w:t xml:space="preserve"> ל</w:t>
      </w:r>
      <w:hyperlink r:id="rId20" w:history="1">
        <w:r w:rsidR="00B70766" w:rsidRPr="00B70766">
          <w:rPr>
            <w:rFonts w:ascii="Times New Roman" w:hAnsi="Times New Roman"/>
            <w:color w:val="0000FF"/>
            <w:u w:val="single"/>
            <w:rtl/>
          </w:rPr>
          <w:t>חוק העונשין</w:t>
        </w:r>
      </w:hyperlink>
      <w:r w:rsidRPr="000F0561">
        <w:rPr>
          <w:rFonts w:ascii="Times New Roman" w:hAnsi="Times New Roman"/>
          <w:rtl/>
        </w:rPr>
        <w:t>, התשל"ז-1977 (להלן: "</w:t>
      </w:r>
      <w:r w:rsidRPr="000F0561">
        <w:rPr>
          <w:rFonts w:ascii="Times New Roman" w:hAnsi="Times New Roman"/>
          <w:b/>
          <w:bCs/>
          <w:rtl/>
        </w:rPr>
        <w:t>החוק</w:t>
      </w:r>
      <w:r w:rsidRPr="000F0561">
        <w:rPr>
          <w:rFonts w:ascii="Times New Roman" w:hAnsi="Times New Roman"/>
          <w:rtl/>
        </w:rPr>
        <w:t xml:space="preserve">"), קבלת דבר במרמה בנסיבות מחמירות בהתאם </w:t>
      </w:r>
      <w:hyperlink r:id="rId21" w:history="1">
        <w:r w:rsidR="00CF57BC" w:rsidRPr="00CF57BC">
          <w:rPr>
            <w:rFonts w:ascii="Times New Roman" w:hAnsi="Times New Roman"/>
            <w:color w:val="0000FF"/>
            <w:u w:val="single"/>
            <w:rtl/>
          </w:rPr>
          <w:t>לסעיף 415</w:t>
        </w:r>
      </w:hyperlink>
      <w:r w:rsidRPr="000F0561">
        <w:rPr>
          <w:rFonts w:ascii="Times New Roman" w:hAnsi="Times New Roman"/>
          <w:rtl/>
        </w:rPr>
        <w:t xml:space="preserve"> לחוק, השמטת הכנסה מדו"ח- 3 עבירות בהתאם </w:t>
      </w:r>
      <w:hyperlink r:id="rId22" w:history="1">
        <w:r w:rsidR="00CF57BC" w:rsidRPr="00CF57BC">
          <w:rPr>
            <w:rFonts w:ascii="Times New Roman" w:hAnsi="Times New Roman"/>
            <w:color w:val="0000FF"/>
            <w:u w:val="single"/>
            <w:rtl/>
          </w:rPr>
          <w:t>לסעיף 220(1)</w:t>
        </w:r>
      </w:hyperlink>
      <w:r w:rsidRPr="000F0561">
        <w:rPr>
          <w:rFonts w:ascii="Times New Roman" w:hAnsi="Times New Roman"/>
          <w:rtl/>
        </w:rPr>
        <w:t xml:space="preserve"> ל</w:t>
      </w:r>
      <w:hyperlink r:id="rId23" w:history="1">
        <w:r w:rsidR="00B70766" w:rsidRPr="00B70766">
          <w:rPr>
            <w:rFonts w:ascii="Times New Roman" w:hAnsi="Times New Roman"/>
            <w:color w:val="0000FF"/>
            <w:u w:val="single"/>
            <w:rtl/>
          </w:rPr>
          <w:t>פקודת מס הכנסה</w:t>
        </w:r>
      </w:hyperlink>
      <w:r w:rsidRPr="000F0561">
        <w:rPr>
          <w:rFonts w:ascii="Times New Roman" w:hAnsi="Times New Roman"/>
          <w:rtl/>
        </w:rPr>
        <w:t xml:space="preserve"> [נוסח חדש] (להלן: "</w:t>
      </w:r>
      <w:r w:rsidRPr="000F0561">
        <w:rPr>
          <w:rFonts w:ascii="Times New Roman" w:hAnsi="Times New Roman"/>
          <w:b/>
          <w:bCs/>
          <w:rtl/>
        </w:rPr>
        <w:t>הפקודה</w:t>
      </w:r>
      <w:r w:rsidRPr="000F0561">
        <w:rPr>
          <w:rFonts w:ascii="Times New Roman" w:hAnsi="Times New Roman"/>
          <w:rtl/>
        </w:rPr>
        <w:t xml:space="preserve">"), ערמה ותחבולה- 4 עבירות בהתאם </w:t>
      </w:r>
      <w:hyperlink r:id="rId24" w:history="1">
        <w:r w:rsidR="00CF57BC" w:rsidRPr="00CF57BC">
          <w:rPr>
            <w:rFonts w:ascii="Times New Roman" w:hAnsi="Times New Roman"/>
            <w:color w:val="0000FF"/>
            <w:u w:val="single"/>
            <w:rtl/>
          </w:rPr>
          <w:t>לסעיף 220(5)</w:t>
        </w:r>
      </w:hyperlink>
      <w:r w:rsidRPr="000F0561">
        <w:rPr>
          <w:rFonts w:ascii="Times New Roman" w:hAnsi="Times New Roman"/>
          <w:rtl/>
        </w:rPr>
        <w:t xml:space="preserve"> לפקודה.</w:t>
      </w:r>
      <w:bookmarkStart w:id="8" w:name="ABSTRACT_END"/>
      <w:bookmarkEnd w:id="8"/>
    </w:p>
    <w:p w14:paraId="494AEBDD" w14:textId="77777777" w:rsidR="002C1F98" w:rsidRPr="000F0561" w:rsidRDefault="002C1F98" w:rsidP="000F0561">
      <w:pPr>
        <w:spacing w:line="360" w:lineRule="auto"/>
        <w:jc w:val="both"/>
        <w:rPr>
          <w:rFonts w:ascii="Times New Roman" w:hAnsi="Times New Roman"/>
          <w:rtl/>
        </w:rPr>
      </w:pPr>
    </w:p>
    <w:p w14:paraId="5A475699"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על פי המתואר בעובדות כתב האישום המתוקן, ובתמצית, במועדים הרלבנטיים עבד הנאשם כשכיר בחברת "רותם" וכן ניהל את המטווח העירוני בערד בהתנדבות. </w:t>
      </w:r>
    </w:p>
    <w:p w14:paraId="7DD21933" w14:textId="77777777" w:rsidR="002C1F98" w:rsidRPr="000F0561" w:rsidRDefault="002C1F98" w:rsidP="000F0561">
      <w:pPr>
        <w:spacing w:line="360" w:lineRule="auto"/>
        <w:jc w:val="both"/>
        <w:rPr>
          <w:rFonts w:ascii="Times New Roman" w:hAnsi="Times New Roman"/>
          <w:rtl/>
        </w:rPr>
      </w:pPr>
    </w:p>
    <w:p w14:paraId="001DAFC5"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במסגרת תפקידו במטווח, נהג הנאשם להזמין תחמושת מספקים שונים, לשימוש במטווח תמורת תשלום באישור ובמימון המשרד לבטחון פנים והעמותה לקידום הספורט בעיריית ערד, באופן מוסדר. על הנאשם, במסגרת תפקידו היה לדווח ביומנים מסודרים אודות מכירת כל תחמושת ועל בסיס הדיווח, היה הנאשם מנהל את הזמנות התחמושת הבאות.</w:t>
      </w:r>
    </w:p>
    <w:p w14:paraId="0DECBDF6" w14:textId="77777777" w:rsidR="002C1F98" w:rsidRPr="000F0561" w:rsidRDefault="002C1F98" w:rsidP="000F0561">
      <w:pPr>
        <w:spacing w:line="360" w:lineRule="auto"/>
        <w:jc w:val="both"/>
        <w:rPr>
          <w:rFonts w:ascii="Times New Roman" w:hAnsi="Times New Roman"/>
          <w:rtl/>
        </w:rPr>
      </w:pPr>
    </w:p>
    <w:p w14:paraId="4E402BFB"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בין הנאשם לבין מנסור אבו עגאג להלן: "</w:t>
      </w:r>
      <w:r w:rsidRPr="000F0561">
        <w:rPr>
          <w:rFonts w:ascii="Times New Roman" w:hAnsi="Times New Roman"/>
          <w:b/>
          <w:bCs/>
          <w:rtl/>
        </w:rPr>
        <w:t>מנצור</w:t>
      </w:r>
      <w:r w:rsidRPr="000F0561">
        <w:rPr>
          <w:rFonts w:ascii="Times New Roman" w:hAnsi="Times New Roman"/>
          <w:rtl/>
        </w:rPr>
        <w:t xml:space="preserve">") קיימת היכרות קודמת עובר לאירוע אשר יתואר להלן, על רקע אימוני ירי של מנצור במטווח. למנצור יש רישיון להחזיק בנשק. </w:t>
      </w:r>
    </w:p>
    <w:p w14:paraId="0EE42B70" w14:textId="77777777" w:rsidR="002C1F98" w:rsidRPr="000F0561" w:rsidRDefault="002C1F98" w:rsidP="000F0561">
      <w:pPr>
        <w:spacing w:line="360" w:lineRule="auto"/>
        <w:jc w:val="both"/>
        <w:rPr>
          <w:rFonts w:ascii="Times New Roman" w:hAnsi="Times New Roman"/>
          <w:rtl/>
        </w:rPr>
      </w:pPr>
    </w:p>
    <w:p w14:paraId="626318EA"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במועדים רבים שאינם ידועים במדויק למאשימה, אולם בתקופה שבין מחצית שנת 2014 ועד ליום 21.11.17 (להלן: "</w:t>
      </w:r>
      <w:r w:rsidRPr="000F0561">
        <w:rPr>
          <w:rFonts w:ascii="Times New Roman" w:hAnsi="Times New Roman"/>
          <w:b/>
          <w:bCs/>
          <w:rtl/>
        </w:rPr>
        <w:t>התקופה</w:t>
      </w:r>
      <w:r w:rsidRPr="000F0561">
        <w:rPr>
          <w:rFonts w:ascii="Times New Roman" w:hAnsi="Times New Roman"/>
          <w:rtl/>
        </w:rPr>
        <w:t>"), סיכמו הנאשם ומנצור כי הנאשם ימכור למנצור תחמושת מהמטווח ללא רשות על פי דין לעשות כן.</w:t>
      </w:r>
    </w:p>
    <w:p w14:paraId="0EBFAFD0" w14:textId="77777777" w:rsidR="002C1F98" w:rsidRPr="000F0561" w:rsidRDefault="002C1F98" w:rsidP="000F0561">
      <w:pPr>
        <w:spacing w:line="360" w:lineRule="auto"/>
        <w:jc w:val="both"/>
        <w:rPr>
          <w:rFonts w:ascii="Times New Roman" w:hAnsi="Times New Roman"/>
          <w:rtl/>
        </w:rPr>
      </w:pPr>
    </w:p>
    <w:p w14:paraId="6AC87A21"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הנאשם, על מנת להסתיר את מכירת התחמושת, במהלך התקופה, דיווח דיווחים כוזבים ביומני המטווח, לפיהם נעשה שימוש בתחמושת במטווח על ידי חלק מהיורים השונים, בכמות רבה הרבה יותר מאשר נורתה בפועל.</w:t>
      </w:r>
    </w:p>
    <w:p w14:paraId="28022D57" w14:textId="77777777" w:rsidR="002C1F98" w:rsidRPr="000F0561" w:rsidRDefault="002C1F98" w:rsidP="000F0561">
      <w:pPr>
        <w:spacing w:line="360" w:lineRule="auto"/>
        <w:jc w:val="both"/>
        <w:rPr>
          <w:rFonts w:ascii="Times New Roman" w:hAnsi="Times New Roman"/>
          <w:rtl/>
        </w:rPr>
      </w:pPr>
    </w:p>
    <w:p w14:paraId="76922510"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על בסיס דיווחים כוזבים אלו של הנאשם, הזמין הנאשם באופן חוקי ובמימון מלא של הרשויות השונות כמויות גדולות יותר של תחמושת, אשר את חלקה מכר למנצור.</w:t>
      </w:r>
    </w:p>
    <w:p w14:paraId="5FA4DB6F" w14:textId="77777777" w:rsidR="002C1F98" w:rsidRPr="000F0561" w:rsidRDefault="002C1F98" w:rsidP="000F0561">
      <w:pPr>
        <w:spacing w:line="360" w:lineRule="auto"/>
        <w:jc w:val="both"/>
        <w:rPr>
          <w:rFonts w:ascii="Times New Roman" w:hAnsi="Times New Roman"/>
          <w:rtl/>
        </w:rPr>
      </w:pPr>
    </w:p>
    <w:p w14:paraId="52831EA5"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במהלך התקופה נהג  הנאשם להזמין חלק  ניכר מהתחמושת ישירות אל ביתו, על מנת שהדבר יקל עליו במכירתה למנצור. הנאשם הוביל את התחמושת לביתו של מנצור בשכונה 30 בכסייפה ברכב השברולט ורכב הסוואנה לסרוגין, ושם מכר למנצור חלק ניכר מהתחמושת.</w:t>
      </w:r>
    </w:p>
    <w:p w14:paraId="0B3B7A4F" w14:textId="77777777" w:rsidR="002C1F98" w:rsidRPr="000F0561" w:rsidRDefault="002C1F98" w:rsidP="000F0561">
      <w:pPr>
        <w:spacing w:line="360" w:lineRule="auto"/>
        <w:jc w:val="both"/>
        <w:rPr>
          <w:rFonts w:ascii="Times New Roman" w:hAnsi="Times New Roman"/>
          <w:rtl/>
        </w:rPr>
      </w:pPr>
    </w:p>
    <w:p w14:paraId="03CFDE6D"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במהלך התקופה, מכר הנאשם למנצור תחמושת בהיקף של 120,000 כדורי תחמושת בקוטר של 9 מ"מ תמורת סכום של כ- 2 ₪ לכדור. </w:t>
      </w:r>
    </w:p>
    <w:p w14:paraId="5894B823" w14:textId="77777777" w:rsidR="002C1F98" w:rsidRPr="000F0561" w:rsidRDefault="002C1F98" w:rsidP="000F0561">
      <w:pPr>
        <w:spacing w:line="360" w:lineRule="auto"/>
        <w:jc w:val="both"/>
        <w:rPr>
          <w:rFonts w:ascii="Times New Roman" w:hAnsi="Times New Roman"/>
          <w:rtl/>
        </w:rPr>
      </w:pPr>
    </w:p>
    <w:p w14:paraId="5C690DED"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כמו כן, במועד שאינו ידוע במדויק למאשימה, אולם בסמוך לפני יום 21.11.17, מכר הנאשם למנצור כ-1000 כדורי תחמושת בקוטר של 0.22 מ"מ, תמורת סכום כולל של 1,500 ₪.</w:t>
      </w:r>
    </w:p>
    <w:p w14:paraId="45481690" w14:textId="77777777" w:rsidR="002C1F98" w:rsidRPr="000F0561" w:rsidRDefault="002C1F98" w:rsidP="000F0561">
      <w:pPr>
        <w:spacing w:line="360" w:lineRule="auto"/>
        <w:jc w:val="both"/>
        <w:rPr>
          <w:rFonts w:ascii="Times New Roman" w:hAnsi="Times New Roman"/>
          <w:rtl/>
        </w:rPr>
      </w:pPr>
    </w:p>
    <w:p w14:paraId="79966781"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בסך הכל, הפיק הנאשם הכנסות מביצוע העבירות כאמור בסך כולל של 241,000 ₪.</w:t>
      </w:r>
    </w:p>
    <w:p w14:paraId="1A0DADDC" w14:textId="77777777" w:rsidR="002C1F98" w:rsidRPr="000F0561" w:rsidRDefault="002C1F98" w:rsidP="000F0561">
      <w:pPr>
        <w:spacing w:line="360" w:lineRule="auto"/>
        <w:jc w:val="both"/>
        <w:rPr>
          <w:rFonts w:ascii="Times New Roman" w:hAnsi="Times New Roman"/>
          <w:rtl/>
        </w:rPr>
      </w:pPr>
    </w:p>
    <w:p w14:paraId="19D39D47"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את ההכנסות שצבר כאמור, נמנע הנאשם מלהפקיד בחשבונו והשתמש בהן לצרכיו האישיים ולא כלל אותם בדיווחיו בנוגע להכנסותיו. </w:t>
      </w:r>
    </w:p>
    <w:p w14:paraId="664563CA" w14:textId="77777777" w:rsidR="002C1F98" w:rsidRPr="000F0561" w:rsidRDefault="002C1F98" w:rsidP="000F0561">
      <w:pPr>
        <w:spacing w:line="360" w:lineRule="auto"/>
        <w:jc w:val="both"/>
        <w:rPr>
          <w:rFonts w:ascii="Times New Roman" w:hAnsi="Times New Roman"/>
          <w:rtl/>
        </w:rPr>
      </w:pPr>
    </w:p>
    <w:p w14:paraId="0F1222AA"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עד כאן עובדות כתב האישום המתוקן. </w:t>
      </w:r>
    </w:p>
    <w:p w14:paraId="45C884E9" w14:textId="77777777" w:rsidR="002C1F98" w:rsidRPr="000F0561" w:rsidRDefault="002C1F98" w:rsidP="000F0561">
      <w:pPr>
        <w:spacing w:line="360" w:lineRule="auto"/>
        <w:jc w:val="both"/>
        <w:rPr>
          <w:rFonts w:ascii="Times New Roman" w:hAnsi="Times New Roman"/>
          <w:rtl/>
        </w:rPr>
      </w:pPr>
    </w:p>
    <w:p w14:paraId="389FBE7B"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במסגרת הסדר הטיעון, הוסכם כי המאשימה תגביל עצמה לעונש ראוי של ארבע וחצי שנים מאסר בפועל לצד ענישה נלווית ואילו הגנה תהיה חופשית בטיעוניה. </w:t>
      </w:r>
    </w:p>
    <w:p w14:paraId="635B345F" w14:textId="77777777" w:rsidR="002C1F98" w:rsidRPr="000F0561" w:rsidRDefault="002C1F98" w:rsidP="000F0561">
      <w:pPr>
        <w:spacing w:line="360" w:lineRule="auto"/>
        <w:jc w:val="both"/>
        <w:rPr>
          <w:rFonts w:ascii="Times New Roman" w:hAnsi="Times New Roman"/>
          <w:rtl/>
        </w:rPr>
      </w:pPr>
    </w:p>
    <w:p w14:paraId="3CF5097D"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b/>
          <w:bCs/>
          <w:u w:val="single"/>
          <w:rtl/>
        </w:rPr>
        <w:t>תסקיר שרות המבחן</w:t>
      </w:r>
      <w:r w:rsidRPr="000F0561">
        <w:rPr>
          <w:rFonts w:ascii="Times New Roman" w:hAnsi="Times New Roman"/>
          <w:rtl/>
        </w:rPr>
        <w:t>:</w:t>
      </w:r>
    </w:p>
    <w:p w14:paraId="1F79C63F"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הנאשם נולד בארגנטינה בשנת 1971 ועלה ארצה בשנת 1990, נשוי מזה כ-25 שנה ואב ל-4 ילדים בגילאים 23-11. טרם מעצרו התגורר בערד ועבד מזה 20 שנה כמכונאי ציוד במפעל "רותם". במקביל ניהל בהתנדבות את המטווח העירוני לצד התנדבותו שנים רבות במשמר האזרחי. הנאשם סיים 13 שנות לימוד בארגנטינה. </w:t>
      </w:r>
    </w:p>
    <w:p w14:paraId="1DB71D74" w14:textId="77777777" w:rsidR="002C1F98" w:rsidRPr="000F0561" w:rsidRDefault="002C1F98" w:rsidP="000F0561">
      <w:pPr>
        <w:spacing w:line="360" w:lineRule="auto"/>
        <w:jc w:val="both"/>
        <w:rPr>
          <w:rFonts w:ascii="Times New Roman" w:hAnsi="Times New Roman"/>
          <w:rtl/>
        </w:rPr>
      </w:pPr>
    </w:p>
    <w:p w14:paraId="14F1B852"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ביחס למעורבותו בעבירות שבענייננו, הנאשם הודה בביצוען. לדבריו, אותו מנצור פנה אליו ולא הרפה על מנת לקבל תחמושת לחתונת קרוביו, לבסוף השתכנע לעשות כן ועשה זאת עבור הכסף ששימש לטיפולים בריאותיים לאשתו שחלתה. הנאשם הביע צער וחרטה עמוקה על מעשיו. התרשמות שרות המבחן היא כי קיימת בנאשם התובנה שמעל באמון קרוביו ושל מעסקיו השונים. לאורך התקופה בה שוהה במעצר, עורך הנאשם תהליך של בדיקה פנימית אשר מעצימה את חומרת מעשיו.</w:t>
      </w:r>
    </w:p>
    <w:p w14:paraId="1838D8B7" w14:textId="77777777" w:rsidR="002C1F98" w:rsidRPr="000F0561" w:rsidRDefault="002C1F98" w:rsidP="000F0561">
      <w:pPr>
        <w:spacing w:line="360" w:lineRule="auto"/>
        <w:jc w:val="both"/>
        <w:rPr>
          <w:rFonts w:ascii="Times New Roman" w:hAnsi="Times New Roman"/>
          <w:rtl/>
        </w:rPr>
      </w:pPr>
    </w:p>
    <w:p w14:paraId="57DE9D6D"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בבחינת קיומם של </w:t>
      </w:r>
      <w:r w:rsidRPr="000F0561">
        <w:rPr>
          <w:rFonts w:ascii="Times New Roman" w:hAnsi="Times New Roman"/>
          <w:u w:val="single"/>
          <w:rtl/>
        </w:rPr>
        <w:t>גורמי סיכון</w:t>
      </w:r>
      <w:r w:rsidRPr="000F0561">
        <w:rPr>
          <w:rFonts w:ascii="Times New Roman" w:hAnsi="Times New Roman"/>
          <w:rtl/>
        </w:rPr>
        <w:t xml:space="preserve"> להתנהגות עבריינית בעתיד, שקל שרות המבחן את הפער בין התנהלותו בחייו עד כה ובין חומרת העבירה אותה ביצע. בבחינת קיומם של </w:t>
      </w:r>
      <w:r w:rsidRPr="000F0561">
        <w:rPr>
          <w:rFonts w:ascii="Times New Roman" w:hAnsi="Times New Roman"/>
          <w:u w:val="single"/>
          <w:rtl/>
        </w:rPr>
        <w:t>גורמי סיכוי</w:t>
      </w:r>
      <w:r w:rsidRPr="000F0561">
        <w:rPr>
          <w:rFonts w:ascii="Times New Roman" w:hAnsi="Times New Roman"/>
          <w:rtl/>
        </w:rPr>
        <w:t xml:space="preserve"> לשיקום, לקח שרות המבחן בחשבון את היעדר מעורבותו הקודמת בפלילים, את יכולותיו האישיות והתפקודיות ואת התרשמות שרות המבחן מהשפעת המעצר וההליך המשפטי על הנאשם אשר באה לידי ביטוי במחירים האישיים והמקצועיים שמשלם. עוד נלקחה בחשבון  העובדה כי אינו יכול לשוב ולעסוק בתחום אותו הוא אוהב ומצליח בו והתמודדותו עם העובדה שאינו יכול לתמוך בבני משפחתו.</w:t>
      </w:r>
    </w:p>
    <w:p w14:paraId="124A3A3D" w14:textId="77777777" w:rsidR="002C1F98" w:rsidRPr="000F0561" w:rsidRDefault="002C1F98" w:rsidP="000F0561">
      <w:pPr>
        <w:spacing w:line="360" w:lineRule="auto"/>
        <w:jc w:val="both"/>
        <w:rPr>
          <w:rFonts w:ascii="Times New Roman" w:hAnsi="Times New Roman"/>
          <w:rtl/>
        </w:rPr>
      </w:pPr>
    </w:p>
    <w:p w14:paraId="44A8EF41"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בשקלול כלל הפרמטרים העריך שרות המבחן כי עונש של מאסר ממושך עלול להוביל לפגיעה משמעותית במצבו הרגשי והנפשי. בסופם של דברים, ממליץ שרות המבחן להטיל על הנאשם עונש מוחשי לא ממושך ומאסר על תנאי משמעותי.</w:t>
      </w:r>
    </w:p>
    <w:p w14:paraId="1FEF7A31" w14:textId="77777777" w:rsidR="002C1F98" w:rsidRPr="000F0561" w:rsidRDefault="002C1F98" w:rsidP="000F0561">
      <w:pPr>
        <w:spacing w:line="360" w:lineRule="auto"/>
        <w:jc w:val="both"/>
        <w:rPr>
          <w:rFonts w:ascii="Times New Roman" w:hAnsi="Times New Roman"/>
          <w:rtl/>
        </w:rPr>
      </w:pPr>
    </w:p>
    <w:p w14:paraId="412F5AA7"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b/>
          <w:bCs/>
          <w:u w:val="single"/>
          <w:rtl/>
        </w:rPr>
        <w:t xml:space="preserve">טיעוני המאשימה לעונש </w:t>
      </w:r>
      <w:r w:rsidRPr="000F0561">
        <w:rPr>
          <w:rFonts w:ascii="Times New Roman" w:hAnsi="Times New Roman"/>
          <w:rtl/>
        </w:rPr>
        <w:t>:</w:t>
      </w:r>
    </w:p>
    <w:p w14:paraId="50B5A2FE" w14:textId="77777777" w:rsidR="002C1F98" w:rsidRPr="000F0561" w:rsidRDefault="002C1F98" w:rsidP="005B5742">
      <w:pPr>
        <w:spacing w:line="360" w:lineRule="auto"/>
        <w:jc w:val="both"/>
        <w:rPr>
          <w:rFonts w:ascii="Times New Roman" w:hAnsi="Times New Roman"/>
          <w:rtl/>
        </w:rPr>
      </w:pPr>
      <w:r w:rsidRPr="000F0561">
        <w:rPr>
          <w:rFonts w:ascii="Times New Roman" w:hAnsi="Times New Roman"/>
          <w:rtl/>
        </w:rPr>
        <w:t>ב</w:t>
      </w:r>
      <w:r>
        <w:rPr>
          <w:rFonts w:ascii="Times New Roman" w:hAnsi="Times New Roman"/>
          <w:rtl/>
        </w:rPr>
        <w:t xml:space="preserve">את </w:t>
      </w:r>
      <w:r w:rsidRPr="000F0561">
        <w:rPr>
          <w:rFonts w:ascii="Times New Roman" w:hAnsi="Times New Roman"/>
          <w:rtl/>
        </w:rPr>
        <w:t>כ</w:t>
      </w:r>
      <w:r>
        <w:rPr>
          <w:rFonts w:ascii="Times New Roman" w:hAnsi="Times New Roman"/>
          <w:rtl/>
        </w:rPr>
        <w:t>וח</w:t>
      </w:r>
      <w:r w:rsidRPr="000F0561">
        <w:rPr>
          <w:rFonts w:ascii="Times New Roman" w:hAnsi="Times New Roman"/>
          <w:rtl/>
        </w:rPr>
        <w:t xml:space="preserve"> המאשימה במסגרת בטיעוניה לעונש, הפנתה לערכים המוגנים בהם פגע הנאשם. לדידה, הערכים המוגנים שנפגעו מביצוע עבירות המרמה בנסיבות מחמי</w:t>
      </w:r>
      <w:r>
        <w:rPr>
          <w:rFonts w:ascii="Times New Roman" w:hAnsi="Times New Roman"/>
          <w:rtl/>
        </w:rPr>
        <w:t>רות הם זכות הקניין, נאמנות עובד</w:t>
      </w:r>
      <w:r w:rsidRPr="000F0561">
        <w:rPr>
          <w:rFonts w:ascii="Times New Roman" w:hAnsi="Times New Roman"/>
          <w:rtl/>
        </w:rPr>
        <w:t xml:space="preserve"> כלפי מעסיקו, נאמנות מנהלי מטווחים במילוי תפקידם ואמון הציבור בעובדים מסוג זה. לשיטת המאשימה, מידת הפגיעה בערכים מוגנים אלה הנה גבוהה.  אשר לעבירות הנשק, נטען כי הערכים המוגנים שנפגעו ממעשיו של הנאשם כוללים את בטחונו של אדם ושלום </w:t>
      </w:r>
      <w:r>
        <w:rPr>
          <w:rFonts w:ascii="Times New Roman" w:hAnsi="Times New Roman"/>
          <w:rtl/>
        </w:rPr>
        <w:t xml:space="preserve">הציבור </w:t>
      </w:r>
      <w:r w:rsidRPr="000F0561">
        <w:rPr>
          <w:rFonts w:ascii="Times New Roman" w:hAnsi="Times New Roman"/>
          <w:rtl/>
        </w:rPr>
        <w:t>כאשר גם ביחס לערכים מוגנים אלו המדובר בפגיעה חמורה.</w:t>
      </w:r>
    </w:p>
    <w:p w14:paraId="633ABA72" w14:textId="77777777" w:rsidR="002C1F98" w:rsidRPr="000F0561" w:rsidRDefault="002C1F98" w:rsidP="000F0561">
      <w:pPr>
        <w:spacing w:line="360" w:lineRule="auto"/>
        <w:jc w:val="both"/>
        <w:rPr>
          <w:rFonts w:ascii="Times New Roman" w:hAnsi="Times New Roman"/>
          <w:rtl/>
        </w:rPr>
      </w:pPr>
    </w:p>
    <w:p w14:paraId="5F0F8EE3" w14:textId="77777777" w:rsidR="002C1F98" w:rsidRPr="000F0561" w:rsidRDefault="002C1F98" w:rsidP="005B5742">
      <w:pPr>
        <w:spacing w:line="360" w:lineRule="auto"/>
        <w:jc w:val="both"/>
        <w:rPr>
          <w:rFonts w:ascii="Times New Roman" w:hAnsi="Times New Roman"/>
          <w:rtl/>
        </w:rPr>
      </w:pPr>
      <w:r w:rsidRPr="000F0561">
        <w:rPr>
          <w:rFonts w:ascii="Times New Roman" w:hAnsi="Times New Roman"/>
          <w:rtl/>
        </w:rPr>
        <w:t>המאשימה הפנתה למגמת ההחמרה בענישה נוכח הסכנות הברורות הכרוכות בהגעתו של נשק בלתי חוקי לידי גורמים בלתי מורשים בפרט נוכח המציאות הביטחונית של מדינת ישראל. נטען כי בתיק זה מדובר בסחר בלתי חוקי של תחמושת בכמות עצומה כפי שלא נראתה כמותה בפסיקה. נטען כי הנסיבות המחמירות הן השיטתיות בביצוע העבירות, משך הזמן הרב בו בוצעו העבירות (כ-3 וחצי שנים) וניצול האמון שניתן בנאשם מתוקף היותו מנהל המטווח. באשר לעדי האופי</w:t>
      </w:r>
      <w:r>
        <w:rPr>
          <w:rFonts w:ascii="Times New Roman" w:hAnsi="Times New Roman"/>
          <w:rtl/>
        </w:rPr>
        <w:t>, נטען</w:t>
      </w:r>
      <w:r w:rsidRPr="000F0561">
        <w:rPr>
          <w:rFonts w:ascii="Times New Roman" w:hAnsi="Times New Roman"/>
          <w:rtl/>
        </w:rPr>
        <w:t xml:space="preserve"> כי הנאשם ניצל את הפלטפורמה של ההתנדבות </w:t>
      </w:r>
      <w:r>
        <w:rPr>
          <w:rFonts w:ascii="Times New Roman" w:hAnsi="Times New Roman"/>
          <w:rtl/>
        </w:rPr>
        <w:t xml:space="preserve">במטווח </w:t>
      </w:r>
      <w:r w:rsidRPr="000F0561">
        <w:rPr>
          <w:rFonts w:ascii="Times New Roman" w:hAnsi="Times New Roman"/>
          <w:rtl/>
        </w:rPr>
        <w:t>ודרס ברגל גסה את האמון שניתן לו. נתונים אלה מובילים למסקנה כי יש להטיל על הנאשם 4.5 שנות מאסר בפועל, מאסר מותנה משמעותי, חילוט וקנס.</w:t>
      </w:r>
    </w:p>
    <w:p w14:paraId="72E994BF" w14:textId="77777777" w:rsidR="002C1F98" w:rsidRPr="000F0561" w:rsidRDefault="002C1F98" w:rsidP="000F0561">
      <w:pPr>
        <w:spacing w:line="360" w:lineRule="auto"/>
        <w:jc w:val="both"/>
        <w:rPr>
          <w:rFonts w:ascii="Times New Roman" w:hAnsi="Times New Roman"/>
          <w:rtl/>
        </w:rPr>
      </w:pPr>
    </w:p>
    <w:p w14:paraId="05FC4E03" w14:textId="77777777" w:rsidR="002C1F98" w:rsidRPr="000F0561" w:rsidRDefault="002C1F98" w:rsidP="000F0561">
      <w:pPr>
        <w:spacing w:line="360" w:lineRule="auto"/>
        <w:jc w:val="both"/>
        <w:rPr>
          <w:rFonts w:ascii="Times New Roman" w:hAnsi="Times New Roman"/>
          <w:b/>
          <w:bCs/>
          <w:u w:val="single"/>
          <w:rtl/>
        </w:rPr>
      </w:pPr>
      <w:r w:rsidRPr="000F0561">
        <w:rPr>
          <w:rFonts w:ascii="Times New Roman" w:hAnsi="Times New Roman"/>
          <w:b/>
          <w:bCs/>
          <w:u w:val="single"/>
          <w:rtl/>
        </w:rPr>
        <w:t>טיעוני ההגנה לעונש:</w:t>
      </w:r>
    </w:p>
    <w:p w14:paraId="3B498ED9" w14:textId="77777777" w:rsidR="002C1F98" w:rsidRPr="000F0561" w:rsidRDefault="002C1F98" w:rsidP="000F0561">
      <w:pPr>
        <w:spacing w:after="120" w:line="360" w:lineRule="auto"/>
        <w:contextualSpacing/>
        <w:jc w:val="both"/>
        <w:rPr>
          <w:rtl/>
        </w:rPr>
      </w:pPr>
      <w:r w:rsidRPr="000F0561">
        <w:rPr>
          <w:rtl/>
        </w:rPr>
        <w:t xml:space="preserve">מטעם ההגנה העידו מספר עדי אופי, אשר לימדו סנגוריה על הנאשם: </w:t>
      </w:r>
    </w:p>
    <w:p w14:paraId="0FF9F8CC" w14:textId="77777777" w:rsidR="002C1F98" w:rsidRPr="000F0561" w:rsidRDefault="002C1F98" w:rsidP="000F0561">
      <w:pPr>
        <w:spacing w:after="120" w:line="360" w:lineRule="auto"/>
        <w:contextualSpacing/>
        <w:jc w:val="both"/>
        <w:rPr>
          <w:rtl/>
        </w:rPr>
      </w:pPr>
    </w:p>
    <w:p w14:paraId="03CA550C" w14:textId="77777777" w:rsidR="002C1F98" w:rsidRPr="000F0561" w:rsidRDefault="002C1F98" w:rsidP="000F0561">
      <w:pPr>
        <w:spacing w:after="120" w:line="360" w:lineRule="auto"/>
        <w:contextualSpacing/>
        <w:jc w:val="both"/>
        <w:rPr>
          <w:rtl/>
        </w:rPr>
      </w:pPr>
      <w:r w:rsidRPr="000F0561">
        <w:rPr>
          <w:u w:val="single"/>
          <w:rtl/>
        </w:rPr>
        <w:t>העדה משכית הודסמן</w:t>
      </w:r>
      <w:r w:rsidRPr="000F0561">
        <w:rPr>
          <w:rtl/>
        </w:rPr>
        <w:t>, תיארה את הסיוע של הנאשם לבנה שעזב את הלימודים והוגדר כנער בסיכון. העדה סיפרה שהנאשם לקח את בנה תחת חסותו שנה שלמה. לבסוף בנה סיים צבא ובגרות מלאה.</w:t>
      </w:r>
    </w:p>
    <w:p w14:paraId="042D63E9" w14:textId="77777777" w:rsidR="002C1F98" w:rsidRPr="000F0561" w:rsidRDefault="002C1F98" w:rsidP="000F0561">
      <w:pPr>
        <w:spacing w:after="120" w:line="360" w:lineRule="auto"/>
        <w:contextualSpacing/>
        <w:jc w:val="both"/>
        <w:rPr>
          <w:rtl/>
        </w:rPr>
      </w:pPr>
    </w:p>
    <w:p w14:paraId="5C5E9E1C" w14:textId="77777777" w:rsidR="002C1F98" w:rsidRPr="000F0561" w:rsidRDefault="002C1F98" w:rsidP="000F0561">
      <w:pPr>
        <w:spacing w:after="120" w:line="360" w:lineRule="auto"/>
        <w:contextualSpacing/>
        <w:jc w:val="both"/>
        <w:rPr>
          <w:rtl/>
        </w:rPr>
      </w:pPr>
      <w:r w:rsidRPr="000F0561">
        <w:rPr>
          <w:u w:val="single"/>
          <w:rtl/>
        </w:rPr>
        <w:t>העד מתי רוז</w:t>
      </w:r>
      <w:r w:rsidRPr="000F0561">
        <w:rPr>
          <w:rtl/>
        </w:rPr>
        <w:t xml:space="preserve">, סגן ראש העיר בערד לשעבר וחבר מועצת העיר בהווה, העיד על תרומתו של הנאשם בפיתוח כפר הילדים בערד שנועד לילדים שהוצאו מהבית לפי חוק הנוער. משפחת הנאשם סייעה בשיפוץ וחידוש הכפר ולאחר כשנה וחצי הכפר מנה 70 ילדים שהוצאו מבתיהם. כן נרתמה משפחת הנאשם לתכנית אירוח הילדים בחופשות וחגים כחלופה להורים. במשך שנים לקחה על עצמה משפחת הנאשם אירוח של ילדים מהכפר. העד הוסיף כי הנאשם גייס אותו ליחידת ג'יפאים שהוקמה לפני כ- 15 שנה בשל גניבות הרכב בעיר. הנאשם תרם שבתות וחגים. </w:t>
      </w:r>
    </w:p>
    <w:p w14:paraId="34E4886A" w14:textId="77777777" w:rsidR="002C1F98" w:rsidRPr="000F0561" w:rsidRDefault="002C1F98" w:rsidP="000F0561">
      <w:pPr>
        <w:spacing w:after="120" w:line="360" w:lineRule="auto"/>
        <w:contextualSpacing/>
        <w:jc w:val="both"/>
        <w:rPr>
          <w:rtl/>
        </w:rPr>
      </w:pPr>
      <w:r w:rsidRPr="000F0561">
        <w:rPr>
          <w:rtl/>
        </w:rPr>
        <w:t xml:space="preserve"> </w:t>
      </w:r>
    </w:p>
    <w:p w14:paraId="3E522818" w14:textId="77777777" w:rsidR="002C1F98" w:rsidRPr="000F0561" w:rsidRDefault="002C1F98" w:rsidP="000F0561">
      <w:pPr>
        <w:spacing w:after="120" w:line="360" w:lineRule="auto"/>
        <w:contextualSpacing/>
        <w:jc w:val="both"/>
        <w:rPr>
          <w:rtl/>
        </w:rPr>
      </w:pPr>
      <w:r w:rsidRPr="000F0561">
        <w:rPr>
          <w:u w:val="single"/>
          <w:rtl/>
        </w:rPr>
        <w:t>בנו של הנאשם, שי בירנדורף</w:t>
      </w:r>
      <w:r w:rsidRPr="000F0561">
        <w:rPr>
          <w:rtl/>
        </w:rPr>
        <w:t>, הקריא מתוך מכתב שכתב ובו פירוט בדבר אופיו המיוחד של אביו. העד סיפר על תרומתו של אביו לקהילה, ערכים שדאג להנחיל גם בקרב ילדיו. עוד סיפר על חינוכם על ידי אביו למצוינות ועל החלל הריק שנוצר במשפחה מאז שנעצר.</w:t>
      </w:r>
    </w:p>
    <w:p w14:paraId="70D8F589" w14:textId="77777777" w:rsidR="002C1F98" w:rsidRPr="000F0561" w:rsidRDefault="002C1F98" w:rsidP="000F0561">
      <w:pPr>
        <w:spacing w:after="120" w:line="360" w:lineRule="auto"/>
        <w:contextualSpacing/>
        <w:jc w:val="both"/>
        <w:rPr>
          <w:rtl/>
        </w:rPr>
      </w:pPr>
    </w:p>
    <w:p w14:paraId="4E507A49" w14:textId="77777777" w:rsidR="002C1F98" w:rsidRPr="000F0561" w:rsidRDefault="002C1F98" w:rsidP="000F0561">
      <w:pPr>
        <w:spacing w:after="120" w:line="360" w:lineRule="auto"/>
        <w:contextualSpacing/>
        <w:jc w:val="both"/>
        <w:rPr>
          <w:rtl/>
        </w:rPr>
      </w:pPr>
      <w:r w:rsidRPr="000F0561">
        <w:rPr>
          <w:u w:val="single"/>
          <w:rtl/>
        </w:rPr>
        <w:t>אשתו של הנאשם, פאבינה בירנדורף</w:t>
      </w:r>
      <w:r w:rsidRPr="000F0561">
        <w:rPr>
          <w:rtl/>
        </w:rPr>
        <w:t>, הקריאה אף היא מתוך מכתב שכתבה ובו תיארה את פועלו ותרומתו של הנאשם למען הקהילה. תיארה את הקשיים הרבים אותם עוברת המשפחה מאז מעצרו של הנאשם שהיווה עוגן למשפחה. העדה סיפרה על כך שחלתה לפני מספר שנים ועל האופן שבו הנאשם שימש נקודת חוזק ומשען עבורה בכל אותה עת. עוד סיפרה העדה כי עלתה ארצה לאחר טראומה קשה שעברה ועל כך שהנאשם עזר לה לבנות את עצמה מחדש. העדה ביקשה מבית המשפט ליתן הזדמנות לנאשם ולשחררו.</w:t>
      </w:r>
    </w:p>
    <w:p w14:paraId="0070238E" w14:textId="77777777" w:rsidR="002C1F98" w:rsidRPr="000F0561" w:rsidRDefault="002C1F98" w:rsidP="000F0561">
      <w:pPr>
        <w:spacing w:line="360" w:lineRule="auto"/>
        <w:jc w:val="both"/>
        <w:rPr>
          <w:rFonts w:ascii="Times New Roman" w:hAnsi="Times New Roman"/>
          <w:rtl/>
        </w:rPr>
      </w:pPr>
    </w:p>
    <w:p w14:paraId="6910BAAD"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נוסף לכל אלה, הוגשה אסופה של מכתבים, משורה ארוכה של אנשים, המדברים בזכותו של הנאשם, בדגש על פועלו למען הקהילה. כך בין היתר, בני הזוג </w:t>
      </w:r>
      <w:r w:rsidRPr="000F0561">
        <w:rPr>
          <w:rFonts w:ascii="Times New Roman" w:hAnsi="Times New Roman"/>
          <w:u w:val="single"/>
          <w:rtl/>
        </w:rPr>
        <w:t>משה ולילך יוסף</w:t>
      </w:r>
      <w:r w:rsidRPr="000F0561">
        <w:rPr>
          <w:rFonts w:ascii="Times New Roman" w:hAnsi="Times New Roman"/>
          <w:rtl/>
        </w:rPr>
        <w:t xml:space="preserve"> סיפרו על הכרותם עם אדם טוב הגון אשר מסייע לכולם ונכון לתרום בכל עת. </w:t>
      </w:r>
      <w:r w:rsidRPr="000F0561">
        <w:rPr>
          <w:rFonts w:ascii="Times New Roman" w:hAnsi="Times New Roman"/>
          <w:u w:val="single"/>
          <w:rtl/>
        </w:rPr>
        <w:t>אלכס ספוז'ניקוב</w:t>
      </w:r>
      <w:r w:rsidRPr="000F0561">
        <w:rPr>
          <w:rFonts w:ascii="Times New Roman" w:hAnsi="Times New Roman"/>
          <w:rtl/>
        </w:rPr>
        <w:t xml:space="preserve"> סיפר אף הוא על יכולותיו הגבוהות של הנאשם והתנדבותו לארגון האבקות העירוני. החניך </w:t>
      </w:r>
      <w:r w:rsidRPr="000F0561">
        <w:rPr>
          <w:rFonts w:ascii="Times New Roman" w:hAnsi="Times New Roman"/>
          <w:u w:val="single"/>
          <w:rtl/>
        </w:rPr>
        <w:t>עמיר חן</w:t>
      </w:r>
      <w:r w:rsidRPr="000F0561">
        <w:rPr>
          <w:rFonts w:ascii="Times New Roman" w:hAnsi="Times New Roman"/>
          <w:rtl/>
        </w:rPr>
        <w:t xml:space="preserve"> תיאר את האהבה שהנאשם החדיר בו ובבני נוער רבים מהעיר לחוג אותו ניהל הנאשם במטווח העירוני. </w:t>
      </w:r>
      <w:r w:rsidRPr="000F0561">
        <w:rPr>
          <w:rFonts w:ascii="Times New Roman" w:hAnsi="Times New Roman"/>
          <w:u w:val="single"/>
          <w:rtl/>
        </w:rPr>
        <w:t>משפחת שטיינמן</w:t>
      </w:r>
      <w:r w:rsidRPr="000F0561">
        <w:rPr>
          <w:rFonts w:ascii="Times New Roman" w:hAnsi="Times New Roman"/>
          <w:rtl/>
        </w:rPr>
        <w:t xml:space="preserve"> סיפרה על הסיוע של הנאשם במסגרת פעילותו ביחידת הג'יפים לאתר את רכבם שנגנב. </w:t>
      </w:r>
      <w:r w:rsidRPr="000F0561">
        <w:rPr>
          <w:rFonts w:ascii="Times New Roman" w:hAnsi="Times New Roman"/>
          <w:u w:val="single"/>
          <w:rtl/>
        </w:rPr>
        <w:t>דודי שושטרי</w:t>
      </w:r>
      <w:r w:rsidRPr="000F0561">
        <w:rPr>
          <w:rFonts w:ascii="Times New Roman" w:hAnsi="Times New Roman"/>
          <w:rtl/>
        </w:rPr>
        <w:t xml:space="preserve"> סיפר על חלקו של הנאשם בהפקת אירועים בעיר ערד. </w:t>
      </w:r>
      <w:r w:rsidRPr="000F0561">
        <w:rPr>
          <w:rFonts w:ascii="Times New Roman" w:hAnsi="Times New Roman"/>
          <w:u w:val="single"/>
          <w:rtl/>
        </w:rPr>
        <w:t>יובל פז</w:t>
      </w:r>
      <w:r w:rsidRPr="000F0561">
        <w:rPr>
          <w:rFonts w:ascii="Times New Roman" w:hAnsi="Times New Roman"/>
          <w:rtl/>
        </w:rPr>
        <w:t xml:space="preserve"> מפקדה לשעבר של תחנת משטרת ערד, תיאר את מסירותו של הנאשם במסגרת פעילות ביחידת הג'יפים. בני הזוג </w:t>
      </w:r>
      <w:r w:rsidRPr="000F0561">
        <w:rPr>
          <w:rFonts w:ascii="Times New Roman" w:hAnsi="Times New Roman"/>
          <w:u w:val="single"/>
          <w:rtl/>
        </w:rPr>
        <w:t>עירית וארמנדו סברסקי</w:t>
      </w:r>
      <w:r w:rsidRPr="000F0561">
        <w:rPr>
          <w:rFonts w:ascii="Times New Roman" w:hAnsi="Times New Roman"/>
          <w:rtl/>
        </w:rPr>
        <w:t xml:space="preserve"> תיארו את הנאשם כאדם ציוני שהטיף לחינוך ואהבת הארץ. כמו כן פירטו את הסיוע שנתן לבנם שחלה במחלה בזמן שלא היו בארץ. לכל אלה צורפו תעודות שונות אותם קיבל הנאשם במסגרת פעילות הציבורית אותה ביצע בהתנדבות. </w:t>
      </w:r>
    </w:p>
    <w:p w14:paraId="41D6729D" w14:textId="77777777" w:rsidR="002C1F98" w:rsidRPr="000F0561" w:rsidRDefault="002C1F98" w:rsidP="000F0561">
      <w:pPr>
        <w:spacing w:line="360" w:lineRule="auto"/>
        <w:jc w:val="both"/>
        <w:rPr>
          <w:rFonts w:ascii="Times New Roman" w:hAnsi="Times New Roman"/>
          <w:rtl/>
        </w:rPr>
      </w:pPr>
    </w:p>
    <w:p w14:paraId="5AF7C853"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ב"כ הנאשם, פירט אף הוא אודות נסיבות חייו של הנאשם ועל הדרך הארוכה שעבר מילדות בארגנטינה עובר לעלייתו ארצה לבדו וכלה באופן שבו נקלט בארץ הקים משפחה ותרם רבות לסביבתו. נטען כי אין לנאשם קרובים בארץ למעט אשתו וילדיו להם הוא משמש כעמוד התווך . בנו הראשון שירת בצה"ל בתור לוחם וכך גם בנו השני בעיצומו של השירות הקרבי.</w:t>
      </w:r>
    </w:p>
    <w:p w14:paraId="6ECD0971" w14:textId="77777777" w:rsidR="002C1F98" w:rsidRPr="000F0561" w:rsidRDefault="002C1F98" w:rsidP="000F0561">
      <w:pPr>
        <w:spacing w:line="360" w:lineRule="auto"/>
        <w:jc w:val="both"/>
        <w:rPr>
          <w:rFonts w:ascii="Times New Roman" w:hAnsi="Times New Roman"/>
          <w:rtl/>
        </w:rPr>
      </w:pPr>
    </w:p>
    <w:p w14:paraId="4AF02677" w14:textId="77777777" w:rsidR="002C1F98" w:rsidRDefault="002C1F98" w:rsidP="00AD5F51">
      <w:pPr>
        <w:spacing w:line="360" w:lineRule="auto"/>
        <w:jc w:val="both"/>
        <w:rPr>
          <w:rFonts w:ascii="Times New Roman" w:hAnsi="Times New Roman"/>
          <w:rtl/>
        </w:rPr>
      </w:pPr>
      <w:r w:rsidRPr="000F0561">
        <w:rPr>
          <w:rFonts w:ascii="Calibri" w:hAnsi="Calibri" w:hint="eastAsia"/>
          <w:rtl/>
        </w:rPr>
        <w:t>נטען</w:t>
      </w:r>
      <w:r w:rsidRPr="000F0561">
        <w:rPr>
          <w:rFonts w:ascii="Calibri" w:hAnsi="Calibri"/>
          <w:rtl/>
        </w:rPr>
        <w:t xml:space="preserve"> </w:t>
      </w:r>
      <w:r w:rsidRPr="000F0561">
        <w:rPr>
          <w:rFonts w:ascii="Calibri" w:hAnsi="Calibri" w:hint="eastAsia"/>
          <w:rtl/>
        </w:rPr>
        <w:t>כי</w:t>
      </w:r>
      <w:r w:rsidRPr="000F0561">
        <w:rPr>
          <w:rFonts w:ascii="Calibri" w:hAnsi="Calibri"/>
          <w:rtl/>
        </w:rPr>
        <w:t xml:space="preserve"> </w:t>
      </w:r>
      <w:r w:rsidRPr="000F0561">
        <w:rPr>
          <w:rFonts w:ascii="Calibri" w:hAnsi="Calibri" w:hint="eastAsia"/>
          <w:rtl/>
        </w:rPr>
        <w:t>יש</w:t>
      </w:r>
      <w:r w:rsidRPr="000F0561">
        <w:rPr>
          <w:rFonts w:ascii="Calibri" w:hAnsi="Calibri"/>
          <w:rtl/>
        </w:rPr>
        <w:t xml:space="preserve"> </w:t>
      </w:r>
      <w:r w:rsidRPr="000F0561">
        <w:rPr>
          <w:rFonts w:ascii="Calibri" w:hAnsi="Calibri" w:hint="eastAsia"/>
          <w:rtl/>
        </w:rPr>
        <w:t>לתת</w:t>
      </w:r>
      <w:r w:rsidRPr="000F0561">
        <w:rPr>
          <w:rFonts w:ascii="Calibri" w:hAnsi="Calibri"/>
          <w:rtl/>
        </w:rPr>
        <w:t xml:space="preserve"> </w:t>
      </w:r>
      <w:r w:rsidRPr="000F0561">
        <w:rPr>
          <w:rFonts w:ascii="Calibri" w:hAnsi="Calibri" w:hint="eastAsia"/>
          <w:rtl/>
        </w:rPr>
        <w:t>משקל</w:t>
      </w:r>
      <w:r w:rsidRPr="000F0561">
        <w:rPr>
          <w:rFonts w:ascii="Calibri" w:hAnsi="Calibri"/>
          <w:rtl/>
        </w:rPr>
        <w:t xml:space="preserve"> </w:t>
      </w:r>
      <w:r w:rsidRPr="000F0561">
        <w:rPr>
          <w:rFonts w:ascii="Calibri" w:hAnsi="Calibri" w:hint="eastAsia"/>
          <w:rtl/>
        </w:rPr>
        <w:t>במעמד</w:t>
      </w:r>
      <w:r w:rsidRPr="000F0561">
        <w:rPr>
          <w:rFonts w:ascii="Calibri" w:hAnsi="Calibri"/>
          <w:rtl/>
        </w:rPr>
        <w:t xml:space="preserve"> </w:t>
      </w:r>
      <w:r w:rsidRPr="000F0561">
        <w:rPr>
          <w:rFonts w:ascii="Calibri" w:hAnsi="Calibri" w:hint="eastAsia"/>
          <w:rtl/>
        </w:rPr>
        <w:t>גזירת</w:t>
      </w:r>
      <w:r w:rsidRPr="000F0561">
        <w:rPr>
          <w:rFonts w:ascii="Calibri" w:hAnsi="Calibri"/>
          <w:rtl/>
        </w:rPr>
        <w:t xml:space="preserve"> </w:t>
      </w:r>
      <w:r w:rsidRPr="000F0561">
        <w:rPr>
          <w:rFonts w:ascii="Calibri" w:hAnsi="Calibri" w:hint="eastAsia"/>
          <w:rtl/>
        </w:rPr>
        <w:t>הדין</w:t>
      </w:r>
      <w:r w:rsidRPr="000F0561">
        <w:rPr>
          <w:rFonts w:ascii="Calibri" w:hAnsi="Calibri"/>
          <w:rtl/>
        </w:rPr>
        <w:t xml:space="preserve"> </w:t>
      </w:r>
      <w:r w:rsidRPr="000F0561">
        <w:rPr>
          <w:rFonts w:ascii="Calibri" w:hAnsi="Calibri" w:hint="eastAsia"/>
          <w:rtl/>
        </w:rPr>
        <w:t>לכל</w:t>
      </w:r>
      <w:r w:rsidRPr="000F0561">
        <w:rPr>
          <w:rFonts w:ascii="Calibri" w:hAnsi="Calibri"/>
          <w:rtl/>
        </w:rPr>
        <w:t xml:space="preserve"> </w:t>
      </w:r>
      <w:r w:rsidRPr="000F0561">
        <w:rPr>
          <w:rFonts w:ascii="Calibri" w:hAnsi="Calibri" w:hint="eastAsia"/>
          <w:rtl/>
        </w:rPr>
        <w:t>אותם</w:t>
      </w:r>
      <w:r w:rsidRPr="000F0561">
        <w:rPr>
          <w:rFonts w:ascii="Calibri" w:hAnsi="Calibri"/>
          <w:rtl/>
        </w:rPr>
        <w:t xml:space="preserve"> </w:t>
      </w:r>
      <w:r w:rsidRPr="000F0561">
        <w:rPr>
          <w:rFonts w:ascii="Calibri" w:hAnsi="Calibri" w:hint="eastAsia"/>
          <w:rtl/>
        </w:rPr>
        <w:t>מעשי</w:t>
      </w:r>
      <w:r w:rsidRPr="000F0561">
        <w:rPr>
          <w:rFonts w:ascii="Calibri" w:hAnsi="Calibri"/>
          <w:rtl/>
        </w:rPr>
        <w:t xml:space="preserve"> </w:t>
      </w:r>
      <w:r w:rsidRPr="000F0561">
        <w:rPr>
          <w:rFonts w:ascii="Calibri" w:hAnsi="Calibri" w:hint="eastAsia"/>
          <w:rtl/>
        </w:rPr>
        <w:t>התנדבות</w:t>
      </w:r>
      <w:r w:rsidRPr="000F0561">
        <w:rPr>
          <w:rFonts w:ascii="Calibri" w:hAnsi="Calibri"/>
          <w:rtl/>
        </w:rPr>
        <w:t xml:space="preserve"> </w:t>
      </w:r>
      <w:r w:rsidRPr="000F0561">
        <w:rPr>
          <w:rFonts w:ascii="Calibri" w:hAnsi="Calibri" w:hint="eastAsia"/>
          <w:rtl/>
        </w:rPr>
        <w:t>וצדקה</w:t>
      </w:r>
      <w:r w:rsidRPr="000F0561">
        <w:rPr>
          <w:rFonts w:ascii="Times New Roman" w:hAnsi="Times New Roman"/>
          <w:rtl/>
        </w:rPr>
        <w:t xml:space="preserve"> כפי שאלה נפרשו באריכות בראיות ההגנה לעונש. הסנגור הוסיף ופירט בנוגע למצבה הכלכלי הקשה של המשפחה נוכח מעצרו</w:t>
      </w:r>
      <w:r>
        <w:rPr>
          <w:rFonts w:ascii="Times New Roman" w:hAnsi="Times New Roman"/>
          <w:rtl/>
        </w:rPr>
        <w:t xml:space="preserve"> של הנאשם</w:t>
      </w:r>
      <w:r w:rsidRPr="000F0561">
        <w:rPr>
          <w:rFonts w:ascii="Times New Roman" w:hAnsi="Times New Roman"/>
          <w:rtl/>
        </w:rPr>
        <w:t xml:space="preserve">. בהקשר לכך, נטען כי חברת "רותם" בה עבד הנאשם טרם מעצרו ניתקה קשר עם הנאשם </w:t>
      </w:r>
      <w:r>
        <w:rPr>
          <w:rFonts w:ascii="Times New Roman" w:hAnsi="Times New Roman"/>
          <w:rtl/>
        </w:rPr>
        <w:t>ו</w:t>
      </w:r>
      <w:r w:rsidRPr="000F0561">
        <w:rPr>
          <w:rFonts w:ascii="Times New Roman" w:hAnsi="Times New Roman"/>
          <w:rtl/>
        </w:rPr>
        <w:t xml:space="preserve">מסרבת לשלם לו פיצויים. לנאשם כיום חובות </w:t>
      </w:r>
      <w:r>
        <w:rPr>
          <w:rFonts w:ascii="Times New Roman" w:hAnsi="Times New Roman"/>
          <w:rtl/>
        </w:rPr>
        <w:t>ו</w:t>
      </w:r>
      <w:r w:rsidRPr="000F0561">
        <w:rPr>
          <w:rFonts w:ascii="Times New Roman" w:hAnsi="Times New Roman"/>
          <w:rtl/>
        </w:rPr>
        <w:t xml:space="preserve">משכנתה </w:t>
      </w:r>
      <w:r>
        <w:rPr>
          <w:rFonts w:ascii="Times New Roman" w:hAnsi="Times New Roman"/>
          <w:rtl/>
        </w:rPr>
        <w:t xml:space="preserve">בסך </w:t>
      </w:r>
      <w:r w:rsidRPr="000F0561">
        <w:rPr>
          <w:rFonts w:ascii="Times New Roman" w:hAnsi="Times New Roman"/>
          <w:rtl/>
        </w:rPr>
        <w:t xml:space="preserve">של למעלה ממיליון₪. זאת ועוד, בשל הסתבכותו, תושבי העיר ערד הוקיעו את </w:t>
      </w:r>
      <w:r>
        <w:rPr>
          <w:rFonts w:ascii="Times New Roman" w:hAnsi="Times New Roman"/>
          <w:rtl/>
        </w:rPr>
        <w:t>הנאשם ואת משפחתו.</w:t>
      </w:r>
    </w:p>
    <w:p w14:paraId="7A008B27" w14:textId="77777777" w:rsidR="002C1F98" w:rsidRPr="000F0561" w:rsidRDefault="002C1F98" w:rsidP="00AD5F51">
      <w:pPr>
        <w:spacing w:line="360" w:lineRule="auto"/>
        <w:jc w:val="both"/>
        <w:rPr>
          <w:rFonts w:ascii="Times New Roman" w:hAnsi="Times New Roman"/>
          <w:rtl/>
        </w:rPr>
      </w:pPr>
    </w:p>
    <w:p w14:paraId="01E754E7" w14:textId="77777777" w:rsidR="002C1F98" w:rsidRPr="000F0561" w:rsidRDefault="002C1F98" w:rsidP="00AD5F51">
      <w:pPr>
        <w:spacing w:line="360" w:lineRule="auto"/>
        <w:jc w:val="both"/>
        <w:rPr>
          <w:rFonts w:ascii="Times New Roman" w:hAnsi="Times New Roman"/>
          <w:rtl/>
        </w:rPr>
      </w:pPr>
      <w:r w:rsidRPr="000F0561">
        <w:rPr>
          <w:rFonts w:ascii="Times New Roman" w:hAnsi="Times New Roman"/>
          <w:rtl/>
        </w:rPr>
        <w:t xml:space="preserve">הנאשם מצדו הביע חרטה ולקח אחריות על מעשיו. </w:t>
      </w:r>
      <w:r>
        <w:rPr>
          <w:rFonts w:ascii="Times New Roman" w:hAnsi="Times New Roman"/>
          <w:rtl/>
        </w:rPr>
        <w:t xml:space="preserve">אלה </w:t>
      </w:r>
      <w:r w:rsidRPr="000F0561">
        <w:rPr>
          <w:rFonts w:ascii="Times New Roman" w:hAnsi="Times New Roman"/>
          <w:rtl/>
        </w:rPr>
        <w:t xml:space="preserve">הוסיף כי הוא מתבייש מאוד ואינו יודע כיצד הגיע למקום הזה. </w:t>
      </w:r>
      <w:r>
        <w:rPr>
          <w:rFonts w:ascii="Times New Roman" w:hAnsi="Times New Roman"/>
          <w:rtl/>
        </w:rPr>
        <w:t>הנאשם</w:t>
      </w:r>
      <w:r w:rsidRPr="000F0561">
        <w:rPr>
          <w:rFonts w:ascii="Times New Roman" w:hAnsi="Times New Roman"/>
          <w:rtl/>
        </w:rPr>
        <w:t xml:space="preserve"> ציין כי אינו ישן בלילות וביקש את רחמיו של בית המשפט.</w:t>
      </w:r>
    </w:p>
    <w:p w14:paraId="22B0CD9A" w14:textId="77777777" w:rsidR="002C1F98" w:rsidRPr="000F0561" w:rsidRDefault="002C1F98" w:rsidP="000F0561">
      <w:pPr>
        <w:spacing w:line="360" w:lineRule="auto"/>
        <w:jc w:val="both"/>
        <w:rPr>
          <w:rFonts w:ascii="Times New Roman" w:hAnsi="Times New Roman"/>
          <w:rtl/>
        </w:rPr>
      </w:pPr>
    </w:p>
    <w:p w14:paraId="73CC62D0"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כל צד הגיש פסיקה התומכת בעמדתו העונשית. </w:t>
      </w:r>
    </w:p>
    <w:p w14:paraId="02F7BC8D" w14:textId="77777777" w:rsidR="002C1F98" w:rsidRPr="000F0561" w:rsidRDefault="002C1F98" w:rsidP="000F0561">
      <w:pPr>
        <w:spacing w:line="360" w:lineRule="auto"/>
        <w:jc w:val="both"/>
        <w:rPr>
          <w:rFonts w:ascii="Times New Roman" w:hAnsi="Times New Roman"/>
          <w:rtl/>
        </w:rPr>
      </w:pPr>
    </w:p>
    <w:p w14:paraId="750931C7"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b/>
          <w:bCs/>
          <w:u w:val="single"/>
          <w:rtl/>
        </w:rPr>
        <w:t>דיון והכרעה</w:t>
      </w:r>
      <w:r w:rsidRPr="000F0561">
        <w:rPr>
          <w:rFonts w:ascii="Times New Roman" w:hAnsi="Times New Roman"/>
          <w:rtl/>
        </w:rPr>
        <w:t>:</w:t>
      </w:r>
    </w:p>
    <w:p w14:paraId="7CC7A736" w14:textId="77777777" w:rsidR="002C1F98" w:rsidRPr="000F0561" w:rsidRDefault="002C1F98" w:rsidP="000F0561">
      <w:pPr>
        <w:spacing w:line="360" w:lineRule="auto"/>
        <w:jc w:val="both"/>
        <w:rPr>
          <w:rtl/>
        </w:rPr>
      </w:pPr>
      <w:r w:rsidRPr="000F0561">
        <w:rPr>
          <w:rtl/>
        </w:rPr>
        <w:t>בתיק זה  עניין לנו ב"הסדר טווח" כאשר המאשימה עותרת לעונש ראוי</w:t>
      </w:r>
      <w:r>
        <w:rPr>
          <w:rtl/>
        </w:rPr>
        <w:t xml:space="preserve"> של</w:t>
      </w:r>
      <w:r w:rsidRPr="000F0561">
        <w:rPr>
          <w:rtl/>
        </w:rPr>
        <w:t xml:space="preserve"> ארבע וחצי שנים מאסר בפועל לצד ענישה נלווית ואילו ההגנה חופשיה בטיעוניה. כשזו תמונת הדברים, נשאלת אפוא השאלה האם יש מקום להידרש לקביעתו של מתחם עונש הולם עובר לגזירת עונשו של הנאשם. </w:t>
      </w:r>
    </w:p>
    <w:p w14:paraId="1266C692" w14:textId="77777777" w:rsidR="002C1F98" w:rsidRPr="000F0561" w:rsidRDefault="002C1F98" w:rsidP="000F0561">
      <w:pPr>
        <w:spacing w:line="360" w:lineRule="auto"/>
        <w:jc w:val="both"/>
        <w:rPr>
          <w:rtl/>
        </w:rPr>
      </w:pPr>
    </w:p>
    <w:p w14:paraId="0BDC7D93" w14:textId="77777777" w:rsidR="002C1F98" w:rsidRPr="000F0561" w:rsidRDefault="002C1F98" w:rsidP="000F0561">
      <w:pPr>
        <w:spacing w:line="360" w:lineRule="auto"/>
        <w:jc w:val="both"/>
        <w:rPr>
          <w:rFonts w:ascii="Arial" w:hAnsi="Arial"/>
          <w:rtl/>
        </w:rPr>
      </w:pPr>
      <w:r w:rsidRPr="000F0561">
        <w:rPr>
          <w:rtl/>
        </w:rPr>
        <w:t xml:space="preserve">הגם שאין הסכמה כללית בפסיקה בנוגע לסוגיה זו, ניתן לומר כי בהתאם ל"שדרה המרכזית" בפסיקה הנוהגת, על דרך הכלל בעת ש"הסדר הטווח" המוצג לבית המשפט נמצא בעיניו כסביר אין מקום להידרש לקביעתם של מתחמים וראה בין היתר, ע"פ 512/13 </w:t>
      </w:r>
      <w:r w:rsidRPr="000F0561">
        <w:rPr>
          <w:b/>
          <w:bCs/>
          <w:rtl/>
        </w:rPr>
        <w:t>פלוני נ' מדינת ישראל</w:t>
      </w:r>
      <w:r w:rsidRPr="000F0561">
        <w:rPr>
          <w:rtl/>
        </w:rPr>
        <w:t xml:space="preserve"> (פורסם בנבו, 4.12.13), </w:t>
      </w:r>
      <w:hyperlink r:id="rId25" w:history="1">
        <w:r w:rsidR="00B70766" w:rsidRPr="00B70766">
          <w:rPr>
            <w:color w:val="0000FF"/>
            <w:u w:val="single"/>
            <w:rtl/>
          </w:rPr>
          <w:t>ע"פ  8109/15</w:t>
        </w:r>
      </w:hyperlink>
      <w:r w:rsidRPr="000F0561">
        <w:rPr>
          <w:rtl/>
        </w:rPr>
        <w:t xml:space="preserve"> </w:t>
      </w:r>
      <w:r w:rsidRPr="000F0561">
        <w:rPr>
          <w:b/>
          <w:bCs/>
          <w:rtl/>
        </w:rPr>
        <w:t>אביטן נ' מדינת ישראל</w:t>
      </w:r>
      <w:r w:rsidRPr="000F0561">
        <w:rPr>
          <w:rtl/>
        </w:rPr>
        <w:t xml:space="preserve"> (פורסם בנבו, 9.6.16), (דעתו של כב' השופט ג'ובראן), </w:t>
      </w:r>
      <w:hyperlink r:id="rId26" w:history="1">
        <w:r w:rsidR="00B70766" w:rsidRPr="00B70766">
          <w:rPr>
            <w:color w:val="0000FF"/>
            <w:u w:val="single"/>
            <w:rtl/>
          </w:rPr>
          <w:t>ע"פ 2524/15</w:t>
        </w:r>
      </w:hyperlink>
      <w:r w:rsidRPr="000F0561">
        <w:rPr>
          <w:rtl/>
        </w:rPr>
        <w:t xml:space="preserve"> </w:t>
      </w:r>
      <w:r w:rsidRPr="000F0561">
        <w:rPr>
          <w:b/>
          <w:bCs/>
          <w:rtl/>
        </w:rPr>
        <w:t>שפרנוביץ' נ' מדינת ישראל</w:t>
      </w:r>
      <w:r w:rsidRPr="000F0561">
        <w:rPr>
          <w:rtl/>
        </w:rPr>
        <w:t xml:space="preserve"> (פורסם בנבו, 8.9.16) (פסקאות 18-19</w:t>
      </w:r>
      <w:r w:rsidRPr="000F0561">
        <w:rPr>
          <w:rFonts w:cs="Arial"/>
          <w:sz w:val="22"/>
          <w:szCs w:val="22"/>
          <w:rtl/>
        </w:rPr>
        <w:t xml:space="preserve"> </w:t>
      </w:r>
      <w:r w:rsidRPr="000F0561">
        <w:rPr>
          <w:rtl/>
        </w:rPr>
        <w:t>לפסק הדין</w:t>
      </w:r>
      <w:r w:rsidRPr="000F0561">
        <w:rPr>
          <w:rFonts w:cs="Arial"/>
          <w:sz w:val="22"/>
          <w:szCs w:val="22"/>
          <w:rtl/>
        </w:rPr>
        <w:t xml:space="preserve">), </w:t>
      </w:r>
      <w:hyperlink r:id="rId27" w:history="1">
        <w:r w:rsidR="00B70766" w:rsidRPr="00B70766">
          <w:rPr>
            <w:rFonts w:ascii="Arial" w:hAnsi="Arial"/>
            <w:color w:val="0000FF"/>
            <w:u w:val="single"/>
            <w:rtl/>
          </w:rPr>
          <w:t>ע"פ 6799/14</w:t>
        </w:r>
      </w:hyperlink>
      <w:r w:rsidRPr="000F0561">
        <w:rPr>
          <w:rFonts w:ascii="Arial" w:hAnsi="Arial"/>
          <w:rtl/>
        </w:rPr>
        <w:t xml:space="preserve"> </w:t>
      </w:r>
      <w:r w:rsidRPr="000F0561">
        <w:rPr>
          <w:rFonts w:ascii="Arial" w:hAnsi="Arial"/>
          <w:b/>
          <w:bCs/>
          <w:rtl/>
        </w:rPr>
        <w:t xml:space="preserve">אופיר נ' מדינת ישראל </w:t>
      </w:r>
      <w:r w:rsidRPr="000F0561">
        <w:rPr>
          <w:rtl/>
        </w:rPr>
        <w:t xml:space="preserve">(פורסם בנבו, 16.3.15) </w:t>
      </w:r>
      <w:r w:rsidRPr="000F0561">
        <w:rPr>
          <w:rFonts w:ascii="Arial" w:hAnsi="Arial"/>
          <w:rtl/>
        </w:rPr>
        <w:t>ו</w:t>
      </w:r>
      <w:hyperlink r:id="rId28" w:history="1">
        <w:r w:rsidR="00B70766" w:rsidRPr="00B70766">
          <w:rPr>
            <w:rFonts w:ascii="Arial" w:hAnsi="Arial"/>
            <w:color w:val="0000FF"/>
            <w:u w:val="single"/>
            <w:rtl/>
          </w:rPr>
          <w:t>ע"פ 3856/13</w:t>
        </w:r>
      </w:hyperlink>
      <w:r w:rsidRPr="000F0561">
        <w:rPr>
          <w:rFonts w:ascii="Arial" w:hAnsi="Arial"/>
          <w:rtl/>
        </w:rPr>
        <w:t xml:space="preserve"> </w:t>
      </w:r>
      <w:r w:rsidRPr="000F0561">
        <w:rPr>
          <w:rFonts w:ascii="Arial" w:hAnsi="Arial"/>
          <w:b/>
          <w:bCs/>
          <w:rtl/>
        </w:rPr>
        <w:t xml:space="preserve">גוני נ' מדינת ישראל </w:t>
      </w:r>
      <w:r w:rsidRPr="000F0561">
        <w:rPr>
          <w:rtl/>
        </w:rPr>
        <w:t xml:space="preserve"> (פורסם בנבו, 3.2.14)</w:t>
      </w:r>
      <w:r w:rsidRPr="000F0561">
        <w:rPr>
          <w:rFonts w:ascii="Arial" w:hAnsi="Arial"/>
          <w:rtl/>
        </w:rPr>
        <w:t>.</w:t>
      </w:r>
      <w:r w:rsidRPr="000F0561">
        <w:rPr>
          <w:rFonts w:ascii="Arial" w:hAnsi="Arial"/>
          <w:b/>
          <w:bCs/>
          <w:rtl/>
        </w:rPr>
        <w:t xml:space="preserve"> </w:t>
      </w:r>
    </w:p>
    <w:p w14:paraId="24CA1C2A" w14:textId="77777777" w:rsidR="002C1F98" w:rsidRPr="000F0561" w:rsidRDefault="002C1F98" w:rsidP="000F0561">
      <w:pPr>
        <w:spacing w:line="360" w:lineRule="auto"/>
        <w:jc w:val="both"/>
        <w:rPr>
          <w:rFonts w:ascii="Arial" w:hAnsi="Arial"/>
        </w:rPr>
      </w:pPr>
    </w:p>
    <w:p w14:paraId="78A72DBA" w14:textId="77777777" w:rsidR="002C1F98" w:rsidRPr="000F0561" w:rsidRDefault="002C1F98" w:rsidP="000F0561">
      <w:pPr>
        <w:spacing w:line="360" w:lineRule="auto"/>
        <w:jc w:val="both"/>
        <w:rPr>
          <w:rFonts w:ascii="Arial" w:hAnsi="Arial"/>
          <w:rtl/>
        </w:rPr>
      </w:pPr>
      <w:r w:rsidRPr="000F0561">
        <w:rPr>
          <w:rFonts w:ascii="Arial" w:hAnsi="Arial"/>
          <w:rtl/>
        </w:rPr>
        <w:t xml:space="preserve">בענייננו, הואיל ובית המשפט סבור כי טווח הענישה המוסכם בין הצדדים סביר, לא אדרש לקביעתו של מתחם עונש הולם וזאת הגם שבקביעת עונשו הסופי של הנאשם יילקחו בחשבון פרמטרים רבים אותם בית המשפט משקלל בקביעת מתחם שכזה. </w:t>
      </w:r>
    </w:p>
    <w:p w14:paraId="40923ACC" w14:textId="77777777" w:rsidR="002C1F98" w:rsidRPr="000F0561" w:rsidRDefault="002C1F98" w:rsidP="000F0561">
      <w:pPr>
        <w:spacing w:line="360" w:lineRule="auto"/>
        <w:jc w:val="both"/>
        <w:rPr>
          <w:rFonts w:ascii="Times New Roman" w:hAnsi="Times New Roman"/>
          <w:rtl/>
        </w:rPr>
      </w:pPr>
    </w:p>
    <w:p w14:paraId="44E67242" w14:textId="77777777" w:rsidR="002C1F98" w:rsidRPr="000F0561" w:rsidRDefault="002C1F98" w:rsidP="000F0561">
      <w:pPr>
        <w:spacing w:line="360" w:lineRule="auto"/>
        <w:jc w:val="both"/>
        <w:rPr>
          <w:rFonts w:ascii="Arial" w:hAnsi="Arial"/>
          <w:rtl/>
        </w:rPr>
      </w:pPr>
      <w:r w:rsidRPr="000F0561">
        <w:rPr>
          <w:rFonts w:ascii="Arial" w:hAnsi="Arial"/>
          <w:rtl/>
        </w:rPr>
        <w:t xml:space="preserve">לגופם של דברים, על־פי </w:t>
      </w:r>
      <w:hyperlink r:id="rId29" w:history="1">
        <w:r w:rsidR="00CF57BC" w:rsidRPr="00CF57BC">
          <w:rPr>
            <w:rFonts w:ascii="Arial" w:hAnsi="Arial"/>
            <w:color w:val="0000FF"/>
            <w:u w:val="single"/>
            <w:rtl/>
          </w:rPr>
          <w:t>סעיף 40ג(א)</w:t>
        </w:r>
      </w:hyperlink>
      <w:r w:rsidRPr="000F0561">
        <w:rPr>
          <w:rFonts w:ascii="Arial" w:hAnsi="Arial"/>
          <w:rtl/>
        </w:rPr>
        <w:t xml:space="preserve"> ל</w:t>
      </w:r>
      <w:hyperlink r:id="rId30" w:history="1">
        <w:r w:rsidR="00B70766" w:rsidRPr="00B70766">
          <w:rPr>
            <w:rFonts w:ascii="Arial" w:hAnsi="Arial"/>
            <w:color w:val="0000FF"/>
            <w:u w:val="single"/>
            <w:rtl/>
          </w:rPr>
          <w:t>חוק העונשין</w:t>
        </w:r>
      </w:hyperlink>
      <w:r w:rsidRPr="000F0561">
        <w:rPr>
          <w:rFonts w:ascii="Arial" w:hAnsi="Arial"/>
          <w:rtl/>
        </w:rPr>
        <w:t>, בקביעת מתחם העונש בהתאם לעקרון ההלימה, על בית המשפט להתחשב "</w:t>
      </w:r>
      <w:r w:rsidRPr="000F0561">
        <w:rPr>
          <w:rFonts w:ascii="Arial" w:hAnsi="Arial"/>
          <w:b/>
          <w:bCs/>
          <w:rtl/>
        </w:rPr>
        <w:t>בערך החברתי שנפגע מביצוע העבירה, במידת הפגיעה בו, במדיניות הענישה הנהוגה ובנסיבות הקשורות בביצוע העבירה</w:t>
      </w:r>
      <w:r w:rsidRPr="000F0561">
        <w:rPr>
          <w:rFonts w:ascii="Arial" w:hAnsi="Arial"/>
          <w:rtl/>
        </w:rPr>
        <w:t>".</w:t>
      </w:r>
    </w:p>
    <w:p w14:paraId="57BA391F" w14:textId="77777777" w:rsidR="002C1F98" w:rsidRPr="000F0561" w:rsidRDefault="002C1F98" w:rsidP="000F0561">
      <w:pPr>
        <w:spacing w:line="360" w:lineRule="auto"/>
        <w:jc w:val="both"/>
        <w:rPr>
          <w:rFonts w:ascii="Times New Roman" w:hAnsi="Times New Roman"/>
        </w:rPr>
      </w:pPr>
    </w:p>
    <w:p w14:paraId="1E2E50BA" w14:textId="77777777" w:rsidR="002C1F98" w:rsidRPr="000F0561" w:rsidRDefault="002C1F98" w:rsidP="000F0561">
      <w:pPr>
        <w:spacing w:line="360" w:lineRule="auto"/>
        <w:jc w:val="both"/>
        <w:rPr>
          <w:rFonts w:ascii="Arial" w:hAnsi="Arial"/>
          <w:rtl/>
        </w:rPr>
      </w:pPr>
      <w:r w:rsidRPr="000F0561">
        <w:rPr>
          <w:rFonts w:ascii="Times New Roman" w:hAnsi="Times New Roman"/>
          <w:u w:val="single"/>
          <w:rtl/>
        </w:rPr>
        <w:t>הערך המוגן העומס בבסיס עבירות הנשק</w:t>
      </w:r>
      <w:r w:rsidRPr="000F0561">
        <w:rPr>
          <w:rFonts w:ascii="Times New Roman" w:hAnsi="Times New Roman"/>
          <w:rtl/>
        </w:rPr>
        <w:t xml:space="preserve"> הנו בראש ובראשונה הגנה על שלום הציבור וביטחונו. </w:t>
      </w:r>
      <w:r w:rsidRPr="000F0561">
        <w:rPr>
          <w:rFonts w:ascii="Arial" w:hAnsi="Arial"/>
          <w:rtl/>
        </w:rPr>
        <w:t>עבירה זו טומנת בחובה סיכון רב  לפיו  יעשה שימוש בנשק הבלתי חוקי על ידי מחזיקו לצורך ביצוע עבירות פליליות, וכך גם חשש שהנשק הבלתי חוקי יתגלגל לידיים עוינות העוסקות בפעילות פלילית או ביטחונית ויגרום לנזק רב עד כדי קיפוח חיי אדם. נוכח האמור ובאופן עקיף יש במעשיו של הנאשם גם כדי לפגוע בשלטון החוק. חיזוק לכך ניתן גם ללמוד מעצם מיקום העבירה ב</w:t>
      </w:r>
      <w:hyperlink r:id="rId31" w:history="1">
        <w:r w:rsidR="00B70766" w:rsidRPr="00B70766">
          <w:rPr>
            <w:rFonts w:ascii="Arial" w:hAnsi="Arial"/>
            <w:color w:val="0000FF"/>
            <w:u w:val="single"/>
            <w:rtl/>
          </w:rPr>
          <w:t>חוק העונשין</w:t>
        </w:r>
      </w:hyperlink>
      <w:r w:rsidRPr="000F0561">
        <w:rPr>
          <w:rFonts w:ascii="Arial" w:hAnsi="Arial"/>
          <w:rtl/>
        </w:rPr>
        <w:t xml:space="preserve"> </w:t>
      </w:r>
      <w:hyperlink r:id="rId32" w:history="1">
        <w:r w:rsidR="00CF57BC" w:rsidRPr="00CF57BC">
          <w:rPr>
            <w:rFonts w:ascii="Arial" w:hAnsi="Arial"/>
            <w:color w:val="0000FF"/>
            <w:u w:val="single"/>
            <w:rtl/>
          </w:rPr>
          <w:t>בפרק ח'</w:t>
        </w:r>
      </w:hyperlink>
      <w:r w:rsidRPr="000F0561">
        <w:rPr>
          <w:rFonts w:ascii="Arial" w:hAnsi="Arial"/>
          <w:rtl/>
        </w:rPr>
        <w:t xml:space="preserve"> תחת הכותרת  "</w:t>
      </w:r>
      <w:r w:rsidRPr="000F0561">
        <w:rPr>
          <w:rFonts w:ascii="Arial" w:hAnsi="Arial"/>
          <w:b/>
          <w:bCs/>
          <w:rtl/>
        </w:rPr>
        <w:t>פגיעה בסדרי המשטר והחברה</w:t>
      </w:r>
      <w:r w:rsidRPr="000F0561">
        <w:rPr>
          <w:rFonts w:ascii="Arial" w:hAnsi="Arial"/>
          <w:rtl/>
        </w:rPr>
        <w:t xml:space="preserve">". </w:t>
      </w:r>
    </w:p>
    <w:p w14:paraId="71DBA9B6" w14:textId="77777777" w:rsidR="002C1F98" w:rsidRPr="000F0561" w:rsidRDefault="002C1F98" w:rsidP="000F0561">
      <w:pPr>
        <w:spacing w:line="360" w:lineRule="auto"/>
        <w:jc w:val="both"/>
        <w:rPr>
          <w:rFonts w:ascii="Arial" w:hAnsi="Arial"/>
        </w:rPr>
      </w:pPr>
    </w:p>
    <w:p w14:paraId="130AA986" w14:textId="77777777" w:rsidR="002C1F98" w:rsidRPr="000F0561" w:rsidRDefault="002C1F98" w:rsidP="000F0561">
      <w:pPr>
        <w:spacing w:line="360" w:lineRule="auto"/>
        <w:jc w:val="both"/>
        <w:rPr>
          <w:rFonts w:ascii="Arial" w:hAnsi="Arial"/>
        </w:rPr>
      </w:pPr>
      <w:r w:rsidRPr="000F0561">
        <w:rPr>
          <w:rFonts w:ascii="Arial" w:hAnsi="Arial"/>
          <w:rtl/>
        </w:rPr>
        <w:t>על החומרה שיש לנקוט בעבירות נשק יפים דבריו של כב' הש' לוי ב</w:t>
      </w:r>
      <w:hyperlink r:id="rId33" w:history="1">
        <w:r w:rsidR="00B70766" w:rsidRPr="00B70766">
          <w:rPr>
            <w:rFonts w:ascii="Arial" w:hAnsi="Arial"/>
            <w:color w:val="0000FF"/>
            <w:u w:val="single"/>
            <w:rtl/>
          </w:rPr>
          <w:t>ע"פ 5833/07</w:t>
        </w:r>
      </w:hyperlink>
      <w:r w:rsidRPr="000F0561">
        <w:rPr>
          <w:rFonts w:ascii="Arial" w:hAnsi="Arial"/>
          <w:rtl/>
        </w:rPr>
        <w:t xml:space="preserve"> </w:t>
      </w:r>
      <w:r w:rsidRPr="000F0561">
        <w:rPr>
          <w:rFonts w:ascii="Arial" w:hAnsi="Arial"/>
          <w:b/>
          <w:bCs/>
          <w:rtl/>
        </w:rPr>
        <w:t xml:space="preserve">ח'ורי נ' מדינת ישראל </w:t>
      </w:r>
      <w:r w:rsidRPr="000F0561">
        <w:rPr>
          <w:rFonts w:ascii="Arial" w:hAnsi="Arial"/>
          <w:rtl/>
        </w:rPr>
        <w:t>(פורסם בנבו,</w:t>
      </w:r>
      <w:r w:rsidRPr="000F0561">
        <w:rPr>
          <w:rFonts w:ascii="Arial" w:hAnsi="Arial"/>
          <w:b/>
          <w:bCs/>
          <w:rtl/>
        </w:rPr>
        <w:t xml:space="preserve"> </w:t>
      </w:r>
      <w:r w:rsidRPr="000F0561">
        <w:rPr>
          <w:rFonts w:ascii="Arial" w:hAnsi="Arial"/>
          <w:rtl/>
        </w:rPr>
        <w:t>18.11.07):</w:t>
      </w:r>
      <w:r w:rsidRPr="000F0561">
        <w:rPr>
          <w:rFonts w:ascii="Arial" w:hAnsi="Arial"/>
          <w:b/>
          <w:bCs/>
          <w:rtl/>
        </w:rPr>
        <w:t xml:space="preserve"> </w:t>
      </w:r>
    </w:p>
    <w:p w14:paraId="1B163DA4" w14:textId="77777777" w:rsidR="002C1F98" w:rsidRPr="000F0561" w:rsidRDefault="002C1F98" w:rsidP="000F0561">
      <w:pPr>
        <w:jc w:val="both"/>
        <w:rPr>
          <w:rFonts w:ascii="Times New Roman" w:hAnsi="Times New Roman"/>
        </w:rPr>
      </w:pPr>
    </w:p>
    <w:p w14:paraId="3F478CC0" w14:textId="77777777" w:rsidR="002C1F98" w:rsidRPr="000F0561" w:rsidRDefault="002C1F98" w:rsidP="000F0561">
      <w:pPr>
        <w:ind w:left="567" w:right="567"/>
        <w:jc w:val="both"/>
        <w:rPr>
          <w:rFonts w:ascii="Times New Roman" w:hAnsi="Times New Roman"/>
          <w:b/>
          <w:bCs/>
          <w:rtl/>
        </w:rPr>
      </w:pPr>
      <w:r w:rsidRPr="000F0561">
        <w:rPr>
          <w:rFonts w:ascii="Times New Roman" w:hAnsi="Times New Roman"/>
          <w:b/>
          <w:bCs/>
          <w:rtl/>
        </w:rPr>
        <w:t>"סחר בנשק הוא תופעה מסוכנת, במיוחד בימינו אלה. 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p>
    <w:p w14:paraId="36EF893A" w14:textId="77777777" w:rsidR="002C1F98" w:rsidRPr="000F0561" w:rsidRDefault="002C1F98" w:rsidP="000F0561">
      <w:pPr>
        <w:ind w:right="567"/>
        <w:jc w:val="both"/>
        <w:rPr>
          <w:rFonts w:ascii="Times New Roman" w:hAnsi="Times New Roman"/>
          <w:b/>
          <w:bCs/>
          <w:rtl/>
        </w:rPr>
      </w:pPr>
    </w:p>
    <w:p w14:paraId="1E7049FE" w14:textId="77777777" w:rsidR="002C1F98" w:rsidRPr="000F0561" w:rsidRDefault="002C1F98" w:rsidP="000F0561">
      <w:pPr>
        <w:tabs>
          <w:tab w:val="left" w:pos="8505"/>
        </w:tabs>
        <w:spacing w:line="360" w:lineRule="auto"/>
        <w:jc w:val="both"/>
        <w:rPr>
          <w:rFonts w:ascii="Times New Roman" w:hAnsi="Times New Roman"/>
          <w:rtl/>
        </w:rPr>
      </w:pPr>
      <w:r w:rsidRPr="000F0561">
        <w:rPr>
          <w:rFonts w:ascii="Times New Roman" w:hAnsi="Times New Roman"/>
          <w:rtl/>
        </w:rPr>
        <w:t>וכן ב</w:t>
      </w:r>
      <w:hyperlink r:id="rId34" w:history="1">
        <w:r w:rsidR="00B70766" w:rsidRPr="00B70766">
          <w:rPr>
            <w:rFonts w:ascii="Times New Roman" w:hAnsi="Times New Roman"/>
            <w:color w:val="0000FF"/>
            <w:u w:val="single"/>
            <w:rtl/>
          </w:rPr>
          <w:t>רע"פ 9112/11</w:t>
        </w:r>
      </w:hyperlink>
      <w:r w:rsidRPr="000F0561">
        <w:rPr>
          <w:rFonts w:ascii="Times New Roman" w:hAnsi="Times New Roman"/>
          <w:rtl/>
        </w:rPr>
        <w:t xml:space="preserve"> </w:t>
      </w:r>
      <w:r w:rsidRPr="000F0561">
        <w:rPr>
          <w:rFonts w:ascii="Times New Roman" w:hAnsi="Times New Roman"/>
          <w:b/>
          <w:bCs/>
          <w:rtl/>
        </w:rPr>
        <w:t>פלוני נ' מדינת ישראל</w:t>
      </w:r>
      <w:r w:rsidRPr="000F0561">
        <w:rPr>
          <w:rFonts w:ascii="Times New Roman" w:hAnsi="Times New Roman"/>
          <w:rtl/>
        </w:rPr>
        <w:t xml:space="preserve"> [פסקה 9 לפסק דינו של כב' הש' ג'ובראן] (פורסם בנבו, 31.12.12) ציין בית המשפט כי:</w:t>
      </w:r>
    </w:p>
    <w:p w14:paraId="54D35988" w14:textId="77777777" w:rsidR="002C1F98" w:rsidRPr="000F0561" w:rsidRDefault="002C1F98" w:rsidP="00AD5F51">
      <w:pPr>
        <w:tabs>
          <w:tab w:val="left" w:pos="7938"/>
        </w:tabs>
        <w:ind w:left="567" w:right="567"/>
        <w:jc w:val="both"/>
        <w:rPr>
          <w:rFonts w:ascii="Times New Roman" w:hAnsi="Times New Roman"/>
          <w:b/>
          <w:bCs/>
          <w:rtl/>
        </w:rPr>
      </w:pPr>
      <w:r w:rsidRPr="000F0561">
        <w:rPr>
          <w:rFonts w:ascii="Times New Roman" w:hAnsi="Times New Roman"/>
          <w:b/>
          <w:bCs/>
          <w:rtl/>
        </w:rPr>
        <w:t>"מכירת כלי נשק [...] מסכנת יותר את הציבור מאשר קנייתם" (</w:t>
      </w:r>
      <w:hyperlink r:id="rId35" w:history="1">
        <w:r w:rsidR="00B70766" w:rsidRPr="00B70766">
          <w:rPr>
            <w:rFonts w:ascii="Times New Roman" w:hAnsi="Times New Roman"/>
            <w:b/>
            <w:bCs/>
            <w:color w:val="0000FF"/>
            <w:u w:val="single"/>
            <w:rtl/>
          </w:rPr>
          <w:t>ע"פ 1121/11</w:t>
        </w:r>
      </w:hyperlink>
      <w:r w:rsidR="00B70766">
        <w:rPr>
          <w:rFonts w:ascii="Times New Roman" w:hAnsi="Times New Roman"/>
          <w:b/>
          <w:bCs/>
        </w:rPr>
        <w:t xml:space="preserve">   </w:t>
      </w:r>
      <w:r w:rsidRPr="000F0561">
        <w:rPr>
          <w:rFonts w:ascii="Times New Roman" w:hAnsi="Times New Roman"/>
          <w:b/>
          <w:bCs/>
          <w:sz w:val="28"/>
          <w:rtl/>
        </w:rPr>
        <w:t>אזולאי נ' מדינת ישראל</w:t>
      </w:r>
      <w:r w:rsidRPr="000F0561">
        <w:rPr>
          <w:rFonts w:ascii="Times New Roman" w:hAnsi="Times New Roman"/>
          <w:b/>
          <w:bCs/>
          <w:rtl/>
        </w:rPr>
        <w:t xml:space="preserve"> ([פורסם בנבו], 23.11.2011)), ואין ספק כי פוטנציאל הנזק שיש המלווה את הסיכון האמור צריך לקבל ביטוי בעונש הנגזר על החוטא בביצוע העבירות האמורות.</w:t>
      </w:r>
    </w:p>
    <w:p w14:paraId="4B1EA274" w14:textId="77777777" w:rsidR="002C1F98" w:rsidRPr="000F0561" w:rsidRDefault="002C1F98" w:rsidP="000F0561">
      <w:pPr>
        <w:spacing w:line="360" w:lineRule="auto"/>
        <w:jc w:val="both"/>
        <w:rPr>
          <w:rFonts w:ascii="Times New Roman" w:hAnsi="Times New Roman"/>
          <w:u w:val="single"/>
          <w:rtl/>
        </w:rPr>
      </w:pPr>
    </w:p>
    <w:p w14:paraId="714B1321"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בעבירות המרמה פגע הנאשם בערכים המוגנים של קניינו של אדם, קניין הציבור, אמון הציבור במפעל ההתנדבות, אמון מעסיק כלפי עובדו, אמון הציבור במגזר עובדי ומנהלי מטווחים. </w:t>
      </w:r>
      <w:r w:rsidRPr="000F0561">
        <w:rPr>
          <w:rFonts w:ascii="Times New Roman" w:hAnsi="Times New Roman"/>
          <w:u w:val="single"/>
          <w:rtl/>
        </w:rPr>
        <w:t>ביחס לערכים המוגנים החוסים תחת עבירת המרמה</w:t>
      </w:r>
      <w:r w:rsidRPr="000F0561">
        <w:rPr>
          <w:rFonts w:ascii="Times New Roman" w:hAnsi="Times New Roman"/>
          <w:rtl/>
        </w:rPr>
        <w:t xml:space="preserve"> ראה דברי ביהמ"ש ב</w:t>
      </w:r>
      <w:hyperlink r:id="rId36" w:history="1">
        <w:r w:rsidR="00B70766" w:rsidRPr="00B70766">
          <w:rPr>
            <w:rFonts w:ascii="Times New Roman" w:hAnsi="Times New Roman"/>
            <w:color w:val="0000FF"/>
            <w:u w:val="single"/>
            <w:rtl/>
          </w:rPr>
          <w:t>ע"פ 752/90</w:t>
        </w:r>
      </w:hyperlink>
      <w:r w:rsidRPr="000F0561">
        <w:rPr>
          <w:rFonts w:ascii="Times New Roman" w:hAnsi="Times New Roman"/>
          <w:rtl/>
        </w:rPr>
        <w:t xml:space="preserve"> </w:t>
      </w:r>
      <w:r w:rsidRPr="000F0561">
        <w:rPr>
          <w:rFonts w:ascii="Times New Roman" w:hAnsi="Times New Roman"/>
          <w:b/>
          <w:bCs/>
          <w:rtl/>
        </w:rPr>
        <w:t xml:space="preserve">שמואל ברזל נ' מ"י </w:t>
      </w:r>
      <w:r w:rsidRPr="000F0561">
        <w:rPr>
          <w:rFonts w:ascii="Times New Roman" w:hAnsi="Times New Roman"/>
          <w:sz w:val="22"/>
          <w:rtl/>
        </w:rPr>
        <w:t xml:space="preserve">(פורסם בנבו, </w:t>
      </w:r>
      <w:r w:rsidRPr="000F0561">
        <w:rPr>
          <w:rFonts w:ascii="Times New Roman" w:hAnsi="Times New Roman"/>
          <w:rtl/>
        </w:rPr>
        <w:t>1.3.92):</w:t>
      </w:r>
    </w:p>
    <w:p w14:paraId="6829D4C5" w14:textId="77777777" w:rsidR="002C1F98" w:rsidRPr="000F0561" w:rsidRDefault="002C1F98" w:rsidP="000F0561">
      <w:pPr>
        <w:ind w:left="567" w:right="567"/>
        <w:jc w:val="both"/>
        <w:rPr>
          <w:rFonts w:ascii="Times New Roman" w:hAnsi="Times New Roman"/>
          <w:rtl/>
        </w:rPr>
      </w:pPr>
      <w:r w:rsidRPr="000F0561">
        <w:rPr>
          <w:rFonts w:ascii="Times New Roman" w:hAnsi="Times New Roman"/>
          <w:b/>
          <w:bCs/>
          <w:rtl/>
        </w:rPr>
        <w:t>"האינטרס החברתי עליו באה עבירת המרמה להגן הוא חופש הרצון, חופש הפעולה וחופש הבחירה של המרומה. פגיעה בחופש זה, אשר באה כתוצאה ממעשה המרמה ואשר הביאה למְרמה יתרון או הישג, היא שעומדת ביסודותיה של העבירה שבסעיף 415 לחוק..."</w:t>
      </w:r>
      <w:r w:rsidRPr="000F0561">
        <w:rPr>
          <w:rFonts w:ascii="Times New Roman" w:hAnsi="Times New Roman"/>
          <w:rtl/>
        </w:rPr>
        <w:t xml:space="preserve"> </w:t>
      </w:r>
    </w:p>
    <w:p w14:paraId="27D4661B" w14:textId="77777777" w:rsidR="002C1F98" w:rsidRPr="000F0561" w:rsidRDefault="002C1F98" w:rsidP="000F0561">
      <w:pPr>
        <w:spacing w:line="360" w:lineRule="auto"/>
        <w:jc w:val="both"/>
        <w:rPr>
          <w:rFonts w:ascii="Times New Roman" w:hAnsi="Times New Roman"/>
          <w:rtl/>
        </w:rPr>
      </w:pPr>
    </w:p>
    <w:p w14:paraId="1A5DD9CD" w14:textId="77777777" w:rsidR="002C1F98" w:rsidRPr="000F0561" w:rsidRDefault="002C1F98" w:rsidP="000F0561">
      <w:pPr>
        <w:spacing w:line="360" w:lineRule="auto"/>
        <w:jc w:val="both"/>
        <w:rPr>
          <w:rtl/>
        </w:rPr>
      </w:pPr>
      <w:r w:rsidRPr="000F0561">
        <w:rPr>
          <w:u w:val="single"/>
          <w:rtl/>
        </w:rPr>
        <w:t>בעבירות המס</w:t>
      </w:r>
      <w:r w:rsidRPr="000F0561">
        <w:rPr>
          <w:rtl/>
        </w:rPr>
        <w:t xml:space="preserve">, פגע הנאשם בערכים המוגנים של חיי הכלכלה והמסחר, הערך של שוויון בנטל המוטל על אזרחי המדינה והפגיעה בקופה הציבורית. </w:t>
      </w:r>
    </w:p>
    <w:p w14:paraId="1D794599" w14:textId="77777777" w:rsidR="002C1F98" w:rsidRPr="000F0561" w:rsidRDefault="002C1F98" w:rsidP="000F0561">
      <w:pPr>
        <w:spacing w:line="360" w:lineRule="auto"/>
        <w:jc w:val="both"/>
        <w:rPr>
          <w:rFonts w:ascii="Times New Roman" w:hAnsi="Times New Roman"/>
          <w:rtl/>
        </w:rPr>
      </w:pPr>
    </w:p>
    <w:p w14:paraId="506FB3EE"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אשר לפסיקה הנוהגת, ובטרם זו תפורט, שומה להקדים מספר הערות מקדימות. ראשית, בדומה לעבירות רבות בקודקס הפלילי גם בעבירות בהן הורשע הנאשם ניתן למצוא משרעת רחבה ביותר של עונשים. על דרך הכלל בעבירות נשק, בתי המשפט שתים לבם בין היתר, לטיב הנשק, כמותו, מקור הנשק, זהות המוכר, זהות הקונה, הרקע לביצו</w:t>
      </w:r>
      <w:r>
        <w:rPr>
          <w:rFonts w:ascii="Times New Roman" w:hAnsi="Times New Roman"/>
          <w:rtl/>
        </w:rPr>
        <w:t>ע העסקה, האם אם נעשה שימוש בנשק</w:t>
      </w:r>
      <w:r w:rsidRPr="000F0561">
        <w:rPr>
          <w:rFonts w:ascii="Times New Roman" w:hAnsi="Times New Roman"/>
          <w:rtl/>
        </w:rPr>
        <w:t xml:space="preserve"> וכן יתר הנסיבות האופפות את ביצוע העבירה. </w:t>
      </w:r>
    </w:p>
    <w:p w14:paraId="685697E3" w14:textId="77777777" w:rsidR="002C1F98" w:rsidRPr="000F0561" w:rsidRDefault="002C1F98" w:rsidP="000F0561">
      <w:pPr>
        <w:spacing w:line="360" w:lineRule="auto"/>
        <w:jc w:val="both"/>
        <w:rPr>
          <w:rFonts w:ascii="Times New Roman" w:hAnsi="Times New Roman"/>
          <w:rtl/>
        </w:rPr>
      </w:pPr>
    </w:p>
    <w:p w14:paraId="5D0DC4EB" w14:textId="77777777" w:rsidR="002C1F98" w:rsidRPr="000F0561" w:rsidRDefault="002C1F98" w:rsidP="00BE0ADF">
      <w:pPr>
        <w:spacing w:line="360" w:lineRule="auto"/>
        <w:jc w:val="both"/>
        <w:rPr>
          <w:rFonts w:ascii="Times New Roman" w:hAnsi="Times New Roman"/>
          <w:rtl/>
        </w:rPr>
      </w:pPr>
      <w:r w:rsidRPr="000F0561">
        <w:rPr>
          <w:rFonts w:ascii="Times New Roman" w:hAnsi="Times New Roman"/>
          <w:rtl/>
        </w:rPr>
        <w:t>חרף השונות הרבה בענישה (שנגזרת מאותם פרמטרים שפורטו לעיל), עדיין כ"כלל אצבע" ניתן לומר כי דינו של מי שחטא בעבירות נשק לא כל שכן בעבירות של סחר בנשק, לרצות מאסר מאחורי סורג ובריח לעיתים לתקופות ממושכות</w:t>
      </w:r>
      <w:r>
        <w:rPr>
          <w:rFonts w:ascii="Times New Roman" w:hAnsi="Times New Roman"/>
          <w:rtl/>
        </w:rPr>
        <w:t>.</w:t>
      </w:r>
    </w:p>
    <w:p w14:paraId="744842F6" w14:textId="77777777" w:rsidR="002C1F98" w:rsidRPr="000F0561" w:rsidRDefault="002C1F98" w:rsidP="000F0561">
      <w:pPr>
        <w:ind w:right="567"/>
        <w:jc w:val="both"/>
        <w:rPr>
          <w:rFonts w:ascii="Times New Roman" w:hAnsi="Times New Roman"/>
          <w:rtl/>
        </w:rPr>
      </w:pPr>
    </w:p>
    <w:p w14:paraId="133DBE2C"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הערה שניה, נוגעת לכך שהפסיקה הנוהגת מהווה אך פרמטר אחד שעל בית המשפט לקחתו בחשבון כחלק ממכלול שיקולים עובר לקביעת מתחם העונש ההולם (ראה </w:t>
      </w:r>
      <w:hyperlink r:id="rId37" w:history="1">
        <w:r w:rsidR="00B70766" w:rsidRPr="00B70766">
          <w:rPr>
            <w:rFonts w:ascii="Times New Roman" w:hAnsi="Times New Roman"/>
            <w:color w:val="0000FF"/>
            <w:u w:val="single"/>
            <w:rtl/>
          </w:rPr>
          <w:t>ע"פ 4910/16</w:t>
        </w:r>
      </w:hyperlink>
      <w:r w:rsidRPr="000F0561">
        <w:rPr>
          <w:rFonts w:ascii="Times New Roman" w:hAnsi="Times New Roman"/>
          <w:rtl/>
        </w:rPr>
        <w:t xml:space="preserve"> </w:t>
      </w:r>
      <w:r w:rsidRPr="000F0561">
        <w:rPr>
          <w:rFonts w:ascii="Times New Roman" w:hAnsi="Times New Roman"/>
          <w:b/>
          <w:bCs/>
          <w:rtl/>
        </w:rPr>
        <w:t>אבני נ' מדינת ישראל</w:t>
      </w:r>
      <w:r w:rsidRPr="000F0561">
        <w:rPr>
          <w:rFonts w:ascii="Times New Roman" w:hAnsi="Times New Roman"/>
          <w:rtl/>
        </w:rPr>
        <w:t xml:space="preserve"> [פסקה 7] (פורסם בנבו, 5.4.17). בהקשר לכך, חרף הרצון להקיש באופן חד ערכי ממקרים קודמים למקרה הנדון, הענישה לעולם אינדוודואלית ומשקללת בתוכה את נסיבותיו הקונקרטיות של המעשה והעושה. </w:t>
      </w:r>
    </w:p>
    <w:p w14:paraId="42B5598D" w14:textId="77777777" w:rsidR="002C1F98" w:rsidRPr="000F0561" w:rsidRDefault="002C1F98" w:rsidP="000F0561">
      <w:pPr>
        <w:spacing w:line="360" w:lineRule="auto"/>
        <w:jc w:val="both"/>
        <w:rPr>
          <w:rFonts w:ascii="Times New Roman" w:hAnsi="Times New Roman"/>
          <w:rtl/>
        </w:rPr>
      </w:pPr>
    </w:p>
    <w:p w14:paraId="42395F92" w14:textId="77777777" w:rsidR="002C1F98" w:rsidRPr="000F0561" w:rsidRDefault="002C1F98" w:rsidP="00BE0ADF">
      <w:pPr>
        <w:spacing w:line="360" w:lineRule="auto"/>
        <w:jc w:val="both"/>
        <w:rPr>
          <w:rFonts w:ascii="Times New Roman" w:hAnsi="Times New Roman"/>
          <w:rtl/>
        </w:rPr>
      </w:pPr>
      <w:r w:rsidRPr="000F0561">
        <w:rPr>
          <w:rFonts w:ascii="Times New Roman" w:hAnsi="Times New Roman"/>
          <w:rtl/>
        </w:rPr>
        <w:t>הערה שלישית שנגזרת מזו השנייה, נוגעת לכך שלצורך מתן גזר דין זה ערך ביהמ"ש חיפוש נרחב במאגרים המשפטיים על מנת לתור אחר פסיקה דומה בעבירות נשק שעניינן מכירת תחמושת של כדורים. בזהירות המתבקשת נדמה כי בצדק נטען על ידי המאשימה שמדובר בסחר בלתי חוקי בכמות חסרת תקדים של תחמושת. מרביתם של המקרים שנידונו בפסיקה  נסובו סביב כמויות קטנות לאין ערוך של תחמושת מזו שבה סחר הנאשם</w:t>
      </w:r>
      <w:r>
        <w:rPr>
          <w:rFonts w:ascii="Times New Roman" w:hAnsi="Times New Roman"/>
          <w:rtl/>
        </w:rPr>
        <w:t>.</w:t>
      </w:r>
    </w:p>
    <w:p w14:paraId="2E144CB7" w14:textId="77777777" w:rsidR="002C1F98" w:rsidRPr="000F0561" w:rsidRDefault="002C1F98" w:rsidP="000F0561">
      <w:pPr>
        <w:spacing w:line="360" w:lineRule="auto"/>
        <w:jc w:val="both"/>
        <w:rPr>
          <w:rFonts w:ascii="Times New Roman" w:hAnsi="Times New Roman"/>
          <w:rtl/>
        </w:rPr>
      </w:pPr>
    </w:p>
    <w:p w14:paraId="5BCFD8CD"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 בהינתן הערות אלה להלן מדגם של הפסיקה הנוהגת שרובה ככולה מתייחסת למקרים קלים מהתיק שבנדון. </w:t>
      </w:r>
    </w:p>
    <w:p w14:paraId="4FBD25E2" w14:textId="77777777" w:rsidR="002C1F98" w:rsidRPr="000F0561" w:rsidRDefault="002C1F98" w:rsidP="000F0561">
      <w:pPr>
        <w:spacing w:line="360" w:lineRule="auto"/>
        <w:jc w:val="both"/>
        <w:rPr>
          <w:rFonts w:ascii="Times New Roman" w:hAnsi="Times New Roman"/>
          <w:rtl/>
        </w:rPr>
      </w:pPr>
    </w:p>
    <w:p w14:paraId="26634125" w14:textId="77777777" w:rsidR="002C1F98" w:rsidRPr="000F0561" w:rsidRDefault="002C1F98" w:rsidP="000F0561">
      <w:pPr>
        <w:spacing w:line="360" w:lineRule="auto"/>
        <w:jc w:val="both"/>
        <w:rPr>
          <w:rFonts w:ascii="Times New Roman" w:hAnsi="Times New Roman"/>
        </w:rPr>
      </w:pPr>
      <w:r w:rsidRPr="000F0561">
        <w:rPr>
          <w:rFonts w:ascii="Times New Roman" w:hAnsi="Times New Roman"/>
          <w:u w:val="single"/>
          <w:rtl/>
        </w:rPr>
        <w:t>ב</w:t>
      </w:r>
      <w:hyperlink r:id="rId38" w:history="1">
        <w:r w:rsidR="00B70766" w:rsidRPr="00B70766">
          <w:rPr>
            <w:rFonts w:ascii="Times New Roman" w:hAnsi="Times New Roman"/>
            <w:color w:val="0000FF"/>
            <w:u w:val="single"/>
            <w:rtl/>
          </w:rPr>
          <w:t>ע"פ 1235/09</w:t>
        </w:r>
      </w:hyperlink>
      <w:r w:rsidRPr="000F0561">
        <w:rPr>
          <w:rFonts w:ascii="Times New Roman" w:hAnsi="Times New Roman"/>
          <w:u w:val="single"/>
          <w:rtl/>
        </w:rPr>
        <w:t xml:space="preserve"> </w:t>
      </w:r>
      <w:r w:rsidRPr="000F0561">
        <w:rPr>
          <w:rFonts w:ascii="Times New Roman" w:hAnsi="Times New Roman"/>
          <w:b/>
          <w:bCs/>
          <w:u w:val="single"/>
          <w:rtl/>
        </w:rPr>
        <w:t>רובין אטיאנו נ' מדינת ישראל</w:t>
      </w:r>
      <w:r w:rsidRPr="000F0561">
        <w:rPr>
          <w:rFonts w:ascii="Times New Roman" w:hAnsi="Times New Roman"/>
          <w:u w:val="single"/>
          <w:rtl/>
        </w:rPr>
        <w:t xml:space="preserve"> (פורסם בנבו, 18.5.09)</w:t>
      </w:r>
      <w:r w:rsidRPr="000F0561">
        <w:rPr>
          <w:rFonts w:ascii="Times New Roman" w:hAnsi="Times New Roman"/>
          <w:rtl/>
        </w:rPr>
        <w:t>, בדומה למקרה שבפני, דובר על מערער ששימש כמדריך ירי במטווח העירוני בבאר שבע. המערער על פני תקופה ארוכה הוציא מהמטווח תחמושת, כדורים בקוטר 9 מ"מ – 7.65 מ"מ ומכר אותה תוך שהוא משלשל את התמורה לכיסו. עיון בגזר הדין של בית המשפט המחוזי מלמד על כי במקרה זה דובר על כמות שנעה בין 2,000 ל – 4,500 כדורים לכל היותר (גזר הדין אינו נוקט בכמות המצטברת שנמכרה אלא מפרט דפוס פעולה כללי ד.ב.ט). בית המשפט המחוזי גוזר על הנאשם, נעדר עבר פלילי, בהסתמך על הודאתו, 36 חודשים מאסר מחציתם בפועל ומחציתם על תנאי. בית המשפט העליון דוחה את הערעור על חומרת העונש, בציינו: "..</w:t>
      </w:r>
      <w:r w:rsidRPr="000F0561">
        <w:rPr>
          <w:rFonts w:ascii="Times New Roman" w:hAnsi="Times New Roman"/>
          <w:b/>
          <w:bCs/>
          <w:rtl/>
        </w:rPr>
        <w:t xml:space="preserve"> המערער גנב כמות גדולה של תחמושת מהמטווח בה הוא עסק ומכר לסעיד, אף שהיה חייב להיות מודע לכך שתחמושת זו עלולה להתגלגל לידיים עברייניות או עוינות, והסכנה מכך, לציבור אינה טעונה הסבר. חרף זאת הוא התמיד במעשיו לאורך זמן, ככל הנראה מחמת בצע כסף והתנהגות מסוג זה יש להוקיע ולהרתיע מפניה בדרך הענישה</w:t>
      </w:r>
      <w:r w:rsidRPr="000F0561">
        <w:rPr>
          <w:rFonts w:ascii="Times New Roman" w:hAnsi="Times New Roman"/>
          <w:rtl/>
        </w:rPr>
        <w:t xml:space="preserve">".  </w:t>
      </w:r>
    </w:p>
    <w:p w14:paraId="48C6ED73" w14:textId="77777777" w:rsidR="002C1F98" w:rsidRPr="000F0561" w:rsidRDefault="002C1F98" w:rsidP="000F0561">
      <w:pPr>
        <w:spacing w:line="360" w:lineRule="auto"/>
        <w:jc w:val="both"/>
        <w:rPr>
          <w:rFonts w:ascii="Times New Roman" w:hAnsi="Times New Roman"/>
          <w:rtl/>
        </w:rPr>
      </w:pPr>
    </w:p>
    <w:p w14:paraId="129039C9"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u w:val="single"/>
          <w:rtl/>
        </w:rPr>
        <w:t>ב</w:t>
      </w:r>
      <w:hyperlink r:id="rId39" w:history="1">
        <w:r w:rsidR="00B70766" w:rsidRPr="00B70766">
          <w:rPr>
            <w:rFonts w:ascii="Times New Roman" w:hAnsi="Times New Roman"/>
            <w:color w:val="0000FF"/>
            <w:u w:val="single"/>
            <w:rtl/>
          </w:rPr>
          <w:t>ע"פ 4956/13</w:t>
        </w:r>
      </w:hyperlink>
      <w:r w:rsidRPr="000F0561">
        <w:rPr>
          <w:rFonts w:ascii="Times New Roman" w:hAnsi="Times New Roman"/>
          <w:u w:val="single"/>
          <w:rtl/>
        </w:rPr>
        <w:t xml:space="preserve"> </w:t>
      </w:r>
      <w:r w:rsidRPr="000F0561">
        <w:rPr>
          <w:rFonts w:ascii="Times New Roman" w:hAnsi="Times New Roman"/>
          <w:b/>
          <w:bCs/>
          <w:u w:val="single"/>
          <w:rtl/>
        </w:rPr>
        <w:t xml:space="preserve">וואליד עיסאווי </w:t>
      </w:r>
      <w:r w:rsidRPr="000F0561">
        <w:rPr>
          <w:rFonts w:ascii="Times New Roman" w:hAnsi="Times New Roman"/>
          <w:u w:val="single"/>
          <w:rtl/>
        </w:rPr>
        <w:t>(פורסם בנבו, 8.6.2014)</w:t>
      </w:r>
      <w:r w:rsidRPr="000F0561">
        <w:rPr>
          <w:rFonts w:ascii="Times New Roman" w:hAnsi="Times New Roman"/>
          <w:b/>
          <w:bCs/>
          <w:rtl/>
        </w:rPr>
        <w:t xml:space="preserve">, </w:t>
      </w:r>
      <w:r w:rsidRPr="000F0561">
        <w:rPr>
          <w:rFonts w:ascii="Times New Roman" w:hAnsi="Times New Roman"/>
          <w:rtl/>
        </w:rPr>
        <w:t xml:space="preserve">נדון עניינו של מערער שהורשע על סמך הודאתו בשני מקרים, בהם רכש כדורים לאקדח בקוטר 9 מ"מ וביקש למכרם ברווח. במקרה אחד, רכש </w:t>
      </w:r>
      <w:r w:rsidRPr="000F0561">
        <w:rPr>
          <w:rFonts w:ascii="Times New Roman" w:hAnsi="Times New Roman"/>
          <w:b/>
          <w:bCs/>
          <w:rtl/>
        </w:rPr>
        <w:t>100 כדורים</w:t>
      </w:r>
      <w:r w:rsidRPr="000F0561">
        <w:rPr>
          <w:rFonts w:ascii="Times New Roman" w:hAnsi="Times New Roman"/>
          <w:rtl/>
        </w:rPr>
        <w:t xml:space="preserve"> ומכר אותם לאחר וכשבועיים לאחר מכן, רכש עוד </w:t>
      </w:r>
      <w:r w:rsidRPr="000F0561">
        <w:rPr>
          <w:rFonts w:ascii="Times New Roman" w:hAnsi="Times New Roman"/>
          <w:b/>
          <w:bCs/>
          <w:rtl/>
        </w:rPr>
        <w:t>200 כדורים</w:t>
      </w:r>
      <w:r w:rsidRPr="000F0561">
        <w:rPr>
          <w:rFonts w:ascii="Times New Roman" w:hAnsi="Times New Roman"/>
          <w:rtl/>
        </w:rPr>
        <w:t xml:space="preserve"> אולם נעצר בטרם השלים את העסקה. בית המשפט המחוזי קבע מתחם עונש הולם בין 12 ל 36 חודשי מאסר בפועל וגזר על הנאשם </w:t>
      </w:r>
      <w:r w:rsidRPr="000F0561">
        <w:rPr>
          <w:rFonts w:ascii="Times New Roman" w:hAnsi="Times New Roman"/>
          <w:b/>
          <w:bCs/>
          <w:rtl/>
        </w:rPr>
        <w:t>24 חודשים מאסר בפועל</w:t>
      </w:r>
      <w:r w:rsidRPr="000F0561">
        <w:rPr>
          <w:rFonts w:ascii="Times New Roman" w:hAnsi="Times New Roman"/>
          <w:rtl/>
        </w:rPr>
        <w:t xml:space="preserve"> לצד ענישה נלוות. בית המשפט העליון מפנה לפסיקה הנוהגת, דוחה את הערעור על חומרת העונש באומרו: "... </w:t>
      </w:r>
      <w:r w:rsidRPr="000F0561">
        <w:rPr>
          <w:rFonts w:ascii="Times New Roman" w:hAnsi="Times New Roman"/>
          <w:b/>
          <w:bCs/>
          <w:rtl/>
        </w:rPr>
        <w:t>שלמצער ניתן לומר שמתחם העונש שקבע בית המשפט המחוזי אינו מחמי</w:t>
      </w:r>
      <w:r w:rsidRPr="000F0561">
        <w:rPr>
          <w:rFonts w:ascii="Times New Roman" w:hAnsi="Times New Roman"/>
          <w:rtl/>
        </w:rPr>
        <w:t>ר". מיותר לציין כי המקרה שלפנינו חמור שבעתיים מהמקרה הנדון.</w:t>
      </w:r>
    </w:p>
    <w:p w14:paraId="420581CD" w14:textId="77777777" w:rsidR="002C1F98" w:rsidRPr="000F0561" w:rsidRDefault="002C1F98" w:rsidP="000F0561">
      <w:pPr>
        <w:spacing w:line="360" w:lineRule="auto"/>
        <w:jc w:val="both"/>
        <w:rPr>
          <w:rFonts w:ascii="Times New Roman" w:hAnsi="Times New Roman"/>
          <w:rtl/>
        </w:rPr>
      </w:pPr>
    </w:p>
    <w:p w14:paraId="68516EA3" w14:textId="77777777" w:rsidR="002C1F98" w:rsidRPr="000F0561" w:rsidRDefault="002C1F98" w:rsidP="000F0561">
      <w:pPr>
        <w:spacing w:line="360" w:lineRule="auto"/>
        <w:jc w:val="both"/>
        <w:rPr>
          <w:rFonts w:ascii="Times New Roman" w:hAnsi="Times New Roman"/>
          <w:b/>
          <w:bCs/>
          <w:rtl/>
        </w:rPr>
      </w:pPr>
      <w:r w:rsidRPr="000F0561">
        <w:rPr>
          <w:rFonts w:ascii="Times New Roman" w:hAnsi="Times New Roman"/>
          <w:u w:val="single"/>
          <w:rtl/>
        </w:rPr>
        <w:t>ב</w:t>
      </w:r>
      <w:hyperlink r:id="rId40" w:history="1">
        <w:r w:rsidR="00B70766" w:rsidRPr="00B70766">
          <w:rPr>
            <w:rFonts w:ascii="Times New Roman" w:hAnsi="Times New Roman"/>
            <w:color w:val="0000FF"/>
            <w:u w:val="single"/>
            <w:rtl/>
          </w:rPr>
          <w:t>ע"פ 8450/16</w:t>
        </w:r>
      </w:hyperlink>
      <w:r w:rsidRPr="000F0561">
        <w:rPr>
          <w:rFonts w:ascii="Times New Roman" w:hAnsi="Times New Roman"/>
          <w:u w:val="single"/>
          <w:rtl/>
        </w:rPr>
        <w:t xml:space="preserve"> </w:t>
      </w:r>
      <w:r w:rsidRPr="000F0561">
        <w:rPr>
          <w:rFonts w:ascii="Times New Roman" w:hAnsi="Times New Roman"/>
          <w:b/>
          <w:bCs/>
          <w:u w:val="single"/>
          <w:rtl/>
        </w:rPr>
        <w:t>יניב טלקר נ' מדינת ישראל</w:t>
      </w:r>
      <w:r w:rsidRPr="000F0561">
        <w:rPr>
          <w:rFonts w:ascii="Times New Roman" w:hAnsi="Times New Roman"/>
          <w:u w:val="single"/>
          <w:rtl/>
        </w:rPr>
        <w:t xml:space="preserve"> (פורסם בנבו, 27.7.17)-</w:t>
      </w:r>
      <w:r w:rsidRPr="000F0561">
        <w:rPr>
          <w:rFonts w:ascii="Times New Roman" w:hAnsi="Times New Roman"/>
          <w:rtl/>
        </w:rPr>
        <w:t xml:space="preserve"> נדחה ערעורו של מערער שהורשע בעבירות של גניבה בידי עובד ציבור, מרמה והפרת אמונים, סחר בנשק, מעשי פזיזות ורשלנות, הפרעה לשוטר בשעת מילוי תפקידו וחבלה במזיד ונגזרו עליו 5.5 שנים מאסר בפועל. מדובר במערער אשר שימש קצין כשירויות וקליעה בשב"ס ומכר כמות מצטברת של כ- 15,000 כדורי אקדח תמורת 66,000 ₪. מדובר בנאשם צעיר, נעדר עבר פלילי שהודה במיוחס לו, פוטר מעבודתו, ושסבל ממצוקה כלכלית. בית המשפט העליון דחה את הערעור, בקובעו: </w:t>
      </w:r>
    </w:p>
    <w:p w14:paraId="170E42E7" w14:textId="77777777" w:rsidR="002C1F98" w:rsidRPr="000F0561" w:rsidRDefault="002C1F98" w:rsidP="000F0561">
      <w:pPr>
        <w:ind w:left="567" w:right="567"/>
        <w:jc w:val="both"/>
        <w:rPr>
          <w:rFonts w:ascii="Times New Roman" w:hAnsi="Times New Roman"/>
          <w:rtl/>
        </w:rPr>
      </w:pPr>
      <w:r w:rsidRPr="000F0561">
        <w:rPr>
          <w:rFonts w:ascii="Times New Roman" w:hAnsi="Times New Roman"/>
          <w:b/>
          <w:bCs/>
          <w:rtl/>
        </w:rPr>
        <w:t>"בענייננו חומרתן של עבירות הסחר בנשק מתעצמת בהינתן העובדה שהמערער היה באותה עת קצין הכשירויות והקליעה בשירות בתי הסוהר אשר קיבל לידיו את התחמושת מתוקף תפקידו ותחמושת זו הועברה על ידו פעם אחר פעם תמורת בצע כסף ושווה-כסף לידי עבריין באופן יזום ומתוכנן. בכך הפר המערער את חובת האמון שהוא חב כמשרת ציבור וכקצין בשירות בתי הסוהר וסיכן את שלום הציבור ובטחונו".</w:t>
      </w:r>
    </w:p>
    <w:p w14:paraId="192949AC" w14:textId="77777777" w:rsidR="002C1F98" w:rsidRPr="000F0561" w:rsidRDefault="002C1F98" w:rsidP="000F0561">
      <w:pPr>
        <w:spacing w:line="360" w:lineRule="auto"/>
        <w:jc w:val="both"/>
        <w:rPr>
          <w:rFonts w:ascii="Times New Roman" w:hAnsi="Times New Roman"/>
          <w:rtl/>
        </w:rPr>
      </w:pPr>
    </w:p>
    <w:p w14:paraId="5FFC1656"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גם במקרה זה מדובר בכמות קטנה משמעותית מזו שבמקרה שבפנינו, בו מכר הנאשם כמות גדולה פי שמונה.</w:t>
      </w:r>
    </w:p>
    <w:p w14:paraId="64F1CCB0" w14:textId="77777777" w:rsidR="002C1F98" w:rsidRPr="000F0561" w:rsidRDefault="002C1F98" w:rsidP="000F0561">
      <w:pPr>
        <w:spacing w:line="360" w:lineRule="auto"/>
        <w:jc w:val="both"/>
        <w:rPr>
          <w:rFonts w:ascii="Times New Roman" w:hAnsi="Times New Roman"/>
          <w:u w:val="single"/>
          <w:rtl/>
        </w:rPr>
      </w:pPr>
    </w:p>
    <w:p w14:paraId="2B4667E9"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u w:val="single"/>
          <w:rtl/>
        </w:rPr>
        <w:t xml:space="preserve">בערעור פלילי 1758/14 </w:t>
      </w:r>
      <w:r w:rsidRPr="000F0561">
        <w:rPr>
          <w:rFonts w:ascii="Times New Roman" w:hAnsi="Times New Roman"/>
          <w:b/>
          <w:bCs/>
          <w:u w:val="single"/>
          <w:rtl/>
        </w:rPr>
        <w:t>בהא</w:t>
      </w:r>
      <w:r w:rsidRPr="000F0561">
        <w:rPr>
          <w:rFonts w:ascii="Times New Roman" w:hAnsi="Times New Roman"/>
          <w:u w:val="single"/>
          <w:rtl/>
        </w:rPr>
        <w:t xml:space="preserve"> </w:t>
      </w:r>
      <w:r w:rsidRPr="000F0561">
        <w:rPr>
          <w:rFonts w:ascii="Times New Roman" w:hAnsi="Times New Roman"/>
          <w:b/>
          <w:bCs/>
          <w:u w:val="single"/>
          <w:rtl/>
        </w:rPr>
        <w:t>גנאיים נ' מדינת ישראל</w:t>
      </w:r>
      <w:r w:rsidRPr="000F0561">
        <w:rPr>
          <w:rFonts w:ascii="Times New Roman" w:hAnsi="Times New Roman"/>
          <w:u w:val="single"/>
          <w:rtl/>
        </w:rPr>
        <w:t xml:space="preserve"> (פורסם בנבו, 22.7.14</w:t>
      </w:r>
      <w:r w:rsidRPr="000F0561">
        <w:rPr>
          <w:rFonts w:ascii="Times New Roman" w:hAnsi="Times New Roman"/>
          <w:rtl/>
        </w:rPr>
        <w:t xml:space="preserve">), נדון עניינו של מערער שהורשע בבית המשפט המחוזי בשני אישומים, האישום הראשון עניינו מכירת 2 מחסניות עם 57 כדורים  לסוכן משטרתי בתמורה ל – 600 ₪ ואילו באישום השני מיוחס לנאשם מכירת אקדח, מחסנית ושמונה כדורים. בית המשפט המחוזי קובע בגין האישום הראשון, </w:t>
      </w:r>
      <w:r w:rsidRPr="000F0561">
        <w:rPr>
          <w:rFonts w:ascii="Times New Roman" w:hAnsi="Times New Roman"/>
          <w:b/>
          <w:bCs/>
          <w:rtl/>
        </w:rPr>
        <w:t>מתחם עונש שנע בין 3 עד 7 שנים מאסר</w:t>
      </w:r>
      <w:r w:rsidRPr="000F0561">
        <w:rPr>
          <w:rFonts w:ascii="Times New Roman" w:hAnsi="Times New Roman"/>
          <w:rtl/>
        </w:rPr>
        <w:t xml:space="preserve"> בפועל ואילו ביחס לאישום השני, מתחם הנע בין 4 עד 7 שנים ובסופם של דברים גוזר על הנאשם עונש כולל של שלוש שנים מאסר בפועל וקנס בסך 15,000 ₪. בית המשפט העליון דוחה את הערעור על חומרת העונש בקובעו כי עונשו אינו חורג ממדיניות הענישה הנהוגה, כאשר גזר הדין אף אין בו כדי למצות את הדין עם המערער.</w:t>
      </w:r>
    </w:p>
    <w:p w14:paraId="470D25AB" w14:textId="77777777" w:rsidR="002C1F98" w:rsidRPr="000F0561" w:rsidRDefault="002C1F98" w:rsidP="000F0561">
      <w:pPr>
        <w:spacing w:line="360" w:lineRule="auto"/>
        <w:jc w:val="both"/>
        <w:rPr>
          <w:rFonts w:ascii="Times New Roman" w:hAnsi="Times New Roman"/>
          <w:rtl/>
        </w:rPr>
      </w:pPr>
    </w:p>
    <w:p w14:paraId="5E6AEAA9"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u w:val="single"/>
          <w:rtl/>
        </w:rPr>
        <w:t>ב</w:t>
      </w:r>
      <w:hyperlink r:id="rId41" w:history="1">
        <w:r w:rsidR="00B70766" w:rsidRPr="00B70766">
          <w:rPr>
            <w:rFonts w:ascii="Times New Roman" w:hAnsi="Times New Roman"/>
            <w:color w:val="0000FF"/>
            <w:u w:val="single"/>
            <w:rtl/>
          </w:rPr>
          <w:t>ע"פ 9205/02</w:t>
        </w:r>
      </w:hyperlink>
      <w:r w:rsidRPr="000F0561">
        <w:rPr>
          <w:rFonts w:ascii="Times New Roman" w:hAnsi="Times New Roman"/>
          <w:u w:val="single"/>
          <w:rtl/>
        </w:rPr>
        <w:t xml:space="preserve"> </w:t>
      </w:r>
      <w:r w:rsidRPr="000F0561">
        <w:rPr>
          <w:rFonts w:ascii="Times New Roman" w:hAnsi="Times New Roman"/>
          <w:b/>
          <w:bCs/>
          <w:u w:val="single"/>
          <w:rtl/>
        </w:rPr>
        <w:t>באסם אלחרר נ' מדינת ישראל</w:t>
      </w:r>
      <w:r w:rsidRPr="000F0561">
        <w:rPr>
          <w:rFonts w:ascii="Times New Roman" w:hAnsi="Times New Roman"/>
          <w:u w:val="single"/>
          <w:rtl/>
        </w:rPr>
        <w:t xml:space="preserve"> (פורסם באר"ש, 1.6.03</w:t>
      </w:r>
      <w:r w:rsidRPr="000F0561">
        <w:rPr>
          <w:rFonts w:ascii="Times New Roman" w:hAnsi="Times New Roman"/>
          <w:rtl/>
        </w:rPr>
        <w:t>)- נדון ערעורו של מערער שהורשע בעבירות של סחר בתחמושת, אחזקת תחמושת וקשירת קשר לביצוע פשע ונגזרו עליו 52 חודשים מאסר בפועל. המדובר במערער שמכר 4000 כדורי רובה לתושב הרשות הפלשתינאית ובטרם השלים העברת 10,000 כדורים נוספים נעצר על ידי המשטרה והחל לשתף עמה פעולה ובכך סייע לסיכול העסקה ולמעצרם של שותפיו. כמו כן, צורף לתיק זה תיק נוסף המייחס למערער עבירה של קבלת רכב גנוב בגינו נגזרו עליו 8 חודשים מאסר במצטבר. הערעור על חומרת העונש התקבל כך שעונש המאסר שנגזר עליו בתיק האחר של 8 חודשים מאסר בפועל ירוצה בחופף לעונש שנגזר עליו בגין תיק זה, כך שבסך הכל ירצה המערער עונש של 52 חודשים מאסר בפועל.</w:t>
      </w:r>
    </w:p>
    <w:p w14:paraId="46B9318E" w14:textId="77777777" w:rsidR="002C1F98" w:rsidRPr="000F0561" w:rsidRDefault="002C1F98" w:rsidP="000F0561">
      <w:pPr>
        <w:ind w:right="567"/>
        <w:jc w:val="both"/>
        <w:rPr>
          <w:rFonts w:ascii="Times New Roman" w:hAnsi="Times New Roman"/>
          <w:rtl/>
        </w:rPr>
      </w:pPr>
    </w:p>
    <w:p w14:paraId="49AEFE76" w14:textId="77777777" w:rsidR="002C1F98" w:rsidRPr="000F0561" w:rsidRDefault="002C1F98" w:rsidP="000F0561">
      <w:pPr>
        <w:spacing w:line="360" w:lineRule="auto"/>
        <w:jc w:val="both"/>
        <w:rPr>
          <w:rFonts w:ascii="Times New Roman" w:hAnsi="Times New Roman"/>
          <w:rtl/>
        </w:rPr>
      </w:pPr>
    </w:p>
    <w:p w14:paraId="5964C198"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u w:val="single"/>
          <w:rtl/>
        </w:rPr>
        <w:t>ב</w:t>
      </w:r>
      <w:hyperlink r:id="rId42" w:history="1">
        <w:r w:rsidR="00B70766" w:rsidRPr="00B70766">
          <w:rPr>
            <w:rFonts w:ascii="Times New Roman" w:hAnsi="Times New Roman"/>
            <w:color w:val="0000FF"/>
            <w:u w:val="single"/>
            <w:rtl/>
          </w:rPr>
          <w:t>ע"פ 9112/11</w:t>
        </w:r>
      </w:hyperlink>
      <w:r w:rsidRPr="000F0561">
        <w:rPr>
          <w:rFonts w:ascii="Times New Roman" w:hAnsi="Times New Roman"/>
          <w:u w:val="single"/>
          <w:rtl/>
        </w:rPr>
        <w:t xml:space="preserve"> </w:t>
      </w:r>
      <w:r w:rsidRPr="000F0561">
        <w:rPr>
          <w:rFonts w:ascii="Times New Roman" w:hAnsi="Times New Roman"/>
          <w:b/>
          <w:bCs/>
          <w:u w:val="single"/>
          <w:rtl/>
        </w:rPr>
        <w:t>פלוני נ' מדינת ישראל</w:t>
      </w:r>
      <w:r w:rsidRPr="000F0561">
        <w:rPr>
          <w:rFonts w:ascii="Times New Roman" w:hAnsi="Times New Roman"/>
          <w:u w:val="single"/>
          <w:rtl/>
        </w:rPr>
        <w:t xml:space="preserve"> (פורסם בנבו, 13.12.12)-</w:t>
      </w:r>
      <w:r w:rsidRPr="000F0561">
        <w:rPr>
          <w:rFonts w:ascii="Times New Roman" w:hAnsi="Times New Roman"/>
          <w:rtl/>
        </w:rPr>
        <w:t xml:space="preserve"> נדחה ערעורו של מי שהורשע במסגרת הסדר טיעון, בעבירות של גניבה בידי עובד ציבור, נשיאת נשק שלא כדין, ניסיון לבצע עסקה בנשק והפרת אמונים. בגדרי הסדר הטיעון הוסכם בין הצדדים, בין היתר, שהמדינה תטען לעונש מאסר בפועל שלא יעלה על ארבע וחצי שנים מאסר בפועל. בית המשפט המחוזי גזר על המערער עונש מאסר בפועל לתקופה של ארבע שנים. על פי עובדות המקרה, המערער שירת כשוטר במשמר הגבול במסגרת שירותו הסדיר, גנב את נשקו של חברו בזמן שישן וביחד עם נאשם נוסף החביא את הנשק בשטח פתוח מחוץ לבסיס במטרה למוכרו לאדם שלישי. </w:t>
      </w:r>
    </w:p>
    <w:p w14:paraId="0963BE10" w14:textId="77777777" w:rsidR="002C1F98" w:rsidRPr="000F0561" w:rsidRDefault="002C1F98" w:rsidP="000F0561">
      <w:pPr>
        <w:spacing w:line="360" w:lineRule="auto"/>
        <w:jc w:val="both"/>
        <w:rPr>
          <w:rFonts w:ascii="Times New Roman" w:hAnsi="Times New Roman"/>
          <w:rtl/>
        </w:rPr>
      </w:pPr>
    </w:p>
    <w:p w14:paraId="527F171F"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u w:val="single"/>
          <w:rtl/>
        </w:rPr>
        <w:t>ב</w:t>
      </w:r>
      <w:hyperlink r:id="rId43" w:history="1">
        <w:r w:rsidR="00B70766" w:rsidRPr="00B70766">
          <w:rPr>
            <w:rFonts w:ascii="Times New Roman" w:hAnsi="Times New Roman"/>
            <w:color w:val="0000FF"/>
            <w:u w:val="single"/>
            <w:rtl/>
          </w:rPr>
          <w:t>ע"פ 5549/09</w:t>
        </w:r>
      </w:hyperlink>
      <w:r w:rsidRPr="000F0561">
        <w:rPr>
          <w:rFonts w:ascii="Times New Roman" w:hAnsi="Times New Roman"/>
          <w:b/>
          <w:bCs/>
          <w:u w:val="single"/>
          <w:rtl/>
        </w:rPr>
        <w:t xml:space="preserve"> ניסים יעקב נ' מדינת ישראל </w:t>
      </w:r>
      <w:r w:rsidRPr="000F0561">
        <w:rPr>
          <w:rFonts w:ascii="Times New Roman" w:hAnsi="Times New Roman"/>
          <w:u w:val="single"/>
          <w:rtl/>
        </w:rPr>
        <w:t>(פורסם באר"ש, 6.1.10)</w:t>
      </w:r>
      <w:r w:rsidRPr="000F0561">
        <w:rPr>
          <w:rFonts w:ascii="Times New Roman" w:hAnsi="Times New Roman"/>
          <w:rtl/>
        </w:rPr>
        <w:t>-</w:t>
      </w:r>
      <w:r w:rsidRPr="000F0561">
        <w:rPr>
          <w:rFonts w:ascii="Times New Roman" w:hAnsi="Times New Roman"/>
          <w:b/>
          <w:bCs/>
          <w:rtl/>
        </w:rPr>
        <w:t xml:space="preserve">  </w:t>
      </w:r>
      <w:r w:rsidRPr="000F0561">
        <w:rPr>
          <w:rFonts w:ascii="Times New Roman" w:hAnsi="Times New Roman"/>
          <w:rtl/>
        </w:rPr>
        <w:t>נדון עניינו של מערער שקשר קשר עם חייל צה"ל ואחר, קטין, לגנוב נשק מבסיס צבאי ולמוכרו. החייל והקטין גנבו רובה ומחסנית, פגשו במערער מחוץ לבסיס והמערער שילם לקטין. בית המשפט המחוזי השית על המערער עונש של 4.5 שנים מאסר בפועל וערעורו על העונש נדחה. יצוין כי החייל נשפט על ידי בית דין צבאי שם צירף תיק נוסף של גניבת נשק מצה"ל ונגזרו עליו 6.5 שנים מאסר בפועל.</w:t>
      </w:r>
    </w:p>
    <w:p w14:paraId="70A6D9A6" w14:textId="77777777" w:rsidR="002C1F98" w:rsidRPr="000F0561" w:rsidRDefault="002C1F98" w:rsidP="000F0561">
      <w:pPr>
        <w:spacing w:line="360" w:lineRule="auto"/>
        <w:jc w:val="both"/>
        <w:rPr>
          <w:rFonts w:ascii="Times New Roman" w:hAnsi="Times New Roman"/>
          <w:rtl/>
        </w:rPr>
      </w:pPr>
    </w:p>
    <w:p w14:paraId="4BF8A9E5"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b/>
          <w:bCs/>
          <w:u w:val="single"/>
          <w:rtl/>
        </w:rPr>
        <w:t>ב</w:t>
      </w:r>
      <w:hyperlink r:id="rId44" w:history="1">
        <w:r w:rsidR="00B70766" w:rsidRPr="00B70766">
          <w:rPr>
            <w:rFonts w:ascii="Times New Roman" w:hAnsi="Times New Roman"/>
            <w:b/>
            <w:bCs/>
            <w:color w:val="0000FF"/>
            <w:u w:val="single"/>
            <w:rtl/>
          </w:rPr>
          <w:t>ע"פ 5318/03</w:t>
        </w:r>
      </w:hyperlink>
      <w:r w:rsidRPr="000F0561">
        <w:rPr>
          <w:rFonts w:ascii="Times New Roman" w:hAnsi="Times New Roman"/>
          <w:b/>
          <w:bCs/>
          <w:u w:val="single"/>
          <w:rtl/>
        </w:rPr>
        <w:t xml:space="preserve"> סלע עמר נ' מדינת ישראל (פורסם בנבו, 8.1.04)</w:t>
      </w:r>
      <w:r w:rsidRPr="000F0561">
        <w:rPr>
          <w:rFonts w:ascii="Times New Roman" w:hAnsi="Times New Roman"/>
          <w:rtl/>
        </w:rPr>
        <w:t>-נדון עניינו של מערער שמכר ביחד עם אחר, חייל בצה"ל, במספר הזדמנויות כדורי תחמושת בכמויות גדולות אשר נגנבו מצה"ל על ידי האחר. בית המשפט המחוזי גזר על המערער 5 שנים מאסר בפועל. עוד צוין כי האחר נדון ל9.5 שנים מאסר בפועל. בית המשפט העליון דוחה את הערעור באומרו:</w:t>
      </w:r>
      <w:r w:rsidRPr="000F0561">
        <w:rPr>
          <w:rFonts w:ascii="Times New Roman" w:hAnsi="Times New Roman"/>
          <w:b/>
          <w:bCs/>
          <w:rtl/>
        </w:rPr>
        <w:t>"...יש בעבירות אלה גם סממן של הפניית עורף, עד כדי בגידה, בחובת האמונים המוטלת על כל אזרח כלפי מדינתו וכלפי החברה בה הוא חי, מכוחה חייב הוא לשקוד על טובתן ובטחונן. המערער הפר חובת אמונים זו בצורה קשה עבור בצע כסף, והחומרה המתלווה לכך אינה צריכה הדגשה</w:t>
      </w:r>
      <w:r w:rsidRPr="000F0561">
        <w:rPr>
          <w:rFonts w:ascii="Times New Roman" w:hAnsi="Times New Roman"/>
          <w:rtl/>
        </w:rPr>
        <w:t>".</w:t>
      </w:r>
    </w:p>
    <w:p w14:paraId="1D9A81F2" w14:textId="77777777" w:rsidR="002C1F98" w:rsidRPr="000F0561" w:rsidRDefault="002C1F98" w:rsidP="000F0561">
      <w:pPr>
        <w:spacing w:line="360" w:lineRule="auto"/>
        <w:jc w:val="both"/>
        <w:rPr>
          <w:rFonts w:ascii="Times New Roman" w:hAnsi="Times New Roman"/>
          <w:rtl/>
        </w:rPr>
      </w:pPr>
    </w:p>
    <w:p w14:paraId="4B77ECE4"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מידת הפגיעה של הנאשם בערכים המוגנים קשה וחמורה.</w:t>
      </w:r>
    </w:p>
    <w:p w14:paraId="52C7C7B6" w14:textId="77777777" w:rsidR="002C1F98" w:rsidRPr="000F0561" w:rsidRDefault="002C1F98" w:rsidP="000F0561">
      <w:pPr>
        <w:spacing w:line="360" w:lineRule="auto"/>
        <w:jc w:val="both"/>
        <w:rPr>
          <w:rFonts w:ascii="Times New Roman" w:hAnsi="Times New Roman"/>
          <w:rtl/>
        </w:rPr>
      </w:pPr>
    </w:p>
    <w:p w14:paraId="554565A3" w14:textId="77777777" w:rsidR="002C1F98" w:rsidRPr="000F0561" w:rsidRDefault="002C1F98" w:rsidP="00A06F4C">
      <w:pPr>
        <w:spacing w:line="360" w:lineRule="auto"/>
        <w:jc w:val="both"/>
        <w:rPr>
          <w:rFonts w:ascii="Times New Roman" w:hAnsi="Times New Roman"/>
          <w:rtl/>
        </w:rPr>
      </w:pPr>
      <w:r w:rsidRPr="000F0561">
        <w:rPr>
          <w:rFonts w:ascii="Times New Roman" w:hAnsi="Times New Roman"/>
          <w:rtl/>
        </w:rPr>
        <w:t>כאמור, מדובר במכירת תחמושת, כדורי 9 מ"מ, לצד כמות נוספת של כדורים בקוטר 0.22 מ"מ. במישור העקרוני</w:t>
      </w:r>
      <w:r>
        <w:rPr>
          <w:rFonts w:ascii="Times New Roman" w:hAnsi="Times New Roman"/>
          <w:rtl/>
        </w:rPr>
        <w:t xml:space="preserve"> מקובל על בית המשפט כי </w:t>
      </w:r>
      <w:r w:rsidRPr="000F0561">
        <w:rPr>
          <w:rFonts w:ascii="Times New Roman" w:hAnsi="Times New Roman"/>
          <w:rtl/>
        </w:rPr>
        <w:t>אין דומ</w:t>
      </w:r>
      <w:r>
        <w:rPr>
          <w:rFonts w:ascii="Times New Roman" w:hAnsi="Times New Roman"/>
          <w:rtl/>
        </w:rPr>
        <w:t>ַ</w:t>
      </w:r>
      <w:r w:rsidRPr="000F0561">
        <w:rPr>
          <w:rFonts w:ascii="Times New Roman" w:hAnsi="Times New Roman"/>
          <w:rtl/>
        </w:rPr>
        <w:t xml:space="preserve">ה אחזקה או נשיאת תחמושת שהינה "חד פעמי ומתכלה" מול אחזקת רובה או אקדח שבאמצעותם ניתן לעשות שימוש חוזר ונשנה. הבחנה זו מוצאת ביטויה גם בחוק (וראה </w:t>
      </w:r>
      <w:hyperlink r:id="rId45" w:history="1">
        <w:r w:rsidR="00CF57BC" w:rsidRPr="00CF57BC">
          <w:rPr>
            <w:rFonts w:ascii="Times New Roman" w:hAnsi="Times New Roman"/>
            <w:color w:val="0000FF"/>
            <w:u w:val="single"/>
            <w:rtl/>
          </w:rPr>
          <w:t>סעיפים 144(א)</w:t>
        </w:r>
      </w:hyperlink>
      <w:r w:rsidRPr="000F0561">
        <w:rPr>
          <w:rFonts w:ascii="Times New Roman" w:hAnsi="Times New Roman"/>
          <w:rtl/>
        </w:rPr>
        <w:t xml:space="preserve"> אל מול </w:t>
      </w:r>
      <w:hyperlink r:id="rId46" w:history="1">
        <w:r w:rsidR="00CF57BC" w:rsidRPr="00CF57BC">
          <w:rPr>
            <w:rFonts w:ascii="Times New Roman" w:hAnsi="Times New Roman"/>
            <w:color w:val="0000FF"/>
            <w:u w:val="single"/>
            <w:rtl/>
          </w:rPr>
          <w:t>144(ב)</w:t>
        </w:r>
      </w:hyperlink>
      <w:r w:rsidRPr="000F0561">
        <w:rPr>
          <w:rFonts w:ascii="Times New Roman" w:hAnsi="Times New Roman"/>
          <w:rtl/>
        </w:rPr>
        <w:t xml:space="preserve"> ל</w:t>
      </w:r>
      <w:hyperlink r:id="rId47" w:history="1">
        <w:r w:rsidR="00B70766" w:rsidRPr="00B70766">
          <w:rPr>
            <w:rFonts w:ascii="Times New Roman" w:hAnsi="Times New Roman"/>
            <w:color w:val="0000FF"/>
            <w:u w:val="single"/>
            <w:rtl/>
          </w:rPr>
          <w:t>חוק העונשין</w:t>
        </w:r>
      </w:hyperlink>
      <w:r w:rsidRPr="000F0561">
        <w:rPr>
          <w:rFonts w:ascii="Times New Roman" w:hAnsi="Times New Roman"/>
          <w:rtl/>
        </w:rPr>
        <w:t xml:space="preserve">). </w:t>
      </w:r>
    </w:p>
    <w:p w14:paraId="6258F3DB" w14:textId="77777777" w:rsidR="002C1F98" w:rsidRPr="000F0561" w:rsidRDefault="002C1F98" w:rsidP="000F0561">
      <w:pPr>
        <w:spacing w:line="360" w:lineRule="auto"/>
        <w:jc w:val="both"/>
        <w:rPr>
          <w:rFonts w:ascii="Times New Roman" w:hAnsi="Times New Roman"/>
          <w:rtl/>
        </w:rPr>
      </w:pPr>
    </w:p>
    <w:p w14:paraId="09900A01" w14:textId="77777777" w:rsidR="002C1F98" w:rsidRPr="000F0561" w:rsidRDefault="002C1F98" w:rsidP="00BE0ADF">
      <w:pPr>
        <w:spacing w:line="360" w:lineRule="auto"/>
        <w:jc w:val="both"/>
        <w:rPr>
          <w:rFonts w:ascii="Times New Roman" w:hAnsi="Times New Roman"/>
          <w:rtl/>
        </w:rPr>
      </w:pPr>
      <w:r w:rsidRPr="000F0561">
        <w:rPr>
          <w:rFonts w:ascii="Times New Roman" w:hAnsi="Times New Roman"/>
          <w:rtl/>
        </w:rPr>
        <w:t>ודוק, בעבירה של סחר בנשק בה הורשע הנאשם לא קי</w:t>
      </w:r>
      <w:r>
        <w:rPr>
          <w:rFonts w:ascii="Times New Roman" w:hAnsi="Times New Roman"/>
          <w:rtl/>
        </w:rPr>
        <w:t>י</w:t>
      </w:r>
      <w:r w:rsidRPr="000F0561">
        <w:rPr>
          <w:rFonts w:ascii="Times New Roman" w:hAnsi="Times New Roman"/>
          <w:rtl/>
        </w:rPr>
        <w:t xml:space="preserve">מת אותה הבחנה (ר' </w:t>
      </w:r>
      <w:hyperlink r:id="rId48" w:history="1">
        <w:r w:rsidR="00CF57BC" w:rsidRPr="00CF57BC">
          <w:rPr>
            <w:rFonts w:ascii="Times New Roman" w:hAnsi="Times New Roman"/>
            <w:color w:val="0000FF"/>
            <w:u w:val="single"/>
            <w:rtl/>
          </w:rPr>
          <w:t>סעיף 144(ב2)</w:t>
        </w:r>
      </w:hyperlink>
      <w:r w:rsidRPr="000F0561">
        <w:rPr>
          <w:rFonts w:ascii="Times New Roman" w:hAnsi="Times New Roman"/>
          <w:rtl/>
        </w:rPr>
        <w:t xml:space="preserve"> לחוק). העדרה של הבחנה, מבוסס בין היתר על הסיכון הפוטנציאלי הרב במכירת נשק (תחמושת ורובה כאחד) מבלי שניתן לדעת לאיזה ידיים זה בסופם של דברים יגיע. העונש המקסימלי הקבוע בצד העבירה בה הורשע הנאשם הינו 15 שנה. בכך, גם המחוקק אמר דברו ביחס להחמרה המתבקשת </w:t>
      </w:r>
      <w:r>
        <w:rPr>
          <w:rFonts w:ascii="Times New Roman" w:hAnsi="Times New Roman"/>
          <w:rtl/>
        </w:rPr>
        <w:t>בעבירו</w:t>
      </w:r>
      <w:r w:rsidRPr="000F0561">
        <w:rPr>
          <w:rFonts w:ascii="Times New Roman" w:hAnsi="Times New Roman"/>
          <w:rtl/>
        </w:rPr>
        <w:t xml:space="preserve">ת של סחר </w:t>
      </w:r>
      <w:r>
        <w:rPr>
          <w:rFonts w:ascii="Times New Roman" w:hAnsi="Times New Roman"/>
          <w:rtl/>
        </w:rPr>
        <w:t>בנשק ללא קשר לטיבו.</w:t>
      </w:r>
    </w:p>
    <w:p w14:paraId="75DC7BFC" w14:textId="77777777" w:rsidR="002C1F98" w:rsidRPr="000F0561" w:rsidRDefault="002C1F98" w:rsidP="000F0561">
      <w:pPr>
        <w:spacing w:line="360" w:lineRule="auto"/>
        <w:jc w:val="both"/>
        <w:rPr>
          <w:rFonts w:ascii="Times New Roman" w:hAnsi="Times New Roman"/>
          <w:rtl/>
        </w:rPr>
      </w:pPr>
    </w:p>
    <w:p w14:paraId="268D7885" w14:textId="77777777" w:rsidR="002C1F98" w:rsidRPr="000F0561" w:rsidRDefault="002C1F98" w:rsidP="000F0561">
      <w:pPr>
        <w:spacing w:line="360" w:lineRule="auto"/>
        <w:jc w:val="both"/>
        <w:rPr>
          <w:rFonts w:ascii="Times New Roman" w:hAnsi="Times New Roman"/>
          <w:b/>
          <w:bCs/>
          <w:rtl/>
        </w:rPr>
      </w:pPr>
      <w:r w:rsidRPr="000F0561">
        <w:rPr>
          <w:rFonts w:ascii="Times New Roman" w:hAnsi="Times New Roman"/>
          <w:rtl/>
        </w:rPr>
        <w:t>עבירות של סחר בתחמושת חותרות תחת אותם ערכים מוגנים העומדים בבסיס האיסור של מסחר ברובים ואקדחים. הדברים אמורים בשים לב לכך שרובה, משוכלל ככל שיהיה, מאבד מתכליתו בשעה שאין לידו תחמושת תואמת, זמינה, ובכמות מספיקה. לעניין זה יפים  דברי בית המשפט ב</w:t>
      </w:r>
      <w:hyperlink r:id="rId49" w:history="1">
        <w:r w:rsidR="00B70766" w:rsidRPr="00B70766">
          <w:rPr>
            <w:rFonts w:ascii="Times New Roman" w:hAnsi="Times New Roman"/>
            <w:color w:val="0000FF"/>
            <w:u w:val="single"/>
            <w:rtl/>
          </w:rPr>
          <w:t>ת"פ 59422-07-14</w:t>
        </w:r>
      </w:hyperlink>
      <w:r w:rsidRPr="000F0561">
        <w:rPr>
          <w:rFonts w:ascii="Times New Roman" w:hAnsi="Times New Roman"/>
          <w:rtl/>
        </w:rPr>
        <w:t xml:space="preserve"> (מחוזי באר שבע) </w:t>
      </w:r>
      <w:r w:rsidRPr="000F0561">
        <w:rPr>
          <w:rFonts w:ascii="Times New Roman" w:hAnsi="Times New Roman"/>
          <w:b/>
          <w:bCs/>
          <w:rtl/>
        </w:rPr>
        <w:t xml:space="preserve">מדינת ישראל ' טלקר </w:t>
      </w:r>
      <w:r w:rsidRPr="000F0561">
        <w:rPr>
          <w:rFonts w:ascii="Times New Roman" w:hAnsi="Times New Roman"/>
          <w:rtl/>
        </w:rPr>
        <w:t>(פורסם בנבו, 19.9.16):</w:t>
      </w:r>
      <w:r w:rsidRPr="000F0561">
        <w:rPr>
          <w:rFonts w:ascii="Times New Roman" w:hAnsi="Times New Roman"/>
          <w:b/>
          <w:bCs/>
          <w:rtl/>
        </w:rPr>
        <w:t xml:space="preserve"> </w:t>
      </w:r>
    </w:p>
    <w:p w14:paraId="1C555777" w14:textId="77777777" w:rsidR="002C1F98" w:rsidRPr="000F0561" w:rsidRDefault="002C1F98" w:rsidP="000F0561">
      <w:pPr>
        <w:ind w:left="567" w:right="567"/>
        <w:jc w:val="both"/>
        <w:rPr>
          <w:rFonts w:ascii="Times New Roman" w:hAnsi="Times New Roman"/>
          <w:rtl/>
        </w:rPr>
      </w:pPr>
      <w:r w:rsidRPr="000F0561">
        <w:rPr>
          <w:rFonts w:ascii="Times New Roman" w:hAnsi="Times New Roman"/>
          <w:rtl/>
        </w:rPr>
        <w:t>"</w:t>
      </w:r>
      <w:r w:rsidRPr="000F0561">
        <w:rPr>
          <w:rFonts w:ascii="Times New Roman" w:hAnsi="Times New Roman"/>
          <w:b/>
          <w:bCs/>
          <w:rtl/>
        </w:rPr>
        <w:t xml:space="preserve">אמנם ברור שמכירת רובה אחד חמורה ממכירת כדור אחד, שכן, הרובה הוא מוצר מורכב יותר, יקר יותר וקשה יותר להשגה מכדור, וניתן לעשות בו שימוש חוזר, רב פעמי בירי כדורים. אולם מנגד, רובה ללא כדור הוא כסיגריה ללא גפרור, בשניהם השימוש העיקרי לו נועד המרכיב המרכזי, מעוקר. ייעודו העיקרי של הרובה הוא לירות את הכדור. ללא הכדור, תש כוחו כרובה. </w:t>
      </w:r>
      <w:r w:rsidRPr="000F0561">
        <w:rPr>
          <w:rFonts w:ascii="Times New Roman" w:hAnsi="Times New Roman"/>
          <w:b/>
          <w:bCs/>
          <w:u w:val="single"/>
          <w:rtl/>
        </w:rPr>
        <w:t>כשמדובר בכמות משמעותית של תחמושת, תמונת החומרה היחסית בהשוואה בין נשק לתחמושת, עשויה להשתנות</w:t>
      </w:r>
      <w:r w:rsidRPr="000F0561">
        <w:rPr>
          <w:rFonts w:ascii="Times New Roman" w:hAnsi="Times New Roman"/>
          <w:b/>
          <w:bCs/>
          <w:rtl/>
        </w:rPr>
        <w:t xml:space="preserve">" </w:t>
      </w:r>
    </w:p>
    <w:p w14:paraId="11093F35" w14:textId="77777777" w:rsidR="002C1F98" w:rsidRPr="000F0561" w:rsidRDefault="002C1F98" w:rsidP="000F0561">
      <w:pPr>
        <w:spacing w:line="360" w:lineRule="auto"/>
        <w:ind w:left="567" w:right="567"/>
        <w:jc w:val="both"/>
        <w:rPr>
          <w:rFonts w:ascii="Times New Roman" w:hAnsi="Times New Roman"/>
          <w:rtl/>
        </w:rPr>
      </w:pPr>
      <w:r w:rsidRPr="000F0561">
        <w:rPr>
          <w:rFonts w:ascii="Times New Roman" w:hAnsi="Times New Roman"/>
          <w:rtl/>
        </w:rPr>
        <w:t>(הדגשה לא במקור ד.ב.ט.).</w:t>
      </w:r>
    </w:p>
    <w:p w14:paraId="2ACA98F7" w14:textId="77777777" w:rsidR="002C1F98" w:rsidRPr="000F0561" w:rsidRDefault="002C1F98" w:rsidP="000F0561">
      <w:pPr>
        <w:spacing w:line="360" w:lineRule="auto"/>
        <w:jc w:val="both"/>
        <w:rPr>
          <w:rFonts w:ascii="Times New Roman" w:hAnsi="Times New Roman"/>
          <w:rtl/>
        </w:rPr>
      </w:pPr>
    </w:p>
    <w:p w14:paraId="395B04DC"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בדומה לעבירות סמים, כך גם בעבירות שעניינן סחר לא חוקי בתחמושת, אין לדבר על יחס "ליניארי ישר" בין כמות התחמושת לעונש שייגזר על הנאשם. הגם כך, אין חולק שככל שמדובר בכמות תחמושת גדולה יותר, או אז מידת הפגיעה בערכים המוגנים עולה אף היא. </w:t>
      </w:r>
    </w:p>
    <w:p w14:paraId="73D6508C" w14:textId="77777777" w:rsidR="002C1F98" w:rsidRPr="000F0561" w:rsidRDefault="002C1F98" w:rsidP="000F0561">
      <w:pPr>
        <w:spacing w:line="360" w:lineRule="auto"/>
        <w:jc w:val="both"/>
        <w:rPr>
          <w:rFonts w:ascii="Times New Roman" w:hAnsi="Times New Roman"/>
          <w:rtl/>
        </w:rPr>
      </w:pPr>
    </w:p>
    <w:p w14:paraId="7FDD08E3"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בענייננו, בית המשפט נותן משקל משמעותי ולחומרא לכמות התחמושת בה סחר הנאשם. כאמור, מדובר בסך מצטבר של מ- </w:t>
      </w:r>
      <w:r w:rsidRPr="000F0561">
        <w:rPr>
          <w:rFonts w:ascii="Times New Roman" w:hAnsi="Times New Roman"/>
          <w:b/>
          <w:bCs/>
          <w:u w:val="single"/>
          <w:rtl/>
        </w:rPr>
        <w:t xml:space="preserve">120,000 </w:t>
      </w:r>
      <w:r w:rsidRPr="000F0561">
        <w:rPr>
          <w:rFonts w:ascii="Times New Roman" w:hAnsi="Times New Roman"/>
          <w:b/>
          <w:bCs/>
          <w:rtl/>
        </w:rPr>
        <w:t>(!!)</w:t>
      </w:r>
      <w:r w:rsidRPr="000F0561">
        <w:rPr>
          <w:rFonts w:ascii="Times New Roman" w:hAnsi="Times New Roman"/>
          <w:rtl/>
        </w:rPr>
        <w:t xml:space="preserve"> כדורים בקוטר 9 מ"מ יחד עם כמות נוספת של כאלף כדורים בקוטר 0.22 מ"מ. אין צורך להיות איש צבא או בעל רקע בתחום על מנת להבין שמדובר בכמות עצומה של תחמושת. התובעת בטיעוניה ציינה כי מדובר בכמות ש"</w:t>
      </w:r>
      <w:r w:rsidRPr="000F0561">
        <w:rPr>
          <w:rFonts w:ascii="Times New Roman" w:hAnsi="Times New Roman"/>
          <w:b/>
          <w:bCs/>
          <w:rtl/>
        </w:rPr>
        <w:t>יכולה הייתה לחמש חטיבה שלמה בצה"ל</w:t>
      </w:r>
      <w:r w:rsidRPr="000F0561">
        <w:rPr>
          <w:rFonts w:ascii="Times New Roman" w:hAnsi="Times New Roman"/>
          <w:rtl/>
        </w:rPr>
        <w:t xml:space="preserve">", גם אם תיאור זה של התובעת הינו מטאפורי ביסודו, הוא אינו רחוק מהמציאות. בזהירות המתבקשת, כמות התחמושת העצומה מלמדת ולו בעקיפין שאינה נועדה אך ורק לשימוש לא חוקי על רקע פלילי (שהרי גם אם נעשה שימוש כזה או אחר בתחמושת במהלך אירוע פלילי, בדרך כלל מדובר בכדורים בודדים). ואף אם תמצא לומר שכל כולה נועד לשימוש על רקע פלילי או אז נגזרת מכך  שגורמים עבריינים רבים ניזונו ממעשיו הנלוזים של הנאשם. </w:t>
      </w:r>
    </w:p>
    <w:p w14:paraId="5DAADA62" w14:textId="77777777" w:rsidR="002C1F98" w:rsidRPr="000F0561" w:rsidRDefault="002C1F98" w:rsidP="000F0561">
      <w:pPr>
        <w:spacing w:line="360" w:lineRule="auto"/>
        <w:jc w:val="both"/>
        <w:rPr>
          <w:rFonts w:ascii="Times New Roman" w:hAnsi="Times New Roman"/>
          <w:rtl/>
        </w:rPr>
      </w:pPr>
    </w:p>
    <w:p w14:paraId="7E88CD6B"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הנאשם מכר את התחמושת לאותו מנצור, אולם מבחינת פוטנציאל הנזק, אין בכך כדי ללמד דבר או חצי דבר על יעדם הסופי (כשממילא בית המשפט אינו רוחש כל אמון לטענת הנאשם לפיה הוא סבור היה שמנצור מבקשם לצורך ירי בחתונה).  מהרגע שהתחמושת יצאה מידיו של הנאשם, אין לו עוד שליטה עליה לא כל שכן על השימוש שיעשה עמה ברבות הימים. בשל מעשיו של הנאשם התפזרו להם למקומות עלומים 120,000 כדורים שלהם תכלית אחת: לעוף מהר לעבר המטרה ולגרום לנזק . קשה להפריז בפוטנציאל הנזק הטמון במעשיו של הנאשם, על רקע המציאות הביטחונית בה אנו מצויים, ורוב מילים אך למותר. </w:t>
      </w:r>
    </w:p>
    <w:p w14:paraId="613D90AF" w14:textId="77777777" w:rsidR="002C1F98" w:rsidRPr="000F0561" w:rsidRDefault="002C1F98" w:rsidP="000F0561">
      <w:pPr>
        <w:spacing w:line="360" w:lineRule="auto"/>
        <w:jc w:val="both"/>
        <w:rPr>
          <w:rFonts w:ascii="Times New Roman" w:hAnsi="Times New Roman"/>
          <w:rtl/>
        </w:rPr>
      </w:pPr>
    </w:p>
    <w:p w14:paraId="11E46B82"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אין המדובר באובדן שיקול רגעי או מעידה חד פעמית. מעשיו של הנאשם נפרסו על פני תקופה ארוכה של למעלה מ – 3 וחצי שנים, החל ממחצית שנת 2014 עד לסוף שנת 2017. עובר לכל אחת מהעסקאות אותן ביצע הנאשם, זה היה מודע לפסול במעשיו, שקל היטב את הסיכון מול הרווח, ובחר לפעול כפי שפעל. </w:t>
      </w:r>
    </w:p>
    <w:p w14:paraId="02FD1D37" w14:textId="77777777" w:rsidR="002C1F98" w:rsidRPr="000F0561" w:rsidRDefault="002C1F98" w:rsidP="000F0561">
      <w:pPr>
        <w:spacing w:line="360" w:lineRule="auto"/>
        <w:jc w:val="both"/>
        <w:rPr>
          <w:rFonts w:ascii="Times New Roman" w:hAnsi="Times New Roman"/>
          <w:rtl/>
        </w:rPr>
      </w:pPr>
    </w:p>
    <w:p w14:paraId="4356894B"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על מנת להקל על ביצוע העבירות, הנאשם, כפי הנלמד בסעיף 6 בעובדות כתב האישום המתוקן, החל להזמין חלק ניכר מהתחמושת אל ביתו. מיותר לציין כי בכך גם ה</w:t>
      </w:r>
      <w:r>
        <w:rPr>
          <w:rFonts w:ascii="Times New Roman" w:hAnsi="Times New Roman"/>
          <w:rtl/>
        </w:rPr>
        <w:t xml:space="preserve">עמיד בסכנה את בני משפחתו, שהרי </w:t>
      </w:r>
      <w:r w:rsidRPr="000F0561">
        <w:rPr>
          <w:rFonts w:ascii="Times New Roman" w:hAnsi="Times New Roman"/>
          <w:rtl/>
        </w:rPr>
        <w:t xml:space="preserve">תחמושת אינה אמורה להימצא בתוך בית מגורים, והדברים נאמרים בנפרד מהסוגיות הנורמטיביות הכרוכות בכך. </w:t>
      </w:r>
    </w:p>
    <w:p w14:paraId="69DDD292" w14:textId="77777777" w:rsidR="002C1F98" w:rsidRPr="000F0561" w:rsidRDefault="002C1F98" w:rsidP="000F0561">
      <w:pPr>
        <w:spacing w:line="360" w:lineRule="auto"/>
        <w:jc w:val="both"/>
        <w:rPr>
          <w:rFonts w:ascii="Times New Roman" w:hAnsi="Times New Roman"/>
          <w:rtl/>
        </w:rPr>
      </w:pPr>
    </w:p>
    <w:p w14:paraId="7DE41117" w14:textId="77777777" w:rsidR="002C1F98" w:rsidRPr="000F0561" w:rsidRDefault="002C1F98" w:rsidP="00582073">
      <w:pPr>
        <w:spacing w:line="360" w:lineRule="auto"/>
        <w:jc w:val="both"/>
        <w:rPr>
          <w:rFonts w:ascii="Times New Roman" w:hAnsi="Times New Roman"/>
          <w:rtl/>
        </w:rPr>
      </w:pPr>
      <w:r w:rsidRPr="000F0561">
        <w:rPr>
          <w:rFonts w:ascii="Times New Roman" w:hAnsi="Times New Roman"/>
          <w:rtl/>
        </w:rPr>
        <w:t>המדובר במעשים שקדמו להם תכנון ומחשבה תחילה. כל עסקה בנשק חייבה רישום בְיֶתֶר של התחמושת שלכאורה נצרכה אל מול זו שאכן נעשה בה שימוש בפועל. כל עסקה בנשק חייבה רישום  כוזב במסמכי המטווח ו</w:t>
      </w:r>
      <w:r>
        <w:rPr>
          <w:rFonts w:ascii="Times New Roman" w:hAnsi="Times New Roman"/>
          <w:rtl/>
        </w:rPr>
        <w:t xml:space="preserve">במסמכים השונים </w:t>
      </w:r>
      <w:r w:rsidRPr="000F0561">
        <w:rPr>
          <w:rFonts w:ascii="Times New Roman" w:hAnsi="Times New Roman"/>
          <w:rtl/>
        </w:rPr>
        <w:t xml:space="preserve">שהועברו למשרדים השונים. </w:t>
      </w:r>
    </w:p>
    <w:p w14:paraId="31708855" w14:textId="77777777" w:rsidR="002C1F98" w:rsidRPr="000F0561" w:rsidRDefault="002C1F98" w:rsidP="000F0561">
      <w:pPr>
        <w:spacing w:line="360" w:lineRule="auto"/>
        <w:jc w:val="both"/>
        <w:rPr>
          <w:rFonts w:ascii="Times New Roman" w:hAnsi="Times New Roman"/>
          <w:rtl/>
        </w:rPr>
      </w:pPr>
    </w:p>
    <w:p w14:paraId="452AEAC9"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לא ברור מה הביא את הנאשם לחדול ממעשיו, אולם יש להניח שלא חרטה כנה הביאה אותו לעשות כן, שאם לא כן הדבר היה מוצא ביטוי בטיעוני ההגנה הארוכים לעניין העונש. </w:t>
      </w:r>
    </w:p>
    <w:p w14:paraId="1A7E0CEB" w14:textId="77777777" w:rsidR="002C1F98" w:rsidRPr="000F0561" w:rsidRDefault="002C1F98" w:rsidP="000F0561">
      <w:pPr>
        <w:spacing w:line="360" w:lineRule="auto"/>
        <w:jc w:val="both"/>
        <w:rPr>
          <w:rFonts w:ascii="Times New Roman" w:hAnsi="Times New Roman"/>
          <w:rtl/>
        </w:rPr>
      </w:pPr>
    </w:p>
    <w:p w14:paraId="70C25C6C"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לא ניתן להתעלם מהפגיעה הקשה באמון שניתן לנאשם. חלק בלתי נפרד מתפקידו כמנהל מטווח הוא להקפיד הקפדה יתרה על כך שתחמושת תשמר, וייעשה בה שימוש חוקי שיתועד לאסמכתאות שתשמשנה בסיס להזמנות עתידיות. הנאשם חטא לליבת תפקידו וניצל את האמון הרב שנתנו בו הגורמים השונים כפלטפורמה ומסווה לעסקאות הנשק. </w:t>
      </w:r>
    </w:p>
    <w:p w14:paraId="6B609F41" w14:textId="77777777" w:rsidR="002C1F98" w:rsidRPr="000F0561" w:rsidRDefault="002C1F98" w:rsidP="000F0561">
      <w:pPr>
        <w:spacing w:line="360" w:lineRule="auto"/>
        <w:jc w:val="both"/>
        <w:rPr>
          <w:rFonts w:ascii="Times New Roman" w:hAnsi="Times New Roman"/>
          <w:rtl/>
        </w:rPr>
      </w:pPr>
    </w:p>
    <w:p w14:paraId="74CA82E9"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הנאשם פועל מתוך בצע כסף. הנאשם ציין לפני קצינת המבחן שהופעל עליו לחץ למכור תחמושת לצורך שימוש בחתונה ובהמשך פעל על מנת לממן את טיפוליה הרפואיים של אשתו. יותר משיש באמירה זו כדי להסביר את מעשיו, יש בה כדי לכרסם במשקל שיש לתת להודאתו ולהפנמת הפסול במעשיו. אף מבלי שהנאשם נחקר על הסבריו אלה, הטענה לפיה מכר 120,000 כדורי תשע מילימטר לשימוש בחתונות, מוטב היה שלא יטען. גם ההסבר בנוגע למימון טיפוליה הרפואיים של אשתו, לא מצאה כל עיגון ראייתי וממילא אינו עולה בקנה אחד עם העובדה שזה עבד בעבודה מסודרת מבלי שנטען שעד למעצרו היה במצוקה כלכלית קשה.</w:t>
      </w:r>
    </w:p>
    <w:p w14:paraId="180D200E" w14:textId="77777777" w:rsidR="002C1F98" w:rsidRPr="000F0561" w:rsidRDefault="002C1F98" w:rsidP="000F0561">
      <w:pPr>
        <w:spacing w:line="360" w:lineRule="auto"/>
        <w:jc w:val="both"/>
        <w:rPr>
          <w:rFonts w:ascii="Times New Roman" w:hAnsi="Times New Roman"/>
          <w:rtl/>
        </w:rPr>
      </w:pPr>
    </w:p>
    <w:p w14:paraId="4A9372DB" w14:textId="77777777" w:rsidR="002C1F98" w:rsidRPr="000F0561" w:rsidRDefault="002C1F98" w:rsidP="00582073">
      <w:pPr>
        <w:spacing w:line="360" w:lineRule="auto"/>
        <w:jc w:val="both"/>
        <w:rPr>
          <w:rFonts w:ascii="Times New Roman" w:hAnsi="Times New Roman"/>
          <w:rtl/>
        </w:rPr>
      </w:pPr>
      <w:r w:rsidRPr="000F0561">
        <w:rPr>
          <w:rFonts w:ascii="Times New Roman" w:hAnsi="Times New Roman"/>
          <w:rtl/>
        </w:rPr>
        <w:t>הנאשם גרף לכיסו סכומי כסף גבוהים, שהצטברו לכדי רבע מיליון ₪ עליהם לא דיווח ועשה בהם שימושים. מדוב</w:t>
      </w:r>
      <w:r>
        <w:rPr>
          <w:rFonts w:ascii="Times New Roman" w:hAnsi="Times New Roman"/>
          <w:rtl/>
        </w:rPr>
        <w:t>ר בכספי הציבור שכן אותה תחמושת הגיעה אליו</w:t>
      </w:r>
      <w:r w:rsidRPr="000F0561">
        <w:rPr>
          <w:rFonts w:ascii="Times New Roman" w:hAnsi="Times New Roman"/>
          <w:rtl/>
        </w:rPr>
        <w:t xml:space="preserve"> במימון מלא של הרשויות השונות, על מנת שזו תשמש לרווחת הציבור ולשימושו. </w:t>
      </w:r>
    </w:p>
    <w:p w14:paraId="15AA1720" w14:textId="77777777" w:rsidR="002C1F98" w:rsidRPr="000F0561" w:rsidRDefault="002C1F98" w:rsidP="000F0561">
      <w:pPr>
        <w:spacing w:line="360" w:lineRule="auto"/>
        <w:jc w:val="both"/>
        <w:rPr>
          <w:rFonts w:ascii="Times New Roman" w:hAnsi="Times New Roman"/>
          <w:rtl/>
        </w:rPr>
      </w:pPr>
    </w:p>
    <w:p w14:paraId="3945D8C1" w14:textId="77777777" w:rsidR="002C1F98" w:rsidRPr="000F0561" w:rsidRDefault="002C1F98" w:rsidP="00680E1B">
      <w:pPr>
        <w:spacing w:line="360" w:lineRule="auto"/>
        <w:jc w:val="both"/>
        <w:rPr>
          <w:rFonts w:ascii="Times New Roman" w:hAnsi="Times New Roman"/>
          <w:rtl/>
        </w:rPr>
      </w:pPr>
      <w:r w:rsidRPr="000F0561">
        <w:rPr>
          <w:rFonts w:ascii="Times New Roman" w:hAnsi="Times New Roman"/>
          <w:rtl/>
        </w:rPr>
        <w:t xml:space="preserve">כאמור בית המשפט אינו מוצא בשעה שמדובר בהסדר טווח, לקבוע מתחם עונש הולם. יחד עם זאת, ובהתייחס לעמדתה העונשית של המאשימה, יצוין כבר עתה כי כל מתחם שהיה נקבע על ידי בית המשפט, מן הראוי היה שתחתיתו תהיה הרף לו עותרת המאשימה, אם לא גבוה מכך. </w:t>
      </w:r>
    </w:p>
    <w:p w14:paraId="47992B72" w14:textId="77777777" w:rsidR="002C1F98" w:rsidRPr="000F0561" w:rsidRDefault="002C1F98" w:rsidP="000F0561">
      <w:pPr>
        <w:spacing w:line="360" w:lineRule="auto"/>
        <w:jc w:val="both"/>
        <w:rPr>
          <w:rFonts w:ascii="Times New Roman" w:hAnsi="Times New Roman"/>
          <w:rtl/>
        </w:rPr>
      </w:pPr>
    </w:p>
    <w:p w14:paraId="5A248B41"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אשר לנסיבות שאינן קשורות בביצוע העבירה ולקולא, תילקח בחשבון הודאת הנאשם, הודאה שיש בה חיסכון בזמן שיפוטי יקר ובעקיפין גם הבעת חרטה ונטילת אחריות כפי שהדברים מצאו ביטוי מפיו של הנאשם בדבריו לעונש וכפי העולה מתסקיר שירות המבחן. המדובר בנאשם נעדר עבר פלילי. זהו לנאשם מעצרו ומאסרו הראשונים בחייו על ההשפעה שיש לכך ברמה ההרתעתית.</w:t>
      </w:r>
    </w:p>
    <w:p w14:paraId="46FF2A75" w14:textId="77777777" w:rsidR="002C1F98" w:rsidRPr="000F0561" w:rsidRDefault="002C1F98" w:rsidP="000F0561">
      <w:pPr>
        <w:spacing w:line="360" w:lineRule="auto"/>
        <w:jc w:val="both"/>
        <w:rPr>
          <w:rFonts w:ascii="Times New Roman" w:hAnsi="Times New Roman"/>
          <w:rtl/>
        </w:rPr>
      </w:pPr>
    </w:p>
    <w:p w14:paraId="460CAF48"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עוד נתתי דעתי לנסיבות האישיות והמשפחתיות של הנאשם שצוינו בתסקיר שירות המבחן; את הנזקים שנגרמו לו ולמשפחתו מגילוי העבירות לרבות המצב הכלכלי אליו נקלעו; את הפגיעה של העונש בנאשם ובמשפחתו.</w:t>
      </w:r>
    </w:p>
    <w:p w14:paraId="6FAD42C2" w14:textId="77777777" w:rsidR="002C1F98" w:rsidRPr="000F0561" w:rsidRDefault="002C1F98" w:rsidP="000F0561">
      <w:pPr>
        <w:spacing w:line="360" w:lineRule="auto"/>
        <w:jc w:val="both"/>
        <w:rPr>
          <w:rFonts w:ascii="Times New Roman" w:hAnsi="Times New Roman"/>
          <w:rtl/>
        </w:rPr>
      </w:pPr>
    </w:p>
    <w:p w14:paraId="64E6F201"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 xml:space="preserve">הנאשם פעל רבות למען הזולת ולמען הקהילה בעיר ערד שבה חי והתגורר. אין המדובר באמירות בעלמא אלא פעילות התנדבותית רבת שנים, הן במסגרת כפר הנוער, הן במסגרת מחלקת הספורט או באופן פרטי מול המכרים ואנשים שניתקל בהם במהלך חייו. המכתבים כמו גם העדויות, מדברים בעד עצמם ומלמדים על מי שהשכיל לחנך את ילדיו באופן מיטבי, כמו גם לסייע לחלשים מקרב קהילתו. טעמה של אותה רוח התנדבות נפגם, כמו גם משקלה, בשים לב לכך שפעילותו הענפה במסגרת המטווח העירוני, היוותה למעשה כר נוח שלא לומר מנגנון ביצועי לעבירות הנשק. כך גם אותם סכומי כסף גבוהים שהשיג, כספים שהינם כספי הציבור, מעיבים על התמונה שהצטיירה מטיעוני ההגנה לעונש.  </w:t>
      </w:r>
    </w:p>
    <w:p w14:paraId="0ADEEF00" w14:textId="77777777" w:rsidR="002C1F98" w:rsidRPr="000F0561" w:rsidRDefault="002C1F98" w:rsidP="000F0561">
      <w:pPr>
        <w:spacing w:line="360" w:lineRule="auto"/>
        <w:jc w:val="both"/>
        <w:rPr>
          <w:rFonts w:ascii="Times New Roman" w:hAnsi="Times New Roman"/>
          <w:rtl/>
        </w:rPr>
      </w:pPr>
    </w:p>
    <w:p w14:paraId="2583964A"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מנגד ולחומרא, יש לתת משקל לא מבוטל לשיקולי הרתעת הרבים, נוכח נפוצותן של העבירות בהן הורשע הנאשם. לדאבוננו, חדשות לבקרים מובאות לפתחו של בית המשפט לא רק עבירות הנוגעות לסחר בנשק, אל</w:t>
      </w:r>
      <w:r>
        <w:rPr>
          <w:rFonts w:ascii="Times New Roman" w:hAnsi="Times New Roman"/>
          <w:rtl/>
        </w:rPr>
        <w:t>א גם התוצאות הנלוות לעבירות אלו</w:t>
      </w:r>
      <w:r w:rsidRPr="000F0561">
        <w:rPr>
          <w:rFonts w:ascii="Times New Roman" w:hAnsi="Times New Roman"/>
          <w:rtl/>
        </w:rPr>
        <w:t xml:space="preserve"> בדגש על סכסוכים בהם נעשה שימוש בנשק בלתי חוקי , תוך גרימת חבלות קשות ואף קיפוח חיי אדם.  המדובר בעבירות שהפיתוי הכספי לצדן גבוה. לא בכדי הפסיקה בעבירות נשק שמה דגש על אינטרס ההגנה על הציבור, ופחות על האינטרס האישי של הנאשם. </w:t>
      </w:r>
    </w:p>
    <w:p w14:paraId="44294CB4" w14:textId="77777777" w:rsidR="002C1F98" w:rsidRPr="000F0561" w:rsidRDefault="002C1F98" w:rsidP="000F0561">
      <w:pPr>
        <w:spacing w:line="360" w:lineRule="auto"/>
        <w:jc w:val="both"/>
        <w:rPr>
          <w:rFonts w:ascii="Times New Roman" w:hAnsi="Times New Roman"/>
          <w:rtl/>
        </w:rPr>
      </w:pPr>
    </w:p>
    <w:p w14:paraId="7F707B97" w14:textId="77777777" w:rsidR="002C1F98" w:rsidRPr="000F0561" w:rsidRDefault="002C1F98" w:rsidP="00582073">
      <w:pPr>
        <w:spacing w:line="360" w:lineRule="auto"/>
        <w:jc w:val="both"/>
        <w:rPr>
          <w:rFonts w:ascii="Times New Roman" w:hAnsi="Times New Roman"/>
          <w:rtl/>
        </w:rPr>
      </w:pPr>
      <w:r w:rsidRPr="000F0561">
        <w:rPr>
          <w:rFonts w:ascii="Times New Roman" w:hAnsi="Times New Roman"/>
          <w:rtl/>
        </w:rPr>
        <w:t>יתרה מכך, כפי הנלמד משורה ארוכה של תיקים שנידונו בבית המשפט</w:t>
      </w:r>
      <w:r>
        <w:rPr>
          <w:rFonts w:ascii="Times New Roman" w:hAnsi="Times New Roman"/>
          <w:rtl/>
        </w:rPr>
        <w:t>,</w:t>
      </w:r>
      <w:r w:rsidRPr="000F0561">
        <w:rPr>
          <w:rFonts w:ascii="Times New Roman" w:hAnsi="Times New Roman"/>
          <w:rtl/>
        </w:rPr>
        <w:t xml:space="preserve"> בחלק ניכר מהמקרים, המקור לנשק הבלתי חוקי הוא מהצבא או באמצעות אנשים אשר מתוקף תפקידם בעלי זמינות ונגישות חוקית לנשק. במקרים שכאלה, קלה עבורם הדרך לסחור באופן בלתי חוקי בנשק וקשה היא מל</w:t>
      </w:r>
      <w:r>
        <w:rPr>
          <w:rFonts w:ascii="Times New Roman" w:hAnsi="Times New Roman"/>
          <w:rtl/>
        </w:rPr>
        <w:t>א</w:t>
      </w:r>
      <w:r w:rsidRPr="000F0561">
        <w:rPr>
          <w:rFonts w:ascii="Times New Roman" w:hAnsi="Times New Roman"/>
          <w:rtl/>
        </w:rPr>
        <w:t xml:space="preserve">כת הגילוי. מאפיינים אלו מקבלים משנה תוקף בשעה שמדובר באנשים כדוגמת הנאשם שאחראים על תיעוד תחמושת שנצרכה, ויכולתם לבצע מניפולציה בנתונים, לצרכיהם, </w:t>
      </w:r>
      <w:r>
        <w:rPr>
          <w:rFonts w:ascii="Times New Roman" w:hAnsi="Times New Roman"/>
          <w:rtl/>
        </w:rPr>
        <w:t>קלה עד מאוד</w:t>
      </w:r>
      <w:r w:rsidRPr="000F0561">
        <w:rPr>
          <w:rFonts w:ascii="Times New Roman" w:hAnsi="Times New Roman"/>
          <w:rtl/>
        </w:rPr>
        <w:t xml:space="preserve">.  </w:t>
      </w:r>
    </w:p>
    <w:p w14:paraId="194246C5" w14:textId="77777777" w:rsidR="002C1F98" w:rsidRPr="000F0561" w:rsidRDefault="002C1F98" w:rsidP="000F0561">
      <w:pPr>
        <w:spacing w:line="360" w:lineRule="auto"/>
        <w:jc w:val="both"/>
        <w:rPr>
          <w:rFonts w:ascii="Times New Roman" w:hAnsi="Times New Roman"/>
          <w:rtl/>
        </w:rPr>
      </w:pPr>
    </w:p>
    <w:p w14:paraId="1EA1B13C" w14:textId="77777777" w:rsidR="002C1F98" w:rsidRPr="000F0561" w:rsidRDefault="002C1F98" w:rsidP="00944715">
      <w:pPr>
        <w:spacing w:line="360" w:lineRule="auto"/>
        <w:jc w:val="both"/>
        <w:rPr>
          <w:rFonts w:ascii="Times New Roman" w:hAnsi="Times New Roman"/>
          <w:rtl/>
        </w:rPr>
      </w:pPr>
      <w:r w:rsidRPr="000F0561">
        <w:rPr>
          <w:rFonts w:ascii="Times New Roman" w:hAnsi="Times New Roman"/>
          <w:rtl/>
        </w:rPr>
        <w:t xml:space="preserve">הנאשם כאמור מבצע את המיוחס לו על מנת לצבור הון על חשבון ביטחון הציבור ורכושו. כשזו תמונת הדברים, או אז יש צורך בעיצומים כלכליים כואבים, שיהיה בהם כדי ללמד בדבר חוסר הכדאיות בביצוע עבירות בכגון דא. </w:t>
      </w:r>
      <w:r>
        <w:rPr>
          <w:rFonts w:ascii="Times New Roman" w:hAnsi="Times New Roman"/>
          <w:rtl/>
        </w:rPr>
        <w:t xml:space="preserve">יוער כי </w:t>
      </w:r>
      <w:r w:rsidRPr="000F0561">
        <w:rPr>
          <w:rFonts w:ascii="Times New Roman" w:hAnsi="Times New Roman"/>
          <w:rtl/>
        </w:rPr>
        <w:t xml:space="preserve">עובר לגזירת העונש הצדדים הודיעו </w:t>
      </w:r>
      <w:r>
        <w:rPr>
          <w:rFonts w:ascii="Times New Roman" w:hAnsi="Times New Roman"/>
          <w:rtl/>
        </w:rPr>
        <w:t>כי מתוך הסך של 54,000 ₪ במזומן שנתפסו אצל הנאשם הוסכם כי 50,000 ₪ מתוכם יעוקלו לטובת רשות המיסים</w:t>
      </w:r>
      <w:r w:rsidRPr="000F0561">
        <w:rPr>
          <w:rFonts w:ascii="Times New Roman" w:hAnsi="Times New Roman"/>
          <w:rtl/>
        </w:rPr>
        <w:t>.</w:t>
      </w:r>
      <w:r>
        <w:rPr>
          <w:rFonts w:ascii="Times New Roman" w:hAnsi="Times New Roman"/>
          <w:rtl/>
        </w:rPr>
        <w:t xml:space="preserve"> ביחס ליתרת הסכום הוגשה בקשה שטרם נידונה. עוד הוסיף בא כוחו כי בימים אלו, הושגה שומה מוסכמת לפיה על הנאשם לשלם 164,000 ₪.</w:t>
      </w:r>
      <w:r w:rsidRPr="000F0561">
        <w:rPr>
          <w:rFonts w:ascii="Times New Roman" w:hAnsi="Times New Roman"/>
          <w:rtl/>
        </w:rPr>
        <w:t xml:space="preserve"> </w:t>
      </w:r>
      <w:r>
        <w:rPr>
          <w:rFonts w:ascii="Times New Roman" w:hAnsi="Times New Roman"/>
          <w:rtl/>
        </w:rPr>
        <w:t>נתונים אלו</w:t>
      </w:r>
      <w:r w:rsidRPr="000F0561">
        <w:rPr>
          <w:rFonts w:ascii="Times New Roman" w:hAnsi="Times New Roman"/>
          <w:rtl/>
        </w:rPr>
        <w:t xml:space="preserve"> יי</w:t>
      </w:r>
      <w:r>
        <w:rPr>
          <w:rFonts w:ascii="Times New Roman" w:hAnsi="Times New Roman"/>
          <w:rtl/>
        </w:rPr>
        <w:t>ל</w:t>
      </w:r>
      <w:r w:rsidRPr="000F0561">
        <w:rPr>
          <w:rFonts w:ascii="Times New Roman" w:hAnsi="Times New Roman"/>
          <w:rtl/>
        </w:rPr>
        <w:t xml:space="preserve">קחו בחשבון </w:t>
      </w:r>
      <w:r>
        <w:rPr>
          <w:rFonts w:ascii="Times New Roman" w:hAnsi="Times New Roman"/>
          <w:rtl/>
        </w:rPr>
        <w:t xml:space="preserve">עובר לקביעת הקנס שיושת עליו בגזר דין זה. </w:t>
      </w:r>
    </w:p>
    <w:p w14:paraId="3C191115" w14:textId="77777777" w:rsidR="002C1F98" w:rsidRPr="000F0561" w:rsidRDefault="002C1F98" w:rsidP="000F0561">
      <w:pPr>
        <w:spacing w:line="360" w:lineRule="auto"/>
        <w:jc w:val="both"/>
        <w:rPr>
          <w:rFonts w:ascii="Times New Roman" w:hAnsi="Times New Roman"/>
          <w:rtl/>
        </w:rPr>
      </w:pPr>
    </w:p>
    <w:p w14:paraId="28B114A4" w14:textId="77777777" w:rsidR="002C1F98" w:rsidRPr="000F0561" w:rsidRDefault="002C1F98" w:rsidP="00944715">
      <w:pPr>
        <w:spacing w:line="360" w:lineRule="auto"/>
        <w:jc w:val="both"/>
        <w:rPr>
          <w:rFonts w:ascii="Times New Roman" w:hAnsi="Times New Roman"/>
          <w:rtl/>
        </w:rPr>
      </w:pPr>
      <w:r w:rsidRPr="000F0561">
        <w:rPr>
          <w:rFonts w:ascii="Times New Roman" w:hAnsi="Times New Roman"/>
          <w:rtl/>
        </w:rPr>
        <w:t xml:space="preserve">שקלול כל הנתונים האמורים לעיל, וחרף הפרמטרים הרבים שפועלים לזכותו </w:t>
      </w:r>
      <w:r>
        <w:rPr>
          <w:rFonts w:ascii="Times New Roman" w:hAnsi="Times New Roman"/>
          <w:rtl/>
        </w:rPr>
        <w:t xml:space="preserve">של הנאשם </w:t>
      </w:r>
      <w:r w:rsidRPr="000F0561">
        <w:rPr>
          <w:rFonts w:ascii="Times New Roman" w:hAnsi="Times New Roman"/>
          <w:rtl/>
        </w:rPr>
        <w:t xml:space="preserve">(ככל שהדבר נוגע לנסיבות שאינן קשורות לביצוע העבירה), הביאוני לכלל מסקנה כי יש לאמץ את הרף העליון של  הטווח העונשי אם כי לא את תקרתו. בהגבילה את עצמה לעונש של 4 וחצי שנים מאסר בפועל הלכה המאשימה כברת דרך ארוכה לקראת הנאשם ושיכללה את כל הנתונים הנוגעים לנאשם ופועלו. </w:t>
      </w:r>
      <w:r>
        <w:rPr>
          <w:rFonts w:ascii="Times New Roman" w:hAnsi="Times New Roman"/>
          <w:rtl/>
        </w:rPr>
        <w:t xml:space="preserve">אך מתוך מתן משקל מה נוסף למיהות העושה </w:t>
      </w:r>
      <w:r w:rsidRPr="000F0561">
        <w:rPr>
          <w:rFonts w:ascii="Times New Roman" w:hAnsi="Times New Roman"/>
          <w:rtl/>
        </w:rPr>
        <w:t xml:space="preserve">בית המשפט לא יאמץ את תקרת הטווח העונשי </w:t>
      </w:r>
      <w:r>
        <w:rPr>
          <w:rFonts w:ascii="Times New Roman" w:hAnsi="Times New Roman"/>
          <w:rtl/>
        </w:rPr>
        <w:t xml:space="preserve">אף כי </w:t>
      </w:r>
      <w:r w:rsidRPr="000F0561">
        <w:rPr>
          <w:rFonts w:ascii="Times New Roman" w:hAnsi="Times New Roman"/>
          <w:rtl/>
        </w:rPr>
        <w:t xml:space="preserve">גם </w:t>
      </w:r>
      <w:r>
        <w:rPr>
          <w:rFonts w:ascii="Times New Roman" w:hAnsi="Times New Roman"/>
          <w:rtl/>
        </w:rPr>
        <w:t xml:space="preserve">בתקרה זו, אין </w:t>
      </w:r>
      <w:r w:rsidRPr="000F0561">
        <w:rPr>
          <w:rFonts w:ascii="Times New Roman" w:hAnsi="Times New Roman"/>
          <w:rtl/>
        </w:rPr>
        <w:t xml:space="preserve">כדי להחמיר עם הנאשם. </w:t>
      </w:r>
    </w:p>
    <w:p w14:paraId="2C71B265" w14:textId="77777777" w:rsidR="002C1F98" w:rsidRDefault="002C1F98">
      <w:pPr>
        <w:bidi w:val="0"/>
        <w:rPr>
          <w:rFonts w:ascii="Times New Roman" w:hAnsi="Times New Roman"/>
        </w:rPr>
      </w:pPr>
      <w:r>
        <w:rPr>
          <w:rFonts w:ascii="Times New Roman" w:hAnsi="Times New Roman"/>
          <w:rtl/>
        </w:rPr>
        <w:br w:type="page"/>
      </w:r>
    </w:p>
    <w:p w14:paraId="20D585DD" w14:textId="77777777" w:rsidR="002C1F98" w:rsidRPr="000F0561" w:rsidRDefault="002C1F98" w:rsidP="000F0561">
      <w:pPr>
        <w:spacing w:line="360" w:lineRule="auto"/>
        <w:jc w:val="both"/>
        <w:rPr>
          <w:rFonts w:ascii="Times New Roman" w:hAnsi="Times New Roman"/>
          <w:rtl/>
        </w:rPr>
      </w:pPr>
    </w:p>
    <w:p w14:paraId="3A7D3977" w14:textId="77777777" w:rsidR="002C1F98" w:rsidRPr="000F0561" w:rsidRDefault="002C1F98" w:rsidP="00944715">
      <w:pPr>
        <w:spacing w:line="360" w:lineRule="auto"/>
        <w:jc w:val="both"/>
        <w:rPr>
          <w:rFonts w:ascii="Times New Roman" w:hAnsi="Times New Roman"/>
          <w:b/>
          <w:bCs/>
          <w:rtl/>
        </w:rPr>
      </w:pPr>
      <w:r w:rsidRPr="000F0561">
        <w:rPr>
          <w:rFonts w:ascii="Times New Roman" w:hAnsi="Times New Roman"/>
          <w:b/>
          <w:bCs/>
          <w:rtl/>
        </w:rPr>
        <w:t>סוף דבר, מכל המקובץ לעיל הנני לגזור על הנאשם את העונשים הבאים:</w:t>
      </w:r>
    </w:p>
    <w:p w14:paraId="71125D53" w14:textId="77777777" w:rsidR="002C1F98" w:rsidRPr="000F0561" w:rsidRDefault="002C1F98" w:rsidP="000F0561">
      <w:pPr>
        <w:spacing w:line="360" w:lineRule="auto"/>
        <w:jc w:val="both"/>
        <w:rPr>
          <w:rFonts w:ascii="Times New Roman" w:hAnsi="Times New Roman"/>
          <w:rtl/>
        </w:rPr>
      </w:pPr>
      <w:r w:rsidRPr="000F0561">
        <w:rPr>
          <w:rFonts w:ascii="Times New Roman" w:hAnsi="Times New Roman"/>
          <w:rtl/>
        </w:rPr>
        <w:t>א.</w:t>
      </w:r>
      <w:r w:rsidRPr="000F0561">
        <w:rPr>
          <w:rFonts w:ascii="Times New Roman" w:hAnsi="Times New Roman"/>
          <w:rtl/>
        </w:rPr>
        <w:tab/>
      </w:r>
      <w:r>
        <w:rPr>
          <w:rFonts w:ascii="Times New Roman" w:hAnsi="Times New Roman"/>
          <w:rtl/>
        </w:rPr>
        <w:t>50 חודשים בפועל שימנו מיום מעצרו 21.11.17</w:t>
      </w:r>
    </w:p>
    <w:p w14:paraId="689323D9" w14:textId="77777777" w:rsidR="002C1F98" w:rsidRPr="000F0561" w:rsidRDefault="002C1F98" w:rsidP="000F0561">
      <w:pPr>
        <w:spacing w:line="360" w:lineRule="auto"/>
        <w:ind w:left="720" w:hanging="720"/>
        <w:jc w:val="both"/>
        <w:rPr>
          <w:rFonts w:ascii="Times New Roman" w:hAnsi="Times New Roman"/>
          <w:rtl/>
        </w:rPr>
      </w:pPr>
      <w:r w:rsidRPr="000F0561">
        <w:rPr>
          <w:rFonts w:ascii="Times New Roman" w:hAnsi="Times New Roman"/>
          <w:rtl/>
        </w:rPr>
        <w:t>ב.</w:t>
      </w:r>
      <w:r w:rsidRPr="000F0561">
        <w:rPr>
          <w:rFonts w:ascii="Times New Roman" w:hAnsi="Times New Roman"/>
          <w:rtl/>
        </w:rPr>
        <w:tab/>
        <w:t xml:space="preserve">חמישה חודשים מאסר על תנאי למשך שלוש שנים מיום שחרורו, שלא יעבור עבירות נשק מסוג עוון או עבירות לפי </w:t>
      </w:r>
      <w:hyperlink r:id="rId50" w:history="1">
        <w:r w:rsidR="00CF57BC" w:rsidRPr="00CF57BC">
          <w:rPr>
            <w:rFonts w:ascii="Times New Roman" w:hAnsi="Times New Roman"/>
            <w:color w:val="0000FF"/>
            <w:u w:val="single"/>
            <w:rtl/>
          </w:rPr>
          <w:t>פרק יא' סימן</w:t>
        </w:r>
      </w:hyperlink>
      <w:r w:rsidRPr="000F0561">
        <w:rPr>
          <w:rFonts w:ascii="Times New Roman" w:hAnsi="Times New Roman"/>
          <w:rtl/>
        </w:rPr>
        <w:t xml:space="preserve"> ו' מסוג עוון. </w:t>
      </w:r>
    </w:p>
    <w:p w14:paraId="6FD32ED8" w14:textId="77777777" w:rsidR="002C1F98" w:rsidRPr="000F0561" w:rsidRDefault="002C1F98" w:rsidP="000F0561">
      <w:pPr>
        <w:spacing w:line="360" w:lineRule="auto"/>
        <w:ind w:left="720" w:hanging="720"/>
        <w:jc w:val="both"/>
        <w:rPr>
          <w:rFonts w:ascii="Times New Roman" w:hAnsi="Times New Roman"/>
          <w:rtl/>
        </w:rPr>
      </w:pPr>
      <w:r w:rsidRPr="000F0561">
        <w:rPr>
          <w:rFonts w:ascii="Times New Roman" w:hAnsi="Times New Roman"/>
          <w:rtl/>
        </w:rPr>
        <w:t>ג.</w:t>
      </w:r>
      <w:r w:rsidRPr="000F0561">
        <w:rPr>
          <w:rFonts w:ascii="Times New Roman" w:hAnsi="Times New Roman"/>
          <w:rtl/>
        </w:rPr>
        <w:tab/>
        <w:t xml:space="preserve">עשרה חודשים מאסר על תנאי למשך שלוש שנים מיום שחרורו, שלא יעבור עבירות נשק מסוג פשע או עבירות לפי </w:t>
      </w:r>
      <w:hyperlink r:id="rId51" w:history="1">
        <w:r w:rsidR="00CF57BC" w:rsidRPr="00CF57BC">
          <w:rPr>
            <w:rFonts w:ascii="Times New Roman" w:hAnsi="Times New Roman"/>
            <w:color w:val="0000FF"/>
            <w:u w:val="single"/>
            <w:rtl/>
          </w:rPr>
          <w:t>פרק יא' סימן</w:t>
        </w:r>
      </w:hyperlink>
      <w:r w:rsidRPr="000F0561">
        <w:rPr>
          <w:rFonts w:ascii="Times New Roman" w:hAnsi="Times New Roman"/>
          <w:rtl/>
        </w:rPr>
        <w:t xml:space="preserve"> ו' מסוג פשע. </w:t>
      </w:r>
    </w:p>
    <w:p w14:paraId="13B90DB5" w14:textId="77777777" w:rsidR="002C1F98" w:rsidRPr="000F0561" w:rsidRDefault="002C1F98" w:rsidP="004C1CD4">
      <w:pPr>
        <w:spacing w:line="360" w:lineRule="auto"/>
        <w:ind w:left="720" w:hanging="720"/>
        <w:jc w:val="both"/>
        <w:rPr>
          <w:rFonts w:ascii="Times New Roman" w:hAnsi="Times New Roman"/>
          <w:rtl/>
        </w:rPr>
      </w:pPr>
      <w:r w:rsidRPr="000F0561">
        <w:rPr>
          <w:rFonts w:ascii="Times New Roman" w:hAnsi="Times New Roman"/>
          <w:rtl/>
        </w:rPr>
        <w:t>ד.</w:t>
      </w:r>
      <w:r w:rsidRPr="000F0561">
        <w:rPr>
          <w:rFonts w:ascii="Times New Roman" w:hAnsi="Times New Roman"/>
          <w:rtl/>
        </w:rPr>
        <w:tab/>
      </w:r>
      <w:r>
        <w:rPr>
          <w:rFonts w:ascii="Times New Roman" w:hAnsi="Times New Roman"/>
          <w:rtl/>
        </w:rPr>
        <w:t>5</w:t>
      </w:r>
      <w:r w:rsidRPr="000F0561">
        <w:rPr>
          <w:rFonts w:ascii="Times New Roman" w:hAnsi="Times New Roman"/>
          <w:rtl/>
        </w:rPr>
        <w:t xml:space="preserve">0,000 ₪ קנס או </w:t>
      </w:r>
      <w:r>
        <w:rPr>
          <w:rFonts w:ascii="Times New Roman" w:hAnsi="Times New Roman"/>
          <w:rtl/>
        </w:rPr>
        <w:t>חמישה</w:t>
      </w:r>
      <w:r w:rsidRPr="000F0561">
        <w:rPr>
          <w:rFonts w:ascii="Times New Roman" w:hAnsi="Times New Roman"/>
          <w:rtl/>
        </w:rPr>
        <w:t xml:space="preserve"> חודשים </w:t>
      </w:r>
      <w:r>
        <w:rPr>
          <w:rFonts w:ascii="Times New Roman" w:hAnsi="Times New Roman"/>
          <w:rtl/>
        </w:rPr>
        <w:t xml:space="preserve">מאסר </w:t>
      </w:r>
      <w:r w:rsidRPr="000F0561">
        <w:rPr>
          <w:rFonts w:ascii="Times New Roman" w:hAnsi="Times New Roman"/>
          <w:rtl/>
        </w:rPr>
        <w:t>תמורתו. הקנס ישולם</w:t>
      </w:r>
      <w:r>
        <w:rPr>
          <w:rFonts w:ascii="Times New Roman" w:hAnsi="Times New Roman"/>
          <w:rtl/>
        </w:rPr>
        <w:t xml:space="preserve"> ב-</w:t>
      </w:r>
      <w:r w:rsidRPr="000F0561">
        <w:rPr>
          <w:rFonts w:ascii="Times New Roman" w:hAnsi="Times New Roman"/>
          <w:rtl/>
        </w:rPr>
        <w:t xml:space="preserve"> </w:t>
      </w:r>
      <w:r>
        <w:rPr>
          <w:rFonts w:ascii="Times New Roman" w:hAnsi="Times New Roman"/>
          <w:rtl/>
        </w:rPr>
        <w:t>25</w:t>
      </w:r>
      <w:r w:rsidRPr="000F0561">
        <w:rPr>
          <w:rFonts w:ascii="Times New Roman" w:hAnsi="Times New Roman"/>
          <w:rtl/>
        </w:rPr>
        <w:t xml:space="preserve"> תשלומים חודשיים שווים ורצופים, החל מיום 1.6.19. </w:t>
      </w:r>
    </w:p>
    <w:p w14:paraId="3D4F8855" w14:textId="77777777" w:rsidR="002C1F98" w:rsidRDefault="002C1F98" w:rsidP="00E06ED4">
      <w:pPr>
        <w:spacing w:line="360" w:lineRule="auto"/>
        <w:jc w:val="both"/>
        <w:rPr>
          <w:rtl/>
        </w:rPr>
      </w:pPr>
    </w:p>
    <w:p w14:paraId="2F2E0BD5" w14:textId="77777777" w:rsidR="002C1F98" w:rsidRDefault="002C1F98" w:rsidP="00E06ED4">
      <w:pPr>
        <w:spacing w:line="360" w:lineRule="auto"/>
        <w:jc w:val="both"/>
        <w:rPr>
          <w:rtl/>
        </w:rPr>
      </w:pPr>
      <w:r>
        <w:rPr>
          <w:rtl/>
        </w:rPr>
        <w:t xml:space="preserve">זכות ערעור תוך 45 יום לביהמ"ש העליון. </w:t>
      </w:r>
    </w:p>
    <w:p w14:paraId="1488B3E3" w14:textId="77777777" w:rsidR="002C1F98" w:rsidRDefault="002C1F98" w:rsidP="00E06ED4">
      <w:pPr>
        <w:spacing w:line="360" w:lineRule="auto"/>
        <w:jc w:val="both"/>
        <w:rPr>
          <w:sz w:val="6"/>
          <w:szCs w:val="6"/>
          <w:rtl/>
        </w:rPr>
      </w:pPr>
      <w:r>
        <w:rPr>
          <w:sz w:val="6"/>
          <w:szCs w:val="6"/>
          <w:rtl/>
        </w:rPr>
        <w:t>&lt;#4#&gt;</w:t>
      </w:r>
    </w:p>
    <w:p w14:paraId="5B69C635" w14:textId="77777777" w:rsidR="002C1F98" w:rsidRDefault="002C1F98" w:rsidP="003B08F6">
      <w:pPr>
        <w:rPr>
          <w:rtl/>
        </w:rPr>
      </w:pPr>
    </w:p>
    <w:p w14:paraId="03E5C8AF" w14:textId="77777777" w:rsidR="002C1F98" w:rsidRDefault="00B70766" w:rsidP="003B08F6">
      <w:pPr>
        <w:rPr>
          <w:rtl/>
        </w:rPr>
      </w:pPr>
      <w:bookmarkStart w:id="9" w:name="Nitan"/>
      <w:r>
        <w:rPr>
          <w:b/>
          <w:bCs/>
          <w:rtl/>
        </w:rPr>
        <w:t xml:space="preserve">ניתנה והודעה היום י"ג אב תשע"ח, 25/07/2018 במעמד הנוכחים. </w:t>
      </w:r>
      <w:bookmarkEnd w:id="9"/>
    </w:p>
    <w:p w14:paraId="2150847E" w14:textId="77777777" w:rsidR="002C1F98" w:rsidRPr="00B70766" w:rsidRDefault="00B70766" w:rsidP="00944715">
      <w:pPr>
        <w:rPr>
          <w:color w:val="FFFFFF"/>
          <w:sz w:val="2"/>
          <w:szCs w:val="2"/>
          <w:rtl/>
        </w:rPr>
      </w:pPr>
      <w:r w:rsidRPr="00B7076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70766" w14:paraId="0E08100C" w14:textId="77777777" w:rsidTr="0024029F">
        <w:trPr>
          <w:trHeight w:val="316"/>
          <w:jc w:val="right"/>
        </w:trPr>
        <w:tc>
          <w:tcPr>
            <w:tcW w:w="3936" w:type="dxa"/>
            <w:vAlign w:val="bottom"/>
          </w:tcPr>
          <w:p w14:paraId="28F7A1FA" w14:textId="77777777" w:rsidR="00B70766" w:rsidRPr="00B70766" w:rsidRDefault="00B70766" w:rsidP="0024029F">
            <w:pPr>
              <w:jc w:val="center"/>
              <w:rPr>
                <w:rFonts w:ascii="Times New Roman" w:hAnsi="Times New Roman" w:cs="Times New Roman"/>
                <w:color w:val="FFFFFF"/>
                <w:sz w:val="2"/>
                <w:szCs w:val="2"/>
              </w:rPr>
            </w:pPr>
            <w:r w:rsidRPr="00B70766">
              <w:rPr>
                <w:rFonts w:ascii="Times New Roman" w:hAnsi="Times New Roman" w:cs="Times New Roman"/>
                <w:color w:val="FFFFFF"/>
                <w:sz w:val="2"/>
                <w:szCs w:val="2"/>
                <w:rtl/>
              </w:rPr>
              <w:t>54678313</w:t>
            </w:r>
          </w:p>
          <w:p w14:paraId="3F0DC33F" w14:textId="77777777" w:rsidR="00B70766" w:rsidRPr="00C77505" w:rsidRDefault="00B70766" w:rsidP="0024029F">
            <w:pPr>
              <w:jc w:val="center"/>
              <w:rPr>
                <w:rFonts w:ascii="Times New Roman" w:hAnsi="Times New Roman" w:cs="Times New Roman"/>
                <w:rtl/>
              </w:rPr>
            </w:pPr>
          </w:p>
        </w:tc>
      </w:tr>
      <w:tr w:rsidR="00B70766" w14:paraId="7DF9BBB7" w14:textId="77777777" w:rsidTr="0024029F">
        <w:trPr>
          <w:trHeight w:val="361"/>
          <w:jc w:val="right"/>
        </w:trPr>
        <w:tc>
          <w:tcPr>
            <w:tcW w:w="3936" w:type="dxa"/>
          </w:tcPr>
          <w:p w14:paraId="665C4CC3" w14:textId="77777777" w:rsidR="00B70766" w:rsidRPr="00C77505" w:rsidRDefault="00B70766" w:rsidP="0024029F">
            <w:pPr>
              <w:jc w:val="center"/>
              <w:rPr>
                <w:rFonts w:ascii="Times New Roman" w:hAnsi="Times New Roman"/>
                <w:b/>
                <w:bCs/>
                <w:rtl/>
              </w:rPr>
            </w:pPr>
            <w:r w:rsidRPr="00C77505">
              <w:rPr>
                <w:rFonts w:ascii="Times New Roman" w:hAnsi="Times New Roman"/>
                <w:b/>
                <w:bCs/>
                <w:rtl/>
              </w:rPr>
              <w:t>דניאל בן טולילה, שופט</w:t>
            </w:r>
          </w:p>
        </w:tc>
      </w:tr>
    </w:tbl>
    <w:p w14:paraId="70A34461" w14:textId="77777777" w:rsidR="00B70766" w:rsidRDefault="00B70766" w:rsidP="00944715">
      <w:pPr>
        <w:rPr>
          <w:rtl/>
        </w:rPr>
      </w:pPr>
    </w:p>
    <w:p w14:paraId="42832277" w14:textId="77777777" w:rsidR="002C1F98" w:rsidRPr="00B70766" w:rsidRDefault="002C1F98" w:rsidP="00B70766">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אילנית</w:t>
      </w:r>
      <w:r>
        <w:t xml:space="preserve"> </w:t>
      </w:r>
      <w:r>
        <w:rPr>
          <w:rtl/>
        </w:rPr>
        <w:t xml:space="preserve">רוימי  </w:t>
      </w:r>
    </w:p>
    <w:p w14:paraId="3BCE185B" w14:textId="77777777" w:rsidR="00B70766" w:rsidRPr="00B70766" w:rsidRDefault="00B70766" w:rsidP="00B70766">
      <w:pPr>
        <w:keepNext/>
        <w:rPr>
          <w:color w:val="000000"/>
          <w:sz w:val="22"/>
          <w:szCs w:val="22"/>
          <w:rtl/>
        </w:rPr>
      </w:pPr>
      <w:r w:rsidRPr="00B70766">
        <w:rPr>
          <w:color w:val="000000"/>
          <w:sz w:val="22"/>
          <w:szCs w:val="22"/>
          <w:rtl/>
        </w:rPr>
        <w:t>דניאל בן טולילה 54678313</w:t>
      </w:r>
    </w:p>
    <w:p w14:paraId="6C892ED3" w14:textId="77777777" w:rsidR="00B70766" w:rsidRDefault="00B70766" w:rsidP="00B70766">
      <w:r w:rsidRPr="00B70766">
        <w:rPr>
          <w:color w:val="000000"/>
          <w:rtl/>
        </w:rPr>
        <w:t>נוסח מסמך זה כפוף לשינויי ניסוח ועריכה</w:t>
      </w:r>
    </w:p>
    <w:p w14:paraId="65D657B3" w14:textId="77777777" w:rsidR="00B70766" w:rsidRDefault="00B70766" w:rsidP="00B70766">
      <w:pPr>
        <w:rPr>
          <w:rtl/>
        </w:rPr>
      </w:pPr>
    </w:p>
    <w:p w14:paraId="6AEF6264" w14:textId="77777777" w:rsidR="00B70766" w:rsidRDefault="00B70766" w:rsidP="00B70766">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7C9E7389" w14:textId="77777777" w:rsidR="00B70766" w:rsidRPr="00B70766" w:rsidRDefault="00B70766" w:rsidP="00B70766">
      <w:pPr>
        <w:jc w:val="center"/>
        <w:rPr>
          <w:color w:val="0000FF"/>
          <w:u w:val="single"/>
        </w:rPr>
      </w:pPr>
    </w:p>
    <w:sectPr w:rsidR="00B70766" w:rsidRPr="00B70766" w:rsidSect="00B70766">
      <w:headerReference w:type="even" r:id="rId53"/>
      <w:headerReference w:type="default" r:id="rId54"/>
      <w:footerReference w:type="even" r:id="rId55"/>
      <w:footerReference w:type="default" r:id="rId5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C8AC4" w14:textId="77777777" w:rsidR="0090704F" w:rsidRDefault="0090704F">
      <w:r>
        <w:separator/>
      </w:r>
    </w:p>
  </w:endnote>
  <w:endnote w:type="continuationSeparator" w:id="0">
    <w:p w14:paraId="73B29C64" w14:textId="77777777" w:rsidR="0090704F" w:rsidRDefault="0090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E4677" w14:textId="77777777" w:rsidR="00B70766" w:rsidRDefault="00B70766" w:rsidP="00B7076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1B522D1B" w14:textId="77777777" w:rsidR="002C1F98" w:rsidRPr="00B70766" w:rsidRDefault="00B70766" w:rsidP="00B70766">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E2E9C" w14:textId="77777777" w:rsidR="00B70766" w:rsidRDefault="00B70766" w:rsidP="00B7076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A2740">
      <w:rPr>
        <w:rFonts w:ascii="FrankRuehl" w:hAnsi="FrankRuehl" w:cs="FrankRuehl"/>
        <w:noProof/>
        <w:rtl/>
      </w:rPr>
      <w:t>1</w:t>
    </w:r>
    <w:r>
      <w:rPr>
        <w:rFonts w:ascii="FrankRuehl" w:hAnsi="FrankRuehl" w:cs="FrankRuehl"/>
        <w:rtl/>
      </w:rPr>
      <w:fldChar w:fldCharType="end"/>
    </w:r>
  </w:p>
  <w:p w14:paraId="151EE859" w14:textId="77777777" w:rsidR="002C1F98" w:rsidRPr="00B70766" w:rsidRDefault="00B70766" w:rsidP="00B70766">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642920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FFACB" w14:textId="77777777" w:rsidR="0090704F" w:rsidRDefault="0090704F">
      <w:r>
        <w:separator/>
      </w:r>
    </w:p>
  </w:footnote>
  <w:footnote w:type="continuationSeparator" w:id="0">
    <w:p w14:paraId="583B744C" w14:textId="77777777" w:rsidR="0090704F" w:rsidRDefault="00907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FF8D4" w14:textId="77777777" w:rsidR="00B70766" w:rsidRPr="00B70766" w:rsidRDefault="00B70766" w:rsidP="00B7076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32889-12-17</w:t>
    </w:r>
    <w:r>
      <w:rPr>
        <w:color w:val="000000"/>
        <w:sz w:val="22"/>
        <w:szCs w:val="22"/>
        <w:rtl/>
      </w:rPr>
      <w:tab/>
      <w:t xml:space="preserve"> מדינת ישראל נ' מרסלו בירנדורף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4D3CC" w14:textId="77777777" w:rsidR="00B70766" w:rsidRPr="00B70766" w:rsidRDefault="00B70766" w:rsidP="00B7076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32889-12-17</w:t>
    </w:r>
    <w:r>
      <w:rPr>
        <w:color w:val="000000"/>
        <w:sz w:val="22"/>
        <w:szCs w:val="22"/>
        <w:rtl/>
      </w:rPr>
      <w:tab/>
      <w:t xml:space="preserve"> מדינת ישראל נ' מרסלו בירנדורף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927105330">
    <w:abstractNumId w:val="14"/>
  </w:num>
  <w:num w:numId="2" w16cid:durableId="2108499329">
    <w:abstractNumId w:val="5"/>
  </w:num>
  <w:num w:numId="3" w16cid:durableId="90439705">
    <w:abstractNumId w:val="12"/>
  </w:num>
  <w:num w:numId="4" w16cid:durableId="1963533969">
    <w:abstractNumId w:val="11"/>
  </w:num>
  <w:num w:numId="5" w16cid:durableId="1061095691">
    <w:abstractNumId w:val="4"/>
  </w:num>
  <w:num w:numId="6" w16cid:durableId="617107238">
    <w:abstractNumId w:val="6"/>
  </w:num>
  <w:num w:numId="7" w16cid:durableId="935288722">
    <w:abstractNumId w:val="16"/>
  </w:num>
  <w:num w:numId="8" w16cid:durableId="1063411192">
    <w:abstractNumId w:val="0"/>
  </w:num>
  <w:num w:numId="9" w16cid:durableId="1223251034">
    <w:abstractNumId w:val="10"/>
  </w:num>
  <w:num w:numId="10" w16cid:durableId="1109084571">
    <w:abstractNumId w:val="8"/>
  </w:num>
  <w:num w:numId="11" w16cid:durableId="176509015">
    <w:abstractNumId w:val="3"/>
  </w:num>
  <w:num w:numId="12" w16cid:durableId="1303731368">
    <w:abstractNumId w:val="15"/>
  </w:num>
  <w:num w:numId="13" w16cid:durableId="1656908583">
    <w:abstractNumId w:val="9"/>
  </w:num>
  <w:num w:numId="14" w16cid:durableId="2082094450">
    <w:abstractNumId w:val="2"/>
  </w:num>
  <w:num w:numId="15" w16cid:durableId="22174137">
    <w:abstractNumId w:val="13"/>
  </w:num>
  <w:num w:numId="16" w16cid:durableId="1308710081">
    <w:abstractNumId w:val="1"/>
  </w:num>
  <w:num w:numId="17" w16cid:durableId="8050469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2889-12-17"/>
    <w:docVar w:name="caseId" w:val="75075654"/>
    <w:docVar w:name="deriveClass" w:val="NGCS.Protocol.BL.Client.ProtocolBLClientCriminal"/>
    <w:docVar w:name="firstPageNumber" w:val="11"/>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8855019"/>
    <w:docVar w:name="releaseSign" w:val="0"/>
    <w:docVar w:name="sittingDateTime" w:val="25/07/2018 15:00     "/>
    <w:docVar w:name="sittingId" w:val="85008515"/>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2EF2"/>
    <w:rsid w:val="00053909"/>
    <w:rsid w:val="000555F0"/>
    <w:rsid w:val="000608AB"/>
    <w:rsid w:val="00074BD2"/>
    <w:rsid w:val="000A4C4B"/>
    <w:rsid w:val="000C3D5F"/>
    <w:rsid w:val="000C7499"/>
    <w:rsid w:val="000E37CD"/>
    <w:rsid w:val="000F0561"/>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E6DFB"/>
    <w:rsid w:val="002063A6"/>
    <w:rsid w:val="00227A15"/>
    <w:rsid w:val="00234DDC"/>
    <w:rsid w:val="00237F64"/>
    <w:rsid w:val="0024029F"/>
    <w:rsid w:val="00245547"/>
    <w:rsid w:val="002736EA"/>
    <w:rsid w:val="00283F99"/>
    <w:rsid w:val="00296868"/>
    <w:rsid w:val="002A1C94"/>
    <w:rsid w:val="002C1F98"/>
    <w:rsid w:val="002D7CE4"/>
    <w:rsid w:val="002E24EE"/>
    <w:rsid w:val="002F455E"/>
    <w:rsid w:val="002F5A82"/>
    <w:rsid w:val="00301481"/>
    <w:rsid w:val="00340759"/>
    <w:rsid w:val="0034100C"/>
    <w:rsid w:val="00342D84"/>
    <w:rsid w:val="00347ACF"/>
    <w:rsid w:val="00373829"/>
    <w:rsid w:val="003B08F6"/>
    <w:rsid w:val="003E3780"/>
    <w:rsid w:val="003F6EFC"/>
    <w:rsid w:val="00440118"/>
    <w:rsid w:val="00442655"/>
    <w:rsid w:val="00445270"/>
    <w:rsid w:val="004473FE"/>
    <w:rsid w:val="004752AF"/>
    <w:rsid w:val="00486DEE"/>
    <w:rsid w:val="00494C2F"/>
    <w:rsid w:val="004C0CA7"/>
    <w:rsid w:val="004C1CD4"/>
    <w:rsid w:val="004D4B57"/>
    <w:rsid w:val="004F4B4A"/>
    <w:rsid w:val="00503959"/>
    <w:rsid w:val="00510083"/>
    <w:rsid w:val="00532A9F"/>
    <w:rsid w:val="00546CC1"/>
    <w:rsid w:val="00551705"/>
    <w:rsid w:val="00557D2F"/>
    <w:rsid w:val="00560CB1"/>
    <w:rsid w:val="00564AAC"/>
    <w:rsid w:val="0057167F"/>
    <w:rsid w:val="00577444"/>
    <w:rsid w:val="0058186B"/>
    <w:rsid w:val="00582073"/>
    <w:rsid w:val="005832BA"/>
    <w:rsid w:val="00594F89"/>
    <w:rsid w:val="005B395D"/>
    <w:rsid w:val="005B5742"/>
    <w:rsid w:val="005D47FD"/>
    <w:rsid w:val="005D68B0"/>
    <w:rsid w:val="005D6FD9"/>
    <w:rsid w:val="00600219"/>
    <w:rsid w:val="00601F75"/>
    <w:rsid w:val="006110FD"/>
    <w:rsid w:val="00612093"/>
    <w:rsid w:val="0061652F"/>
    <w:rsid w:val="00620E3F"/>
    <w:rsid w:val="00623CCF"/>
    <w:rsid w:val="00627A3A"/>
    <w:rsid w:val="00631222"/>
    <w:rsid w:val="00633BA9"/>
    <w:rsid w:val="00635C8E"/>
    <w:rsid w:val="006424C7"/>
    <w:rsid w:val="00680E1B"/>
    <w:rsid w:val="006830E7"/>
    <w:rsid w:val="00687309"/>
    <w:rsid w:val="006A2740"/>
    <w:rsid w:val="006A4D3D"/>
    <w:rsid w:val="006B639D"/>
    <w:rsid w:val="006C2240"/>
    <w:rsid w:val="006D72D1"/>
    <w:rsid w:val="006E3A90"/>
    <w:rsid w:val="006E6B7B"/>
    <w:rsid w:val="006E6C0F"/>
    <w:rsid w:val="006F0E02"/>
    <w:rsid w:val="00700409"/>
    <w:rsid w:val="00701199"/>
    <w:rsid w:val="00707EDE"/>
    <w:rsid w:val="007378AE"/>
    <w:rsid w:val="007378FE"/>
    <w:rsid w:val="007707CB"/>
    <w:rsid w:val="00770F7C"/>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33BD9"/>
    <w:rsid w:val="00835DA9"/>
    <w:rsid w:val="0083639D"/>
    <w:rsid w:val="008411C5"/>
    <w:rsid w:val="0085535F"/>
    <w:rsid w:val="0088228B"/>
    <w:rsid w:val="008B5819"/>
    <w:rsid w:val="008C483A"/>
    <w:rsid w:val="008D15AB"/>
    <w:rsid w:val="008D7896"/>
    <w:rsid w:val="008E7204"/>
    <w:rsid w:val="0090704F"/>
    <w:rsid w:val="00927BB3"/>
    <w:rsid w:val="00934BA1"/>
    <w:rsid w:val="0094049A"/>
    <w:rsid w:val="0094092B"/>
    <w:rsid w:val="00943E5D"/>
    <w:rsid w:val="00944715"/>
    <w:rsid w:val="009474AF"/>
    <w:rsid w:val="009521C7"/>
    <w:rsid w:val="00960E66"/>
    <w:rsid w:val="00966439"/>
    <w:rsid w:val="0097055D"/>
    <w:rsid w:val="0097713F"/>
    <w:rsid w:val="0098094C"/>
    <w:rsid w:val="009857E4"/>
    <w:rsid w:val="00985C11"/>
    <w:rsid w:val="009B24E2"/>
    <w:rsid w:val="009C08D6"/>
    <w:rsid w:val="009D7934"/>
    <w:rsid w:val="009E46EC"/>
    <w:rsid w:val="009E6E0A"/>
    <w:rsid w:val="009F299F"/>
    <w:rsid w:val="00A04531"/>
    <w:rsid w:val="00A06F4C"/>
    <w:rsid w:val="00A1573A"/>
    <w:rsid w:val="00A25356"/>
    <w:rsid w:val="00A36E40"/>
    <w:rsid w:val="00A64302"/>
    <w:rsid w:val="00A64696"/>
    <w:rsid w:val="00A67D1A"/>
    <w:rsid w:val="00A910BF"/>
    <w:rsid w:val="00A9385E"/>
    <w:rsid w:val="00AA3C0A"/>
    <w:rsid w:val="00AB1CE7"/>
    <w:rsid w:val="00AC7677"/>
    <w:rsid w:val="00AD1366"/>
    <w:rsid w:val="00AD5F51"/>
    <w:rsid w:val="00B24CA7"/>
    <w:rsid w:val="00B30584"/>
    <w:rsid w:val="00B44123"/>
    <w:rsid w:val="00B5401A"/>
    <w:rsid w:val="00B6568E"/>
    <w:rsid w:val="00B66459"/>
    <w:rsid w:val="00B70766"/>
    <w:rsid w:val="00B82C03"/>
    <w:rsid w:val="00B870E1"/>
    <w:rsid w:val="00BA268B"/>
    <w:rsid w:val="00BA3141"/>
    <w:rsid w:val="00BD13A0"/>
    <w:rsid w:val="00BE0ADF"/>
    <w:rsid w:val="00BF00B0"/>
    <w:rsid w:val="00C4595F"/>
    <w:rsid w:val="00C471D1"/>
    <w:rsid w:val="00C50277"/>
    <w:rsid w:val="00C518EA"/>
    <w:rsid w:val="00C61FC6"/>
    <w:rsid w:val="00C667A1"/>
    <w:rsid w:val="00C77505"/>
    <w:rsid w:val="00C8613B"/>
    <w:rsid w:val="00CA022A"/>
    <w:rsid w:val="00CA26CF"/>
    <w:rsid w:val="00CB6B34"/>
    <w:rsid w:val="00CD345E"/>
    <w:rsid w:val="00CF57BC"/>
    <w:rsid w:val="00D0615F"/>
    <w:rsid w:val="00D12DF5"/>
    <w:rsid w:val="00D23D09"/>
    <w:rsid w:val="00D2736A"/>
    <w:rsid w:val="00D57D9B"/>
    <w:rsid w:val="00D85DD0"/>
    <w:rsid w:val="00D86190"/>
    <w:rsid w:val="00DA7A07"/>
    <w:rsid w:val="00DC3CD8"/>
    <w:rsid w:val="00DC4526"/>
    <w:rsid w:val="00DC7E11"/>
    <w:rsid w:val="00DD4926"/>
    <w:rsid w:val="00DF69AA"/>
    <w:rsid w:val="00E06ED4"/>
    <w:rsid w:val="00E15F20"/>
    <w:rsid w:val="00E37759"/>
    <w:rsid w:val="00E4581A"/>
    <w:rsid w:val="00E600D6"/>
    <w:rsid w:val="00E620AB"/>
    <w:rsid w:val="00E679BB"/>
    <w:rsid w:val="00E74FCF"/>
    <w:rsid w:val="00E866B5"/>
    <w:rsid w:val="00EA333A"/>
    <w:rsid w:val="00EB1D9D"/>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20557C"/>
  <w15:chartTrackingRefBased/>
  <w15:docId w15:val="{907D07A8-F5E9-43AC-A12C-50F8A357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373829"/>
    <w:rPr>
      <w:rFonts w:ascii="Times New Roman" w:eastAsia="David" w:hAnsi="Times New Roman"/>
      <w:b/>
      <w:bCs/>
      <w:u w:val="single"/>
    </w:rPr>
  </w:style>
  <w:style w:type="character" w:styleId="Hyperlink">
    <w:name w:val="Hyperlink"/>
    <w:rsid w:val="00B7076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15" TargetMode="External"/><Relationship Id="rId18" Type="http://schemas.openxmlformats.org/officeDocument/2006/relationships/hyperlink" Target="http://www.nevo.co.il/law/84255/220.5" TargetMode="External"/><Relationship Id="rId26" Type="http://schemas.openxmlformats.org/officeDocument/2006/relationships/hyperlink" Target="http://www.nevo.co.il/case/20181627" TargetMode="External"/><Relationship Id="rId39" Type="http://schemas.openxmlformats.org/officeDocument/2006/relationships/hyperlink" Target="http://www.nevo.co.il/case/7791489" TargetMode="External"/><Relationship Id="rId21" Type="http://schemas.openxmlformats.org/officeDocument/2006/relationships/hyperlink" Target="http://www.nevo.co.il/law/70301/415" TargetMode="External"/><Relationship Id="rId34" Type="http://schemas.openxmlformats.org/officeDocument/2006/relationships/hyperlink" Target="http://www.nevo.co.il/case/6248918" TargetMode="External"/><Relationship Id="rId42" Type="http://schemas.openxmlformats.org/officeDocument/2006/relationships/hyperlink" Target="http://www.nevo.co.il/case/6248918"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jaCfS"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84255" TargetMode="External"/><Relationship Id="rId29" Type="http://schemas.openxmlformats.org/officeDocument/2006/relationships/hyperlink" Target="http://www.nevo.co.il/law/70301/40c.a"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84255/220.5" TargetMode="External"/><Relationship Id="rId32" Type="http://schemas.openxmlformats.org/officeDocument/2006/relationships/hyperlink" Target="http://www.nevo.co.il/law/70301/hC" TargetMode="External"/><Relationship Id="rId37" Type="http://schemas.openxmlformats.org/officeDocument/2006/relationships/hyperlink" Target="http://www.nevo.co.il/case/21475572" TargetMode="External"/><Relationship Id="rId40" Type="http://schemas.openxmlformats.org/officeDocument/2006/relationships/hyperlink" Target="http://www.nevo.co.il/case/21535283" TargetMode="External"/><Relationship Id="rId45" Type="http://schemas.openxmlformats.org/officeDocument/2006/relationships/hyperlink" Target="http://www.nevo.co.il/law/70301/144.a"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nevo.co.il/law/70301/144.b2" TargetMode="External"/><Relationship Id="rId4" Type="http://schemas.openxmlformats.org/officeDocument/2006/relationships/settings" Target="settings.xml"/><Relationship Id="rId9" Type="http://schemas.openxmlformats.org/officeDocument/2006/relationships/hyperlink" Target="http://www.nevo.co.il/law/70301/40c.a" TargetMode="External"/><Relationship Id="rId14" Type="http://schemas.openxmlformats.org/officeDocument/2006/relationships/hyperlink" Target="http://www.nevo.co.il/law/70301/hC" TargetMode="External"/><Relationship Id="rId22" Type="http://schemas.openxmlformats.org/officeDocument/2006/relationships/hyperlink" Target="http://www.nevo.co.il/law/84255/220.1" TargetMode="External"/><Relationship Id="rId27" Type="http://schemas.openxmlformats.org/officeDocument/2006/relationships/hyperlink" Target="http://www.nevo.co.il/case/18090623"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748124" TargetMode="External"/><Relationship Id="rId43" Type="http://schemas.openxmlformats.org/officeDocument/2006/relationships/hyperlink" Target="http://www.nevo.co.il/case/5786730" TargetMode="External"/><Relationship Id="rId48" Type="http://schemas.openxmlformats.org/officeDocument/2006/relationships/hyperlink" Target="http://www.nevo.co.il/law/70301/144.b2" TargetMode="External"/><Relationship Id="rId56"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hyperlink" Target="http://www.nevo.co.il/law/70301/jaCfS" TargetMode="External"/><Relationship Id="rId3" Type="http://schemas.openxmlformats.org/officeDocument/2006/relationships/styles" Target="styles.xml"/><Relationship Id="rId12" Type="http://schemas.openxmlformats.org/officeDocument/2006/relationships/hyperlink" Target="http://www.nevo.co.il/law/70301/144.b2" TargetMode="External"/><Relationship Id="rId17" Type="http://schemas.openxmlformats.org/officeDocument/2006/relationships/hyperlink" Target="http://www.nevo.co.il/law/84255/220.1" TargetMode="External"/><Relationship Id="rId25" Type="http://schemas.openxmlformats.org/officeDocument/2006/relationships/hyperlink" Target="http://www.nevo.co.il/case/20683368" TargetMode="External"/><Relationship Id="rId33" Type="http://schemas.openxmlformats.org/officeDocument/2006/relationships/hyperlink" Target="http://www.nevo.co.il/case/6034921" TargetMode="External"/><Relationship Id="rId38" Type="http://schemas.openxmlformats.org/officeDocument/2006/relationships/hyperlink" Target="http://www.nevo.co.il/case/5755630" TargetMode="External"/><Relationship Id="rId46" Type="http://schemas.openxmlformats.org/officeDocument/2006/relationships/hyperlink" Target="http://www.nevo.co.il/law/70301/144.b"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6118167" TargetMode="External"/><Relationship Id="rId54"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jaCfS" TargetMode="External"/><Relationship Id="rId23" Type="http://schemas.openxmlformats.org/officeDocument/2006/relationships/hyperlink" Target="http://www.nevo.co.il/law/84255" TargetMode="External"/><Relationship Id="rId28" Type="http://schemas.openxmlformats.org/officeDocument/2006/relationships/hyperlink" Target="http://www.nevo.co.il/case/7029339" TargetMode="External"/><Relationship Id="rId36" Type="http://schemas.openxmlformats.org/officeDocument/2006/relationships/hyperlink" Target="http://www.nevo.co.il/case/17931151" TargetMode="External"/><Relationship Id="rId49" Type="http://schemas.openxmlformats.org/officeDocument/2006/relationships/hyperlink" Target="http://www.nevo.co.il/case/17100013" TargetMode="External"/><Relationship Id="rId57" Type="http://schemas.openxmlformats.org/officeDocument/2006/relationships/fontTable" Target="fontTable.xml"/><Relationship Id="rId10" Type="http://schemas.openxmlformats.org/officeDocument/2006/relationships/hyperlink" Target="http://www.nevo.co.il/law/70301/144.a"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6006233"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4945</Words>
  <Characters>24725</Characters>
  <Application>Microsoft Office Word</Application>
  <DocSecurity>0</DocSecurity>
  <Lines>206</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29611</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5374044</vt:i4>
      </vt:variant>
      <vt:variant>
        <vt:i4>129</vt:i4>
      </vt:variant>
      <vt:variant>
        <vt:i4>0</vt:i4>
      </vt:variant>
      <vt:variant>
        <vt:i4>5</vt:i4>
      </vt:variant>
      <vt:variant>
        <vt:lpwstr>http://www.nevo.co.il/law/70301/jaCfS</vt:lpwstr>
      </vt:variant>
      <vt:variant>
        <vt:lpwstr/>
      </vt:variant>
      <vt:variant>
        <vt:i4>5374044</vt:i4>
      </vt:variant>
      <vt:variant>
        <vt:i4>126</vt:i4>
      </vt:variant>
      <vt:variant>
        <vt:i4>0</vt:i4>
      </vt:variant>
      <vt:variant>
        <vt:i4>5</vt:i4>
      </vt:variant>
      <vt:variant>
        <vt:lpwstr>http://www.nevo.co.il/law/70301/jaCfS</vt:lpwstr>
      </vt:variant>
      <vt:variant>
        <vt:lpwstr/>
      </vt:variant>
      <vt:variant>
        <vt:i4>3211379</vt:i4>
      </vt:variant>
      <vt:variant>
        <vt:i4>123</vt:i4>
      </vt:variant>
      <vt:variant>
        <vt:i4>0</vt:i4>
      </vt:variant>
      <vt:variant>
        <vt:i4>5</vt:i4>
      </vt:variant>
      <vt:variant>
        <vt:lpwstr>http://www.nevo.co.il/case/17100013</vt:lpwstr>
      </vt:variant>
      <vt:variant>
        <vt:lpwstr/>
      </vt:variant>
      <vt:variant>
        <vt:i4>8192050</vt:i4>
      </vt:variant>
      <vt:variant>
        <vt:i4>120</vt:i4>
      </vt:variant>
      <vt:variant>
        <vt:i4>0</vt:i4>
      </vt:variant>
      <vt:variant>
        <vt:i4>5</vt:i4>
      </vt:variant>
      <vt:variant>
        <vt:lpwstr>http://www.nevo.co.il/law/70301/144.b2</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3604593</vt:i4>
      </vt:variant>
      <vt:variant>
        <vt:i4>108</vt:i4>
      </vt:variant>
      <vt:variant>
        <vt:i4>0</vt:i4>
      </vt:variant>
      <vt:variant>
        <vt:i4>5</vt:i4>
      </vt:variant>
      <vt:variant>
        <vt:lpwstr>http://www.nevo.co.il/case/6006233</vt:lpwstr>
      </vt:variant>
      <vt:variant>
        <vt:lpwstr/>
      </vt:variant>
      <vt:variant>
        <vt:i4>3801206</vt:i4>
      </vt:variant>
      <vt:variant>
        <vt:i4>105</vt:i4>
      </vt:variant>
      <vt:variant>
        <vt:i4>0</vt:i4>
      </vt:variant>
      <vt:variant>
        <vt:i4>5</vt:i4>
      </vt:variant>
      <vt:variant>
        <vt:lpwstr>http://www.nevo.co.il/case/5786730</vt:lpwstr>
      </vt:variant>
      <vt:variant>
        <vt:lpwstr/>
      </vt:variant>
      <vt:variant>
        <vt:i4>3342463</vt:i4>
      </vt:variant>
      <vt:variant>
        <vt:i4>102</vt:i4>
      </vt:variant>
      <vt:variant>
        <vt:i4>0</vt:i4>
      </vt:variant>
      <vt:variant>
        <vt:i4>5</vt:i4>
      </vt:variant>
      <vt:variant>
        <vt:lpwstr>http://www.nevo.co.il/case/6248918</vt:lpwstr>
      </vt:variant>
      <vt:variant>
        <vt:lpwstr/>
      </vt:variant>
      <vt:variant>
        <vt:i4>3211387</vt:i4>
      </vt:variant>
      <vt:variant>
        <vt:i4>99</vt:i4>
      </vt:variant>
      <vt:variant>
        <vt:i4>0</vt:i4>
      </vt:variant>
      <vt:variant>
        <vt:i4>5</vt:i4>
      </vt:variant>
      <vt:variant>
        <vt:lpwstr>http://www.nevo.co.il/case/6118167</vt:lpwstr>
      </vt:variant>
      <vt:variant>
        <vt:lpwstr/>
      </vt:variant>
      <vt:variant>
        <vt:i4>3801204</vt:i4>
      </vt:variant>
      <vt:variant>
        <vt:i4>96</vt:i4>
      </vt:variant>
      <vt:variant>
        <vt:i4>0</vt:i4>
      </vt:variant>
      <vt:variant>
        <vt:i4>5</vt:i4>
      </vt:variant>
      <vt:variant>
        <vt:lpwstr>http://www.nevo.co.il/case/21535283</vt:lpwstr>
      </vt:variant>
      <vt:variant>
        <vt:lpwstr/>
      </vt:variant>
      <vt:variant>
        <vt:i4>3342458</vt:i4>
      </vt:variant>
      <vt:variant>
        <vt:i4>93</vt:i4>
      </vt:variant>
      <vt:variant>
        <vt:i4>0</vt:i4>
      </vt:variant>
      <vt:variant>
        <vt:i4>5</vt:i4>
      </vt:variant>
      <vt:variant>
        <vt:lpwstr>http://www.nevo.co.il/case/7791489</vt:lpwstr>
      </vt:variant>
      <vt:variant>
        <vt:lpwstr/>
      </vt:variant>
      <vt:variant>
        <vt:i4>3539061</vt:i4>
      </vt:variant>
      <vt:variant>
        <vt:i4>90</vt:i4>
      </vt:variant>
      <vt:variant>
        <vt:i4>0</vt:i4>
      </vt:variant>
      <vt:variant>
        <vt:i4>5</vt:i4>
      </vt:variant>
      <vt:variant>
        <vt:lpwstr>http://www.nevo.co.il/case/5755630</vt:lpwstr>
      </vt:variant>
      <vt:variant>
        <vt:lpwstr/>
      </vt:variant>
      <vt:variant>
        <vt:i4>3407991</vt:i4>
      </vt:variant>
      <vt:variant>
        <vt:i4>87</vt:i4>
      </vt:variant>
      <vt:variant>
        <vt:i4>0</vt:i4>
      </vt:variant>
      <vt:variant>
        <vt:i4>5</vt:i4>
      </vt:variant>
      <vt:variant>
        <vt:lpwstr>http://www.nevo.co.il/case/21475572</vt:lpwstr>
      </vt:variant>
      <vt:variant>
        <vt:lpwstr/>
      </vt:variant>
      <vt:variant>
        <vt:i4>3932273</vt:i4>
      </vt:variant>
      <vt:variant>
        <vt:i4>84</vt:i4>
      </vt:variant>
      <vt:variant>
        <vt:i4>0</vt:i4>
      </vt:variant>
      <vt:variant>
        <vt:i4>5</vt:i4>
      </vt:variant>
      <vt:variant>
        <vt:lpwstr>http://www.nevo.co.il/case/17931151</vt:lpwstr>
      </vt:variant>
      <vt:variant>
        <vt:lpwstr/>
      </vt:variant>
      <vt:variant>
        <vt:i4>3407993</vt:i4>
      </vt:variant>
      <vt:variant>
        <vt:i4>81</vt:i4>
      </vt:variant>
      <vt:variant>
        <vt:i4>0</vt:i4>
      </vt:variant>
      <vt:variant>
        <vt:i4>5</vt:i4>
      </vt:variant>
      <vt:variant>
        <vt:lpwstr>http://www.nevo.co.il/case/5748124</vt:lpwstr>
      </vt:variant>
      <vt:variant>
        <vt:lpwstr/>
      </vt:variant>
      <vt:variant>
        <vt:i4>3342463</vt:i4>
      </vt:variant>
      <vt:variant>
        <vt:i4>78</vt:i4>
      </vt:variant>
      <vt:variant>
        <vt:i4>0</vt:i4>
      </vt:variant>
      <vt:variant>
        <vt:i4>5</vt:i4>
      </vt:variant>
      <vt:variant>
        <vt:lpwstr>http://www.nevo.co.il/case/6248918</vt:lpwstr>
      </vt:variant>
      <vt:variant>
        <vt:lpwstr/>
      </vt:variant>
      <vt:variant>
        <vt:i4>3997810</vt:i4>
      </vt:variant>
      <vt:variant>
        <vt:i4>75</vt:i4>
      </vt:variant>
      <vt:variant>
        <vt:i4>0</vt:i4>
      </vt:variant>
      <vt:variant>
        <vt:i4>5</vt:i4>
      </vt:variant>
      <vt:variant>
        <vt:lpwstr>http://www.nevo.co.il/case/6034921</vt:lpwstr>
      </vt:variant>
      <vt:variant>
        <vt:lpwstr/>
      </vt:variant>
      <vt:variant>
        <vt:i4>3539005</vt:i4>
      </vt:variant>
      <vt:variant>
        <vt:i4>72</vt:i4>
      </vt:variant>
      <vt:variant>
        <vt:i4>0</vt:i4>
      </vt:variant>
      <vt:variant>
        <vt:i4>5</vt:i4>
      </vt:variant>
      <vt:variant>
        <vt:lpwstr>http://www.nevo.co.il/law/70301/hC</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4128894</vt:i4>
      </vt:variant>
      <vt:variant>
        <vt:i4>60</vt:i4>
      </vt:variant>
      <vt:variant>
        <vt:i4>0</vt:i4>
      </vt:variant>
      <vt:variant>
        <vt:i4>5</vt:i4>
      </vt:variant>
      <vt:variant>
        <vt:lpwstr>http://www.nevo.co.il/case/7029339</vt:lpwstr>
      </vt:variant>
      <vt:variant>
        <vt:lpwstr/>
      </vt:variant>
      <vt:variant>
        <vt:i4>3342451</vt:i4>
      </vt:variant>
      <vt:variant>
        <vt:i4>57</vt:i4>
      </vt:variant>
      <vt:variant>
        <vt:i4>0</vt:i4>
      </vt:variant>
      <vt:variant>
        <vt:i4>5</vt:i4>
      </vt:variant>
      <vt:variant>
        <vt:lpwstr>http://www.nevo.co.il/case/18090623</vt:lpwstr>
      </vt:variant>
      <vt:variant>
        <vt:lpwstr/>
      </vt:variant>
      <vt:variant>
        <vt:i4>3145850</vt:i4>
      </vt:variant>
      <vt:variant>
        <vt:i4>54</vt:i4>
      </vt:variant>
      <vt:variant>
        <vt:i4>0</vt:i4>
      </vt:variant>
      <vt:variant>
        <vt:i4>5</vt:i4>
      </vt:variant>
      <vt:variant>
        <vt:lpwstr>http://www.nevo.co.il/case/20181627</vt:lpwstr>
      </vt:variant>
      <vt:variant>
        <vt:lpwstr/>
      </vt:variant>
      <vt:variant>
        <vt:i4>3211391</vt:i4>
      </vt:variant>
      <vt:variant>
        <vt:i4>51</vt:i4>
      </vt:variant>
      <vt:variant>
        <vt:i4>0</vt:i4>
      </vt:variant>
      <vt:variant>
        <vt:i4>5</vt:i4>
      </vt:variant>
      <vt:variant>
        <vt:lpwstr>http://www.nevo.co.il/case/20683368</vt:lpwstr>
      </vt:variant>
      <vt:variant>
        <vt:lpwstr/>
      </vt:variant>
      <vt:variant>
        <vt:i4>4718685</vt:i4>
      </vt:variant>
      <vt:variant>
        <vt:i4>48</vt:i4>
      </vt:variant>
      <vt:variant>
        <vt:i4>0</vt:i4>
      </vt:variant>
      <vt:variant>
        <vt:i4>5</vt:i4>
      </vt:variant>
      <vt:variant>
        <vt:lpwstr>http://www.nevo.co.il/law/84255/220.5</vt:lpwstr>
      </vt:variant>
      <vt:variant>
        <vt:lpwstr/>
      </vt:variant>
      <vt:variant>
        <vt:i4>8061034</vt:i4>
      </vt:variant>
      <vt:variant>
        <vt:i4>45</vt:i4>
      </vt:variant>
      <vt:variant>
        <vt:i4>0</vt:i4>
      </vt:variant>
      <vt:variant>
        <vt:i4>5</vt:i4>
      </vt:variant>
      <vt:variant>
        <vt:lpwstr>http://www.nevo.co.il/law/84255</vt:lpwstr>
      </vt:variant>
      <vt:variant>
        <vt:lpwstr/>
      </vt:variant>
      <vt:variant>
        <vt:i4>4718685</vt:i4>
      </vt:variant>
      <vt:variant>
        <vt:i4>42</vt:i4>
      </vt:variant>
      <vt:variant>
        <vt:i4>0</vt:i4>
      </vt:variant>
      <vt:variant>
        <vt:i4>5</vt:i4>
      </vt:variant>
      <vt:variant>
        <vt:lpwstr>http://www.nevo.co.il/law/84255/220.1</vt:lpwstr>
      </vt:variant>
      <vt:variant>
        <vt:lpwstr/>
      </vt:variant>
      <vt:variant>
        <vt:i4>6553697</vt:i4>
      </vt:variant>
      <vt:variant>
        <vt:i4>39</vt:i4>
      </vt:variant>
      <vt:variant>
        <vt:i4>0</vt:i4>
      </vt:variant>
      <vt:variant>
        <vt:i4>5</vt:i4>
      </vt:variant>
      <vt:variant>
        <vt:lpwstr>http://www.nevo.co.il/law/70301/415</vt:lpwstr>
      </vt:variant>
      <vt:variant>
        <vt:lpwstr/>
      </vt:variant>
      <vt:variant>
        <vt:i4>7995492</vt:i4>
      </vt:variant>
      <vt:variant>
        <vt:i4>36</vt:i4>
      </vt:variant>
      <vt:variant>
        <vt:i4>0</vt:i4>
      </vt:variant>
      <vt:variant>
        <vt:i4>5</vt:i4>
      </vt:variant>
      <vt:variant>
        <vt:lpwstr>http://www.nevo.co.il/law/70301</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4718685</vt:i4>
      </vt:variant>
      <vt:variant>
        <vt:i4>30</vt:i4>
      </vt:variant>
      <vt:variant>
        <vt:i4>0</vt:i4>
      </vt:variant>
      <vt:variant>
        <vt:i4>5</vt:i4>
      </vt:variant>
      <vt:variant>
        <vt:lpwstr>http://www.nevo.co.il/law/84255/220.5</vt:lpwstr>
      </vt:variant>
      <vt:variant>
        <vt:lpwstr/>
      </vt:variant>
      <vt:variant>
        <vt:i4>4718685</vt:i4>
      </vt:variant>
      <vt:variant>
        <vt:i4>27</vt:i4>
      </vt:variant>
      <vt:variant>
        <vt:i4>0</vt:i4>
      </vt:variant>
      <vt:variant>
        <vt:i4>5</vt:i4>
      </vt:variant>
      <vt:variant>
        <vt:lpwstr>http://www.nevo.co.il/law/84255/220.1</vt:lpwstr>
      </vt:variant>
      <vt:variant>
        <vt:lpwstr/>
      </vt:variant>
      <vt:variant>
        <vt:i4>8061034</vt:i4>
      </vt:variant>
      <vt:variant>
        <vt:i4>24</vt:i4>
      </vt:variant>
      <vt:variant>
        <vt:i4>0</vt:i4>
      </vt:variant>
      <vt:variant>
        <vt:i4>5</vt:i4>
      </vt:variant>
      <vt:variant>
        <vt:lpwstr>http://www.nevo.co.il/law/84255</vt:lpwstr>
      </vt:variant>
      <vt:variant>
        <vt:lpwstr/>
      </vt:variant>
      <vt:variant>
        <vt:i4>5374044</vt:i4>
      </vt:variant>
      <vt:variant>
        <vt:i4>21</vt:i4>
      </vt:variant>
      <vt:variant>
        <vt:i4>0</vt:i4>
      </vt:variant>
      <vt:variant>
        <vt:i4>5</vt:i4>
      </vt:variant>
      <vt:variant>
        <vt:lpwstr>http://www.nevo.co.il/law/70301/jaCfS</vt:lpwstr>
      </vt:variant>
      <vt:variant>
        <vt:lpwstr/>
      </vt:variant>
      <vt:variant>
        <vt:i4>3539005</vt:i4>
      </vt:variant>
      <vt:variant>
        <vt:i4>18</vt:i4>
      </vt:variant>
      <vt:variant>
        <vt:i4>0</vt:i4>
      </vt:variant>
      <vt:variant>
        <vt:i4>5</vt:i4>
      </vt:variant>
      <vt:variant>
        <vt:lpwstr>http://www.nevo.co.il/law/70301/hC</vt:lpwstr>
      </vt:variant>
      <vt:variant>
        <vt:lpwstr/>
      </vt:variant>
      <vt:variant>
        <vt:i4>6553697</vt:i4>
      </vt:variant>
      <vt:variant>
        <vt:i4>15</vt:i4>
      </vt:variant>
      <vt:variant>
        <vt:i4>0</vt:i4>
      </vt:variant>
      <vt:variant>
        <vt:i4>5</vt:i4>
      </vt:variant>
      <vt:variant>
        <vt:lpwstr>http://www.nevo.co.il/law/70301/415</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2018-07-25T12:52:00Z</cp:lastPrinted>
  <dcterms:created xsi:type="dcterms:W3CDTF">2025-01-19T16:20:00Z</dcterms:created>
  <dcterms:modified xsi:type="dcterms:W3CDTF">2025-01-19T16:20:00Z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32889</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מרסלו בירנדורף</vt:lpwstr>
  </property>
  <property fmtid="{D5CDD505-2E9C-101B-9397-08002B2CF9AE}" pid="10" name="LAWYER">
    <vt:lpwstr>אסף בר יוסף;סלמי</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20180725</vt:lpwstr>
  </property>
  <property fmtid="{D5CDD505-2E9C-101B-9397-08002B2CF9AE}" pid="14" name="TYPE_N_DATE">
    <vt:lpwstr>39020180725</vt:lpwstr>
  </property>
  <property fmtid="{D5CDD505-2E9C-101B-9397-08002B2CF9AE}" pid="15" name="CASESLISTTMP1">
    <vt:lpwstr>20683368;20181627;18090623;7029339;6034921;6248918:2;5748124;17931151;21475572;5755630;7791489;21535283;6118167;5786730;6006233;17100013</vt:lpwstr>
  </property>
  <property fmtid="{D5CDD505-2E9C-101B-9397-08002B2CF9AE}" pid="16" name="CASENOTES1">
    <vt:lpwstr>ProcID=133;209&amp;PartA=1758&amp;PartC=14</vt:lpwstr>
  </property>
  <property fmtid="{D5CDD505-2E9C-101B-9397-08002B2CF9AE}" pid="17" name="CASENOTES2">
    <vt:lpwstr>ProcID=133;209&amp;PartA=512&amp;PartC=13</vt:lpwstr>
  </property>
  <property fmtid="{D5CDD505-2E9C-101B-9397-08002B2CF9AE}" pid="18" name="CASENOTES3">
    <vt:lpwstr>ProcID=213&amp;PartA=18&amp;PartC=19</vt:lpwstr>
  </property>
  <property fmtid="{D5CDD505-2E9C-101B-9397-08002B2CF9AE}" pid="19" name="WORDNUMPAGES">
    <vt:lpwstr>14</vt:lpwstr>
  </property>
  <property fmtid="{D5CDD505-2E9C-101B-9397-08002B2CF9AE}" pid="20" name="TYPE_ABS_DATE">
    <vt:lpwstr>390020180725</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70301/144.b2:2;415;040c.a;hC;144.a;144.b;jaCfS:2</vt:lpwstr>
  </property>
  <property fmtid="{D5CDD505-2E9C-101B-9397-08002B2CF9AE}" pid="40" name="LAWLISTTMP2">
    <vt:lpwstr>84255/220.1;220.5</vt:lpwstr>
  </property>
</Properties>
</file>