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0"/>
        <w:gridCol w:w="3681"/>
      </w:tblGrid>
      <w:tr w:rsidR="00FB5A4A" w:rsidRPr="00C66100" w14:paraId="347F7760" w14:textId="77777777" w:rsidTr="00EF576E">
        <w:trPr>
          <w:trHeight w:hRule="exact" w:val="993"/>
          <w:jc w:val="center"/>
        </w:trPr>
        <w:tc>
          <w:tcPr>
            <w:tcW w:w="8721" w:type="dxa"/>
            <w:gridSpan w:val="2"/>
          </w:tcPr>
          <w:p w14:paraId="17D94AB6" w14:textId="77777777" w:rsidR="00FB5A4A" w:rsidRPr="00C66100" w:rsidRDefault="00FB5A4A" w:rsidP="00044882">
            <w:pPr>
              <w:pStyle w:val="a3"/>
              <w:spacing w:before="120" w:after="120" w:line="240" w:lineRule="exact"/>
              <w:jc w:val="center"/>
              <w:rPr>
                <w:rtl/>
              </w:rPr>
            </w:pPr>
            <w:bookmarkStart w:id="0" w:name="LastJudge"/>
            <w:r w:rsidRPr="00C66100">
              <w:rPr>
                <w:rFonts w:ascii="Tahoma" w:hAnsi="Tahoma" w:cs="Tahoma"/>
                <w:b/>
                <w:bCs/>
                <w:color w:val="000080"/>
                <w:rtl/>
              </w:rPr>
              <w:t>בית המשפט המחוזי בירושלים</w:t>
            </w:r>
          </w:p>
          <w:p w14:paraId="0613D8C0" w14:textId="77777777" w:rsidR="00FB5A4A" w:rsidRPr="00C66100" w:rsidRDefault="00FB5A4A" w:rsidP="00044882">
            <w:pPr>
              <w:pStyle w:val="a3"/>
              <w:spacing w:before="120" w:after="120" w:line="240" w:lineRule="exact"/>
              <w:jc w:val="center"/>
              <w:rPr>
                <w:rFonts w:ascii="Tahoma" w:hAnsi="Tahoma" w:cs="Tahoma"/>
                <w:color w:val="000080"/>
                <w:rtl/>
              </w:rPr>
            </w:pPr>
            <w:r w:rsidRPr="00C66100">
              <w:rPr>
                <w:rFonts w:ascii="Tahoma" w:hAnsi="Tahoma" w:cs="Tahoma" w:hint="cs"/>
                <w:b/>
                <w:bCs/>
                <w:color w:val="000080"/>
                <w:rtl/>
              </w:rPr>
              <w:t>לפני כב' השופט רפי כרמל</w:t>
            </w:r>
          </w:p>
          <w:p w14:paraId="426EECCE" w14:textId="77777777" w:rsidR="00FB5A4A" w:rsidRPr="00C66100" w:rsidRDefault="00FB5A4A" w:rsidP="00817A29">
            <w:pPr>
              <w:pStyle w:val="a3"/>
              <w:spacing w:line="360" w:lineRule="auto"/>
              <w:jc w:val="center"/>
              <w:rPr>
                <w:rFonts w:ascii="Tahoma" w:hAnsi="Tahoma" w:cs="Tahoma"/>
                <w:color w:val="000080"/>
                <w:rtl/>
              </w:rPr>
            </w:pPr>
          </w:p>
        </w:tc>
      </w:tr>
      <w:tr w:rsidR="00FB5A4A" w:rsidRPr="00C66100" w14:paraId="57127438" w14:textId="77777777" w:rsidTr="00044882">
        <w:trPr>
          <w:trHeight w:val="256"/>
          <w:jc w:val="center"/>
        </w:trPr>
        <w:tc>
          <w:tcPr>
            <w:tcW w:w="5040" w:type="dxa"/>
          </w:tcPr>
          <w:p w14:paraId="19135DDE" w14:textId="77777777" w:rsidR="00FB5A4A" w:rsidRPr="00C66100" w:rsidRDefault="00FB5A4A" w:rsidP="00817A29">
            <w:pPr>
              <w:rPr>
                <w:rFonts w:cs="FrankRuehl"/>
                <w:sz w:val="28"/>
                <w:szCs w:val="28"/>
                <w:rtl/>
              </w:rPr>
            </w:pPr>
            <w:r w:rsidRPr="00C66100">
              <w:rPr>
                <w:rtl/>
              </w:rPr>
              <w:t xml:space="preserve">     </w:t>
            </w:r>
          </w:p>
          <w:p w14:paraId="1704C5C6" w14:textId="77777777" w:rsidR="00FB5A4A" w:rsidRPr="00C66100" w:rsidRDefault="00FB5A4A" w:rsidP="00817A29">
            <w:pPr>
              <w:pStyle w:val="a3"/>
              <w:rPr>
                <w:rFonts w:cs="FrankRuehl"/>
                <w:sz w:val="28"/>
                <w:szCs w:val="28"/>
                <w:rtl/>
              </w:rPr>
            </w:pPr>
          </w:p>
        </w:tc>
        <w:tc>
          <w:tcPr>
            <w:tcW w:w="3681" w:type="dxa"/>
          </w:tcPr>
          <w:p w14:paraId="2D23F248" w14:textId="77777777" w:rsidR="00FB5A4A" w:rsidRPr="00305279" w:rsidRDefault="00FB5A4A" w:rsidP="00817A29">
            <w:pPr>
              <w:pStyle w:val="a3"/>
              <w:jc w:val="right"/>
              <w:rPr>
                <w:rFonts w:ascii="David" w:hAnsi="David"/>
                <w:b/>
                <w:bCs/>
                <w:sz w:val="26"/>
                <w:szCs w:val="26"/>
                <w:rtl/>
              </w:rPr>
            </w:pPr>
            <w:r w:rsidRPr="00305279">
              <w:rPr>
                <w:rFonts w:ascii="David" w:hAnsi="David"/>
                <w:b/>
                <w:bCs/>
                <w:sz w:val="26"/>
                <w:szCs w:val="26"/>
                <w:rtl/>
              </w:rPr>
              <w:t>ת"פ 29650-01-18</w:t>
            </w:r>
          </w:p>
        </w:tc>
      </w:tr>
    </w:tbl>
    <w:p w14:paraId="7A016DCB" w14:textId="77777777" w:rsidR="00FB5A4A" w:rsidRPr="00C66100" w:rsidRDefault="00FB5A4A" w:rsidP="00FB5A4A">
      <w:pPr>
        <w:pStyle w:val="a3"/>
        <w:rPr>
          <w:rtl/>
        </w:rPr>
      </w:pPr>
      <w:r w:rsidRPr="00C6610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4678"/>
        <w:gridCol w:w="2834"/>
      </w:tblGrid>
      <w:tr w:rsidR="00FB5A4A" w:rsidRPr="00C66100" w14:paraId="00FF3028" w14:textId="77777777" w:rsidTr="00FB5A4A">
        <w:trPr>
          <w:trHeight w:val="355"/>
          <w:jc w:val="center"/>
        </w:trPr>
        <w:tc>
          <w:tcPr>
            <w:tcW w:w="1308" w:type="dxa"/>
            <w:tcBorders>
              <w:top w:val="nil"/>
              <w:left w:val="nil"/>
              <w:bottom w:val="nil"/>
              <w:right w:val="nil"/>
            </w:tcBorders>
            <w:shd w:val="clear" w:color="auto" w:fill="auto"/>
          </w:tcPr>
          <w:p w14:paraId="23DE02B4" w14:textId="77777777" w:rsidR="00FB5A4A" w:rsidRPr="00C66100" w:rsidRDefault="00FB5A4A" w:rsidP="00044882">
            <w:pPr>
              <w:spacing w:before="120" w:after="120" w:line="240" w:lineRule="exact"/>
              <w:jc w:val="both"/>
              <w:rPr>
                <w:rFonts w:ascii="Arial" w:hAnsi="Arial"/>
                <w:b/>
                <w:bCs/>
                <w:spacing w:val="22"/>
                <w:sz w:val="28"/>
                <w:szCs w:val="28"/>
              </w:rPr>
            </w:pPr>
            <w:bookmarkStart w:id="1" w:name="FirstAppellant"/>
            <w:r w:rsidRPr="00C66100">
              <w:rPr>
                <w:rFonts w:ascii="Arial" w:hAnsi="Arial" w:hint="cs"/>
                <w:b/>
                <w:bCs/>
                <w:spacing w:val="22"/>
                <w:sz w:val="28"/>
                <w:szCs w:val="28"/>
                <w:rtl/>
              </w:rPr>
              <w:t>בעניין:</w:t>
            </w:r>
          </w:p>
        </w:tc>
        <w:tc>
          <w:tcPr>
            <w:tcW w:w="4678" w:type="dxa"/>
            <w:tcBorders>
              <w:top w:val="nil"/>
              <w:left w:val="nil"/>
              <w:bottom w:val="nil"/>
              <w:right w:val="nil"/>
            </w:tcBorders>
            <w:shd w:val="clear" w:color="auto" w:fill="auto"/>
          </w:tcPr>
          <w:p w14:paraId="171A73E8" w14:textId="77777777" w:rsidR="00FB5A4A" w:rsidRPr="00C66100" w:rsidRDefault="00FB5A4A" w:rsidP="00044882">
            <w:pPr>
              <w:spacing w:before="120" w:after="120" w:line="240" w:lineRule="exact"/>
              <w:rPr>
                <w:b/>
                <w:bCs/>
                <w:spacing w:val="22"/>
              </w:rPr>
            </w:pPr>
            <w:r w:rsidRPr="00C66100">
              <w:rPr>
                <w:rFonts w:ascii="Arial" w:hAnsi="Arial"/>
                <w:b/>
                <w:bCs/>
                <w:spacing w:val="22"/>
                <w:sz w:val="28"/>
                <w:szCs w:val="28"/>
                <w:rtl/>
              </w:rPr>
              <w:t>מדינת ישראל</w:t>
            </w:r>
          </w:p>
        </w:tc>
        <w:tc>
          <w:tcPr>
            <w:tcW w:w="2834" w:type="dxa"/>
            <w:tcBorders>
              <w:top w:val="nil"/>
              <w:left w:val="nil"/>
              <w:bottom w:val="nil"/>
              <w:right w:val="nil"/>
            </w:tcBorders>
            <w:shd w:val="clear" w:color="auto" w:fill="auto"/>
          </w:tcPr>
          <w:p w14:paraId="6CDD4DD1" w14:textId="77777777" w:rsidR="00FB5A4A" w:rsidRPr="00C66100" w:rsidRDefault="00FB5A4A" w:rsidP="00044882">
            <w:pPr>
              <w:spacing w:before="120" w:after="120" w:line="240" w:lineRule="exact"/>
              <w:jc w:val="both"/>
              <w:rPr>
                <w:rFonts w:ascii="Arial" w:hAnsi="Arial"/>
                <w:b/>
                <w:bCs/>
                <w:spacing w:val="22"/>
                <w:sz w:val="28"/>
                <w:szCs w:val="28"/>
              </w:rPr>
            </w:pPr>
          </w:p>
        </w:tc>
      </w:tr>
      <w:bookmarkEnd w:id="1"/>
      <w:tr w:rsidR="00FB5A4A" w:rsidRPr="00C66100" w14:paraId="67702B37" w14:textId="77777777" w:rsidTr="00FB5A4A">
        <w:trPr>
          <w:trHeight w:val="355"/>
          <w:jc w:val="center"/>
        </w:trPr>
        <w:tc>
          <w:tcPr>
            <w:tcW w:w="1308" w:type="dxa"/>
            <w:tcBorders>
              <w:top w:val="nil"/>
              <w:left w:val="nil"/>
              <w:bottom w:val="nil"/>
              <w:right w:val="nil"/>
            </w:tcBorders>
            <w:shd w:val="clear" w:color="auto" w:fill="auto"/>
          </w:tcPr>
          <w:p w14:paraId="58E7314B" w14:textId="77777777" w:rsidR="00FB5A4A" w:rsidRPr="00C66100" w:rsidRDefault="00FB5A4A" w:rsidP="00044882">
            <w:pPr>
              <w:spacing w:before="120" w:after="120" w:line="240" w:lineRule="exact"/>
              <w:jc w:val="both"/>
              <w:rPr>
                <w:rFonts w:ascii="Arial" w:hAnsi="Arial"/>
                <w:b/>
                <w:bCs/>
                <w:spacing w:val="22"/>
                <w:sz w:val="28"/>
                <w:szCs w:val="28"/>
                <w:rtl/>
              </w:rPr>
            </w:pPr>
          </w:p>
        </w:tc>
        <w:tc>
          <w:tcPr>
            <w:tcW w:w="4678" w:type="dxa"/>
            <w:tcBorders>
              <w:top w:val="nil"/>
              <w:left w:val="nil"/>
              <w:bottom w:val="nil"/>
              <w:right w:val="nil"/>
            </w:tcBorders>
            <w:shd w:val="clear" w:color="auto" w:fill="auto"/>
          </w:tcPr>
          <w:p w14:paraId="385ADE05" w14:textId="77777777" w:rsidR="00FB5A4A" w:rsidRPr="00C66100" w:rsidRDefault="00FB5A4A" w:rsidP="00044882">
            <w:pPr>
              <w:spacing w:before="120" w:after="120" w:line="240" w:lineRule="exact"/>
              <w:jc w:val="both"/>
              <w:rPr>
                <w:rFonts w:ascii="Arial" w:hAnsi="Arial"/>
                <w:b/>
                <w:bCs/>
                <w:spacing w:val="22"/>
                <w:sz w:val="28"/>
                <w:szCs w:val="28"/>
                <w:rtl/>
              </w:rPr>
            </w:pPr>
            <w:r w:rsidRPr="00C66100">
              <w:rPr>
                <w:rFonts w:ascii="Arial" w:hAnsi="Arial" w:hint="cs"/>
                <w:b/>
                <w:bCs/>
                <w:spacing w:val="22"/>
                <w:sz w:val="28"/>
                <w:szCs w:val="28"/>
                <w:rtl/>
              </w:rPr>
              <w:t>באמצעות פרקליטות מחוז ירושלים</w:t>
            </w:r>
          </w:p>
        </w:tc>
        <w:tc>
          <w:tcPr>
            <w:tcW w:w="2834" w:type="dxa"/>
            <w:tcBorders>
              <w:top w:val="nil"/>
              <w:left w:val="nil"/>
              <w:bottom w:val="nil"/>
              <w:right w:val="nil"/>
            </w:tcBorders>
            <w:shd w:val="clear" w:color="auto" w:fill="auto"/>
          </w:tcPr>
          <w:p w14:paraId="1104279B" w14:textId="77777777" w:rsidR="00FB5A4A" w:rsidRPr="00C66100" w:rsidRDefault="00FB5A4A" w:rsidP="00044882">
            <w:pPr>
              <w:spacing w:before="120" w:after="120" w:line="240" w:lineRule="exact"/>
              <w:jc w:val="right"/>
              <w:rPr>
                <w:rFonts w:ascii="Arial" w:hAnsi="Arial"/>
                <w:b/>
                <w:bCs/>
                <w:spacing w:val="22"/>
                <w:sz w:val="28"/>
                <w:szCs w:val="28"/>
                <w:rtl/>
              </w:rPr>
            </w:pPr>
            <w:r w:rsidRPr="00C66100">
              <w:rPr>
                <w:rFonts w:ascii="Arial" w:hAnsi="Arial" w:hint="cs"/>
                <w:b/>
                <w:bCs/>
                <w:spacing w:val="22"/>
                <w:sz w:val="28"/>
                <w:szCs w:val="28"/>
                <w:rtl/>
              </w:rPr>
              <w:t>ה</w:t>
            </w:r>
            <w:r w:rsidRPr="00C66100">
              <w:rPr>
                <w:rFonts w:ascii="Arial" w:hAnsi="Arial"/>
                <w:b/>
                <w:bCs/>
                <w:spacing w:val="22"/>
                <w:sz w:val="28"/>
                <w:szCs w:val="28"/>
                <w:rtl/>
              </w:rPr>
              <w:t>מאשימה</w:t>
            </w:r>
          </w:p>
        </w:tc>
      </w:tr>
      <w:tr w:rsidR="00305279" w:rsidRPr="00C66100" w14:paraId="31C528CB" w14:textId="77777777" w:rsidTr="00015C44">
        <w:trPr>
          <w:trHeight w:val="355"/>
          <w:jc w:val="center"/>
        </w:trPr>
        <w:tc>
          <w:tcPr>
            <w:tcW w:w="8820" w:type="dxa"/>
            <w:gridSpan w:val="3"/>
            <w:tcBorders>
              <w:top w:val="nil"/>
              <w:left w:val="nil"/>
              <w:bottom w:val="nil"/>
              <w:right w:val="nil"/>
            </w:tcBorders>
            <w:shd w:val="clear" w:color="auto" w:fill="auto"/>
          </w:tcPr>
          <w:p w14:paraId="5536C8E0" w14:textId="77777777" w:rsidR="00305279" w:rsidRPr="00C66100" w:rsidRDefault="00305279" w:rsidP="00044882">
            <w:pPr>
              <w:spacing w:before="120" w:after="120" w:line="240" w:lineRule="exact"/>
              <w:jc w:val="center"/>
              <w:rPr>
                <w:rFonts w:ascii="Arial" w:hAnsi="Arial" w:hint="cs"/>
                <w:b/>
                <w:bCs/>
                <w:spacing w:val="22"/>
                <w:sz w:val="28"/>
                <w:szCs w:val="28"/>
              </w:rPr>
            </w:pPr>
            <w:r w:rsidRPr="00C66100">
              <w:rPr>
                <w:rFonts w:ascii="Arial" w:hAnsi="Arial"/>
                <w:b/>
                <w:bCs/>
                <w:spacing w:val="22"/>
                <w:sz w:val="28"/>
                <w:szCs w:val="28"/>
                <w:rtl/>
              </w:rPr>
              <w:t>נגד</w:t>
            </w:r>
          </w:p>
        </w:tc>
      </w:tr>
      <w:tr w:rsidR="00FB5A4A" w:rsidRPr="00C66100" w14:paraId="129ED1DF" w14:textId="77777777" w:rsidTr="00FB5A4A">
        <w:trPr>
          <w:trHeight w:val="355"/>
          <w:jc w:val="center"/>
        </w:trPr>
        <w:tc>
          <w:tcPr>
            <w:tcW w:w="1308" w:type="dxa"/>
            <w:tcBorders>
              <w:top w:val="nil"/>
              <w:left w:val="nil"/>
              <w:bottom w:val="nil"/>
              <w:right w:val="nil"/>
            </w:tcBorders>
            <w:shd w:val="clear" w:color="auto" w:fill="auto"/>
          </w:tcPr>
          <w:p w14:paraId="73BAD167" w14:textId="77777777" w:rsidR="00FB5A4A" w:rsidRPr="00C66100" w:rsidRDefault="00FB5A4A" w:rsidP="00044882">
            <w:pPr>
              <w:spacing w:before="120" w:after="120" w:line="240" w:lineRule="exact"/>
              <w:rPr>
                <w:rFonts w:ascii="Arial" w:hAnsi="Arial"/>
                <w:b/>
                <w:bCs/>
                <w:spacing w:val="22"/>
                <w:sz w:val="28"/>
                <w:szCs w:val="28"/>
                <w:rtl/>
              </w:rPr>
            </w:pPr>
            <w:bookmarkStart w:id="2" w:name="FirstLawyer"/>
          </w:p>
        </w:tc>
        <w:tc>
          <w:tcPr>
            <w:tcW w:w="4678" w:type="dxa"/>
            <w:tcBorders>
              <w:top w:val="nil"/>
              <w:left w:val="nil"/>
              <w:bottom w:val="nil"/>
              <w:right w:val="nil"/>
            </w:tcBorders>
            <w:shd w:val="clear" w:color="auto" w:fill="auto"/>
          </w:tcPr>
          <w:p w14:paraId="61005E91" w14:textId="77777777" w:rsidR="00FB5A4A" w:rsidRPr="00C66100" w:rsidRDefault="00FB5A4A" w:rsidP="00044882">
            <w:pPr>
              <w:spacing w:before="120" w:after="120" w:line="240" w:lineRule="exact"/>
              <w:rPr>
                <w:rFonts w:ascii="Arial" w:hAnsi="Arial"/>
                <w:b/>
                <w:bCs/>
                <w:spacing w:val="22"/>
                <w:sz w:val="28"/>
                <w:szCs w:val="28"/>
                <w:rtl/>
              </w:rPr>
            </w:pPr>
            <w:r w:rsidRPr="00C66100">
              <w:rPr>
                <w:rFonts w:ascii="Arial" w:hAnsi="Arial"/>
                <w:b/>
                <w:bCs/>
                <w:spacing w:val="22"/>
                <w:sz w:val="28"/>
                <w:szCs w:val="28"/>
                <w:rtl/>
              </w:rPr>
              <w:t>אחמד פרוך</w:t>
            </w:r>
          </w:p>
          <w:p w14:paraId="6638CE25" w14:textId="77777777" w:rsidR="00FB5A4A" w:rsidRPr="00C66100" w:rsidRDefault="00FB5A4A" w:rsidP="00044882">
            <w:pPr>
              <w:spacing w:before="120" w:after="120" w:line="240" w:lineRule="exact"/>
              <w:rPr>
                <w:rFonts w:ascii="Arial" w:hAnsi="Arial"/>
                <w:b/>
                <w:bCs/>
                <w:spacing w:val="22"/>
                <w:sz w:val="28"/>
                <w:szCs w:val="28"/>
                <w:rtl/>
              </w:rPr>
            </w:pPr>
            <w:r w:rsidRPr="00C66100">
              <w:rPr>
                <w:rFonts w:ascii="Arial" w:hAnsi="Arial" w:hint="cs"/>
                <w:b/>
                <w:bCs/>
                <w:spacing w:val="22"/>
                <w:sz w:val="28"/>
                <w:szCs w:val="28"/>
                <w:rtl/>
              </w:rPr>
              <w:t>ע"י ב"כ עו"ד איברהים עיאד</w:t>
            </w:r>
          </w:p>
        </w:tc>
        <w:tc>
          <w:tcPr>
            <w:tcW w:w="2834" w:type="dxa"/>
            <w:tcBorders>
              <w:top w:val="nil"/>
              <w:left w:val="nil"/>
              <w:bottom w:val="nil"/>
              <w:right w:val="nil"/>
            </w:tcBorders>
            <w:shd w:val="clear" w:color="auto" w:fill="auto"/>
          </w:tcPr>
          <w:p w14:paraId="2C4949BE" w14:textId="77777777" w:rsidR="00FB5A4A" w:rsidRPr="00C66100" w:rsidRDefault="00FB5A4A" w:rsidP="00044882">
            <w:pPr>
              <w:spacing w:before="120" w:after="120" w:line="240" w:lineRule="exact"/>
              <w:jc w:val="right"/>
              <w:rPr>
                <w:rFonts w:ascii="Arial" w:hAnsi="Arial"/>
                <w:b/>
                <w:bCs/>
                <w:spacing w:val="22"/>
                <w:sz w:val="28"/>
                <w:szCs w:val="28"/>
              </w:rPr>
            </w:pPr>
          </w:p>
        </w:tc>
      </w:tr>
      <w:bookmarkEnd w:id="2"/>
      <w:tr w:rsidR="00FB5A4A" w:rsidRPr="00C66100" w14:paraId="4CBC0779" w14:textId="77777777" w:rsidTr="00FB5A4A">
        <w:trPr>
          <w:trHeight w:val="355"/>
          <w:jc w:val="center"/>
        </w:trPr>
        <w:tc>
          <w:tcPr>
            <w:tcW w:w="1308" w:type="dxa"/>
            <w:tcBorders>
              <w:top w:val="nil"/>
              <w:left w:val="nil"/>
              <w:bottom w:val="nil"/>
              <w:right w:val="nil"/>
            </w:tcBorders>
            <w:shd w:val="clear" w:color="auto" w:fill="auto"/>
          </w:tcPr>
          <w:p w14:paraId="71E6154D" w14:textId="77777777" w:rsidR="00FB5A4A" w:rsidRPr="00C66100" w:rsidRDefault="00FB5A4A" w:rsidP="00044882">
            <w:pPr>
              <w:spacing w:before="120" w:after="120" w:line="240" w:lineRule="exact"/>
              <w:jc w:val="both"/>
              <w:rPr>
                <w:rFonts w:ascii="Arial" w:hAnsi="Arial"/>
                <w:b/>
                <w:bCs/>
                <w:spacing w:val="22"/>
                <w:sz w:val="28"/>
                <w:szCs w:val="28"/>
                <w:rtl/>
              </w:rPr>
            </w:pPr>
          </w:p>
        </w:tc>
        <w:tc>
          <w:tcPr>
            <w:tcW w:w="4678" w:type="dxa"/>
            <w:tcBorders>
              <w:top w:val="nil"/>
              <w:left w:val="nil"/>
              <w:bottom w:val="nil"/>
              <w:right w:val="nil"/>
            </w:tcBorders>
            <w:shd w:val="clear" w:color="auto" w:fill="auto"/>
          </w:tcPr>
          <w:p w14:paraId="22CC1B24" w14:textId="77777777" w:rsidR="00FB5A4A" w:rsidRPr="00C66100" w:rsidRDefault="00FB5A4A" w:rsidP="00044882">
            <w:pPr>
              <w:spacing w:before="120" w:after="120" w:line="240" w:lineRule="exact"/>
              <w:jc w:val="both"/>
              <w:rPr>
                <w:rFonts w:ascii="Arial" w:hAnsi="Arial"/>
                <w:b/>
                <w:bCs/>
                <w:spacing w:val="22"/>
                <w:sz w:val="28"/>
                <w:szCs w:val="28"/>
                <w:rtl/>
              </w:rPr>
            </w:pPr>
          </w:p>
        </w:tc>
        <w:tc>
          <w:tcPr>
            <w:tcW w:w="2834" w:type="dxa"/>
            <w:tcBorders>
              <w:top w:val="nil"/>
              <w:left w:val="nil"/>
              <w:bottom w:val="nil"/>
              <w:right w:val="nil"/>
            </w:tcBorders>
            <w:shd w:val="clear" w:color="auto" w:fill="auto"/>
          </w:tcPr>
          <w:p w14:paraId="0B3A0AC6" w14:textId="77777777" w:rsidR="00FB5A4A" w:rsidRPr="00C66100" w:rsidRDefault="00FB5A4A" w:rsidP="00044882">
            <w:pPr>
              <w:spacing w:before="120" w:after="120" w:line="240" w:lineRule="exact"/>
              <w:jc w:val="right"/>
              <w:rPr>
                <w:rFonts w:ascii="Arial" w:hAnsi="Arial"/>
                <w:b/>
                <w:bCs/>
                <w:spacing w:val="22"/>
                <w:sz w:val="28"/>
                <w:szCs w:val="28"/>
              </w:rPr>
            </w:pPr>
            <w:r w:rsidRPr="00C66100">
              <w:rPr>
                <w:rFonts w:ascii="Arial" w:hAnsi="Arial" w:hint="cs"/>
                <w:b/>
                <w:bCs/>
                <w:spacing w:val="22"/>
                <w:sz w:val="28"/>
                <w:szCs w:val="28"/>
                <w:rtl/>
              </w:rPr>
              <w:t>ה</w:t>
            </w:r>
            <w:r w:rsidRPr="00C66100">
              <w:rPr>
                <w:rFonts w:ascii="Arial" w:hAnsi="Arial"/>
                <w:b/>
                <w:bCs/>
                <w:spacing w:val="22"/>
                <w:sz w:val="28"/>
                <w:szCs w:val="28"/>
                <w:rtl/>
              </w:rPr>
              <w:t>נאשם</w:t>
            </w:r>
          </w:p>
        </w:tc>
      </w:tr>
    </w:tbl>
    <w:p w14:paraId="647799FA" w14:textId="77777777" w:rsidR="00962412" w:rsidRPr="00962412" w:rsidRDefault="00962412" w:rsidP="00962412">
      <w:pPr>
        <w:spacing w:after="120" w:line="240" w:lineRule="exact"/>
        <w:ind w:left="283" w:hanging="283"/>
        <w:jc w:val="both"/>
        <w:rPr>
          <w:rFonts w:ascii="FrankRuehl" w:hAnsi="FrankRuehl" w:cs="FrankRuehl"/>
          <w:rtl/>
        </w:rPr>
      </w:pPr>
    </w:p>
    <w:p w14:paraId="5B5AF0AC" w14:textId="77777777" w:rsidR="00962412" w:rsidRPr="00962412" w:rsidRDefault="00962412" w:rsidP="00962412">
      <w:pPr>
        <w:spacing w:after="120" w:line="240" w:lineRule="exact"/>
        <w:ind w:left="283" w:hanging="283"/>
        <w:jc w:val="both"/>
        <w:rPr>
          <w:rFonts w:ascii="FrankRuehl" w:hAnsi="FrankRuehl" w:cs="FrankRuehl"/>
          <w:rtl/>
        </w:rPr>
      </w:pPr>
      <w:r w:rsidRPr="00962412">
        <w:rPr>
          <w:rFonts w:ascii="FrankRuehl" w:hAnsi="FrankRuehl" w:cs="FrankRuehl"/>
          <w:rtl/>
        </w:rPr>
        <w:t xml:space="preserve">חקיקה שאוזכרה: </w:t>
      </w:r>
    </w:p>
    <w:p w14:paraId="4ACFE30E" w14:textId="77777777" w:rsidR="00962412" w:rsidRPr="00962412" w:rsidRDefault="00962412" w:rsidP="00962412">
      <w:pPr>
        <w:spacing w:after="120" w:line="240" w:lineRule="exact"/>
        <w:ind w:left="283" w:hanging="283"/>
        <w:jc w:val="both"/>
        <w:rPr>
          <w:rFonts w:ascii="FrankRuehl" w:hAnsi="FrankRuehl" w:cs="FrankRuehl"/>
          <w:color w:val="0000FF"/>
          <w:u w:val="single"/>
          <w:rtl/>
        </w:rPr>
      </w:pPr>
      <w:hyperlink r:id="rId6" w:history="1">
        <w:r w:rsidRPr="00962412">
          <w:rPr>
            <w:rStyle w:val="Hyperlink"/>
            <w:rFonts w:ascii="FrankRuehl" w:hAnsi="FrankRuehl" w:cs="FrankRuehl"/>
            <w:rtl/>
          </w:rPr>
          <w:t>חוק העונשין, תשל"ז-1977</w:t>
        </w:r>
      </w:hyperlink>
      <w:r w:rsidRPr="00962412">
        <w:rPr>
          <w:rFonts w:ascii="FrankRuehl" w:hAnsi="FrankRuehl" w:cs="FrankRuehl"/>
          <w:color w:val="0000FF"/>
          <w:u w:val="single"/>
          <w:rtl/>
        </w:rPr>
        <w:t xml:space="preserve">: סע'  </w:t>
      </w:r>
      <w:hyperlink r:id="rId7" w:history="1">
        <w:r w:rsidRPr="00962412">
          <w:rPr>
            <w:rStyle w:val="Hyperlink"/>
            <w:rFonts w:ascii="FrankRuehl" w:hAnsi="FrankRuehl" w:cs="FrankRuehl"/>
          </w:rPr>
          <w:t>40</w:t>
        </w:r>
        <w:r w:rsidRPr="00962412">
          <w:rPr>
            <w:rStyle w:val="Hyperlink"/>
            <w:rFonts w:ascii="FrankRuehl" w:hAnsi="FrankRuehl" w:cs="FrankRuehl"/>
            <w:rtl/>
          </w:rPr>
          <w:t>ב</w:t>
        </w:r>
        <w:r w:rsidRPr="00962412">
          <w:rPr>
            <w:rStyle w:val="Hyperlink"/>
            <w:rFonts w:ascii="FrankRuehl" w:hAnsi="FrankRuehl" w:cs="FrankRuehl"/>
          </w:rPr>
          <w:t>'</w:t>
        </w:r>
      </w:hyperlink>
      <w:r w:rsidRPr="00962412">
        <w:rPr>
          <w:rFonts w:ascii="FrankRuehl" w:hAnsi="FrankRuehl" w:cs="FrankRuehl"/>
          <w:color w:val="0000FF"/>
          <w:u w:val="single"/>
          <w:rtl/>
        </w:rPr>
        <w:t xml:space="preserve">, </w:t>
      </w:r>
      <w:hyperlink r:id="rId8" w:history="1">
        <w:r w:rsidRPr="00962412">
          <w:rPr>
            <w:rStyle w:val="Hyperlink"/>
            <w:rFonts w:ascii="FrankRuehl" w:hAnsi="FrankRuehl" w:cs="FrankRuehl"/>
          </w:rPr>
          <w:t xml:space="preserve">40 </w:t>
        </w:r>
        <w:r w:rsidRPr="00962412">
          <w:rPr>
            <w:rStyle w:val="Hyperlink"/>
            <w:rFonts w:ascii="FrankRuehl" w:hAnsi="FrankRuehl" w:cs="FrankRuehl"/>
            <w:rtl/>
          </w:rPr>
          <w:t>ט</w:t>
        </w:r>
        <w:r w:rsidRPr="00962412">
          <w:rPr>
            <w:rStyle w:val="Hyperlink"/>
            <w:rFonts w:ascii="FrankRuehl" w:hAnsi="FrankRuehl" w:cs="FrankRuehl"/>
          </w:rPr>
          <w:t>'</w:t>
        </w:r>
      </w:hyperlink>
      <w:r w:rsidRPr="00962412">
        <w:rPr>
          <w:rFonts w:ascii="FrankRuehl" w:hAnsi="FrankRuehl" w:cs="FrankRuehl"/>
          <w:color w:val="0000FF"/>
          <w:u w:val="single"/>
          <w:rtl/>
        </w:rPr>
        <w:t xml:space="preserve">, </w:t>
      </w:r>
      <w:hyperlink r:id="rId9" w:history="1">
        <w:r w:rsidRPr="00962412">
          <w:rPr>
            <w:rStyle w:val="Hyperlink"/>
            <w:rFonts w:ascii="FrankRuehl" w:hAnsi="FrankRuehl" w:cs="FrankRuehl"/>
          </w:rPr>
          <w:t>144(</w:t>
        </w:r>
        <w:r w:rsidRPr="00962412">
          <w:rPr>
            <w:rStyle w:val="Hyperlink"/>
            <w:rFonts w:ascii="FrankRuehl" w:hAnsi="FrankRuehl" w:cs="FrankRuehl"/>
            <w:rtl/>
          </w:rPr>
          <w:t>א</w:t>
        </w:r>
        <w:r w:rsidRPr="00962412">
          <w:rPr>
            <w:rStyle w:val="Hyperlink"/>
            <w:rFonts w:ascii="FrankRuehl" w:hAnsi="FrankRuehl" w:cs="FrankRuehl"/>
          </w:rPr>
          <w:t>)</w:t>
        </w:r>
      </w:hyperlink>
      <w:r w:rsidRPr="00962412">
        <w:rPr>
          <w:rFonts w:ascii="FrankRuehl" w:hAnsi="FrankRuehl" w:cs="FrankRuehl"/>
          <w:color w:val="0000FF"/>
          <w:u w:val="single"/>
          <w:rtl/>
        </w:rPr>
        <w:t xml:space="preserve">, </w:t>
      </w:r>
      <w:hyperlink r:id="rId10" w:history="1">
        <w:r w:rsidRPr="00962412">
          <w:rPr>
            <w:rStyle w:val="Hyperlink"/>
            <w:rFonts w:ascii="FrankRuehl" w:hAnsi="FrankRuehl" w:cs="FrankRuehl"/>
          </w:rPr>
          <w:t>144</w:t>
        </w:r>
        <w:r w:rsidRPr="00962412">
          <w:rPr>
            <w:rStyle w:val="Hyperlink"/>
            <w:rFonts w:ascii="FrankRuehl" w:hAnsi="FrankRuehl" w:cs="FrankRuehl"/>
            <w:rtl/>
          </w:rPr>
          <w:t>ו(א</w:t>
        </w:r>
        <w:r w:rsidRPr="00962412">
          <w:rPr>
            <w:rStyle w:val="Hyperlink"/>
            <w:rFonts w:ascii="FrankRuehl" w:hAnsi="FrankRuehl" w:cs="FrankRuehl"/>
          </w:rPr>
          <w:t>)</w:t>
        </w:r>
      </w:hyperlink>
      <w:r w:rsidRPr="00962412">
        <w:rPr>
          <w:rFonts w:ascii="FrankRuehl" w:hAnsi="FrankRuehl" w:cs="FrankRuehl"/>
          <w:color w:val="0000FF"/>
          <w:u w:val="single"/>
          <w:rtl/>
        </w:rPr>
        <w:t xml:space="preserve">, </w:t>
      </w:r>
      <w:hyperlink r:id="rId11" w:history="1">
        <w:r w:rsidRPr="00962412">
          <w:rPr>
            <w:rStyle w:val="Hyperlink"/>
            <w:rFonts w:ascii="FrankRuehl" w:hAnsi="FrankRuehl" w:cs="FrankRuehl"/>
          </w:rPr>
          <w:t>382(</w:t>
        </w:r>
        <w:r w:rsidRPr="00962412">
          <w:rPr>
            <w:rStyle w:val="Hyperlink"/>
            <w:rFonts w:ascii="FrankRuehl" w:hAnsi="FrankRuehl" w:cs="FrankRuehl"/>
            <w:rtl/>
          </w:rPr>
          <w:t>א</w:t>
        </w:r>
        <w:r w:rsidRPr="00962412">
          <w:rPr>
            <w:rStyle w:val="Hyperlink"/>
            <w:rFonts w:ascii="FrankRuehl" w:hAnsi="FrankRuehl" w:cs="FrankRuehl"/>
          </w:rPr>
          <w:t>)</w:t>
        </w:r>
      </w:hyperlink>
    </w:p>
    <w:p w14:paraId="2446717F" w14:textId="77777777" w:rsidR="00962412" w:rsidRDefault="00962412" w:rsidP="00FB5A4A">
      <w:pPr>
        <w:rPr>
          <w:rFonts w:ascii="Arial" w:hAnsi="Arial" w:hint="cs"/>
          <w:b/>
          <w:bCs/>
          <w:spacing w:val="22"/>
          <w:sz w:val="36"/>
          <w:szCs w:val="36"/>
          <w:rtl/>
        </w:rPr>
      </w:pPr>
      <w:bookmarkStart w:id="3" w:name="LawTable_End"/>
      <w:bookmarkEnd w:id="3"/>
    </w:p>
    <w:p w14:paraId="3D7CCDB5" w14:textId="77777777" w:rsidR="000F2BA2" w:rsidRDefault="000F2BA2" w:rsidP="000F2BA2">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77EC77E9" w14:textId="77777777" w:rsidR="000F2BA2" w:rsidRPr="000F2BA2" w:rsidRDefault="000F2BA2" w:rsidP="000F2BA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0F2BA2">
        <w:rPr>
          <w:rFonts w:cs="FrankRuehl" w:hint="cs"/>
          <w:szCs w:val="26"/>
          <w:rtl/>
        </w:rPr>
        <w:t>בית המשפט השית על הנאשם, בגין תקיפה בנסיבות מחמירות ממניע גזעני, 20 חודשי מאסר בפועל, מאסר מותנה וקנס בסך 3,000 ₪ או מאסר תמורתם.</w:t>
      </w:r>
    </w:p>
    <w:p w14:paraId="45C119B5" w14:textId="77777777" w:rsidR="000F2BA2" w:rsidRDefault="000F2BA2" w:rsidP="000F2BA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אלימות על רקע לאומני‏</w:t>
      </w:r>
    </w:p>
    <w:p w14:paraId="1C041C88" w14:textId="77777777" w:rsidR="000F2BA2" w:rsidRDefault="000F2BA2" w:rsidP="000F2BA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עשיית עבירה מתוך מניע של גזענות</w:t>
      </w:r>
    </w:p>
    <w:p w14:paraId="64C756D6" w14:textId="77777777" w:rsidR="000F2BA2" w:rsidRDefault="000F2BA2" w:rsidP="000F2BA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E5B29E1" w14:textId="77777777" w:rsidR="000F2BA2" w:rsidRPr="000F2BA2" w:rsidRDefault="000F2BA2" w:rsidP="000F2BA2">
      <w:pPr>
        <w:pBdr>
          <w:top w:val="single" w:sz="4" w:space="1" w:color="auto"/>
          <w:bottom w:val="single" w:sz="4" w:space="1" w:color="auto"/>
        </w:pBdr>
        <w:spacing w:after="120" w:line="320" w:lineRule="exact"/>
        <w:jc w:val="both"/>
        <w:rPr>
          <w:rFonts w:cs="FrankRuehl" w:hint="cs"/>
          <w:szCs w:val="26"/>
          <w:rtl/>
        </w:rPr>
      </w:pPr>
      <w:r w:rsidRPr="000F2BA2">
        <w:rPr>
          <w:rFonts w:cs="FrankRuehl" w:hint="cs"/>
          <w:szCs w:val="26"/>
          <w:rtl/>
        </w:rPr>
        <w:t>הנאשם הורשע בעבירה של תקיפה בנסיבות מחמירות ממניע גזעני, כלפי צעירים בעלי חזות חרדית.</w:t>
      </w:r>
    </w:p>
    <w:p w14:paraId="1A628A49" w14:textId="77777777" w:rsidR="000F2BA2" w:rsidRDefault="000F2BA2" w:rsidP="000F2BA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15FDB6D" w14:textId="77777777" w:rsidR="000F2BA2" w:rsidRPr="000F2BA2" w:rsidRDefault="000F2BA2" w:rsidP="000F2BA2">
      <w:pPr>
        <w:pBdr>
          <w:top w:val="single" w:sz="4" w:space="1" w:color="auto"/>
          <w:bottom w:val="single" w:sz="4" w:space="1" w:color="auto"/>
        </w:pBdr>
        <w:spacing w:after="120" w:line="320" w:lineRule="exact"/>
        <w:jc w:val="both"/>
        <w:rPr>
          <w:rFonts w:cs="FrankRuehl" w:hint="cs"/>
          <w:szCs w:val="26"/>
          <w:rtl/>
        </w:rPr>
      </w:pPr>
      <w:r w:rsidRPr="000F2BA2">
        <w:rPr>
          <w:rFonts w:cs="FrankRuehl"/>
          <w:szCs w:val="26"/>
          <w:rtl/>
        </w:rPr>
        <w:t>בית המשפט המחוזי</w:t>
      </w:r>
      <w:r w:rsidRPr="000F2BA2">
        <w:rPr>
          <w:rFonts w:cs="FrankRuehl" w:hint="cs"/>
          <w:szCs w:val="26"/>
          <w:rtl/>
        </w:rPr>
        <w:t xml:space="preserve"> גזר את הדין כדלהלן:</w:t>
      </w:r>
    </w:p>
    <w:p w14:paraId="6571B452" w14:textId="77777777" w:rsidR="000F2BA2" w:rsidRPr="000F2BA2" w:rsidRDefault="000F2BA2" w:rsidP="000F2BA2">
      <w:pPr>
        <w:pBdr>
          <w:top w:val="single" w:sz="4" w:space="1" w:color="auto"/>
          <w:bottom w:val="single" w:sz="4" w:space="1" w:color="auto"/>
        </w:pBdr>
        <w:spacing w:after="120" w:line="320" w:lineRule="exact"/>
        <w:jc w:val="both"/>
        <w:rPr>
          <w:rFonts w:cs="FrankRuehl" w:hint="cs"/>
          <w:szCs w:val="26"/>
          <w:rtl/>
        </w:rPr>
      </w:pPr>
      <w:r w:rsidRPr="000F2BA2">
        <w:rPr>
          <w:rFonts w:cs="FrankRuehl" w:hint="cs"/>
          <w:szCs w:val="26"/>
          <w:rtl/>
        </w:rPr>
        <w:t>הנאשם פגע בערך החברתי של שלמות גופם ונפשם של המתלוננים, בעיקר באספקט הרוחני-דתי, במידה גדולה ומשמעותית. המעשים בוצעו על מנת לפגוע, להשפיל, להכות בבטן הרכה מתוך עוינות ושנאת האחר על רקע דתי. מדובר במעשים קשים, חריפים ופוגעניים, שגרמו לטראומה קשה ובעלי השלכה גם לעתיד. המתחם הראוי הנו 12 עד 30 חודשי מאסר בפועל. בהתחשב בשיקולים השונים יש להשית על הנאשם 20 חודשי מאסר בפועל, מאסר מותנה לשבעה חודשים וקנס בסך 3,000 ₪ או 30 ימי מאסר תמורתם.</w:t>
      </w:r>
    </w:p>
    <w:p w14:paraId="561F91D1" w14:textId="77777777" w:rsidR="00044882" w:rsidRPr="00962412" w:rsidRDefault="00044882" w:rsidP="00FB5A4A">
      <w:pPr>
        <w:rPr>
          <w:rFonts w:ascii="Arial" w:hAnsi="Arial" w:hint="cs"/>
          <w:b/>
          <w:bCs/>
          <w:spacing w:val="22"/>
          <w:sz w:val="36"/>
          <w:szCs w:val="36"/>
          <w:rtl/>
        </w:rPr>
      </w:pPr>
      <w:bookmarkStart w:id="5" w:name="ABSTRACT_END"/>
      <w:bookmarkEnd w:id="5"/>
    </w:p>
    <w:p w14:paraId="1429EB93" w14:textId="77777777" w:rsidR="00FB5A4A" w:rsidRPr="00962412" w:rsidRDefault="00FB5A4A" w:rsidP="00FB5A4A">
      <w:pPr>
        <w:rPr>
          <w:rFonts w:ascii="Arial" w:hAnsi="Arial"/>
          <w:b/>
          <w:bCs/>
          <w:spacing w:val="22"/>
          <w:sz w:val="36"/>
          <w:szCs w:val="3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5A4A" w:rsidRPr="004F123A" w14:paraId="3CFE4552" w14:textId="77777777" w:rsidTr="00FB5A4A">
        <w:trPr>
          <w:trHeight w:val="537"/>
          <w:jc w:val="center"/>
        </w:trPr>
        <w:tc>
          <w:tcPr>
            <w:tcW w:w="8820" w:type="dxa"/>
            <w:tcBorders>
              <w:top w:val="nil"/>
              <w:left w:val="nil"/>
              <w:bottom w:val="nil"/>
              <w:right w:val="nil"/>
            </w:tcBorders>
            <w:shd w:val="clear" w:color="auto" w:fill="auto"/>
          </w:tcPr>
          <w:p w14:paraId="273F286A" w14:textId="77777777" w:rsidR="00FB5A4A" w:rsidRPr="00C66100" w:rsidRDefault="00C66100" w:rsidP="00C66100">
            <w:pPr>
              <w:jc w:val="center"/>
              <w:rPr>
                <w:rFonts w:ascii="Arial" w:hAnsi="Arial"/>
                <w:b/>
                <w:bCs/>
                <w:spacing w:val="22"/>
                <w:sz w:val="36"/>
                <w:szCs w:val="36"/>
                <w:u w:val="single"/>
                <w:rtl/>
              </w:rPr>
            </w:pPr>
            <w:bookmarkStart w:id="6" w:name="PsakDin" w:colFirst="0" w:colLast="0"/>
            <w:bookmarkEnd w:id="0"/>
            <w:r w:rsidRPr="00C66100">
              <w:rPr>
                <w:rFonts w:ascii="Arial" w:hAnsi="Arial"/>
                <w:b/>
                <w:bCs/>
                <w:spacing w:val="22"/>
                <w:sz w:val="36"/>
                <w:szCs w:val="36"/>
                <w:u w:val="single"/>
                <w:rtl/>
              </w:rPr>
              <w:t>גזר דין</w:t>
            </w:r>
          </w:p>
        </w:tc>
      </w:tr>
    </w:tbl>
    <w:bookmarkEnd w:id="6"/>
    <w:p w14:paraId="01B63A54" w14:textId="77777777" w:rsidR="00FB5A4A" w:rsidRPr="004F123A" w:rsidRDefault="00FB5A4A" w:rsidP="00FB5A4A">
      <w:pPr>
        <w:spacing w:line="360" w:lineRule="auto"/>
        <w:jc w:val="both"/>
        <w:rPr>
          <w:spacing w:val="22"/>
          <w:rtl/>
        </w:rPr>
      </w:pPr>
      <w:r w:rsidRPr="004F123A">
        <w:rPr>
          <w:rFonts w:hint="cs"/>
          <w:spacing w:val="22"/>
          <w:rtl/>
        </w:rPr>
        <w:t>1.</w:t>
      </w:r>
      <w:r w:rsidRPr="004F123A">
        <w:rPr>
          <w:rFonts w:hint="cs"/>
          <w:spacing w:val="22"/>
          <w:rtl/>
        </w:rPr>
        <w:tab/>
        <w:t xml:space="preserve">הנאשם הורשע, על פי הודאתו, בעבירה של תקיפה בנסיבות מחמירות ממניע גזעני לפי </w:t>
      </w:r>
      <w:hyperlink r:id="rId12" w:history="1">
        <w:r w:rsidR="00962412" w:rsidRPr="00962412">
          <w:rPr>
            <w:color w:val="0000FF"/>
            <w:spacing w:val="22"/>
            <w:u w:val="single"/>
            <w:rtl/>
          </w:rPr>
          <w:t>סעיפים 382(א)</w:t>
        </w:r>
      </w:hyperlink>
      <w:r w:rsidRPr="004F123A">
        <w:rPr>
          <w:rFonts w:hint="cs"/>
          <w:spacing w:val="22"/>
          <w:rtl/>
        </w:rPr>
        <w:t xml:space="preserve"> ו </w:t>
      </w:r>
      <w:r w:rsidRPr="004F123A">
        <w:rPr>
          <w:spacing w:val="22"/>
          <w:rtl/>
        </w:rPr>
        <w:t>–</w:t>
      </w:r>
      <w:r w:rsidRPr="004F123A">
        <w:rPr>
          <w:rFonts w:hint="cs"/>
          <w:spacing w:val="22"/>
          <w:rtl/>
        </w:rPr>
        <w:t xml:space="preserve"> </w:t>
      </w:r>
      <w:hyperlink r:id="rId13" w:history="1">
        <w:r w:rsidR="00962412" w:rsidRPr="00962412">
          <w:rPr>
            <w:color w:val="0000FF"/>
            <w:spacing w:val="22"/>
            <w:u w:val="single"/>
            <w:rtl/>
          </w:rPr>
          <w:t>144ו(א)</w:t>
        </w:r>
      </w:hyperlink>
      <w:r w:rsidRPr="004F123A">
        <w:rPr>
          <w:rFonts w:hint="cs"/>
          <w:spacing w:val="22"/>
          <w:rtl/>
        </w:rPr>
        <w:t xml:space="preserve"> ל</w:t>
      </w:r>
      <w:hyperlink r:id="rId14" w:history="1">
        <w:r w:rsidR="00C66100" w:rsidRPr="00C66100">
          <w:rPr>
            <w:color w:val="0000FF"/>
            <w:spacing w:val="22"/>
            <w:u w:val="single"/>
            <w:rtl/>
          </w:rPr>
          <w:t>חוק העונשין</w:t>
        </w:r>
      </w:hyperlink>
      <w:r w:rsidRPr="004F123A">
        <w:rPr>
          <w:rFonts w:hint="cs"/>
          <w:spacing w:val="22"/>
          <w:rtl/>
        </w:rPr>
        <w:t xml:space="preserve">. </w:t>
      </w:r>
    </w:p>
    <w:p w14:paraId="46E84C55" w14:textId="77777777" w:rsidR="00FB5A4A" w:rsidRPr="004F123A" w:rsidRDefault="00FB5A4A" w:rsidP="00FB5A4A">
      <w:pPr>
        <w:spacing w:line="360" w:lineRule="auto"/>
        <w:jc w:val="both"/>
        <w:rPr>
          <w:spacing w:val="22"/>
          <w:rtl/>
        </w:rPr>
      </w:pPr>
    </w:p>
    <w:p w14:paraId="58C52BFA" w14:textId="77777777" w:rsidR="00FB5A4A" w:rsidRPr="004F123A" w:rsidRDefault="00FB5A4A" w:rsidP="00FB5A4A">
      <w:pPr>
        <w:spacing w:line="360" w:lineRule="auto"/>
        <w:jc w:val="both"/>
        <w:rPr>
          <w:spacing w:val="22"/>
          <w:rtl/>
        </w:rPr>
      </w:pPr>
      <w:r w:rsidRPr="004F123A">
        <w:rPr>
          <w:rFonts w:hint="cs"/>
          <w:spacing w:val="22"/>
          <w:rtl/>
        </w:rPr>
        <w:t>2.</w:t>
      </w:r>
      <w:r w:rsidRPr="004F123A">
        <w:rPr>
          <w:rFonts w:hint="cs"/>
          <w:spacing w:val="22"/>
          <w:rtl/>
        </w:rPr>
        <w:tab/>
        <w:t>ואלה המעשים: מדובר באירוע שהתרחש ביום 30/12/17. בשעה 04:20, שני המתלוננים</w:t>
      </w:r>
      <w:r>
        <w:rPr>
          <w:rFonts w:hint="cs"/>
          <w:spacing w:val="22"/>
          <w:rtl/>
        </w:rPr>
        <w:t>,</w:t>
      </w:r>
      <w:r w:rsidRPr="004F123A">
        <w:rPr>
          <w:rFonts w:hint="cs"/>
          <w:spacing w:val="22"/>
          <w:rtl/>
        </w:rPr>
        <w:t xml:space="preserve"> ש' ו </w:t>
      </w:r>
      <w:r w:rsidRPr="004F123A">
        <w:rPr>
          <w:spacing w:val="22"/>
          <w:rtl/>
        </w:rPr>
        <w:t>–</w:t>
      </w:r>
      <w:r w:rsidRPr="004F123A">
        <w:rPr>
          <w:rFonts w:hint="cs"/>
          <w:spacing w:val="22"/>
          <w:rtl/>
        </w:rPr>
        <w:t xml:space="preserve"> פ', צעירים בעלי חזות חרדית, </w:t>
      </w:r>
      <w:r>
        <w:rPr>
          <w:rFonts w:hint="cs"/>
          <w:spacing w:val="22"/>
          <w:rtl/>
        </w:rPr>
        <w:t xml:space="preserve">צעדו </w:t>
      </w:r>
      <w:r w:rsidRPr="004F123A">
        <w:rPr>
          <w:rFonts w:hint="cs"/>
          <w:spacing w:val="22"/>
          <w:rtl/>
        </w:rPr>
        <w:t xml:space="preserve">במורד הדרך בסילוואן, בדרכם לטבול במעיין השילוח. באותה עת, ישב הנאשם, ביחד עם אחר, </w:t>
      </w:r>
      <w:r>
        <w:rPr>
          <w:rFonts w:hint="cs"/>
          <w:spacing w:val="22"/>
          <w:rtl/>
        </w:rPr>
        <w:t>בסמוך</w:t>
      </w:r>
      <w:r w:rsidRPr="004F123A">
        <w:rPr>
          <w:rFonts w:hint="cs"/>
          <w:spacing w:val="22"/>
          <w:rtl/>
        </w:rPr>
        <w:t xml:space="preserve"> והשניים עישנו נרגילה. כאשר הבחינו במתלוננים, האחר קם</w:t>
      </w:r>
      <w:r>
        <w:rPr>
          <w:rFonts w:hint="cs"/>
          <w:spacing w:val="22"/>
          <w:rtl/>
        </w:rPr>
        <w:t>, ו</w:t>
      </w:r>
      <w:r w:rsidRPr="004F123A">
        <w:rPr>
          <w:rFonts w:hint="cs"/>
          <w:spacing w:val="22"/>
          <w:rtl/>
        </w:rPr>
        <w:t xml:space="preserve">התקרב אליהם והיכה את פ' בראשו. המתלוננים נמלטו מהמקום והתחבאו זמן מה במרחק. לאחר מכן המשיכו בדרכם למעיין. כמחצית השעה לאחר מכן, לאחר שהמתלוננים סיימו את הטבילה, </w:t>
      </w:r>
      <w:r>
        <w:rPr>
          <w:rFonts w:hint="cs"/>
          <w:spacing w:val="22"/>
          <w:rtl/>
        </w:rPr>
        <w:t xml:space="preserve">הם </w:t>
      </w:r>
      <w:r w:rsidRPr="004F123A">
        <w:rPr>
          <w:rFonts w:hint="cs"/>
          <w:spacing w:val="22"/>
          <w:rtl/>
        </w:rPr>
        <w:t xml:space="preserve">עשו דרכם חזרה לכותל. באותה עת ישבו הנאשם והאחר במעלה </w:t>
      </w:r>
      <w:r>
        <w:rPr>
          <w:rFonts w:hint="cs"/>
          <w:spacing w:val="22"/>
          <w:rtl/>
        </w:rPr>
        <w:t>ה</w:t>
      </w:r>
      <w:r w:rsidRPr="004F123A">
        <w:rPr>
          <w:rFonts w:hint="cs"/>
          <w:spacing w:val="22"/>
          <w:rtl/>
        </w:rPr>
        <w:t>רחוב</w:t>
      </w:r>
      <w:r>
        <w:rPr>
          <w:rFonts w:hint="cs"/>
          <w:spacing w:val="22"/>
          <w:rtl/>
        </w:rPr>
        <w:t>.</w:t>
      </w:r>
      <w:r w:rsidRPr="004F123A">
        <w:rPr>
          <w:rFonts w:hint="cs"/>
          <w:spacing w:val="22"/>
          <w:rtl/>
        </w:rPr>
        <w:t xml:space="preserve"> כאשר הבחינו הנאשמים במתלוננים פעם נוספת, התקרבו אליהם, האחר חסם את דרכם, הנאשם נעמד מאחוריהם. בתחילה</w:t>
      </w:r>
      <w:r>
        <w:rPr>
          <w:rFonts w:hint="cs"/>
          <w:spacing w:val="22"/>
          <w:rtl/>
        </w:rPr>
        <w:t>,</w:t>
      </w:r>
      <w:r w:rsidRPr="004F123A">
        <w:rPr>
          <w:rFonts w:hint="cs"/>
          <w:spacing w:val="22"/>
          <w:rtl/>
        </w:rPr>
        <w:t xml:space="preserve"> האחר ניגש אל המתלוננים ושאל אותם אודות הפאות שבצידי ראשם. לאחר מכן אחז האחר בפאתו השמאלית של פ' ובפאתו הימנית של ש' וקשר אותן זו לזו, חרף בקשתם של המתלוננים שלא יעשו כן בשל האיסור הדתי להתיר קשרים בשבת. בהמשך, החל האחר לדבר בגנות ראש הממשלה, המשטרה ומדינת ישראל ואילץ את המתלוננים לחזור על דבריו, תוך שהנאשם מתרגם למתלוננים את דברי האחר. כמו כן, דיברו הנאשם והאחר בזכות ארגון החמאס ודרשו מהמתלוננים לחזור על דבריהם. בשלב מסוים, אמר הנאשם למתלוננים כי בכוונתם לחטוף אותם והחל לגרור את פ' למורד הרחוב. האחר תפס את ש' והחל גורר אותו, אולם הם נעצרו עד מהרה. בשלב זה, הנאשם והאחר אילצו את המתלוננים לחזור אחריהם ב</w:t>
      </w:r>
      <w:r>
        <w:rPr>
          <w:rFonts w:hint="cs"/>
          <w:spacing w:val="22"/>
          <w:rtl/>
        </w:rPr>
        <w:t>שפה ה</w:t>
      </w:r>
      <w:r w:rsidRPr="004F123A">
        <w:rPr>
          <w:rFonts w:hint="cs"/>
          <w:spacing w:val="22"/>
          <w:rtl/>
        </w:rPr>
        <w:t xml:space="preserve">ערבית על מילים מתוך הצהרת האמונה האיסלאמית ("השאהדה"), תוך שהאחר חובט באגרופו בחזה של ש'. לאחר מכן תפס הנאשם את פ' בצווארו ואילץ אותו לנשק את ידיו ואת ידיו של האחר וכך עשה גם האחר לש'. לאורך המעשים הללו, שנמשכו מספר דקות, הנאשם בעט במתלוננים, תוך כדי שהוא מתעד את דבריו ומעשיו במכשיר הטלפון שלו. </w:t>
      </w:r>
    </w:p>
    <w:p w14:paraId="1F34F129" w14:textId="77777777" w:rsidR="00FB5A4A" w:rsidRPr="004F123A" w:rsidRDefault="00FB5A4A" w:rsidP="00FB5A4A">
      <w:pPr>
        <w:spacing w:line="360" w:lineRule="auto"/>
        <w:jc w:val="both"/>
        <w:rPr>
          <w:spacing w:val="22"/>
          <w:rtl/>
        </w:rPr>
      </w:pPr>
    </w:p>
    <w:p w14:paraId="4D14757B" w14:textId="77777777" w:rsidR="00FB5A4A" w:rsidRPr="004F123A" w:rsidRDefault="00FB5A4A" w:rsidP="00FB5A4A">
      <w:pPr>
        <w:spacing w:line="360" w:lineRule="auto"/>
        <w:jc w:val="both"/>
        <w:rPr>
          <w:spacing w:val="22"/>
          <w:rtl/>
        </w:rPr>
      </w:pPr>
      <w:r w:rsidRPr="004F123A">
        <w:rPr>
          <w:rFonts w:hint="cs"/>
          <w:spacing w:val="22"/>
          <w:rtl/>
        </w:rPr>
        <w:t>2.</w:t>
      </w:r>
      <w:r w:rsidRPr="004F123A">
        <w:rPr>
          <w:rFonts w:hint="cs"/>
          <w:spacing w:val="22"/>
          <w:rtl/>
        </w:rPr>
        <w:tab/>
        <w:t xml:space="preserve">הנאשם הנו כבן 19 ואין בעברו הרשעות קודמות. </w:t>
      </w:r>
    </w:p>
    <w:p w14:paraId="24EBC361" w14:textId="77777777" w:rsidR="00FB5A4A" w:rsidRPr="004F123A" w:rsidRDefault="00FB5A4A" w:rsidP="00FB5A4A">
      <w:pPr>
        <w:spacing w:line="360" w:lineRule="auto"/>
        <w:jc w:val="both"/>
        <w:rPr>
          <w:spacing w:val="22"/>
          <w:rtl/>
        </w:rPr>
      </w:pPr>
    </w:p>
    <w:p w14:paraId="03B335F6" w14:textId="77777777" w:rsidR="00FB5A4A" w:rsidRPr="004F123A" w:rsidRDefault="00FB5A4A" w:rsidP="00FB5A4A">
      <w:pPr>
        <w:spacing w:line="360" w:lineRule="auto"/>
        <w:jc w:val="both"/>
        <w:rPr>
          <w:spacing w:val="22"/>
          <w:rtl/>
        </w:rPr>
      </w:pPr>
      <w:r w:rsidRPr="004F123A">
        <w:rPr>
          <w:rFonts w:hint="cs"/>
          <w:spacing w:val="22"/>
          <w:rtl/>
        </w:rPr>
        <w:t>3.</w:t>
      </w:r>
      <w:r w:rsidRPr="004F123A">
        <w:rPr>
          <w:rFonts w:hint="cs"/>
          <w:spacing w:val="22"/>
          <w:rtl/>
        </w:rPr>
        <w:tab/>
      </w:r>
      <w:r w:rsidRPr="004F123A">
        <w:rPr>
          <w:rFonts w:hint="cs"/>
          <w:b/>
          <w:bCs/>
          <w:spacing w:val="22"/>
          <w:rtl/>
        </w:rPr>
        <w:t>מתסקיר שירות המבחן</w:t>
      </w:r>
      <w:r w:rsidRPr="004F123A">
        <w:rPr>
          <w:rFonts w:hint="cs"/>
          <w:spacing w:val="22"/>
          <w:rtl/>
        </w:rPr>
        <w:t xml:space="preserve"> שניתן בעניינו</w:t>
      </w:r>
      <w:r>
        <w:rPr>
          <w:rFonts w:hint="cs"/>
          <w:spacing w:val="22"/>
          <w:rtl/>
        </w:rPr>
        <w:t xml:space="preserve"> של הנאשם</w:t>
      </w:r>
      <w:r w:rsidRPr="004F123A">
        <w:rPr>
          <w:rFonts w:hint="cs"/>
          <w:spacing w:val="22"/>
          <w:rtl/>
        </w:rPr>
        <w:t xml:space="preserve">, עולה כי הנאשם עבד כמכונאי, למד בבית ספר 10 שנות לימוד, והוא נשר מלימודיו עקב הקשיים הכלכליים של המשפחה. למשפחתו קשיים כלכליים. לפני שירות המבחן הנאשם לא הודה בעבירה ובמעשיו, לא קיבל אחריות וטען כי אך היה במקום והאחר הוא </w:t>
      </w:r>
      <w:r w:rsidRPr="004F123A">
        <w:rPr>
          <w:rFonts w:hint="cs"/>
          <w:spacing w:val="22"/>
          <w:rtl/>
        </w:rPr>
        <w:lastRenderedPageBreak/>
        <w:t xml:space="preserve">זה שביצע את המעשים. שירות המבחן המליץ על הפניית הנאשם לממונה על עבודות שירות לצורך בדיקת התאמתו לצורך ביצוע עונש המאסר בעבודות שירות. </w:t>
      </w:r>
    </w:p>
    <w:p w14:paraId="0D29CA0E" w14:textId="77777777" w:rsidR="00FB5A4A" w:rsidRPr="004F123A" w:rsidRDefault="00FB5A4A" w:rsidP="00FB5A4A">
      <w:pPr>
        <w:spacing w:line="360" w:lineRule="auto"/>
        <w:jc w:val="both"/>
        <w:rPr>
          <w:spacing w:val="22"/>
          <w:rtl/>
        </w:rPr>
      </w:pPr>
      <w:r w:rsidRPr="004F123A">
        <w:rPr>
          <w:spacing w:val="22"/>
          <w:rtl/>
        </w:rPr>
        <w:tab/>
      </w:r>
    </w:p>
    <w:p w14:paraId="17392A98" w14:textId="77777777" w:rsidR="00FB5A4A" w:rsidRPr="004F123A" w:rsidRDefault="00FB5A4A" w:rsidP="00FB5A4A">
      <w:pPr>
        <w:spacing w:line="360" w:lineRule="auto"/>
        <w:jc w:val="both"/>
        <w:rPr>
          <w:spacing w:val="22"/>
          <w:rtl/>
        </w:rPr>
      </w:pPr>
      <w:r w:rsidRPr="004F123A">
        <w:rPr>
          <w:rFonts w:hint="cs"/>
          <w:spacing w:val="22"/>
          <w:rtl/>
        </w:rPr>
        <w:t>4.</w:t>
      </w:r>
      <w:r w:rsidRPr="004F123A">
        <w:rPr>
          <w:rFonts w:hint="cs"/>
          <w:spacing w:val="22"/>
          <w:rtl/>
        </w:rPr>
        <w:tab/>
        <w:t xml:space="preserve">כמו כן הוגשה </w:t>
      </w:r>
      <w:r w:rsidRPr="004F123A">
        <w:rPr>
          <w:rFonts w:hint="cs"/>
          <w:b/>
          <w:bCs/>
          <w:spacing w:val="22"/>
          <w:rtl/>
        </w:rPr>
        <w:t>הצהרת נפגע עבירה</w:t>
      </w:r>
      <w:r w:rsidRPr="004F123A">
        <w:rPr>
          <w:rFonts w:hint="cs"/>
          <w:spacing w:val="22"/>
          <w:rtl/>
        </w:rPr>
        <w:t xml:space="preserve"> מטעם ש'. בהצהרה מפורט כי המתלוננים הנם אחים </w:t>
      </w:r>
      <w:r w:rsidRPr="004F123A">
        <w:rPr>
          <w:spacing w:val="22"/>
          <w:rtl/>
        </w:rPr>
        <w:t>–</w:t>
      </w:r>
      <w:r w:rsidRPr="004F123A">
        <w:rPr>
          <w:rFonts w:hint="cs"/>
          <w:spacing w:val="22"/>
          <w:rtl/>
        </w:rPr>
        <w:t xml:space="preserve"> תאומים, הם היו בדרכם לטבול במעיין השילוח לפני תפילת שחרית בשבת, במניין ותיקין בכותל. הנאשם וחברו התעללו בו ובאחיו, התעללות גשמית ורוחנית גם יחד, קשרו פאותיהם זה לזה ולא שעו לתחנוניהם כי לא יוכלו להתיר את הקשר בשל קדושת השבת. בא פירו</w:t>
      </w:r>
      <w:r>
        <w:rPr>
          <w:rFonts w:hint="cs"/>
          <w:spacing w:val="22"/>
          <w:rtl/>
        </w:rPr>
        <w:t>ט של המעשים שנעשו בהם ו</w:t>
      </w:r>
      <w:r w:rsidRPr="004F123A">
        <w:rPr>
          <w:rFonts w:hint="cs"/>
          <w:spacing w:val="22"/>
          <w:rtl/>
        </w:rPr>
        <w:t>המתלונן מציין כי לו היה מבין את הדברים שנאלץ לומר, לא היה מעלה מילים אלה לעולם על סף שפתותיו, דברים שיש למסור את הנפש על קדוש השם. למעשה</w:t>
      </w:r>
      <w:r>
        <w:rPr>
          <w:rFonts w:hint="cs"/>
          <w:spacing w:val="22"/>
          <w:rtl/>
        </w:rPr>
        <w:t>,</w:t>
      </w:r>
      <w:r w:rsidRPr="004F123A">
        <w:rPr>
          <w:rFonts w:hint="cs"/>
          <w:spacing w:val="22"/>
          <w:rtl/>
        </w:rPr>
        <w:t xml:space="preserve"> כפו עליהם באלימות לבגוד באל ובתורת משה. פורטה תחושת הפחד, חוסר האונים, כאב והשפלה, כל זאת כאשר היו בדרכם לתפילה. נגרמה לו ולאחיו טראומה קשה הנמשכת עד היום, לרבות תחושת הכפירה העמוקה בשל כפירה באמונתו והוא אינו יודע כיצד לכפר על חטא זה (הכוונה לשבועת העדות)</w:t>
      </w:r>
    </w:p>
    <w:p w14:paraId="0723C2D8" w14:textId="77777777" w:rsidR="00FB5A4A" w:rsidRPr="004F123A" w:rsidRDefault="00FB5A4A" w:rsidP="00FB5A4A">
      <w:pPr>
        <w:spacing w:line="360" w:lineRule="auto"/>
        <w:jc w:val="both"/>
        <w:rPr>
          <w:spacing w:val="22"/>
          <w:rtl/>
        </w:rPr>
      </w:pPr>
    </w:p>
    <w:p w14:paraId="01F67FBC" w14:textId="77777777" w:rsidR="00FB5A4A" w:rsidRPr="004F123A" w:rsidRDefault="00FB5A4A" w:rsidP="00FB5A4A">
      <w:pPr>
        <w:spacing w:line="360" w:lineRule="auto"/>
        <w:jc w:val="both"/>
        <w:rPr>
          <w:spacing w:val="22"/>
          <w:rtl/>
        </w:rPr>
      </w:pPr>
      <w:r>
        <w:rPr>
          <w:rFonts w:hint="cs"/>
          <w:spacing w:val="22"/>
          <w:rtl/>
        </w:rPr>
        <w:t>5</w:t>
      </w:r>
      <w:r w:rsidRPr="004F123A">
        <w:rPr>
          <w:rFonts w:hint="cs"/>
          <w:spacing w:val="22"/>
          <w:rtl/>
        </w:rPr>
        <w:t>.</w:t>
      </w:r>
      <w:r w:rsidRPr="004F123A">
        <w:rPr>
          <w:rFonts w:hint="cs"/>
          <w:spacing w:val="22"/>
          <w:rtl/>
        </w:rPr>
        <w:tab/>
      </w:r>
      <w:r w:rsidRPr="004F123A">
        <w:rPr>
          <w:rFonts w:hint="cs"/>
          <w:b/>
          <w:bCs/>
          <w:spacing w:val="22"/>
          <w:rtl/>
        </w:rPr>
        <w:t>ב"כ המאשימה</w:t>
      </w:r>
      <w:r w:rsidRPr="004F123A">
        <w:rPr>
          <w:rFonts w:hint="cs"/>
          <w:spacing w:val="22"/>
          <w:rtl/>
        </w:rPr>
        <w:t>, במסגרת הטיעונים לעונש, לא חלקה על כך שהאחר היה אכן דומיננטי בביצוע המעשים, אך הנאשם היה פעיל מלא ואף יזם חלק מהמעשים. השלב השני של המעשים בוצע בצוותא חדא בשותפות מלאה של הנאשם, המעשים נעשו בשל מראם החרדי של המתלוננים ממניע גזעני מתוך כוונה לתקוף ולהשפיל. מדובר במעשים שנמשכו על פני מספר דקות וניתן היה להפסיקם</w:t>
      </w:r>
      <w:r>
        <w:rPr>
          <w:rFonts w:hint="cs"/>
          <w:spacing w:val="22"/>
          <w:rtl/>
        </w:rPr>
        <w:t>.</w:t>
      </w:r>
      <w:r w:rsidRPr="004F123A">
        <w:rPr>
          <w:rFonts w:hint="cs"/>
          <w:spacing w:val="22"/>
          <w:rtl/>
        </w:rPr>
        <w:t xml:space="preserve"> אמנם לא מדובר בתקיפה פיזית של חבלות ברף הגבוה, אך מדובר בתקיפה פיזית משפילה ומבזה כנגד דתם ואמונתם של המתלוננים. מדובר בפגיעה נפשית ורוחנית</w:t>
      </w:r>
      <w:r>
        <w:rPr>
          <w:rFonts w:hint="cs"/>
          <w:spacing w:val="22"/>
          <w:rtl/>
        </w:rPr>
        <w:t>,</w:t>
      </w:r>
      <w:r w:rsidRPr="004F123A">
        <w:rPr>
          <w:rFonts w:hint="cs"/>
          <w:spacing w:val="22"/>
          <w:rtl/>
        </w:rPr>
        <w:t xml:space="preserve"> במיוחד לאור כך שהנאשם והאחר כפו על המתלוננים לומר דברים שיש בהם משום המרת דת, שעה שהמתלוננים חזרו על הדברים מתוך חוסר הבנתם. נטען, באשר למדיניות הענישה, כי בכל הנוגע למעשי אלימות על רקע לאומני וגזעני יש להורות על מאסר בפועל, ובאה הפנייה לפסקי דין שעסקו בכך. נטען כי המתחם הראוי הנו 15 עד 30 חודשי מאסר והעונש הראוי לנאשם הנו בשליש התחתון של המתחם, אך לא בחלקו התחתון וכן לגזור קנס ומאסר על תנאי. </w:t>
      </w:r>
    </w:p>
    <w:p w14:paraId="688F09AA" w14:textId="77777777" w:rsidR="00FB5A4A" w:rsidRPr="004F123A" w:rsidRDefault="00FB5A4A" w:rsidP="00FB5A4A">
      <w:pPr>
        <w:spacing w:line="360" w:lineRule="auto"/>
        <w:jc w:val="both"/>
        <w:rPr>
          <w:spacing w:val="22"/>
          <w:rtl/>
        </w:rPr>
      </w:pPr>
    </w:p>
    <w:p w14:paraId="5272ABB5" w14:textId="77777777" w:rsidR="00FB5A4A" w:rsidRPr="004F123A" w:rsidRDefault="00FB5A4A" w:rsidP="00FB5A4A">
      <w:pPr>
        <w:spacing w:line="360" w:lineRule="auto"/>
        <w:jc w:val="both"/>
        <w:rPr>
          <w:spacing w:val="22"/>
          <w:rtl/>
        </w:rPr>
      </w:pPr>
      <w:r>
        <w:rPr>
          <w:rFonts w:hint="cs"/>
          <w:spacing w:val="22"/>
          <w:rtl/>
        </w:rPr>
        <w:t>6</w:t>
      </w:r>
      <w:r w:rsidRPr="004F123A">
        <w:rPr>
          <w:rFonts w:hint="cs"/>
          <w:spacing w:val="22"/>
          <w:rtl/>
        </w:rPr>
        <w:t>.</w:t>
      </w:r>
      <w:r w:rsidRPr="004F123A">
        <w:rPr>
          <w:spacing w:val="22"/>
          <w:rtl/>
        </w:rPr>
        <w:tab/>
      </w:r>
      <w:r w:rsidRPr="004F123A">
        <w:rPr>
          <w:rFonts w:hint="cs"/>
          <w:b/>
          <w:bCs/>
          <w:spacing w:val="22"/>
          <w:rtl/>
        </w:rPr>
        <w:t>הסנגור</w:t>
      </w:r>
      <w:r w:rsidRPr="004F123A">
        <w:rPr>
          <w:rFonts w:hint="cs"/>
          <w:spacing w:val="22"/>
          <w:rtl/>
        </w:rPr>
        <w:t xml:space="preserve"> לא התכחש לכך שמדובר במעשים מכוערים, אך הודגש כי החלק העיקרי נופל על כתפי האחר. הנאשם הנו צעיר ללא עבר פלילי. הוסבר כי הנאשם אמר את אשר אמר לשירות המבחן כנראה בשל חלקו המזערי באירוע. מדובר בנאשם שאין לו דפוסי התנהגות עברייניים אלא בבחור נורמטיבי. על אף שהנאשם לא הודה לפני שירות המבחן במעשיו, שירות המבחן המליץ אך </w:t>
      </w:r>
      <w:r>
        <w:rPr>
          <w:rFonts w:hint="cs"/>
          <w:spacing w:val="22"/>
          <w:rtl/>
        </w:rPr>
        <w:t xml:space="preserve">על </w:t>
      </w:r>
      <w:r w:rsidRPr="004F123A">
        <w:rPr>
          <w:rFonts w:hint="cs"/>
          <w:spacing w:val="22"/>
          <w:rtl/>
        </w:rPr>
        <w:t xml:space="preserve">מאסר בעבודות שירות, לא נגרמו חבלות או נזקים למתלוננים וניתן להסתפק בעונש של מאסר מותנה לצד של"צ ועבודות שירות. זאת בנוסף לכך שהנאשם שהה כבר במעצר במשך כ </w:t>
      </w:r>
      <w:r w:rsidRPr="004F123A">
        <w:rPr>
          <w:spacing w:val="22"/>
          <w:rtl/>
        </w:rPr>
        <w:t>–</w:t>
      </w:r>
      <w:r w:rsidRPr="004F123A">
        <w:rPr>
          <w:rFonts w:hint="cs"/>
          <w:spacing w:val="22"/>
          <w:rtl/>
        </w:rPr>
        <w:t xml:space="preserve"> 40 ימים ומאז הוא מתגורר באילת. </w:t>
      </w:r>
    </w:p>
    <w:p w14:paraId="14320D48" w14:textId="77777777" w:rsidR="00FB5A4A" w:rsidRPr="004F123A" w:rsidRDefault="00FB5A4A" w:rsidP="00FB5A4A">
      <w:pPr>
        <w:spacing w:line="360" w:lineRule="auto"/>
        <w:jc w:val="both"/>
        <w:rPr>
          <w:spacing w:val="22"/>
          <w:rtl/>
        </w:rPr>
      </w:pPr>
      <w:r w:rsidRPr="004F123A">
        <w:rPr>
          <w:spacing w:val="22"/>
          <w:rtl/>
        </w:rPr>
        <w:tab/>
      </w:r>
      <w:r w:rsidRPr="004F123A">
        <w:rPr>
          <w:rFonts w:hint="cs"/>
          <w:b/>
          <w:bCs/>
          <w:spacing w:val="22"/>
          <w:rtl/>
        </w:rPr>
        <w:t xml:space="preserve">הנאשם, </w:t>
      </w:r>
      <w:r w:rsidRPr="004F123A">
        <w:rPr>
          <w:rFonts w:hint="cs"/>
          <w:spacing w:val="22"/>
          <w:rtl/>
        </w:rPr>
        <w:t xml:space="preserve">בדבריו, הוסיף כי הוא מצטער, טען כי היה באירוע אך לא עשה דבר, הוא מצטער על נוכחותו במקום והוא מבקש להמשיך בחייו.  </w:t>
      </w:r>
    </w:p>
    <w:p w14:paraId="5F34446B" w14:textId="77777777" w:rsidR="00FB5A4A" w:rsidRPr="004F123A" w:rsidRDefault="00FB5A4A" w:rsidP="00FB5A4A">
      <w:pPr>
        <w:spacing w:line="360" w:lineRule="auto"/>
        <w:jc w:val="both"/>
        <w:rPr>
          <w:spacing w:val="22"/>
          <w:rtl/>
        </w:rPr>
      </w:pPr>
    </w:p>
    <w:p w14:paraId="73319EBA" w14:textId="77777777" w:rsidR="00FB5A4A" w:rsidRPr="004F123A" w:rsidRDefault="00FB5A4A" w:rsidP="00FB5A4A">
      <w:pPr>
        <w:spacing w:line="360" w:lineRule="auto"/>
        <w:jc w:val="both"/>
        <w:rPr>
          <w:spacing w:val="22"/>
          <w:rtl/>
        </w:rPr>
      </w:pPr>
    </w:p>
    <w:p w14:paraId="51A327F3" w14:textId="77777777" w:rsidR="00FB5A4A" w:rsidRPr="004F123A" w:rsidRDefault="00FB5A4A" w:rsidP="00FB5A4A">
      <w:pPr>
        <w:spacing w:line="360" w:lineRule="auto"/>
        <w:jc w:val="both"/>
        <w:rPr>
          <w:b/>
          <w:bCs/>
          <w:spacing w:val="22"/>
          <w:rtl/>
        </w:rPr>
      </w:pPr>
      <w:r w:rsidRPr="004F123A">
        <w:rPr>
          <w:spacing w:val="22"/>
          <w:rtl/>
        </w:rPr>
        <w:tab/>
      </w:r>
      <w:r w:rsidRPr="004F123A">
        <w:rPr>
          <w:rFonts w:hint="cs"/>
          <w:b/>
          <w:bCs/>
          <w:spacing w:val="22"/>
          <w:rtl/>
        </w:rPr>
        <w:t>דיון ומסקנות</w:t>
      </w:r>
    </w:p>
    <w:p w14:paraId="7B408225" w14:textId="77777777" w:rsidR="00FB5A4A" w:rsidRPr="004F123A" w:rsidRDefault="00FB5A4A" w:rsidP="00FB5A4A">
      <w:pPr>
        <w:spacing w:line="360" w:lineRule="auto"/>
        <w:jc w:val="both"/>
        <w:rPr>
          <w:spacing w:val="22"/>
        </w:rPr>
      </w:pPr>
      <w:r>
        <w:rPr>
          <w:rFonts w:hint="cs"/>
          <w:spacing w:val="22"/>
          <w:rtl/>
        </w:rPr>
        <w:t>7</w:t>
      </w:r>
      <w:r w:rsidRPr="004F123A">
        <w:rPr>
          <w:rFonts w:hint="cs"/>
          <w:spacing w:val="22"/>
          <w:rtl/>
        </w:rPr>
        <w:t>.</w:t>
      </w:r>
      <w:r w:rsidRPr="004F123A">
        <w:rPr>
          <w:rFonts w:hint="cs"/>
          <w:spacing w:val="22"/>
          <w:rtl/>
        </w:rPr>
        <w:tab/>
        <w:t xml:space="preserve">הכלל הוא כי העיקרון המנחה בענישה הנו קיומו של יחס הולם בין חומרת מעשה העבירה בנסיבותיו ומידת אשמו של הנאשם ובין סוג ומידת העונש המוטל עליו, זאת כאמור בהוראות </w:t>
      </w:r>
      <w:hyperlink r:id="rId15" w:history="1">
        <w:r w:rsidR="00962412" w:rsidRPr="00962412">
          <w:rPr>
            <w:color w:val="0000FF"/>
            <w:spacing w:val="22"/>
            <w:u w:val="single"/>
            <w:rtl/>
          </w:rPr>
          <w:t>סעיף 40ב'</w:t>
        </w:r>
      </w:hyperlink>
      <w:r w:rsidRPr="004F123A">
        <w:rPr>
          <w:rFonts w:hint="cs"/>
          <w:spacing w:val="22"/>
          <w:rtl/>
        </w:rPr>
        <w:t xml:space="preserve"> ל</w:t>
      </w:r>
      <w:hyperlink r:id="rId16" w:history="1">
        <w:r w:rsidR="00C66100" w:rsidRPr="00C66100">
          <w:rPr>
            <w:color w:val="0000FF"/>
            <w:spacing w:val="22"/>
            <w:u w:val="single"/>
            <w:rtl/>
          </w:rPr>
          <w:t>חוק העונשין</w:t>
        </w:r>
      </w:hyperlink>
      <w:r w:rsidRPr="004F123A">
        <w:rPr>
          <w:rFonts w:hint="cs"/>
          <w:spacing w:val="22"/>
          <w:rtl/>
        </w:rPr>
        <w:t>. בשלב קביעת מתחם העונש ההולם למעשה העבירה, בהתאם לעקרון ההלימה, יש להתחשב בערך החברתי שנפגע מביצוע העבירה, במידת הפגיעה בו, במדיניות הענישה הנהוגה ובנסיבות הקשורות בביצוע העבירה (הנסיבות המפורטות ב</w:t>
      </w:r>
      <w:hyperlink r:id="rId17" w:history="1">
        <w:r w:rsidR="00962412" w:rsidRPr="00962412">
          <w:rPr>
            <w:color w:val="0000FF"/>
            <w:spacing w:val="22"/>
            <w:u w:val="single"/>
            <w:rtl/>
          </w:rPr>
          <w:t>סעיף 40 ט'</w:t>
        </w:r>
      </w:hyperlink>
      <w:r w:rsidRPr="004F123A">
        <w:rPr>
          <w:rFonts w:hint="cs"/>
          <w:spacing w:val="22"/>
          <w:rtl/>
        </w:rPr>
        <w:t xml:space="preserve"> לחוק). בתוך המתחם יש לגזור העונש גם בהתחשב בנסיבות שאינן קשורות בביצוע העבירה. </w:t>
      </w:r>
    </w:p>
    <w:p w14:paraId="74CDC2B8" w14:textId="77777777" w:rsidR="00FB5A4A" w:rsidRPr="004F123A" w:rsidRDefault="00FB5A4A" w:rsidP="00FB5A4A">
      <w:pPr>
        <w:spacing w:line="360" w:lineRule="auto"/>
        <w:jc w:val="both"/>
        <w:rPr>
          <w:spacing w:val="22"/>
          <w:rtl/>
        </w:rPr>
      </w:pPr>
      <w:r w:rsidRPr="004F123A">
        <w:rPr>
          <w:rFonts w:hint="cs"/>
          <w:spacing w:val="22"/>
          <w:rtl/>
        </w:rPr>
        <w:tab/>
        <w:t>הנאשם פגע בערך החברתי של שלמות גופ</w:t>
      </w:r>
      <w:r>
        <w:rPr>
          <w:rFonts w:hint="cs"/>
          <w:spacing w:val="22"/>
          <w:rtl/>
        </w:rPr>
        <w:t xml:space="preserve">ם ונפשם של המתלוננים, בעיקר באספקט הרוחני-דתי ומידת הפגיעה הנה גדולה </w:t>
      </w:r>
      <w:r w:rsidRPr="004F123A">
        <w:rPr>
          <w:rFonts w:hint="cs"/>
          <w:spacing w:val="22"/>
          <w:rtl/>
        </w:rPr>
        <w:t>ומשמעותית</w:t>
      </w:r>
      <w:r>
        <w:rPr>
          <w:rFonts w:hint="cs"/>
          <w:spacing w:val="22"/>
          <w:rtl/>
        </w:rPr>
        <w:t xml:space="preserve">. </w:t>
      </w:r>
      <w:r w:rsidRPr="004F123A">
        <w:rPr>
          <w:rFonts w:hint="cs"/>
          <w:spacing w:val="22"/>
          <w:rtl/>
        </w:rPr>
        <w:t>בחינת</w:t>
      </w:r>
      <w:r>
        <w:rPr>
          <w:rFonts w:hint="cs"/>
          <w:spacing w:val="22"/>
          <w:rtl/>
        </w:rPr>
        <w:t xml:space="preserve"> </w:t>
      </w:r>
      <w:r w:rsidRPr="004F123A">
        <w:rPr>
          <w:rFonts w:hint="cs"/>
          <w:spacing w:val="22"/>
          <w:rtl/>
        </w:rPr>
        <w:t xml:space="preserve">הנסיבות מוליכה למסקנה כי הנאשם שלט במעשיו, תוך שהתעלם מהפגיעות שהסבו מעשיו. הנזקים שנגרמו הנם חמורים, בעלי השלכה גם לעתיד, הנאשם יכול היה להבין הפסול במעשיו, הבין משמעותם וההימנעות מהם הייתה תלויה בו. </w:t>
      </w:r>
    </w:p>
    <w:p w14:paraId="14B401A9" w14:textId="77777777" w:rsidR="00FB5A4A" w:rsidRPr="005E4D71" w:rsidRDefault="00FB5A4A" w:rsidP="00FB5A4A">
      <w:pPr>
        <w:spacing w:line="360" w:lineRule="auto"/>
        <w:jc w:val="both"/>
        <w:rPr>
          <w:b/>
          <w:bCs/>
          <w:spacing w:val="22"/>
          <w:sz w:val="14"/>
          <w:szCs w:val="14"/>
          <w:rtl/>
        </w:rPr>
      </w:pPr>
    </w:p>
    <w:p w14:paraId="58B06AC3" w14:textId="77777777" w:rsidR="00FB5A4A" w:rsidRDefault="00FB5A4A" w:rsidP="00FB5A4A">
      <w:pPr>
        <w:spacing w:line="360" w:lineRule="auto"/>
        <w:jc w:val="both"/>
        <w:rPr>
          <w:spacing w:val="22"/>
          <w:rtl/>
        </w:rPr>
      </w:pPr>
    </w:p>
    <w:p w14:paraId="02FCA7CA" w14:textId="77777777" w:rsidR="00FB5A4A" w:rsidRPr="004F123A" w:rsidRDefault="00FB5A4A" w:rsidP="00FB5A4A">
      <w:pPr>
        <w:spacing w:line="360" w:lineRule="auto"/>
        <w:jc w:val="both"/>
        <w:rPr>
          <w:spacing w:val="22"/>
          <w:rtl/>
        </w:rPr>
      </w:pPr>
      <w:r>
        <w:rPr>
          <w:rFonts w:hint="cs"/>
          <w:spacing w:val="22"/>
          <w:rtl/>
        </w:rPr>
        <w:t>8.</w:t>
      </w:r>
      <w:r>
        <w:rPr>
          <w:rFonts w:hint="cs"/>
          <w:spacing w:val="22"/>
          <w:rtl/>
        </w:rPr>
        <w:tab/>
      </w:r>
      <w:r w:rsidRPr="004F123A">
        <w:rPr>
          <w:rFonts w:hint="cs"/>
          <w:spacing w:val="22"/>
          <w:rtl/>
        </w:rPr>
        <w:t xml:space="preserve">עבירה לפי </w:t>
      </w:r>
      <w:hyperlink r:id="rId18" w:history="1">
        <w:r w:rsidR="00962412" w:rsidRPr="00962412">
          <w:rPr>
            <w:color w:val="0000FF"/>
            <w:spacing w:val="22"/>
            <w:u w:val="single"/>
            <w:rtl/>
          </w:rPr>
          <w:t>סעיף 382(א)</w:t>
        </w:r>
      </w:hyperlink>
      <w:r w:rsidRPr="004F123A">
        <w:rPr>
          <w:rFonts w:hint="cs"/>
          <w:spacing w:val="22"/>
          <w:rtl/>
        </w:rPr>
        <w:t xml:space="preserve"> ל</w:t>
      </w:r>
      <w:hyperlink r:id="rId19" w:history="1">
        <w:r w:rsidR="00C66100" w:rsidRPr="00C66100">
          <w:rPr>
            <w:color w:val="0000FF"/>
            <w:spacing w:val="22"/>
            <w:u w:val="single"/>
            <w:rtl/>
          </w:rPr>
          <w:t>חוק העונשין</w:t>
        </w:r>
      </w:hyperlink>
      <w:r w:rsidRPr="004F123A">
        <w:rPr>
          <w:rFonts w:hint="cs"/>
          <w:spacing w:val="22"/>
          <w:rtl/>
        </w:rPr>
        <w:t xml:space="preserve"> קובע</w:t>
      </w:r>
      <w:r>
        <w:rPr>
          <w:rFonts w:hint="cs"/>
          <w:spacing w:val="22"/>
          <w:rtl/>
        </w:rPr>
        <w:t>ת</w:t>
      </w:r>
      <w:r w:rsidRPr="004F123A">
        <w:rPr>
          <w:rFonts w:hint="cs"/>
          <w:spacing w:val="22"/>
          <w:rtl/>
        </w:rPr>
        <w:t xml:space="preserve"> כפל עונש מקום שעבירת התקיפה בוצ</w:t>
      </w:r>
      <w:r>
        <w:rPr>
          <w:rFonts w:hint="cs"/>
          <w:spacing w:val="22"/>
          <w:rtl/>
        </w:rPr>
        <w:t>ע</w:t>
      </w:r>
      <w:r w:rsidRPr="004F123A">
        <w:rPr>
          <w:rFonts w:hint="cs"/>
          <w:spacing w:val="22"/>
          <w:rtl/>
        </w:rPr>
        <w:t>ה כשהיו נוכחים שניים או יותר שחברו יחדיו לביצוע המעשה בידי אחד או אחדים מהם</w:t>
      </w:r>
      <w:r>
        <w:rPr>
          <w:rFonts w:hint="cs"/>
          <w:spacing w:val="22"/>
          <w:rtl/>
        </w:rPr>
        <w:t xml:space="preserve">. </w:t>
      </w:r>
      <w:r w:rsidRPr="004F123A">
        <w:rPr>
          <w:rFonts w:hint="cs"/>
          <w:spacing w:val="22"/>
          <w:rtl/>
        </w:rPr>
        <w:t xml:space="preserve">לכך מתווספת הוראת </w:t>
      </w:r>
      <w:hyperlink r:id="rId20" w:history="1">
        <w:r w:rsidR="00962412" w:rsidRPr="00962412">
          <w:rPr>
            <w:color w:val="0000FF"/>
            <w:spacing w:val="22"/>
            <w:u w:val="single"/>
            <w:rtl/>
          </w:rPr>
          <w:t>סעיף 144(א)</w:t>
        </w:r>
      </w:hyperlink>
      <w:r w:rsidRPr="004F123A">
        <w:rPr>
          <w:rFonts w:hint="cs"/>
          <w:spacing w:val="22"/>
          <w:rtl/>
        </w:rPr>
        <w:t xml:space="preserve"> לחוק: נסיבות של</w:t>
      </w:r>
      <w:r>
        <w:rPr>
          <w:rFonts w:hint="cs"/>
          <w:spacing w:val="22"/>
          <w:rtl/>
        </w:rPr>
        <w:t xml:space="preserve"> </w:t>
      </w:r>
      <w:r w:rsidRPr="004F123A">
        <w:rPr>
          <w:rFonts w:hint="cs"/>
          <w:spacing w:val="22"/>
          <w:rtl/>
        </w:rPr>
        <w:t xml:space="preserve">עבירת העבירה ממניע של גזענות מחמת דת. זו נקודת הפתיחה </w:t>
      </w:r>
      <w:r>
        <w:rPr>
          <w:rFonts w:hint="cs"/>
          <w:spacing w:val="22"/>
          <w:rtl/>
        </w:rPr>
        <w:t xml:space="preserve">לצורך הדיון בשאלת מתחם העונש ההולם והעונש הראוי לנאשם במתחם. </w:t>
      </w:r>
      <w:r w:rsidRPr="004F123A">
        <w:rPr>
          <w:rFonts w:hint="cs"/>
          <w:spacing w:val="22"/>
          <w:rtl/>
        </w:rPr>
        <w:t>אומנם, הרף הפיזי של מעשי הנאשם, דהיינו המעשים הפיזיים שכללו בעיטות</w:t>
      </w:r>
      <w:r>
        <w:rPr>
          <w:rFonts w:hint="cs"/>
          <w:spacing w:val="22"/>
          <w:rtl/>
        </w:rPr>
        <w:t>,</w:t>
      </w:r>
      <w:r w:rsidRPr="004F123A">
        <w:rPr>
          <w:rFonts w:hint="cs"/>
          <w:spacing w:val="22"/>
          <w:rtl/>
        </w:rPr>
        <w:t xml:space="preserve"> ומעשי האלימות שבוצעו על יד</w:t>
      </w:r>
      <w:r>
        <w:rPr>
          <w:rFonts w:hint="cs"/>
          <w:spacing w:val="22"/>
          <w:rtl/>
        </w:rPr>
        <w:t xml:space="preserve">ו ועל ידי </w:t>
      </w:r>
      <w:r w:rsidRPr="004F123A">
        <w:rPr>
          <w:rFonts w:hint="cs"/>
          <w:spacing w:val="22"/>
          <w:rtl/>
        </w:rPr>
        <w:t>שותפו, לא נמנ</w:t>
      </w:r>
      <w:r>
        <w:rPr>
          <w:rFonts w:hint="cs"/>
          <w:spacing w:val="22"/>
          <w:rtl/>
        </w:rPr>
        <w:t>ה ע</w:t>
      </w:r>
      <w:r w:rsidRPr="004F123A">
        <w:rPr>
          <w:rFonts w:hint="cs"/>
          <w:spacing w:val="22"/>
          <w:rtl/>
        </w:rPr>
        <w:t>ל הצד הגבוה של אלימות פיזית</w:t>
      </w:r>
      <w:r>
        <w:rPr>
          <w:rFonts w:hint="cs"/>
          <w:spacing w:val="22"/>
          <w:rtl/>
        </w:rPr>
        <w:t>,</w:t>
      </w:r>
      <w:r w:rsidRPr="004F123A">
        <w:rPr>
          <w:rFonts w:hint="cs"/>
          <w:spacing w:val="22"/>
          <w:rtl/>
        </w:rPr>
        <w:t xml:space="preserve"> ומעשים אלה לא הותירו חותם בצורת חבלות כאלה ואחרות</w:t>
      </w:r>
      <w:r>
        <w:rPr>
          <w:rFonts w:hint="cs"/>
          <w:spacing w:val="22"/>
          <w:rtl/>
        </w:rPr>
        <w:t xml:space="preserve"> על המתלוננים</w:t>
      </w:r>
      <w:r w:rsidRPr="004F123A">
        <w:rPr>
          <w:rFonts w:hint="cs"/>
          <w:spacing w:val="22"/>
          <w:rtl/>
        </w:rPr>
        <w:t>.</w:t>
      </w:r>
      <w:r>
        <w:rPr>
          <w:rFonts w:hint="cs"/>
          <w:spacing w:val="22"/>
          <w:rtl/>
        </w:rPr>
        <w:t xml:space="preserve"> </w:t>
      </w:r>
      <w:r w:rsidRPr="004F123A">
        <w:rPr>
          <w:rFonts w:hint="cs"/>
          <w:spacing w:val="22"/>
          <w:rtl/>
        </w:rPr>
        <w:t>אולם, המעשים האחרים</w:t>
      </w:r>
      <w:r>
        <w:rPr>
          <w:rFonts w:hint="cs"/>
          <w:spacing w:val="22"/>
          <w:rtl/>
        </w:rPr>
        <w:t>,</w:t>
      </w:r>
      <w:r w:rsidRPr="004F123A">
        <w:rPr>
          <w:rFonts w:hint="cs"/>
          <w:spacing w:val="22"/>
          <w:rtl/>
        </w:rPr>
        <w:t xml:space="preserve"> אף שאינם אלימים במהותם, חמורים פי כמה וכמה: קשירת פאה של האחד לפאתו של חברו</w:t>
      </w:r>
      <w:r>
        <w:rPr>
          <w:rFonts w:hint="cs"/>
          <w:spacing w:val="22"/>
          <w:rtl/>
        </w:rPr>
        <w:t>,</w:t>
      </w:r>
      <w:r w:rsidRPr="004F123A">
        <w:rPr>
          <w:rFonts w:hint="cs"/>
          <w:spacing w:val="22"/>
          <w:rtl/>
        </w:rPr>
        <w:t xml:space="preserve"> על אף התחנונים שלא לעשות כן משום האיסור להתיר קשר בשבת, יש בה משום </w:t>
      </w:r>
      <w:r>
        <w:rPr>
          <w:rFonts w:hint="cs"/>
          <w:spacing w:val="22"/>
          <w:rtl/>
        </w:rPr>
        <w:t xml:space="preserve">מעשה תקיפה פיזי ובנוסף </w:t>
      </w:r>
      <w:r w:rsidRPr="004F123A">
        <w:rPr>
          <w:rFonts w:hint="cs"/>
          <w:spacing w:val="22"/>
          <w:rtl/>
        </w:rPr>
        <w:t>השפלה ופגיעה קשה בכבוד האדם</w:t>
      </w:r>
      <w:r>
        <w:rPr>
          <w:rFonts w:hint="cs"/>
          <w:spacing w:val="22"/>
          <w:rtl/>
        </w:rPr>
        <w:t xml:space="preserve">. </w:t>
      </w:r>
      <w:r w:rsidRPr="004F123A">
        <w:rPr>
          <w:rFonts w:hint="cs"/>
          <w:spacing w:val="22"/>
          <w:rtl/>
        </w:rPr>
        <w:t>אין הדבר משול לקשירת ידו של האחד ליד חברו</w:t>
      </w:r>
      <w:r>
        <w:rPr>
          <w:rFonts w:hint="cs"/>
          <w:spacing w:val="22"/>
          <w:rtl/>
        </w:rPr>
        <w:t>,</w:t>
      </w:r>
      <w:r w:rsidRPr="004F123A">
        <w:rPr>
          <w:rFonts w:hint="cs"/>
          <w:spacing w:val="22"/>
          <w:rtl/>
        </w:rPr>
        <w:t xml:space="preserve"> </w:t>
      </w:r>
      <w:r>
        <w:rPr>
          <w:rFonts w:hint="cs"/>
          <w:spacing w:val="22"/>
          <w:rtl/>
        </w:rPr>
        <w:t xml:space="preserve">מעשה </w:t>
      </w:r>
      <w:r w:rsidRPr="004F123A">
        <w:rPr>
          <w:rFonts w:hint="cs"/>
          <w:spacing w:val="22"/>
          <w:rtl/>
        </w:rPr>
        <w:t xml:space="preserve">חמור לכשעצמו, אלא </w:t>
      </w:r>
      <w:r>
        <w:rPr>
          <w:rFonts w:hint="cs"/>
          <w:spacing w:val="22"/>
          <w:rtl/>
        </w:rPr>
        <w:t xml:space="preserve">קשירה </w:t>
      </w:r>
      <w:r w:rsidRPr="004F123A">
        <w:rPr>
          <w:rFonts w:hint="cs"/>
          <w:spacing w:val="22"/>
          <w:rtl/>
        </w:rPr>
        <w:t>דווקא של פאה היונקת קיומה מהיסוד הדתי, האמוני.</w:t>
      </w:r>
      <w:r>
        <w:rPr>
          <w:rFonts w:hint="cs"/>
          <w:spacing w:val="22"/>
          <w:rtl/>
        </w:rPr>
        <w:t xml:space="preserve"> מעשה זה, המהווה פעולה פיזית, טומן בחובו פגיעה והשפלה החמורים פי כמה מכל פגיעה פיזית. </w:t>
      </w:r>
      <w:r w:rsidRPr="004F123A">
        <w:rPr>
          <w:rFonts w:hint="cs"/>
          <w:spacing w:val="22"/>
          <w:rtl/>
        </w:rPr>
        <w:t xml:space="preserve"> המשך המעשים, ובעיקר אילוצם של המתלוננים לחזור על הצהרת האמונה האיסלמית, מתלוננים שעל פי חזותם ברור הדבר כי הנם מקפידים על מצוות הדת היהודית, יש</w:t>
      </w:r>
      <w:r>
        <w:rPr>
          <w:rFonts w:hint="cs"/>
          <w:spacing w:val="22"/>
          <w:rtl/>
        </w:rPr>
        <w:t xml:space="preserve"> גם</w:t>
      </w:r>
      <w:r w:rsidRPr="004F123A">
        <w:rPr>
          <w:rFonts w:hint="cs"/>
          <w:spacing w:val="22"/>
          <w:rtl/>
        </w:rPr>
        <w:t xml:space="preserve"> בה פג</w:t>
      </w:r>
      <w:r>
        <w:rPr>
          <w:rFonts w:hint="cs"/>
          <w:spacing w:val="22"/>
          <w:rtl/>
        </w:rPr>
        <w:t>י</w:t>
      </w:r>
      <w:r w:rsidRPr="004F123A">
        <w:rPr>
          <w:rFonts w:hint="cs"/>
          <w:spacing w:val="22"/>
          <w:rtl/>
        </w:rPr>
        <w:t xml:space="preserve">עה </w:t>
      </w:r>
      <w:r>
        <w:rPr>
          <w:rFonts w:hint="cs"/>
          <w:spacing w:val="22"/>
          <w:rtl/>
        </w:rPr>
        <w:t>ח</w:t>
      </w:r>
      <w:r w:rsidRPr="004F123A">
        <w:rPr>
          <w:rFonts w:hint="cs"/>
          <w:spacing w:val="22"/>
          <w:rtl/>
        </w:rPr>
        <w:t>מורה מכל פגיעה פיזית או מעשה אלימות. לא בכדי ציין ש', בתצהיר נפגע עבירה, את ההשפעה של מעשה זה על חייו ו</w:t>
      </w:r>
      <w:r>
        <w:rPr>
          <w:rFonts w:hint="cs"/>
          <w:spacing w:val="22"/>
          <w:rtl/>
        </w:rPr>
        <w:t xml:space="preserve">על </w:t>
      </w:r>
      <w:r w:rsidRPr="004F123A">
        <w:rPr>
          <w:rFonts w:hint="cs"/>
          <w:spacing w:val="22"/>
          <w:rtl/>
        </w:rPr>
        <w:t>מצבו הנפשי וה</w:t>
      </w:r>
      <w:r>
        <w:rPr>
          <w:rFonts w:hint="cs"/>
          <w:spacing w:val="22"/>
          <w:rtl/>
        </w:rPr>
        <w:t>רגש</w:t>
      </w:r>
      <w:r w:rsidRPr="004F123A">
        <w:rPr>
          <w:rFonts w:hint="cs"/>
          <w:spacing w:val="22"/>
          <w:rtl/>
        </w:rPr>
        <w:t xml:space="preserve">י ואת הפגיעה שנגרמה לו עקב כך, פגיעה </w:t>
      </w:r>
      <w:r>
        <w:rPr>
          <w:rFonts w:hint="cs"/>
          <w:spacing w:val="22"/>
          <w:rtl/>
        </w:rPr>
        <w:t>ר</w:t>
      </w:r>
      <w:r w:rsidRPr="004F123A">
        <w:rPr>
          <w:rFonts w:hint="cs"/>
          <w:spacing w:val="22"/>
          <w:rtl/>
        </w:rPr>
        <w:t xml:space="preserve">וחנית </w:t>
      </w:r>
      <w:r w:rsidRPr="004F123A">
        <w:rPr>
          <w:spacing w:val="22"/>
          <w:rtl/>
        </w:rPr>
        <w:t>–</w:t>
      </w:r>
      <w:r w:rsidRPr="004F123A">
        <w:rPr>
          <w:rFonts w:hint="cs"/>
          <w:spacing w:val="22"/>
          <w:rtl/>
        </w:rPr>
        <w:t xml:space="preserve"> נפשית עמוקה. המעשים </w:t>
      </w:r>
      <w:r>
        <w:rPr>
          <w:rFonts w:hint="cs"/>
          <w:spacing w:val="22"/>
          <w:rtl/>
        </w:rPr>
        <w:t>בוצע</w:t>
      </w:r>
      <w:r w:rsidRPr="004F123A">
        <w:rPr>
          <w:rFonts w:hint="cs"/>
          <w:spacing w:val="22"/>
          <w:rtl/>
        </w:rPr>
        <w:t>ו על מנת לפגוע, להש</w:t>
      </w:r>
      <w:r>
        <w:rPr>
          <w:rFonts w:hint="cs"/>
          <w:spacing w:val="22"/>
          <w:rtl/>
        </w:rPr>
        <w:t>פ</w:t>
      </w:r>
      <w:r w:rsidRPr="004F123A">
        <w:rPr>
          <w:rFonts w:hint="cs"/>
          <w:spacing w:val="22"/>
          <w:rtl/>
        </w:rPr>
        <w:t>יל, להכות בבטן הרכה. המעשים נעשו מתוך עוינות ושנאת האחר על רקע דתי</w:t>
      </w:r>
      <w:r>
        <w:rPr>
          <w:rFonts w:hint="cs"/>
          <w:spacing w:val="22"/>
          <w:rtl/>
        </w:rPr>
        <w:t xml:space="preserve">. </w:t>
      </w:r>
      <w:r w:rsidRPr="004F123A">
        <w:rPr>
          <w:rFonts w:hint="cs"/>
          <w:spacing w:val="22"/>
          <w:rtl/>
        </w:rPr>
        <w:t>מדובר, כאמור, במעשים קשים, חריפים. ופוגעניים, שגרמו לטראומה קשה</w:t>
      </w:r>
      <w:r>
        <w:rPr>
          <w:rFonts w:hint="cs"/>
          <w:spacing w:val="22"/>
          <w:rtl/>
        </w:rPr>
        <w:t>,</w:t>
      </w:r>
      <w:r w:rsidRPr="004F123A">
        <w:rPr>
          <w:rFonts w:hint="cs"/>
          <w:spacing w:val="22"/>
          <w:rtl/>
        </w:rPr>
        <w:t xml:space="preserve"> כפי המ</w:t>
      </w:r>
      <w:r>
        <w:rPr>
          <w:rFonts w:hint="cs"/>
          <w:spacing w:val="22"/>
          <w:rtl/>
        </w:rPr>
        <w:t>פורט</w:t>
      </w:r>
      <w:r w:rsidRPr="004F123A">
        <w:rPr>
          <w:rFonts w:hint="cs"/>
          <w:spacing w:val="22"/>
          <w:rtl/>
        </w:rPr>
        <w:t xml:space="preserve"> בתצהיר נפגע העבירה. מידת הפגיעה של הנאשם בערך המוגן הנה </w:t>
      </w:r>
      <w:r>
        <w:rPr>
          <w:rFonts w:hint="cs"/>
          <w:spacing w:val="22"/>
          <w:rtl/>
        </w:rPr>
        <w:t>רב</w:t>
      </w:r>
      <w:r w:rsidRPr="004F123A">
        <w:rPr>
          <w:rFonts w:hint="cs"/>
          <w:spacing w:val="22"/>
          <w:rtl/>
        </w:rPr>
        <w:t>ה, יורדת לנפשם של המתלוננים</w:t>
      </w:r>
      <w:r>
        <w:rPr>
          <w:rFonts w:hint="cs"/>
          <w:spacing w:val="22"/>
          <w:rtl/>
        </w:rPr>
        <w:t xml:space="preserve">. </w:t>
      </w:r>
      <w:r w:rsidRPr="004F123A">
        <w:rPr>
          <w:rFonts w:hint="cs"/>
          <w:spacing w:val="22"/>
          <w:rtl/>
        </w:rPr>
        <w:t>מדובר בפגיעה שלא במהרה תחלוף, אם תחלוף. הנאשם שלט במעשיו. אמנם חברו היה פעיל, אולם גם חלקו של הנאשם משמעותי. הנאשם ניצל פחדם של המתלוננים, את המגרש הביתי, וכאמור</w:t>
      </w:r>
      <w:r>
        <w:rPr>
          <w:rFonts w:hint="cs"/>
          <w:spacing w:val="22"/>
          <w:rtl/>
        </w:rPr>
        <w:t>,</w:t>
      </w:r>
      <w:r w:rsidRPr="004F123A">
        <w:rPr>
          <w:rFonts w:hint="cs"/>
          <w:spacing w:val="22"/>
          <w:rtl/>
        </w:rPr>
        <w:t xml:space="preserve"> מעשיו גרמו למתלוננים לנזקים קשים בעלי השלכה לעתיד. הנאשם יכול היה להבין הפסול במעשיו ויכול היה להימנע מהם. </w:t>
      </w:r>
    </w:p>
    <w:p w14:paraId="31BDA7E8" w14:textId="77777777" w:rsidR="00FB5A4A" w:rsidRPr="004F123A" w:rsidRDefault="00FB5A4A" w:rsidP="00FB5A4A">
      <w:pPr>
        <w:spacing w:line="360" w:lineRule="auto"/>
        <w:jc w:val="both"/>
        <w:rPr>
          <w:spacing w:val="22"/>
          <w:rtl/>
        </w:rPr>
      </w:pPr>
      <w:r w:rsidRPr="004F123A">
        <w:rPr>
          <w:spacing w:val="22"/>
          <w:rtl/>
        </w:rPr>
        <w:tab/>
      </w:r>
      <w:r w:rsidRPr="004F123A">
        <w:rPr>
          <w:rFonts w:hint="cs"/>
          <w:spacing w:val="22"/>
          <w:rtl/>
        </w:rPr>
        <w:t>המתחם הראוי הנו 12 עד 30 חודשי מאסר בפועל. להמלצת שירות המבחן למאסר בעבודות שירות אין קשר לטיב המעשים, חומרתם ומהות העבירות. לזכות הנאשם יש לזקוף הודאתו שבאה בתחילת ההליך, גילו הצע</w:t>
      </w:r>
      <w:r>
        <w:rPr>
          <w:rFonts w:hint="cs"/>
          <w:spacing w:val="22"/>
          <w:rtl/>
        </w:rPr>
        <w:t>י</w:t>
      </w:r>
      <w:r w:rsidRPr="004F123A">
        <w:rPr>
          <w:rFonts w:hint="cs"/>
          <w:spacing w:val="22"/>
          <w:rtl/>
        </w:rPr>
        <w:t>ר והעדר עבר פלילי. יחד עם זאת, הענישה בנסיבות מקרה זה אמורה להיות משמעותית, בלתי מתפ</w:t>
      </w:r>
      <w:r>
        <w:rPr>
          <w:rFonts w:hint="cs"/>
          <w:spacing w:val="22"/>
          <w:rtl/>
        </w:rPr>
        <w:t>שר</w:t>
      </w:r>
      <w:r w:rsidRPr="004F123A">
        <w:rPr>
          <w:rFonts w:hint="cs"/>
          <w:spacing w:val="22"/>
          <w:rtl/>
        </w:rPr>
        <w:t xml:space="preserve">ת ומשדרת מסר של הרתעה ליחיד ולרבים. </w:t>
      </w:r>
    </w:p>
    <w:p w14:paraId="53DF399D" w14:textId="77777777" w:rsidR="00FB5A4A" w:rsidRPr="000D0A6F" w:rsidRDefault="00FB5A4A" w:rsidP="00FB5A4A">
      <w:pPr>
        <w:spacing w:line="360" w:lineRule="auto"/>
        <w:jc w:val="both"/>
        <w:rPr>
          <w:spacing w:val="22"/>
          <w:sz w:val="48"/>
          <w:szCs w:val="48"/>
          <w:rtl/>
        </w:rPr>
      </w:pPr>
    </w:p>
    <w:p w14:paraId="35B20DB5" w14:textId="77777777" w:rsidR="00FB5A4A" w:rsidRPr="004F123A" w:rsidRDefault="00FB5A4A" w:rsidP="00FB5A4A">
      <w:pPr>
        <w:spacing w:line="360" w:lineRule="auto"/>
        <w:jc w:val="both"/>
        <w:rPr>
          <w:spacing w:val="22"/>
          <w:rtl/>
        </w:rPr>
      </w:pPr>
      <w:r>
        <w:rPr>
          <w:rFonts w:hint="cs"/>
          <w:spacing w:val="22"/>
          <w:rtl/>
        </w:rPr>
        <w:t>8.</w:t>
      </w:r>
      <w:r>
        <w:rPr>
          <w:rFonts w:hint="cs"/>
          <w:spacing w:val="22"/>
          <w:rtl/>
        </w:rPr>
        <w:tab/>
      </w:r>
      <w:r w:rsidRPr="004F123A">
        <w:rPr>
          <w:rFonts w:hint="cs"/>
          <w:spacing w:val="22"/>
          <w:rtl/>
        </w:rPr>
        <w:t xml:space="preserve">לאור האמור, אני גוזר על הנאשם כלהלן: </w:t>
      </w:r>
    </w:p>
    <w:p w14:paraId="0AC4B226" w14:textId="77777777" w:rsidR="00FB5A4A" w:rsidRPr="000D0A6F" w:rsidRDefault="00FB5A4A" w:rsidP="00FB5A4A">
      <w:pPr>
        <w:spacing w:line="360" w:lineRule="auto"/>
        <w:jc w:val="both"/>
        <w:rPr>
          <w:spacing w:val="22"/>
          <w:sz w:val="34"/>
          <w:szCs w:val="34"/>
          <w:rtl/>
        </w:rPr>
      </w:pPr>
    </w:p>
    <w:p w14:paraId="36F303AB" w14:textId="77777777" w:rsidR="00FB5A4A" w:rsidRPr="004F123A" w:rsidRDefault="00FB5A4A" w:rsidP="00FB5A4A">
      <w:pPr>
        <w:spacing w:line="360" w:lineRule="auto"/>
        <w:jc w:val="both"/>
        <w:rPr>
          <w:spacing w:val="22"/>
          <w:rtl/>
        </w:rPr>
      </w:pPr>
      <w:r w:rsidRPr="004F123A">
        <w:rPr>
          <w:spacing w:val="22"/>
          <w:rtl/>
        </w:rPr>
        <w:tab/>
      </w:r>
      <w:r w:rsidRPr="004F123A">
        <w:rPr>
          <w:rFonts w:hint="cs"/>
          <w:spacing w:val="22"/>
          <w:rtl/>
        </w:rPr>
        <w:t>א.</w:t>
      </w:r>
      <w:r w:rsidRPr="004F123A">
        <w:rPr>
          <w:spacing w:val="22"/>
          <w:rtl/>
        </w:rPr>
        <w:tab/>
      </w:r>
      <w:r w:rsidRPr="004F123A">
        <w:rPr>
          <w:rFonts w:hint="cs"/>
          <w:spacing w:val="22"/>
          <w:rtl/>
        </w:rPr>
        <w:t>מאסר בפועל לתקופה של 2</w:t>
      </w:r>
      <w:r>
        <w:rPr>
          <w:rFonts w:hint="cs"/>
          <w:spacing w:val="22"/>
          <w:rtl/>
        </w:rPr>
        <w:t>0</w:t>
      </w:r>
      <w:r w:rsidRPr="004F123A">
        <w:rPr>
          <w:rFonts w:hint="cs"/>
          <w:spacing w:val="22"/>
          <w:rtl/>
        </w:rPr>
        <w:t xml:space="preserve"> חודשים בניכוי ימי מעצרו. </w:t>
      </w:r>
    </w:p>
    <w:p w14:paraId="23E082E0" w14:textId="77777777" w:rsidR="00FB5A4A" w:rsidRPr="000D0A6F" w:rsidRDefault="00FB5A4A" w:rsidP="00FB5A4A">
      <w:pPr>
        <w:spacing w:line="360" w:lineRule="auto"/>
        <w:jc w:val="both"/>
        <w:rPr>
          <w:spacing w:val="22"/>
          <w:sz w:val="28"/>
          <w:szCs w:val="28"/>
          <w:rtl/>
        </w:rPr>
      </w:pPr>
    </w:p>
    <w:p w14:paraId="77099759" w14:textId="77777777" w:rsidR="00FB5A4A" w:rsidRPr="004F123A" w:rsidRDefault="00FB5A4A" w:rsidP="00FB5A4A">
      <w:pPr>
        <w:spacing w:line="360" w:lineRule="auto"/>
        <w:ind w:left="1440" w:hanging="720"/>
        <w:jc w:val="both"/>
        <w:rPr>
          <w:spacing w:val="22"/>
          <w:rtl/>
        </w:rPr>
      </w:pPr>
      <w:r w:rsidRPr="004F123A">
        <w:rPr>
          <w:rFonts w:hint="cs"/>
          <w:spacing w:val="22"/>
          <w:rtl/>
        </w:rPr>
        <w:t>ב.</w:t>
      </w:r>
      <w:r w:rsidRPr="004F123A">
        <w:rPr>
          <w:rFonts w:hint="cs"/>
          <w:spacing w:val="22"/>
          <w:rtl/>
        </w:rPr>
        <w:tab/>
        <w:t xml:space="preserve">מאסר מותנה לשבעה חודשים והתנאי הוא שהנאשם לא יעבור עבירה מסוג פשע בתוך 3 שנים מיום שחרורו ממאסר. </w:t>
      </w:r>
    </w:p>
    <w:p w14:paraId="46003894" w14:textId="77777777" w:rsidR="00FB5A4A" w:rsidRPr="000D0A6F" w:rsidRDefault="00FB5A4A" w:rsidP="00FB5A4A">
      <w:pPr>
        <w:spacing w:line="360" w:lineRule="auto"/>
        <w:ind w:left="1440" w:hanging="720"/>
        <w:jc w:val="both"/>
        <w:rPr>
          <w:spacing w:val="22"/>
          <w:sz w:val="28"/>
          <w:szCs w:val="28"/>
          <w:rtl/>
        </w:rPr>
      </w:pPr>
    </w:p>
    <w:p w14:paraId="11875A5D" w14:textId="77777777" w:rsidR="00FB5A4A" w:rsidRPr="004F123A" w:rsidRDefault="00FB5A4A" w:rsidP="00FB5A4A">
      <w:pPr>
        <w:spacing w:line="360" w:lineRule="auto"/>
        <w:ind w:left="1440" w:hanging="720"/>
        <w:jc w:val="both"/>
        <w:rPr>
          <w:spacing w:val="22"/>
          <w:rtl/>
        </w:rPr>
      </w:pPr>
      <w:r w:rsidRPr="004F123A">
        <w:rPr>
          <w:rFonts w:hint="cs"/>
          <w:spacing w:val="22"/>
          <w:rtl/>
        </w:rPr>
        <w:t>ג.</w:t>
      </w:r>
      <w:r w:rsidRPr="004F123A">
        <w:rPr>
          <w:rFonts w:hint="cs"/>
          <w:spacing w:val="22"/>
          <w:rtl/>
        </w:rPr>
        <w:tab/>
        <w:t xml:space="preserve">קנס כספי בסך 3,000 ₪ או 30 ימי מאסר תמורתם. </w:t>
      </w:r>
    </w:p>
    <w:p w14:paraId="10A25809" w14:textId="77777777" w:rsidR="00FB5A4A" w:rsidRDefault="00FB5A4A" w:rsidP="00FB5A4A">
      <w:pPr>
        <w:spacing w:line="360" w:lineRule="auto"/>
        <w:ind w:left="1440" w:hanging="720"/>
        <w:jc w:val="both"/>
        <w:rPr>
          <w:spacing w:val="22"/>
          <w:sz w:val="42"/>
          <w:szCs w:val="42"/>
          <w:rtl/>
        </w:rPr>
      </w:pPr>
    </w:p>
    <w:p w14:paraId="3F18183A" w14:textId="77777777" w:rsidR="00FB5A4A" w:rsidRPr="004F123A" w:rsidRDefault="00FB5A4A" w:rsidP="00FB5A4A">
      <w:pPr>
        <w:spacing w:line="360" w:lineRule="auto"/>
        <w:ind w:left="1440" w:hanging="720"/>
        <w:jc w:val="both"/>
        <w:rPr>
          <w:spacing w:val="22"/>
          <w:rtl/>
        </w:rPr>
      </w:pPr>
      <w:r w:rsidRPr="004F123A">
        <w:rPr>
          <w:rFonts w:hint="cs"/>
          <w:spacing w:val="22"/>
          <w:rtl/>
        </w:rPr>
        <w:t>ד.</w:t>
      </w:r>
      <w:r w:rsidRPr="004F123A">
        <w:rPr>
          <w:rFonts w:hint="cs"/>
          <w:spacing w:val="22"/>
          <w:rtl/>
        </w:rPr>
        <w:tab/>
        <w:t>פיצוי לכל אחד מהמתלוננים בסך 12,000 ₪.</w:t>
      </w:r>
    </w:p>
    <w:p w14:paraId="1A664370" w14:textId="77777777" w:rsidR="00FB5A4A" w:rsidRDefault="00FB5A4A" w:rsidP="00FB5A4A">
      <w:pPr>
        <w:spacing w:line="360" w:lineRule="auto"/>
        <w:ind w:left="1440" w:hanging="720"/>
        <w:jc w:val="both"/>
        <w:rPr>
          <w:spacing w:val="22"/>
          <w:sz w:val="16"/>
          <w:szCs w:val="16"/>
          <w:rtl/>
        </w:rPr>
      </w:pPr>
    </w:p>
    <w:p w14:paraId="6035D569" w14:textId="77777777" w:rsidR="00FB5A4A" w:rsidRDefault="00FB5A4A" w:rsidP="00FB5A4A">
      <w:pPr>
        <w:spacing w:line="360" w:lineRule="auto"/>
        <w:ind w:left="1440" w:hanging="720"/>
        <w:jc w:val="both"/>
        <w:rPr>
          <w:spacing w:val="22"/>
          <w:sz w:val="16"/>
          <w:szCs w:val="16"/>
          <w:rtl/>
        </w:rPr>
      </w:pPr>
    </w:p>
    <w:p w14:paraId="0C49000E" w14:textId="77777777" w:rsidR="00FB5A4A" w:rsidRPr="005E4D71" w:rsidRDefault="00FB5A4A" w:rsidP="00FB5A4A">
      <w:pPr>
        <w:spacing w:line="360" w:lineRule="auto"/>
        <w:ind w:left="1440" w:hanging="720"/>
        <w:jc w:val="both"/>
        <w:rPr>
          <w:spacing w:val="22"/>
          <w:sz w:val="16"/>
          <w:szCs w:val="16"/>
          <w:rtl/>
        </w:rPr>
      </w:pPr>
    </w:p>
    <w:p w14:paraId="6793C391" w14:textId="77777777" w:rsidR="00FB5A4A" w:rsidRPr="004F123A" w:rsidRDefault="00FB5A4A" w:rsidP="00FB5A4A">
      <w:pPr>
        <w:spacing w:line="360" w:lineRule="auto"/>
        <w:ind w:left="1440" w:hanging="720"/>
        <w:jc w:val="both"/>
        <w:rPr>
          <w:spacing w:val="22"/>
          <w:rtl/>
        </w:rPr>
      </w:pPr>
      <w:r w:rsidRPr="004F123A">
        <w:rPr>
          <w:rFonts w:hint="cs"/>
          <w:spacing w:val="22"/>
          <w:rtl/>
        </w:rPr>
        <w:t>ה.</w:t>
      </w:r>
      <w:r w:rsidRPr="004F123A">
        <w:rPr>
          <w:rFonts w:hint="cs"/>
          <w:spacing w:val="22"/>
          <w:rtl/>
        </w:rPr>
        <w:tab/>
        <w:t xml:space="preserve">הקנס והפיצוי ישולמו עד ליום 31/12/18. </w:t>
      </w:r>
    </w:p>
    <w:p w14:paraId="2AC29181" w14:textId="77777777" w:rsidR="00FB5A4A" w:rsidRPr="005E4D71" w:rsidRDefault="00FB5A4A" w:rsidP="00FB5A4A">
      <w:pPr>
        <w:rPr>
          <w:spacing w:val="22"/>
          <w:sz w:val="14"/>
          <w:szCs w:val="14"/>
          <w:rtl/>
        </w:rPr>
      </w:pPr>
    </w:p>
    <w:p w14:paraId="0554D710" w14:textId="77777777" w:rsidR="00FB5A4A" w:rsidRDefault="00FB5A4A" w:rsidP="00FB5A4A">
      <w:pPr>
        <w:rPr>
          <w:spacing w:val="22"/>
          <w:rtl/>
        </w:rPr>
      </w:pPr>
    </w:p>
    <w:p w14:paraId="22CB2215" w14:textId="77777777" w:rsidR="00FB5A4A" w:rsidRPr="004F123A" w:rsidRDefault="00FB5A4A" w:rsidP="00FB5A4A">
      <w:pPr>
        <w:rPr>
          <w:spacing w:val="22"/>
          <w:rtl/>
        </w:rPr>
      </w:pPr>
    </w:p>
    <w:p w14:paraId="65E74BFB" w14:textId="77777777" w:rsidR="00FB5A4A" w:rsidRPr="004F123A" w:rsidRDefault="00FB5A4A" w:rsidP="00FB5A4A">
      <w:pPr>
        <w:rPr>
          <w:spacing w:val="22"/>
          <w:rtl/>
        </w:rPr>
      </w:pPr>
      <w:r w:rsidRPr="004F123A">
        <w:rPr>
          <w:spacing w:val="22"/>
          <w:rtl/>
        </w:rPr>
        <w:tab/>
      </w:r>
      <w:r w:rsidRPr="004F123A">
        <w:rPr>
          <w:rFonts w:hint="cs"/>
          <w:spacing w:val="22"/>
          <w:rtl/>
        </w:rPr>
        <w:t xml:space="preserve">זכות ערעור לבית משפט העליון בתוך 45 יום מהיום. </w:t>
      </w:r>
    </w:p>
    <w:p w14:paraId="755AB98B" w14:textId="77777777" w:rsidR="00FB5A4A" w:rsidRDefault="00FB5A4A" w:rsidP="00FB5A4A">
      <w:pPr>
        <w:rPr>
          <w:spacing w:val="22"/>
          <w:rtl/>
        </w:rPr>
      </w:pPr>
    </w:p>
    <w:p w14:paraId="348CEFC6" w14:textId="77777777" w:rsidR="00FB5A4A" w:rsidRPr="004F123A" w:rsidRDefault="00FB5A4A" w:rsidP="00FB5A4A">
      <w:pPr>
        <w:rPr>
          <w:spacing w:val="22"/>
          <w:rtl/>
        </w:rPr>
      </w:pPr>
    </w:p>
    <w:p w14:paraId="1DD75686" w14:textId="77777777" w:rsidR="00FB5A4A" w:rsidRPr="005E4D71" w:rsidRDefault="00FB5A4A" w:rsidP="00FB5A4A">
      <w:pPr>
        <w:rPr>
          <w:spacing w:val="22"/>
          <w:sz w:val="14"/>
          <w:szCs w:val="14"/>
          <w:rtl/>
        </w:rPr>
      </w:pPr>
    </w:p>
    <w:p w14:paraId="691F131E" w14:textId="77777777" w:rsidR="00FB5A4A" w:rsidRDefault="00C66100" w:rsidP="00FB5A4A">
      <w:pPr>
        <w:spacing w:line="360" w:lineRule="auto"/>
        <w:ind w:firstLine="720"/>
        <w:jc w:val="both"/>
        <w:rPr>
          <w:rFonts w:cs="FrankRuehl"/>
          <w:spacing w:val="22"/>
          <w:sz w:val="28"/>
          <w:szCs w:val="28"/>
          <w:rtl/>
        </w:rPr>
      </w:pPr>
      <w:r>
        <w:rPr>
          <w:rFonts w:ascii="Arial" w:hAnsi="Arial"/>
          <w:spacing w:val="22"/>
          <w:rtl/>
        </w:rPr>
        <w:t xml:space="preserve">ניתן היום,  כ"ג חשוון תשע"ט,1 בנובמבר 2018, במעמד ב"כ המאשימה, </w:t>
      </w:r>
      <w:r w:rsidR="00FB5A4A" w:rsidRPr="004F123A">
        <w:rPr>
          <w:rFonts w:ascii="Arial" w:hAnsi="Arial" w:hint="cs"/>
          <w:spacing w:val="22"/>
          <w:rtl/>
        </w:rPr>
        <w:t>ב"כ הנאשם והנאשם עצמו.</w:t>
      </w:r>
    </w:p>
    <w:p w14:paraId="682D47D4" w14:textId="77777777" w:rsidR="00FB5A4A" w:rsidRDefault="00FB5A4A" w:rsidP="00FB5A4A">
      <w:pPr>
        <w:spacing w:line="360" w:lineRule="auto"/>
        <w:ind w:firstLine="720"/>
        <w:jc w:val="both"/>
        <w:rPr>
          <w:rFonts w:cs="FrankRuehl"/>
          <w:spacing w:val="22"/>
          <w:sz w:val="28"/>
          <w:szCs w:val="28"/>
          <w:rtl/>
        </w:rPr>
      </w:pPr>
    </w:p>
    <w:p w14:paraId="2C29795E" w14:textId="77777777" w:rsidR="00FB5A4A" w:rsidRDefault="00FB5A4A" w:rsidP="00FB5A4A">
      <w:pPr>
        <w:spacing w:line="360" w:lineRule="auto"/>
        <w:ind w:firstLine="720"/>
        <w:jc w:val="both"/>
        <w:rPr>
          <w:rFonts w:cs="FrankRuehl"/>
          <w:spacing w:val="22"/>
          <w:sz w:val="28"/>
          <w:szCs w:val="28"/>
          <w:rtl/>
        </w:rPr>
      </w:pPr>
    </w:p>
    <w:p w14:paraId="4E21CD76" w14:textId="77777777" w:rsidR="00FB5A4A" w:rsidRPr="00C66100" w:rsidRDefault="00C66100" w:rsidP="00FB5A4A">
      <w:pPr>
        <w:spacing w:line="360" w:lineRule="auto"/>
        <w:ind w:firstLine="720"/>
        <w:jc w:val="both"/>
        <w:rPr>
          <w:rFonts w:cs="FrankRuehl"/>
          <w:color w:val="FFFFFF"/>
          <w:spacing w:val="22"/>
          <w:sz w:val="2"/>
          <w:szCs w:val="2"/>
          <w:rtl/>
        </w:rPr>
      </w:pPr>
      <w:r w:rsidRPr="00C66100">
        <w:rPr>
          <w:rFonts w:cs="FrankRuehl"/>
          <w:color w:val="FFFFFF"/>
          <w:spacing w:val="22"/>
          <w:sz w:val="2"/>
          <w:szCs w:val="2"/>
          <w:rtl/>
        </w:rPr>
        <w:t>5129371</w:t>
      </w:r>
    </w:p>
    <w:tbl>
      <w:tblPr>
        <w:bidiVisual/>
        <w:tblW w:w="0" w:type="auto"/>
        <w:tblInd w:w="5444" w:type="dxa"/>
        <w:tblLook w:val="01E0" w:firstRow="1" w:lastRow="1" w:firstColumn="1" w:lastColumn="1" w:noHBand="0" w:noVBand="0"/>
      </w:tblPr>
      <w:tblGrid>
        <w:gridCol w:w="2070"/>
      </w:tblGrid>
      <w:tr w:rsidR="00FB5A4A" w:rsidRPr="004F123A" w14:paraId="3BE53EDA" w14:textId="77777777" w:rsidTr="00FB5A4A">
        <w:tc>
          <w:tcPr>
            <w:tcW w:w="2070" w:type="dxa"/>
            <w:tcBorders>
              <w:top w:val="nil"/>
              <w:left w:val="nil"/>
              <w:bottom w:val="single" w:sz="4" w:space="0" w:color="auto"/>
              <w:right w:val="nil"/>
            </w:tcBorders>
            <w:shd w:val="clear" w:color="auto" w:fill="auto"/>
            <w:vAlign w:val="center"/>
          </w:tcPr>
          <w:p w14:paraId="01D3F832" w14:textId="77777777" w:rsidR="00FB5A4A" w:rsidRPr="00C66100" w:rsidRDefault="00C66100" w:rsidP="00FB5A4A">
            <w:pPr>
              <w:jc w:val="center"/>
              <w:rPr>
                <w:rFonts w:ascii="Courier New" w:hAnsi="Courier New"/>
                <w:b/>
                <w:bCs/>
                <w:color w:val="FFFFFF"/>
                <w:spacing w:val="22"/>
                <w:sz w:val="2"/>
                <w:szCs w:val="2"/>
              </w:rPr>
            </w:pPr>
            <w:r w:rsidRPr="00C66100">
              <w:rPr>
                <w:rFonts w:ascii="Courier New" w:hAnsi="Courier New"/>
                <w:b/>
                <w:bCs/>
                <w:color w:val="FFFFFF"/>
                <w:spacing w:val="22"/>
                <w:sz w:val="2"/>
                <w:szCs w:val="2"/>
                <w:rtl/>
              </w:rPr>
              <w:t>54678313</w:t>
            </w:r>
          </w:p>
        </w:tc>
      </w:tr>
      <w:tr w:rsidR="00FB5A4A" w:rsidRPr="004F123A" w14:paraId="41F9F963" w14:textId="77777777" w:rsidTr="00FB5A4A">
        <w:tc>
          <w:tcPr>
            <w:tcW w:w="2070" w:type="dxa"/>
            <w:tcBorders>
              <w:top w:val="single" w:sz="4" w:space="0" w:color="auto"/>
              <w:left w:val="nil"/>
              <w:bottom w:val="nil"/>
              <w:right w:val="nil"/>
            </w:tcBorders>
            <w:shd w:val="clear" w:color="auto" w:fill="auto"/>
            <w:vAlign w:val="center"/>
          </w:tcPr>
          <w:p w14:paraId="64A8FCE0" w14:textId="77777777" w:rsidR="00FB5A4A" w:rsidRPr="00FB5A4A" w:rsidRDefault="00FB5A4A" w:rsidP="00FB5A4A">
            <w:pPr>
              <w:spacing w:line="360" w:lineRule="auto"/>
              <w:jc w:val="center"/>
              <w:rPr>
                <w:b/>
                <w:bCs/>
                <w:noProof/>
                <w:spacing w:val="22"/>
                <w:rtl/>
              </w:rPr>
            </w:pPr>
            <w:r w:rsidRPr="00FB5A4A">
              <w:rPr>
                <w:rFonts w:hint="cs"/>
                <w:b/>
                <w:bCs/>
                <w:spacing w:val="22"/>
                <w:rtl/>
              </w:rPr>
              <w:t>רפי כרמל, שופט</w:t>
            </w:r>
          </w:p>
        </w:tc>
      </w:tr>
    </w:tbl>
    <w:p w14:paraId="2DE126E7" w14:textId="77777777" w:rsidR="00FB5A4A" w:rsidRPr="004F123A" w:rsidRDefault="00FB5A4A" w:rsidP="00FB5A4A">
      <w:pPr>
        <w:rPr>
          <w:spacing w:val="22"/>
        </w:rPr>
      </w:pPr>
    </w:p>
    <w:p w14:paraId="319E40E3" w14:textId="77777777" w:rsidR="00FB5A4A" w:rsidRPr="004F123A" w:rsidRDefault="00FB5A4A" w:rsidP="00FB5A4A">
      <w:pPr>
        <w:pStyle w:val="a3"/>
        <w:jc w:val="center"/>
        <w:rPr>
          <w:spacing w:val="22"/>
          <w:rtl/>
        </w:rPr>
      </w:pPr>
    </w:p>
    <w:p w14:paraId="1F2C1D8F" w14:textId="77777777" w:rsidR="00FB5A4A" w:rsidRPr="00305279" w:rsidRDefault="00305279" w:rsidP="00FB5A4A">
      <w:pPr>
        <w:pStyle w:val="a3"/>
        <w:jc w:val="center"/>
        <w:rPr>
          <w:color w:val="FFFFFF"/>
          <w:spacing w:val="22"/>
          <w:sz w:val="2"/>
          <w:szCs w:val="2"/>
          <w:rtl/>
        </w:rPr>
      </w:pPr>
      <w:r w:rsidRPr="00305279">
        <w:rPr>
          <w:color w:val="FFFFFF"/>
          <w:spacing w:val="22"/>
          <w:sz w:val="2"/>
          <w:szCs w:val="2"/>
          <w:rtl/>
        </w:rPr>
        <w:t>5129371</w:t>
      </w:r>
    </w:p>
    <w:p w14:paraId="7A76A94C" w14:textId="77777777" w:rsidR="00882AFE" w:rsidRPr="00305279" w:rsidRDefault="00305279" w:rsidP="00C66100">
      <w:pPr>
        <w:keepNext/>
        <w:rPr>
          <w:rFonts w:ascii="David" w:hAnsi="David"/>
          <w:color w:val="FFFFFF"/>
          <w:sz w:val="2"/>
          <w:szCs w:val="2"/>
          <w:rtl/>
        </w:rPr>
      </w:pPr>
      <w:r w:rsidRPr="00305279">
        <w:rPr>
          <w:rFonts w:ascii="David" w:hAnsi="David"/>
          <w:color w:val="FFFFFF"/>
          <w:sz w:val="2"/>
          <w:szCs w:val="2"/>
          <w:rtl/>
        </w:rPr>
        <w:t>54678313</w:t>
      </w:r>
    </w:p>
    <w:p w14:paraId="3549CB36" w14:textId="77777777" w:rsidR="00C66100" w:rsidRDefault="00C66100" w:rsidP="00C66100">
      <w:pPr>
        <w:rPr>
          <w:rtl/>
        </w:rPr>
      </w:pPr>
    </w:p>
    <w:p w14:paraId="6B05A12B" w14:textId="77777777" w:rsidR="00C66100" w:rsidRDefault="00C66100" w:rsidP="00C66100">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5204E48F" w14:textId="77777777" w:rsidR="00305279" w:rsidRPr="00305279" w:rsidRDefault="00305279" w:rsidP="00305279">
      <w:pPr>
        <w:keepNext/>
        <w:rPr>
          <w:rFonts w:ascii="David" w:hAnsi="David"/>
          <w:color w:val="000000"/>
          <w:sz w:val="22"/>
          <w:szCs w:val="22"/>
          <w:rtl/>
        </w:rPr>
      </w:pPr>
    </w:p>
    <w:p w14:paraId="20C11832" w14:textId="77777777" w:rsidR="00305279" w:rsidRPr="00305279" w:rsidRDefault="00305279" w:rsidP="00305279">
      <w:pPr>
        <w:keepNext/>
        <w:rPr>
          <w:rFonts w:ascii="David" w:hAnsi="David"/>
          <w:color w:val="000000"/>
          <w:sz w:val="22"/>
          <w:szCs w:val="22"/>
          <w:rtl/>
        </w:rPr>
      </w:pPr>
      <w:r w:rsidRPr="00305279">
        <w:rPr>
          <w:rFonts w:ascii="David" w:hAnsi="David"/>
          <w:color w:val="000000"/>
          <w:sz w:val="22"/>
          <w:szCs w:val="22"/>
          <w:rtl/>
        </w:rPr>
        <w:t>רפי כרמל 54678313-/</w:t>
      </w:r>
    </w:p>
    <w:p w14:paraId="2AC9EC44" w14:textId="77777777" w:rsidR="00C66100" w:rsidRPr="00C66100" w:rsidRDefault="00305279" w:rsidP="00305279">
      <w:pPr>
        <w:rPr>
          <w:color w:val="0000FF"/>
          <w:u w:val="single"/>
        </w:rPr>
      </w:pPr>
      <w:r w:rsidRPr="00305279">
        <w:rPr>
          <w:color w:val="000000"/>
          <w:u w:val="single"/>
          <w:rtl/>
        </w:rPr>
        <w:t>נוסח מסמך זה כפוף לשינויי ניסוח ועריכה</w:t>
      </w:r>
    </w:p>
    <w:sectPr w:rsidR="00C66100" w:rsidRPr="00C66100" w:rsidSect="00305279">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A5EAB" w14:textId="77777777" w:rsidR="00174E5B" w:rsidRDefault="00174E5B" w:rsidP="00B8061B">
      <w:r>
        <w:separator/>
      </w:r>
    </w:p>
  </w:endnote>
  <w:endnote w:type="continuationSeparator" w:id="0">
    <w:p w14:paraId="1EE07F7E" w14:textId="77777777" w:rsidR="00174E5B" w:rsidRDefault="00174E5B" w:rsidP="00B80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1F694" w14:textId="77777777" w:rsidR="00305279" w:rsidRDefault="00305279" w:rsidP="003052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41AD9329" w14:textId="77777777" w:rsidR="00817A29" w:rsidRPr="00305279" w:rsidRDefault="00305279" w:rsidP="00305279">
    <w:pPr>
      <w:pStyle w:val="a5"/>
      <w:pBdr>
        <w:top w:val="single" w:sz="4" w:space="1" w:color="auto"/>
        <w:between w:val="single" w:sz="4" w:space="0" w:color="auto"/>
      </w:pBdr>
      <w:spacing w:after="60"/>
      <w:jc w:val="center"/>
      <w:rPr>
        <w:rFonts w:ascii="FrankRuehl" w:hAnsi="FrankRuehl" w:cs="FrankRuehl"/>
        <w:color w:val="000000"/>
      </w:rPr>
    </w:pPr>
    <w:r w:rsidRPr="003052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01FF8" w14:textId="77777777" w:rsidR="00305279" w:rsidRDefault="00305279" w:rsidP="003052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7A15">
      <w:rPr>
        <w:rFonts w:ascii="FrankRuehl" w:hAnsi="FrankRuehl" w:cs="FrankRuehl"/>
        <w:noProof/>
        <w:rtl/>
      </w:rPr>
      <w:t>1</w:t>
    </w:r>
    <w:r>
      <w:rPr>
        <w:rFonts w:ascii="FrankRuehl" w:hAnsi="FrankRuehl" w:cs="FrankRuehl"/>
        <w:rtl/>
      </w:rPr>
      <w:fldChar w:fldCharType="end"/>
    </w:r>
  </w:p>
  <w:p w14:paraId="5C3734CC" w14:textId="77777777" w:rsidR="00817A29" w:rsidRPr="00305279" w:rsidRDefault="00305279" w:rsidP="00305279">
    <w:pPr>
      <w:pStyle w:val="a5"/>
      <w:pBdr>
        <w:top w:val="single" w:sz="4" w:space="1" w:color="auto"/>
        <w:between w:val="single" w:sz="4" w:space="0" w:color="auto"/>
      </w:pBdr>
      <w:spacing w:after="60"/>
      <w:jc w:val="center"/>
      <w:rPr>
        <w:rFonts w:ascii="FrankRuehl" w:hAnsi="FrankRuehl" w:cs="FrankRuehl"/>
        <w:color w:val="000000"/>
      </w:rPr>
    </w:pPr>
    <w:r w:rsidRPr="00305279">
      <w:rPr>
        <w:rFonts w:ascii="FrankRuehl" w:hAnsi="FrankRuehl" w:cs="FrankRuehl"/>
        <w:color w:val="000000"/>
      </w:rPr>
      <w:pict w14:anchorId="5F858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78CD1" w14:textId="77777777" w:rsidR="00174E5B" w:rsidRDefault="00174E5B" w:rsidP="00B8061B">
      <w:r>
        <w:separator/>
      </w:r>
    </w:p>
  </w:footnote>
  <w:footnote w:type="continuationSeparator" w:id="0">
    <w:p w14:paraId="1AAA7B82" w14:textId="77777777" w:rsidR="00174E5B" w:rsidRDefault="00174E5B" w:rsidP="00B80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FF651" w14:textId="77777777" w:rsidR="00C66100" w:rsidRPr="00305279" w:rsidRDefault="00305279" w:rsidP="003052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29650-01-18</w:t>
    </w:r>
    <w:r>
      <w:rPr>
        <w:rFonts w:ascii="David" w:hAnsi="David"/>
        <w:color w:val="000000"/>
        <w:sz w:val="22"/>
        <w:szCs w:val="22"/>
        <w:rtl/>
      </w:rPr>
      <w:tab/>
      <w:t xml:space="preserve"> מדינת ישראל נ' אחמד פרוך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7857B" w14:textId="77777777" w:rsidR="00C66100" w:rsidRPr="00305279" w:rsidRDefault="00305279" w:rsidP="003052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29650-01-18</w:t>
    </w:r>
    <w:r>
      <w:rPr>
        <w:rFonts w:ascii="David" w:hAnsi="David"/>
        <w:color w:val="000000"/>
        <w:sz w:val="22"/>
        <w:szCs w:val="22"/>
        <w:rtl/>
      </w:rPr>
      <w:tab/>
      <w:t xml:space="preserve"> מדינת ישראל נ' אחמד פרוך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5A4A"/>
    <w:rsid w:val="00015C44"/>
    <w:rsid w:val="00044882"/>
    <w:rsid w:val="000F2BA2"/>
    <w:rsid w:val="00174E5B"/>
    <w:rsid w:val="00305279"/>
    <w:rsid w:val="0044208B"/>
    <w:rsid w:val="004F5EDB"/>
    <w:rsid w:val="00511073"/>
    <w:rsid w:val="00647A15"/>
    <w:rsid w:val="00817A29"/>
    <w:rsid w:val="00882AFE"/>
    <w:rsid w:val="008E1245"/>
    <w:rsid w:val="00962412"/>
    <w:rsid w:val="00AC1A1D"/>
    <w:rsid w:val="00B8061B"/>
    <w:rsid w:val="00BA135F"/>
    <w:rsid w:val="00C66100"/>
    <w:rsid w:val="00EF576E"/>
    <w:rsid w:val="00FB5A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66E4E8"/>
  <w15:chartTrackingRefBased/>
  <w15:docId w15:val="{FE5EF229-E381-45A9-B70B-D2EBB08E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5A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5A4A"/>
    <w:pPr>
      <w:tabs>
        <w:tab w:val="center" w:pos="4153"/>
        <w:tab w:val="right" w:pos="8306"/>
      </w:tabs>
    </w:pPr>
  </w:style>
  <w:style w:type="character" w:customStyle="1" w:styleId="a4">
    <w:name w:val="כותרת עליונה תו"/>
    <w:link w:val="a3"/>
    <w:rsid w:val="00FB5A4A"/>
    <w:rPr>
      <w:rFonts w:ascii="Times New Roman" w:eastAsia="Times New Roman" w:hAnsi="Times New Roman" w:cs="David"/>
      <w:sz w:val="24"/>
      <w:szCs w:val="24"/>
    </w:rPr>
  </w:style>
  <w:style w:type="paragraph" w:styleId="a5">
    <w:name w:val="footer"/>
    <w:basedOn w:val="a"/>
    <w:link w:val="a6"/>
    <w:rsid w:val="00FB5A4A"/>
    <w:pPr>
      <w:tabs>
        <w:tab w:val="center" w:pos="4153"/>
        <w:tab w:val="right" w:pos="8306"/>
      </w:tabs>
    </w:pPr>
  </w:style>
  <w:style w:type="character" w:customStyle="1" w:styleId="a6">
    <w:name w:val="כותרת תחתונה תו"/>
    <w:link w:val="a5"/>
    <w:rsid w:val="00FB5A4A"/>
    <w:rPr>
      <w:rFonts w:ascii="Times New Roman" w:eastAsia="Times New Roman" w:hAnsi="Times New Roman" w:cs="David"/>
      <w:sz w:val="24"/>
      <w:szCs w:val="24"/>
    </w:rPr>
  </w:style>
  <w:style w:type="table" w:styleId="a7">
    <w:name w:val="Table Grid"/>
    <w:basedOn w:val="a1"/>
    <w:rsid w:val="00FB5A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5A4A"/>
  </w:style>
  <w:style w:type="paragraph" w:styleId="a9">
    <w:name w:val="Balloon Text"/>
    <w:basedOn w:val="a"/>
    <w:link w:val="aa"/>
    <w:rsid w:val="00FB5A4A"/>
    <w:rPr>
      <w:rFonts w:ascii="Tahoma" w:hAnsi="Tahoma" w:cs="Tahoma"/>
      <w:sz w:val="16"/>
      <w:szCs w:val="16"/>
    </w:rPr>
  </w:style>
  <w:style w:type="character" w:customStyle="1" w:styleId="aa">
    <w:name w:val="טקסט בלונים תו"/>
    <w:link w:val="a9"/>
    <w:rsid w:val="00FB5A4A"/>
    <w:rPr>
      <w:rFonts w:ascii="Tahoma" w:eastAsia="Times New Roman" w:hAnsi="Tahoma" w:cs="Tahoma"/>
      <w:sz w:val="16"/>
      <w:szCs w:val="16"/>
    </w:rPr>
  </w:style>
  <w:style w:type="character" w:styleId="Hyperlink">
    <w:name w:val="Hyperlink"/>
    <w:rsid w:val="00C66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law/70301/144f.a" TargetMode="External"/><Relationship Id="rId18" Type="http://schemas.openxmlformats.org/officeDocument/2006/relationships/hyperlink" Target="http://www.nevo.co.il/law/70301/382.a"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40b" TargetMode="External"/><Relationship Id="rId12" Type="http://schemas.openxmlformats.org/officeDocument/2006/relationships/hyperlink" Target="http://www.nevo.co.il/law/70301/382.a" TargetMode="External"/><Relationship Id="rId17" Type="http://schemas.openxmlformats.org/officeDocument/2006/relationships/hyperlink" Target="http://www.nevo.co.il/law/70301/40i"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144.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2.a"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eader" Target="header2.xml"/><Relationship Id="rId10" Type="http://schemas.openxmlformats.org/officeDocument/2006/relationships/hyperlink" Target="http://www.nevo.co.il/law/70301/144f.a"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1644</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9850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4390996</vt:i4>
      </vt:variant>
      <vt:variant>
        <vt:i4>36</vt:i4>
      </vt:variant>
      <vt:variant>
        <vt:i4>0</vt:i4>
      </vt:variant>
      <vt:variant>
        <vt:i4>5</vt:i4>
      </vt:variant>
      <vt:variant>
        <vt:lpwstr>http://www.nevo.co.il/law/70301/382.a</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6684798</vt:i4>
      </vt:variant>
      <vt:variant>
        <vt:i4>21</vt:i4>
      </vt:variant>
      <vt:variant>
        <vt:i4>0</vt:i4>
      </vt:variant>
      <vt:variant>
        <vt:i4>5</vt:i4>
      </vt:variant>
      <vt:variant>
        <vt:lpwstr>http://www.nevo.co.il/law/70301/144f.a</vt:lpwstr>
      </vt:variant>
      <vt:variant>
        <vt:lpwstr/>
      </vt:variant>
      <vt:variant>
        <vt:i4>4390996</vt:i4>
      </vt:variant>
      <vt:variant>
        <vt:i4>18</vt:i4>
      </vt:variant>
      <vt:variant>
        <vt:i4>0</vt:i4>
      </vt:variant>
      <vt:variant>
        <vt:i4>5</vt:i4>
      </vt:variant>
      <vt:variant>
        <vt:lpwstr>http://www.nevo.co.il/law/70301/382.a</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6684798</vt:i4>
      </vt:variant>
      <vt:variant>
        <vt:i4>12</vt:i4>
      </vt:variant>
      <vt:variant>
        <vt:i4>0</vt:i4>
      </vt:variant>
      <vt:variant>
        <vt:i4>5</vt:i4>
      </vt:variant>
      <vt:variant>
        <vt:lpwstr>http://www.nevo.co.il/law/70301/144f.a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2025-01-19T16:20:00Z</dcterms:created>
  <dcterms:modified xsi:type="dcterms:W3CDTF">2025-01-19T16:20:00Z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29650</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פרוך</vt:lpwstr>
  </property>
  <property fmtid="{D5CDD505-2E9C-101B-9397-08002B2CF9AE}" pid="10" name="LAWYER">
    <vt:lpwstr>איברהים עיאד</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20181101</vt:lpwstr>
  </property>
  <property fmtid="{D5CDD505-2E9C-101B-9397-08002B2CF9AE}" pid="14" name="TYPE_N_DATE">
    <vt:lpwstr>39020181101</vt:lpwstr>
  </property>
  <property fmtid="{D5CDD505-2E9C-101B-9397-08002B2CF9AE}" pid="15" name="WORDNUMPAGES">
    <vt:lpwstr>6</vt:lpwstr>
  </property>
  <property fmtid="{D5CDD505-2E9C-101B-9397-08002B2CF9AE}" pid="16" name="TYPE_ABS_DATE">
    <vt:lpwstr>390120181101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70301/382.a:2;144f.a;040b;040i;144.a</vt:lpwstr>
  </property>
  <property fmtid="{D5CDD505-2E9C-101B-9397-08002B2CF9AE}" pid="36" name="NOSE1ID">
    <vt:lpwstr>77;77</vt:lpwstr>
  </property>
  <property fmtid="{D5CDD505-2E9C-101B-9397-08002B2CF9AE}" pid="37" name="NOSE2ID">
    <vt:lpwstr>1446;1443</vt:lpwstr>
  </property>
  <property fmtid="{D5CDD505-2E9C-101B-9397-08002B2CF9AE}" pid="38" name="NOSE3ID">
    <vt:lpwstr>16899;8902</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אלימות על רקע לאומני‏</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עשיית עבירה מתוך מניע של גזענות</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20181202</vt:lpwstr>
  </property>
  <property fmtid="{D5CDD505-2E9C-101B-9397-08002B2CF9AE}" pid="70" name="METAKZER">
    <vt:lpwstr>מיכל</vt:lpwstr>
  </property>
</Properties>
</file>