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483"/>
        <w:gridCol w:w="3167"/>
      </w:tblGrid>
      <w:tr w:rsidR="006D2B4C" w:rsidRPr="00911097" w14:paraId="220BD26B" w14:textId="77777777" w:rsidTr="00010559">
        <w:trPr>
          <w:trHeight w:hRule="exact" w:val="418"/>
          <w:jc w:val="center"/>
        </w:trPr>
        <w:tc>
          <w:tcPr>
            <w:tcW w:w="8650" w:type="dxa"/>
            <w:gridSpan w:val="2"/>
          </w:tcPr>
          <w:p w14:paraId="567CBD6C" w14:textId="77777777" w:rsidR="009F16AD" w:rsidRDefault="009F16AD" w:rsidP="00010559">
            <w:pPr>
              <w:pStyle w:val="a3"/>
              <w:jc w:val="center"/>
              <w:rPr>
                <w:rFonts w:ascii="Tahoma" w:hAnsi="Tahoma"/>
                <w:b/>
                <w:bCs/>
                <w:color w:val="000080"/>
                <w:sz w:val="32"/>
                <w:szCs w:val="32"/>
                <w:rtl/>
              </w:rPr>
            </w:pPr>
            <w:bookmarkStart w:id="0" w:name="LastJudge"/>
          </w:p>
          <w:p w14:paraId="0A7BCD0D" w14:textId="77777777" w:rsidR="009F16AD" w:rsidRDefault="009F16AD" w:rsidP="00010559">
            <w:pPr>
              <w:pStyle w:val="a3"/>
              <w:jc w:val="center"/>
              <w:rPr>
                <w:rFonts w:ascii="Tahoma" w:hAnsi="Tahoma"/>
                <w:b/>
                <w:bCs/>
                <w:color w:val="000080"/>
                <w:sz w:val="32"/>
                <w:szCs w:val="32"/>
                <w:rtl/>
              </w:rPr>
            </w:pPr>
          </w:p>
          <w:p w14:paraId="4A762604" w14:textId="77777777" w:rsidR="009F16AD" w:rsidRDefault="009F16AD" w:rsidP="00010559">
            <w:pPr>
              <w:pStyle w:val="a3"/>
              <w:jc w:val="center"/>
              <w:rPr>
                <w:rFonts w:ascii="Tahoma" w:hAnsi="Tahoma"/>
                <w:sz w:val="32"/>
                <w:szCs w:val="32"/>
                <w:rtl/>
              </w:rPr>
            </w:pPr>
            <w:bookmarkStart w:id="1" w:name="LawTable"/>
            <w:bookmarkEnd w:id="1"/>
          </w:p>
          <w:p w14:paraId="319D4D6F" w14:textId="77777777" w:rsidR="009F16AD" w:rsidRPr="009F16AD" w:rsidRDefault="009F16AD" w:rsidP="009F16AD">
            <w:pPr>
              <w:pStyle w:val="a3"/>
              <w:spacing w:after="120" w:line="240" w:lineRule="exact"/>
              <w:ind w:left="283" w:hanging="283"/>
              <w:jc w:val="both"/>
              <w:rPr>
                <w:rFonts w:ascii="FrankRuehl" w:hAnsi="FrankRuehl" w:cs="FrankRuehl"/>
                <w:rtl/>
              </w:rPr>
            </w:pPr>
          </w:p>
          <w:p w14:paraId="7AB056F7" w14:textId="77777777" w:rsidR="009F16AD" w:rsidRPr="009F16AD" w:rsidRDefault="009F16AD" w:rsidP="009F16AD">
            <w:pPr>
              <w:pStyle w:val="a3"/>
              <w:spacing w:after="120" w:line="240" w:lineRule="exact"/>
              <w:ind w:left="283" w:hanging="283"/>
              <w:jc w:val="both"/>
              <w:rPr>
                <w:rFonts w:ascii="FrankRuehl" w:hAnsi="FrankRuehl" w:cs="FrankRuehl"/>
                <w:rtl/>
              </w:rPr>
            </w:pPr>
            <w:r w:rsidRPr="009F16AD">
              <w:rPr>
                <w:rFonts w:ascii="FrankRuehl" w:hAnsi="FrankRuehl" w:cs="FrankRuehl"/>
                <w:rtl/>
              </w:rPr>
              <w:t xml:space="preserve">חקיקה שאוזכרה: </w:t>
            </w:r>
          </w:p>
          <w:p w14:paraId="5A05320C" w14:textId="77777777" w:rsidR="009F16AD" w:rsidRPr="009F16AD" w:rsidRDefault="009F16AD" w:rsidP="009F16AD">
            <w:pPr>
              <w:pStyle w:val="a3"/>
              <w:spacing w:after="120" w:line="240" w:lineRule="exact"/>
              <w:ind w:left="283" w:hanging="283"/>
              <w:jc w:val="both"/>
              <w:rPr>
                <w:rFonts w:ascii="FrankRuehl" w:hAnsi="FrankRuehl" w:cs="FrankRuehl"/>
                <w:rtl/>
              </w:rPr>
            </w:pPr>
            <w:hyperlink r:id="rId6" w:history="1">
              <w:r w:rsidRPr="009F16AD">
                <w:rPr>
                  <w:rFonts w:ascii="FrankRuehl" w:hAnsi="FrankRuehl" w:cs="FrankRuehl"/>
                  <w:color w:val="0000FF"/>
                  <w:u w:val="single"/>
                  <w:rtl/>
                </w:rPr>
                <w:t>חוק העונשין, תשל"ז-1977</w:t>
              </w:r>
            </w:hyperlink>
            <w:r w:rsidRPr="009F16AD">
              <w:rPr>
                <w:rFonts w:ascii="FrankRuehl" w:hAnsi="FrankRuehl" w:cs="FrankRuehl"/>
                <w:rtl/>
              </w:rPr>
              <w:t xml:space="preserve">: סע'  </w:t>
            </w:r>
            <w:hyperlink r:id="rId7" w:history="1">
              <w:r w:rsidRPr="009F16AD">
                <w:rPr>
                  <w:rFonts w:ascii="FrankRuehl" w:hAnsi="FrankRuehl" w:cs="FrankRuehl"/>
                  <w:color w:val="0000FF"/>
                  <w:u w:val="single"/>
                  <w:rtl/>
                </w:rPr>
                <w:t>144</w:t>
              </w:r>
            </w:hyperlink>
            <w:r w:rsidRPr="009F16AD">
              <w:rPr>
                <w:rFonts w:ascii="FrankRuehl" w:hAnsi="FrankRuehl" w:cs="FrankRuehl"/>
                <w:rtl/>
              </w:rPr>
              <w:t xml:space="preserve">, </w:t>
            </w:r>
            <w:hyperlink r:id="rId8" w:history="1">
              <w:r w:rsidRPr="009F16AD">
                <w:rPr>
                  <w:rFonts w:ascii="FrankRuehl" w:hAnsi="FrankRuehl" w:cs="FrankRuehl"/>
                  <w:color w:val="0000FF"/>
                  <w:u w:val="single"/>
                  <w:rtl/>
                </w:rPr>
                <w:t>144(א)</w:t>
              </w:r>
            </w:hyperlink>
            <w:r w:rsidRPr="009F16AD">
              <w:rPr>
                <w:rFonts w:ascii="FrankRuehl" w:hAnsi="FrankRuehl" w:cs="FrankRuehl"/>
                <w:rtl/>
              </w:rPr>
              <w:t xml:space="preserve">, </w:t>
            </w:r>
            <w:hyperlink r:id="rId9" w:history="1">
              <w:r w:rsidRPr="009F16AD">
                <w:rPr>
                  <w:rFonts w:ascii="FrankRuehl" w:hAnsi="FrankRuehl" w:cs="FrankRuehl"/>
                  <w:color w:val="0000FF"/>
                  <w:u w:val="single"/>
                  <w:rtl/>
                </w:rPr>
                <w:t>144(ב)</w:t>
              </w:r>
            </w:hyperlink>
            <w:r w:rsidRPr="009F16AD">
              <w:rPr>
                <w:rFonts w:ascii="FrankRuehl" w:hAnsi="FrankRuehl" w:cs="FrankRuehl"/>
                <w:rtl/>
              </w:rPr>
              <w:t xml:space="preserve">, </w:t>
            </w:r>
            <w:hyperlink r:id="rId10" w:history="1">
              <w:r w:rsidRPr="009F16AD">
                <w:rPr>
                  <w:rFonts w:ascii="FrankRuehl" w:hAnsi="FrankRuehl" w:cs="FrankRuehl"/>
                  <w:color w:val="0000FF"/>
                  <w:u w:val="single"/>
                  <w:rtl/>
                </w:rPr>
                <w:t>144(ב2)</w:t>
              </w:r>
            </w:hyperlink>
            <w:r w:rsidRPr="009F16AD">
              <w:rPr>
                <w:rFonts w:ascii="FrankRuehl" w:hAnsi="FrankRuehl" w:cs="FrankRuehl"/>
                <w:rtl/>
              </w:rPr>
              <w:t xml:space="preserve">, </w:t>
            </w:r>
            <w:hyperlink r:id="rId11" w:history="1">
              <w:r w:rsidRPr="009F16AD">
                <w:rPr>
                  <w:rFonts w:ascii="FrankRuehl" w:hAnsi="FrankRuehl" w:cs="FrankRuehl"/>
                  <w:color w:val="0000FF"/>
                  <w:u w:val="single"/>
                  <w:rtl/>
                </w:rPr>
                <w:t>192</w:t>
              </w:r>
            </w:hyperlink>
            <w:r w:rsidRPr="009F16AD">
              <w:rPr>
                <w:rFonts w:ascii="FrankRuehl" w:hAnsi="FrankRuehl" w:cs="FrankRuehl"/>
                <w:rtl/>
              </w:rPr>
              <w:t xml:space="preserve">, </w:t>
            </w:r>
            <w:hyperlink r:id="rId12" w:history="1">
              <w:r w:rsidRPr="009F16AD">
                <w:rPr>
                  <w:rFonts w:ascii="FrankRuehl" w:hAnsi="FrankRuehl" w:cs="FrankRuehl"/>
                  <w:color w:val="0000FF"/>
                  <w:u w:val="single"/>
                  <w:rtl/>
                </w:rPr>
                <w:t>413ט</w:t>
              </w:r>
            </w:hyperlink>
            <w:r w:rsidRPr="009F16AD">
              <w:rPr>
                <w:rFonts w:ascii="FrankRuehl" w:hAnsi="FrankRuehl" w:cs="FrankRuehl"/>
                <w:rtl/>
              </w:rPr>
              <w:t xml:space="preserve">, </w:t>
            </w:r>
            <w:hyperlink r:id="rId13" w:history="1">
              <w:r w:rsidRPr="009F16AD">
                <w:rPr>
                  <w:rFonts w:ascii="FrankRuehl" w:hAnsi="FrankRuehl" w:cs="FrankRuehl"/>
                  <w:color w:val="0000FF"/>
                  <w:u w:val="single"/>
                  <w:rtl/>
                </w:rPr>
                <w:t>454</w:t>
              </w:r>
            </w:hyperlink>
            <w:r w:rsidRPr="009F16AD">
              <w:rPr>
                <w:rFonts w:ascii="FrankRuehl" w:hAnsi="FrankRuehl" w:cs="FrankRuehl"/>
                <w:rtl/>
              </w:rPr>
              <w:t xml:space="preserve">, </w:t>
            </w:r>
            <w:hyperlink r:id="rId14" w:history="1">
              <w:r w:rsidRPr="009F16AD">
                <w:rPr>
                  <w:rFonts w:ascii="FrankRuehl" w:hAnsi="FrankRuehl" w:cs="FrankRuehl"/>
                  <w:color w:val="0000FF"/>
                  <w:u w:val="single"/>
                  <w:rtl/>
                </w:rPr>
                <w:t>456</w:t>
              </w:r>
            </w:hyperlink>
            <w:r w:rsidRPr="009F16AD">
              <w:rPr>
                <w:rFonts w:ascii="FrankRuehl" w:hAnsi="FrankRuehl" w:cs="FrankRuehl"/>
                <w:rtl/>
              </w:rPr>
              <w:t xml:space="preserve">, </w:t>
            </w:r>
            <w:hyperlink r:id="rId15" w:history="1">
              <w:r w:rsidRPr="009F16AD">
                <w:rPr>
                  <w:rFonts w:ascii="FrankRuehl" w:hAnsi="FrankRuehl" w:cs="FrankRuehl"/>
                  <w:color w:val="0000FF"/>
                  <w:u w:val="single"/>
                  <w:rtl/>
                </w:rPr>
                <w:t>498(א)</w:t>
              </w:r>
            </w:hyperlink>
            <w:r w:rsidRPr="009F16AD">
              <w:rPr>
                <w:rFonts w:ascii="FrankRuehl" w:hAnsi="FrankRuehl" w:cs="FrankRuehl"/>
                <w:rtl/>
              </w:rPr>
              <w:t xml:space="preserve">, </w:t>
            </w:r>
            <w:hyperlink r:id="rId16" w:history="1">
              <w:r w:rsidRPr="009F16AD">
                <w:rPr>
                  <w:rFonts w:ascii="FrankRuehl" w:hAnsi="FrankRuehl" w:cs="FrankRuehl"/>
                  <w:color w:val="0000FF"/>
                  <w:u w:val="single"/>
                  <w:rtl/>
                </w:rPr>
                <w:t>499(א)(1)</w:t>
              </w:r>
            </w:hyperlink>
          </w:p>
          <w:p w14:paraId="145DDAFE" w14:textId="77777777" w:rsidR="009F16AD" w:rsidRPr="009F16AD" w:rsidRDefault="009F16AD" w:rsidP="009F16AD">
            <w:pPr>
              <w:pStyle w:val="a3"/>
              <w:spacing w:after="120" w:line="240" w:lineRule="exact"/>
              <w:ind w:left="283" w:hanging="283"/>
              <w:jc w:val="both"/>
              <w:rPr>
                <w:rFonts w:ascii="FrankRuehl" w:hAnsi="FrankRuehl" w:cs="FrankRuehl"/>
                <w:rtl/>
              </w:rPr>
            </w:pPr>
          </w:p>
          <w:p w14:paraId="6FA6F393" w14:textId="77777777" w:rsidR="009F16AD" w:rsidRPr="009F16AD" w:rsidRDefault="009F16AD" w:rsidP="00010559">
            <w:pPr>
              <w:pStyle w:val="a3"/>
              <w:jc w:val="center"/>
              <w:rPr>
                <w:rFonts w:ascii="Tahoma" w:hAnsi="Tahoma"/>
                <w:sz w:val="32"/>
                <w:szCs w:val="32"/>
                <w:rtl/>
              </w:rPr>
            </w:pPr>
            <w:bookmarkStart w:id="2" w:name="LawTable_End"/>
            <w:bookmarkEnd w:id="2"/>
          </w:p>
          <w:p w14:paraId="72DB3C2B" w14:textId="77777777" w:rsidR="009F16AD" w:rsidRPr="009F16AD" w:rsidRDefault="009F16AD" w:rsidP="00010559">
            <w:pPr>
              <w:pStyle w:val="a3"/>
              <w:jc w:val="center"/>
              <w:rPr>
                <w:rFonts w:ascii="Tahoma" w:hAnsi="Tahoma"/>
                <w:sz w:val="32"/>
                <w:szCs w:val="32"/>
                <w:rtl/>
              </w:rPr>
            </w:pPr>
          </w:p>
          <w:p w14:paraId="5FA041DE" w14:textId="77777777" w:rsidR="006D2B4C" w:rsidRPr="00911097" w:rsidRDefault="006D2B4C" w:rsidP="00010559">
            <w:pPr>
              <w:pStyle w:val="a3"/>
              <w:jc w:val="center"/>
              <w:rPr>
                <w:rFonts w:ascii="Tahoma" w:hAnsi="Tahoma"/>
                <w:color w:val="000080"/>
                <w:sz w:val="32"/>
                <w:szCs w:val="32"/>
                <w:rtl/>
              </w:rPr>
            </w:pPr>
            <w:r w:rsidRPr="00911097">
              <w:rPr>
                <w:rFonts w:ascii="Tahoma" w:hAnsi="Tahoma"/>
                <w:b/>
                <w:bCs/>
                <w:color w:val="000080"/>
                <w:sz w:val="32"/>
                <w:szCs w:val="32"/>
                <w:rtl/>
              </w:rPr>
              <w:t>בית המשפט המחוזי בתל אביב - יפו</w:t>
            </w:r>
          </w:p>
        </w:tc>
      </w:tr>
      <w:tr w:rsidR="006D2B4C" w:rsidRPr="00911097" w14:paraId="76B919A9" w14:textId="77777777" w:rsidTr="00010559">
        <w:trPr>
          <w:trHeight w:val="337"/>
          <w:jc w:val="center"/>
        </w:trPr>
        <w:tc>
          <w:tcPr>
            <w:tcW w:w="5483" w:type="dxa"/>
          </w:tcPr>
          <w:p w14:paraId="3A941482" w14:textId="77777777" w:rsidR="006D2B4C" w:rsidRPr="00911097" w:rsidRDefault="006D2B4C" w:rsidP="00010559">
            <w:pPr>
              <w:rPr>
                <w:b/>
                <w:bCs/>
                <w:rtl/>
              </w:rPr>
            </w:pPr>
            <w:r w:rsidRPr="00911097">
              <w:rPr>
                <w:b/>
                <w:bCs/>
                <w:rtl/>
              </w:rPr>
              <w:t>ת"פ</w:t>
            </w:r>
            <w:r w:rsidRPr="00911097">
              <w:rPr>
                <w:rFonts w:hint="cs"/>
                <w:b/>
                <w:bCs/>
                <w:rtl/>
              </w:rPr>
              <w:t xml:space="preserve"> </w:t>
            </w:r>
            <w:r w:rsidRPr="00911097">
              <w:rPr>
                <w:b/>
                <w:bCs/>
                <w:rtl/>
              </w:rPr>
              <w:t>49632-01-18</w:t>
            </w:r>
            <w:r w:rsidRPr="00911097">
              <w:rPr>
                <w:rFonts w:hint="cs"/>
                <w:b/>
                <w:bCs/>
                <w:rtl/>
              </w:rPr>
              <w:t xml:space="preserve"> </w:t>
            </w:r>
            <w:r w:rsidRPr="00911097">
              <w:rPr>
                <w:b/>
                <w:bCs/>
                <w:rtl/>
              </w:rPr>
              <w:t>מדינת ישראל נ' שיינברג ואח'</w:t>
            </w:r>
          </w:p>
          <w:p w14:paraId="5DE39D8F" w14:textId="77777777" w:rsidR="006D2B4C" w:rsidRPr="00911097" w:rsidRDefault="006D2B4C" w:rsidP="00010559">
            <w:pPr>
              <w:pStyle w:val="a3"/>
              <w:rPr>
                <w:b/>
                <w:bCs/>
                <w:rtl/>
              </w:rPr>
            </w:pPr>
          </w:p>
        </w:tc>
        <w:tc>
          <w:tcPr>
            <w:tcW w:w="3167" w:type="dxa"/>
          </w:tcPr>
          <w:p w14:paraId="00206B18" w14:textId="77777777" w:rsidR="006D2B4C" w:rsidRPr="00911097" w:rsidRDefault="006D2B4C" w:rsidP="00010559">
            <w:pPr>
              <w:pStyle w:val="a3"/>
              <w:jc w:val="right"/>
              <w:rPr>
                <w:b/>
                <w:bCs/>
                <w:rtl/>
              </w:rPr>
            </w:pPr>
            <w:r w:rsidRPr="00911097">
              <w:rPr>
                <w:rFonts w:hint="cs"/>
                <w:b/>
                <w:bCs/>
                <w:rtl/>
              </w:rPr>
              <w:t>16 דצמבר 2018</w:t>
            </w:r>
          </w:p>
        </w:tc>
      </w:tr>
    </w:tbl>
    <w:p w14:paraId="361A4D1A" w14:textId="77777777" w:rsidR="006D2B4C" w:rsidRPr="00911097" w:rsidRDefault="006D2B4C" w:rsidP="006D2B4C">
      <w:pPr>
        <w:pStyle w:val="a3"/>
        <w:rPr>
          <w:rtl/>
        </w:rPr>
      </w:pPr>
      <w:r w:rsidRPr="00911097">
        <w:rPr>
          <w:rFonts w:hint="cs"/>
          <w:rtl/>
        </w:rPr>
        <w:t xml:space="preserve"> </w:t>
      </w:r>
    </w:p>
    <w:p w14:paraId="2A0CA51B" w14:textId="77777777" w:rsidR="006D2B4C" w:rsidRPr="00911097" w:rsidRDefault="006D2B4C" w:rsidP="006D2B4C">
      <w:pPr>
        <w:rPr>
          <w:rtl/>
        </w:rPr>
      </w:pPr>
    </w:p>
    <w:p w14:paraId="4226BB4D" w14:textId="77777777" w:rsidR="006D2B4C" w:rsidRPr="00911097" w:rsidRDefault="006D2B4C" w:rsidP="006D2B4C">
      <w:pPr>
        <w:rPr>
          <w:rtl/>
        </w:rPr>
      </w:pPr>
    </w:p>
    <w:tbl>
      <w:tblPr>
        <w:bidiVisual/>
        <w:tblW w:w="8361" w:type="dxa"/>
        <w:tblInd w:w="413" w:type="dxa"/>
        <w:tblLook w:val="01E0" w:firstRow="1" w:lastRow="1" w:firstColumn="1" w:lastColumn="1" w:noHBand="0" w:noVBand="0"/>
      </w:tblPr>
      <w:tblGrid>
        <w:gridCol w:w="2439"/>
        <w:gridCol w:w="5922"/>
      </w:tblGrid>
      <w:tr w:rsidR="006D2B4C" w:rsidRPr="00911097" w14:paraId="1C40A91F" w14:textId="77777777" w:rsidTr="006D2B4C">
        <w:trPr>
          <w:cantSplit/>
          <w:trHeight w:val="724"/>
        </w:trPr>
        <w:tc>
          <w:tcPr>
            <w:tcW w:w="8361" w:type="dxa"/>
            <w:gridSpan w:val="2"/>
            <w:shd w:val="clear" w:color="auto" w:fill="auto"/>
          </w:tcPr>
          <w:p w14:paraId="62EC3F2E" w14:textId="77777777" w:rsidR="006D2B4C" w:rsidRPr="00911097" w:rsidRDefault="006D2B4C" w:rsidP="00010559">
            <w:pPr>
              <w:rPr>
                <w:b/>
                <w:bCs/>
              </w:rPr>
            </w:pPr>
            <w:r w:rsidRPr="00911097">
              <w:rPr>
                <w:rFonts w:hint="cs"/>
                <w:b/>
                <w:bCs/>
                <w:rtl/>
              </w:rPr>
              <w:t>לפני כב' השופט בני שגיא</w:t>
            </w:r>
          </w:p>
        </w:tc>
      </w:tr>
      <w:tr w:rsidR="006D2B4C" w:rsidRPr="00911097" w14:paraId="7F988C98" w14:textId="77777777" w:rsidTr="006D2B4C">
        <w:trPr>
          <w:cantSplit/>
          <w:trHeight w:val="724"/>
        </w:trPr>
        <w:tc>
          <w:tcPr>
            <w:tcW w:w="2439" w:type="dxa"/>
            <w:shd w:val="clear" w:color="auto" w:fill="auto"/>
          </w:tcPr>
          <w:p w14:paraId="77A4C2D4" w14:textId="77777777" w:rsidR="006D2B4C" w:rsidRPr="00911097" w:rsidRDefault="006D2B4C" w:rsidP="006D2B4C">
            <w:pPr>
              <w:ind w:left="26"/>
              <w:jc w:val="right"/>
              <w:rPr>
                <w:b/>
                <w:bCs/>
              </w:rPr>
            </w:pPr>
            <w:bookmarkStart w:id="3" w:name="FirstAppellant"/>
            <w:bookmarkStart w:id="4" w:name="FirstLawyer"/>
          </w:p>
          <w:p w14:paraId="06D3448B" w14:textId="77777777" w:rsidR="006D2B4C" w:rsidRPr="00911097" w:rsidRDefault="006D2B4C" w:rsidP="006D2B4C">
            <w:pPr>
              <w:ind w:left="26"/>
              <w:rPr>
                <w:b/>
                <w:bCs/>
              </w:rPr>
            </w:pPr>
            <w:r w:rsidRPr="00911097">
              <w:rPr>
                <w:rFonts w:hint="cs"/>
                <w:b/>
                <w:bCs/>
                <w:rtl/>
              </w:rPr>
              <w:t>המאשימה</w:t>
            </w:r>
          </w:p>
        </w:tc>
        <w:tc>
          <w:tcPr>
            <w:tcW w:w="5922" w:type="dxa"/>
            <w:shd w:val="clear" w:color="auto" w:fill="auto"/>
          </w:tcPr>
          <w:p w14:paraId="71F92FFB" w14:textId="77777777" w:rsidR="006D2B4C" w:rsidRPr="00911097" w:rsidRDefault="006D2B4C" w:rsidP="006D2B4C">
            <w:pPr>
              <w:jc w:val="right"/>
            </w:pPr>
          </w:p>
          <w:p w14:paraId="7FB2A5D1" w14:textId="77777777" w:rsidR="006D2B4C" w:rsidRPr="00911097" w:rsidRDefault="006D2B4C" w:rsidP="006D2B4C">
            <w:pPr>
              <w:spacing w:line="360" w:lineRule="auto"/>
              <w:rPr>
                <w:rtl/>
              </w:rPr>
            </w:pPr>
            <w:r w:rsidRPr="00911097">
              <w:rPr>
                <w:rFonts w:hint="cs"/>
                <w:rtl/>
              </w:rPr>
              <w:t xml:space="preserve"> </w:t>
            </w:r>
            <w:r w:rsidRPr="00911097">
              <w:rPr>
                <w:rFonts w:hint="cs"/>
                <w:b/>
                <w:bCs/>
                <w:rtl/>
              </w:rPr>
              <w:t>מדינת ישראל</w:t>
            </w:r>
          </w:p>
          <w:p w14:paraId="03904A07" w14:textId="77777777" w:rsidR="006D2B4C" w:rsidRPr="00911097" w:rsidRDefault="006D2B4C" w:rsidP="00010559">
            <w:r w:rsidRPr="00911097">
              <w:rPr>
                <w:rFonts w:hint="cs"/>
                <w:rtl/>
              </w:rPr>
              <w:t>על-ידי ב"כ עו"ד אורן פז</w:t>
            </w:r>
          </w:p>
          <w:p w14:paraId="51748ED6" w14:textId="77777777" w:rsidR="006D2B4C" w:rsidRPr="00911097" w:rsidRDefault="006D2B4C" w:rsidP="006D2B4C">
            <w:pPr>
              <w:jc w:val="right"/>
              <w:rPr>
                <w:b/>
                <w:bCs/>
              </w:rPr>
            </w:pPr>
          </w:p>
        </w:tc>
      </w:tr>
      <w:bookmarkEnd w:id="3"/>
      <w:bookmarkEnd w:id="4"/>
      <w:tr w:rsidR="006D2B4C" w:rsidRPr="00911097" w14:paraId="28081930" w14:textId="77777777" w:rsidTr="006D2B4C">
        <w:tc>
          <w:tcPr>
            <w:tcW w:w="8361" w:type="dxa"/>
            <w:gridSpan w:val="2"/>
            <w:shd w:val="clear" w:color="auto" w:fill="auto"/>
            <w:vAlign w:val="center"/>
          </w:tcPr>
          <w:p w14:paraId="1A568FCB" w14:textId="77777777" w:rsidR="006D2B4C" w:rsidRPr="00911097" w:rsidRDefault="006D2B4C" w:rsidP="006D2B4C">
            <w:pPr>
              <w:jc w:val="center"/>
              <w:rPr>
                <w:rFonts w:ascii="Arial" w:hAnsi="Arial"/>
                <w:b/>
                <w:bCs/>
              </w:rPr>
            </w:pPr>
          </w:p>
          <w:p w14:paraId="05D719DE" w14:textId="77777777" w:rsidR="006D2B4C" w:rsidRPr="00911097" w:rsidRDefault="006D2B4C" w:rsidP="006D2B4C">
            <w:pPr>
              <w:jc w:val="center"/>
              <w:rPr>
                <w:rFonts w:ascii="Arial" w:hAnsi="Arial"/>
                <w:b/>
                <w:bCs/>
              </w:rPr>
            </w:pPr>
            <w:r w:rsidRPr="00911097">
              <w:rPr>
                <w:rFonts w:ascii="Arial" w:hAnsi="Arial" w:hint="cs"/>
                <w:b/>
                <w:bCs/>
                <w:rtl/>
              </w:rPr>
              <w:t>נגד</w:t>
            </w:r>
          </w:p>
        </w:tc>
      </w:tr>
      <w:tr w:rsidR="006D2B4C" w:rsidRPr="00911097" w14:paraId="47399321" w14:textId="77777777" w:rsidTr="006D2B4C">
        <w:tc>
          <w:tcPr>
            <w:tcW w:w="2439" w:type="dxa"/>
            <w:shd w:val="clear" w:color="auto" w:fill="auto"/>
          </w:tcPr>
          <w:p w14:paraId="59BB2179" w14:textId="77777777" w:rsidR="006D2B4C" w:rsidRPr="00911097" w:rsidRDefault="006D2B4C" w:rsidP="006D2B4C">
            <w:pPr>
              <w:ind w:left="26"/>
              <w:rPr>
                <w:b/>
                <w:bCs/>
              </w:rPr>
            </w:pPr>
            <w:r w:rsidRPr="00911097">
              <w:rPr>
                <w:rFonts w:hint="cs"/>
                <w:b/>
                <w:bCs/>
                <w:rtl/>
              </w:rPr>
              <w:t>הנאשם</w:t>
            </w:r>
          </w:p>
        </w:tc>
        <w:tc>
          <w:tcPr>
            <w:tcW w:w="5922" w:type="dxa"/>
            <w:shd w:val="clear" w:color="auto" w:fill="auto"/>
          </w:tcPr>
          <w:p w14:paraId="7B001364" w14:textId="77777777" w:rsidR="006D2B4C" w:rsidRPr="00911097" w:rsidRDefault="006D2B4C" w:rsidP="006D2B4C">
            <w:pPr>
              <w:spacing w:line="360" w:lineRule="auto"/>
              <w:rPr>
                <w:b/>
                <w:bCs/>
                <w:rtl/>
              </w:rPr>
            </w:pPr>
            <w:r w:rsidRPr="00911097">
              <w:rPr>
                <w:rFonts w:hint="cs"/>
                <w:b/>
                <w:bCs/>
                <w:rtl/>
              </w:rPr>
              <w:t>1. משה שיינברג</w:t>
            </w:r>
          </w:p>
          <w:p w14:paraId="4CF4EDDF" w14:textId="77777777" w:rsidR="006D2B4C" w:rsidRPr="00911097" w:rsidRDefault="006D2B4C" w:rsidP="00010559">
            <w:pPr>
              <w:rPr>
                <w:rtl/>
              </w:rPr>
            </w:pPr>
            <w:r w:rsidRPr="00911097">
              <w:rPr>
                <w:rFonts w:hint="cs"/>
                <w:rtl/>
              </w:rPr>
              <w:t>על-ידי ב"כ עו"ד גיא פרידמן</w:t>
            </w:r>
          </w:p>
          <w:p w14:paraId="6B56584E" w14:textId="77777777" w:rsidR="006D2B4C" w:rsidRPr="00911097" w:rsidRDefault="006D2B4C" w:rsidP="00010559">
            <w:pPr>
              <w:rPr>
                <w:rtl/>
              </w:rPr>
            </w:pPr>
          </w:p>
          <w:p w14:paraId="6A868F6F" w14:textId="77777777" w:rsidR="006D2B4C" w:rsidRPr="00911097" w:rsidRDefault="006D2B4C" w:rsidP="00010559">
            <w:pPr>
              <w:rPr>
                <w:b/>
                <w:bCs/>
                <w:rtl/>
              </w:rPr>
            </w:pPr>
            <w:r w:rsidRPr="00911097">
              <w:rPr>
                <w:rFonts w:hint="cs"/>
                <w:b/>
                <w:bCs/>
                <w:rtl/>
              </w:rPr>
              <w:t>2. נוריאל חג'אני (נדון)</w:t>
            </w:r>
          </w:p>
        </w:tc>
      </w:tr>
    </w:tbl>
    <w:p w14:paraId="06CE31DB" w14:textId="77777777" w:rsidR="006D2B4C" w:rsidRPr="00911097" w:rsidRDefault="006D2B4C" w:rsidP="006D2B4C">
      <w:pPr>
        <w:spacing w:line="360" w:lineRule="auto"/>
        <w:jc w:val="both"/>
        <w:rPr>
          <w:rFonts w:ascii="David" w:hAnsi="David"/>
          <w:sz w:val="6"/>
          <w:szCs w:val="6"/>
          <w:rtl/>
        </w:rPr>
      </w:pPr>
      <w:r w:rsidRPr="00911097">
        <w:rPr>
          <w:rFonts w:hint="cs"/>
          <w:sz w:val="6"/>
          <w:szCs w:val="6"/>
          <w:rtl/>
        </w:rPr>
        <w:t>&lt;#1#&gt;</w:t>
      </w:r>
    </w:p>
    <w:p w14:paraId="2F5B625F" w14:textId="77777777" w:rsidR="00D40CA5" w:rsidRPr="00D40CA5" w:rsidRDefault="00D40CA5" w:rsidP="00D40CA5">
      <w:pPr>
        <w:pStyle w:val="a3"/>
        <w:spacing w:after="120" w:line="240" w:lineRule="exact"/>
        <w:ind w:left="283" w:hanging="283"/>
        <w:jc w:val="both"/>
        <w:rPr>
          <w:rFonts w:ascii="FrankRuehl" w:hAnsi="FrankRuehl" w:cs="FrankRuehl"/>
          <w:rtl/>
        </w:rPr>
      </w:pPr>
    </w:p>
    <w:p w14:paraId="5FD998BF" w14:textId="77777777" w:rsidR="00D40CA5" w:rsidRPr="00D40CA5" w:rsidRDefault="00D40CA5" w:rsidP="00D40CA5">
      <w:pPr>
        <w:pStyle w:val="a3"/>
        <w:spacing w:after="120" w:line="240" w:lineRule="exact"/>
        <w:ind w:left="283" w:hanging="283"/>
        <w:jc w:val="both"/>
        <w:rPr>
          <w:rFonts w:ascii="FrankRuehl" w:hAnsi="FrankRuehl" w:cs="FrankRuehl"/>
          <w:rtl/>
        </w:rPr>
      </w:pPr>
      <w:r w:rsidRPr="00D40CA5">
        <w:rPr>
          <w:rFonts w:ascii="FrankRuehl" w:hAnsi="FrankRuehl" w:cs="FrankRuehl"/>
          <w:rtl/>
        </w:rPr>
        <w:t xml:space="preserve">חקיקה שאוזכרה: </w:t>
      </w:r>
    </w:p>
    <w:p w14:paraId="39C5C71B" w14:textId="77777777" w:rsidR="00D40CA5" w:rsidRPr="00D40CA5" w:rsidRDefault="00D40CA5" w:rsidP="00D40CA5">
      <w:pPr>
        <w:pStyle w:val="a3"/>
        <w:spacing w:after="120" w:line="240" w:lineRule="exact"/>
        <w:ind w:left="283" w:hanging="283"/>
        <w:jc w:val="both"/>
        <w:rPr>
          <w:rFonts w:ascii="FrankRuehl" w:hAnsi="FrankRuehl" w:cs="FrankRuehl"/>
          <w:rtl/>
        </w:rPr>
      </w:pPr>
      <w:hyperlink r:id="rId17" w:history="1">
        <w:r w:rsidRPr="00D40CA5">
          <w:rPr>
            <w:rFonts w:ascii="FrankRuehl" w:hAnsi="FrankRuehl" w:cs="FrankRuehl"/>
            <w:color w:val="0000FF"/>
            <w:u w:val="single"/>
            <w:rtl/>
          </w:rPr>
          <w:t>חוק העונשין, תשל"ז-1977</w:t>
        </w:r>
      </w:hyperlink>
      <w:r w:rsidRPr="00D40CA5">
        <w:rPr>
          <w:rFonts w:ascii="FrankRuehl" w:hAnsi="FrankRuehl" w:cs="FrankRuehl"/>
          <w:rtl/>
        </w:rPr>
        <w:t xml:space="preserve">: סע'  </w:t>
      </w:r>
      <w:hyperlink r:id="rId18" w:history="1">
        <w:r w:rsidRPr="00D40CA5">
          <w:rPr>
            <w:rFonts w:ascii="FrankRuehl" w:hAnsi="FrankRuehl" w:cs="FrankRuehl"/>
            <w:color w:val="0000FF"/>
            <w:u w:val="single"/>
            <w:rtl/>
          </w:rPr>
          <w:t>144</w:t>
        </w:r>
      </w:hyperlink>
      <w:r w:rsidRPr="00D40CA5">
        <w:rPr>
          <w:rFonts w:ascii="FrankRuehl" w:hAnsi="FrankRuehl" w:cs="FrankRuehl"/>
          <w:rtl/>
        </w:rPr>
        <w:t xml:space="preserve">, </w:t>
      </w:r>
      <w:hyperlink r:id="rId19" w:history="1">
        <w:r w:rsidRPr="00D40CA5">
          <w:rPr>
            <w:rFonts w:ascii="FrankRuehl" w:hAnsi="FrankRuehl" w:cs="FrankRuehl"/>
            <w:color w:val="0000FF"/>
            <w:u w:val="single"/>
            <w:rtl/>
          </w:rPr>
          <w:t>144(א)</w:t>
        </w:r>
      </w:hyperlink>
      <w:r w:rsidRPr="00D40CA5">
        <w:rPr>
          <w:rFonts w:ascii="FrankRuehl" w:hAnsi="FrankRuehl" w:cs="FrankRuehl"/>
          <w:rtl/>
        </w:rPr>
        <w:t xml:space="preserve">, </w:t>
      </w:r>
      <w:hyperlink r:id="rId20" w:history="1">
        <w:r w:rsidRPr="00D40CA5">
          <w:rPr>
            <w:rFonts w:ascii="FrankRuehl" w:hAnsi="FrankRuehl" w:cs="FrankRuehl"/>
            <w:color w:val="0000FF"/>
            <w:u w:val="single"/>
            <w:rtl/>
          </w:rPr>
          <w:t>144(ב)</w:t>
        </w:r>
      </w:hyperlink>
      <w:r w:rsidRPr="00D40CA5">
        <w:rPr>
          <w:rFonts w:ascii="FrankRuehl" w:hAnsi="FrankRuehl" w:cs="FrankRuehl"/>
          <w:rtl/>
        </w:rPr>
        <w:t xml:space="preserve">, </w:t>
      </w:r>
      <w:hyperlink r:id="rId21" w:history="1">
        <w:r w:rsidRPr="00D40CA5">
          <w:rPr>
            <w:rFonts w:ascii="FrankRuehl" w:hAnsi="FrankRuehl" w:cs="FrankRuehl"/>
            <w:color w:val="0000FF"/>
            <w:u w:val="single"/>
            <w:rtl/>
          </w:rPr>
          <w:t>144(ב2)</w:t>
        </w:r>
      </w:hyperlink>
      <w:r w:rsidRPr="00D40CA5">
        <w:rPr>
          <w:rFonts w:ascii="FrankRuehl" w:hAnsi="FrankRuehl" w:cs="FrankRuehl"/>
          <w:rtl/>
        </w:rPr>
        <w:t xml:space="preserve">, </w:t>
      </w:r>
      <w:hyperlink r:id="rId22" w:history="1">
        <w:r w:rsidRPr="00D40CA5">
          <w:rPr>
            <w:rFonts w:ascii="FrankRuehl" w:hAnsi="FrankRuehl" w:cs="FrankRuehl"/>
            <w:color w:val="0000FF"/>
            <w:u w:val="single"/>
            <w:rtl/>
          </w:rPr>
          <w:t>192</w:t>
        </w:r>
      </w:hyperlink>
      <w:r w:rsidRPr="00D40CA5">
        <w:rPr>
          <w:rFonts w:ascii="FrankRuehl" w:hAnsi="FrankRuehl" w:cs="FrankRuehl"/>
          <w:rtl/>
        </w:rPr>
        <w:t xml:space="preserve">, </w:t>
      </w:r>
      <w:hyperlink r:id="rId23" w:history="1">
        <w:r w:rsidRPr="00D40CA5">
          <w:rPr>
            <w:rFonts w:ascii="FrankRuehl" w:hAnsi="FrankRuehl" w:cs="FrankRuehl"/>
            <w:color w:val="0000FF"/>
            <w:u w:val="single"/>
            <w:rtl/>
          </w:rPr>
          <w:t>413ט</w:t>
        </w:r>
      </w:hyperlink>
      <w:r w:rsidRPr="00D40CA5">
        <w:rPr>
          <w:rFonts w:ascii="FrankRuehl" w:hAnsi="FrankRuehl" w:cs="FrankRuehl"/>
          <w:rtl/>
        </w:rPr>
        <w:t xml:space="preserve">, </w:t>
      </w:r>
      <w:hyperlink r:id="rId24" w:history="1">
        <w:r w:rsidRPr="00D40CA5">
          <w:rPr>
            <w:rFonts w:ascii="FrankRuehl" w:hAnsi="FrankRuehl" w:cs="FrankRuehl"/>
            <w:color w:val="0000FF"/>
            <w:u w:val="single"/>
            <w:rtl/>
          </w:rPr>
          <w:t>454</w:t>
        </w:r>
      </w:hyperlink>
      <w:r w:rsidRPr="00D40CA5">
        <w:rPr>
          <w:rFonts w:ascii="FrankRuehl" w:hAnsi="FrankRuehl" w:cs="FrankRuehl"/>
          <w:rtl/>
        </w:rPr>
        <w:t xml:space="preserve">, </w:t>
      </w:r>
      <w:hyperlink r:id="rId25" w:history="1">
        <w:r w:rsidRPr="00D40CA5">
          <w:rPr>
            <w:rFonts w:ascii="FrankRuehl" w:hAnsi="FrankRuehl" w:cs="FrankRuehl"/>
            <w:color w:val="0000FF"/>
            <w:u w:val="single"/>
            <w:rtl/>
          </w:rPr>
          <w:t>456</w:t>
        </w:r>
      </w:hyperlink>
      <w:r w:rsidRPr="00D40CA5">
        <w:rPr>
          <w:rFonts w:ascii="FrankRuehl" w:hAnsi="FrankRuehl" w:cs="FrankRuehl"/>
          <w:rtl/>
        </w:rPr>
        <w:t xml:space="preserve">, </w:t>
      </w:r>
      <w:hyperlink r:id="rId26" w:history="1">
        <w:r w:rsidRPr="00D40CA5">
          <w:rPr>
            <w:rFonts w:ascii="FrankRuehl" w:hAnsi="FrankRuehl" w:cs="FrankRuehl"/>
            <w:color w:val="0000FF"/>
            <w:u w:val="single"/>
            <w:rtl/>
          </w:rPr>
          <w:t>498(א)</w:t>
        </w:r>
      </w:hyperlink>
      <w:r w:rsidRPr="00D40CA5">
        <w:rPr>
          <w:rFonts w:ascii="FrankRuehl" w:hAnsi="FrankRuehl" w:cs="FrankRuehl"/>
          <w:rtl/>
        </w:rPr>
        <w:t xml:space="preserve">, </w:t>
      </w:r>
      <w:hyperlink r:id="rId27" w:history="1">
        <w:r w:rsidRPr="00D40CA5">
          <w:rPr>
            <w:rFonts w:ascii="FrankRuehl" w:hAnsi="FrankRuehl" w:cs="FrankRuehl"/>
            <w:color w:val="0000FF"/>
            <w:u w:val="single"/>
            <w:rtl/>
          </w:rPr>
          <w:t>499(א)(1)</w:t>
        </w:r>
      </w:hyperlink>
    </w:p>
    <w:p w14:paraId="737429FA" w14:textId="77777777" w:rsidR="00D40CA5" w:rsidRPr="00D40CA5" w:rsidRDefault="00D40CA5" w:rsidP="00D40CA5">
      <w:pPr>
        <w:pStyle w:val="a3"/>
        <w:spacing w:after="120" w:line="240" w:lineRule="exact"/>
        <w:ind w:left="283" w:hanging="283"/>
        <w:jc w:val="both"/>
        <w:rPr>
          <w:rFonts w:ascii="FrankRuehl" w:hAnsi="FrankRuehl" w:cs="FrankRuehl"/>
          <w:rtl/>
        </w:rPr>
      </w:pPr>
    </w:p>
    <w:p w14:paraId="4A7B4D7C" w14:textId="77777777" w:rsidR="006D2B4C" w:rsidRPr="00911097" w:rsidRDefault="006D2B4C" w:rsidP="006D2B4C">
      <w:pPr>
        <w:rPr>
          <w:rtl/>
        </w:rPr>
      </w:pPr>
    </w:p>
    <w:p w14:paraId="77587D03" w14:textId="77777777" w:rsidR="006D2B4C" w:rsidRPr="00911097" w:rsidRDefault="006D2B4C" w:rsidP="006D2B4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2B4C" w:rsidRPr="00911097" w14:paraId="2239F437" w14:textId="77777777" w:rsidTr="006D2B4C">
        <w:trPr>
          <w:trHeight w:val="355"/>
          <w:jc w:val="center"/>
        </w:trPr>
        <w:tc>
          <w:tcPr>
            <w:tcW w:w="8820" w:type="dxa"/>
            <w:tcBorders>
              <w:top w:val="nil"/>
              <w:left w:val="nil"/>
              <w:bottom w:val="nil"/>
              <w:right w:val="nil"/>
            </w:tcBorders>
            <w:shd w:val="clear" w:color="auto" w:fill="auto"/>
          </w:tcPr>
          <w:p w14:paraId="18C0DCAB" w14:textId="77777777" w:rsidR="006D2B4C" w:rsidRPr="00911097" w:rsidRDefault="006D2B4C" w:rsidP="006D2B4C">
            <w:pPr>
              <w:jc w:val="center"/>
              <w:rPr>
                <w:rFonts w:ascii="Arial" w:hAnsi="Arial"/>
                <w:b/>
                <w:bCs/>
                <w:sz w:val="36"/>
                <w:szCs w:val="36"/>
                <w:rtl/>
              </w:rPr>
            </w:pPr>
            <w:bookmarkStart w:id="5" w:name="PsakDin"/>
            <w:r w:rsidRPr="00911097">
              <w:rPr>
                <w:rFonts w:ascii="Arial" w:hAnsi="Arial" w:hint="cs"/>
                <w:b/>
                <w:bCs/>
                <w:sz w:val="36"/>
                <w:szCs w:val="36"/>
                <w:rtl/>
              </w:rPr>
              <w:t xml:space="preserve">גזר דין </w:t>
            </w:r>
            <w:bookmarkEnd w:id="5"/>
            <w:r w:rsidRPr="00911097">
              <w:rPr>
                <w:rFonts w:ascii="Arial" w:hAnsi="Arial"/>
                <w:b/>
                <w:bCs/>
                <w:sz w:val="36"/>
                <w:szCs w:val="36"/>
                <w:rtl/>
              </w:rPr>
              <w:t>–</w:t>
            </w:r>
            <w:r w:rsidRPr="00911097">
              <w:rPr>
                <w:rFonts w:ascii="Arial" w:hAnsi="Arial" w:hint="cs"/>
                <w:b/>
                <w:bCs/>
                <w:sz w:val="36"/>
                <w:szCs w:val="36"/>
                <w:rtl/>
              </w:rPr>
              <w:t xml:space="preserve"> נאשם 1</w:t>
            </w:r>
          </w:p>
          <w:p w14:paraId="39DE5A46" w14:textId="77777777" w:rsidR="006D2B4C" w:rsidRPr="00911097" w:rsidRDefault="006D2B4C" w:rsidP="006D2B4C">
            <w:pPr>
              <w:jc w:val="center"/>
              <w:rPr>
                <w:rFonts w:ascii="Arial" w:hAnsi="Arial"/>
                <w:sz w:val="28"/>
                <w:szCs w:val="28"/>
                <w:rtl/>
              </w:rPr>
            </w:pPr>
          </w:p>
        </w:tc>
      </w:tr>
    </w:tbl>
    <w:p w14:paraId="245AB215" w14:textId="77777777" w:rsidR="006D2B4C" w:rsidRPr="00911097" w:rsidRDefault="006D2B4C" w:rsidP="006D2B4C">
      <w:pPr>
        <w:rPr>
          <w:rFonts w:ascii="Arial" w:hAnsi="Arial"/>
          <w:rtl/>
        </w:rPr>
      </w:pPr>
    </w:p>
    <w:p w14:paraId="466E89C6" w14:textId="77777777" w:rsidR="006D2B4C" w:rsidRPr="00911097" w:rsidRDefault="006D2B4C" w:rsidP="006D2B4C">
      <w:pPr>
        <w:spacing w:line="360" w:lineRule="auto"/>
        <w:rPr>
          <w:rFonts w:ascii="Arial" w:hAnsi="Arial"/>
          <w:rtl/>
        </w:rPr>
      </w:pPr>
    </w:p>
    <w:p w14:paraId="19A848F9" w14:textId="77777777" w:rsidR="006D2B4C" w:rsidRPr="00911097" w:rsidRDefault="006D2B4C" w:rsidP="006D2B4C">
      <w:pPr>
        <w:spacing w:line="360" w:lineRule="auto"/>
        <w:rPr>
          <w:rtl/>
        </w:rPr>
      </w:pPr>
      <w:r w:rsidRPr="00911097">
        <w:rPr>
          <w:rtl/>
        </w:rPr>
        <w:tab/>
      </w:r>
      <w:r w:rsidRPr="00911097">
        <w:rPr>
          <w:rFonts w:hint="cs"/>
          <w:rtl/>
        </w:rPr>
        <w:t>כללי</w:t>
      </w:r>
    </w:p>
    <w:p w14:paraId="68043C57" w14:textId="77777777" w:rsidR="006D2B4C" w:rsidRPr="00911097" w:rsidRDefault="006D2B4C" w:rsidP="006D2B4C">
      <w:pPr>
        <w:spacing w:line="360" w:lineRule="auto"/>
        <w:rPr>
          <w:rtl/>
        </w:rPr>
      </w:pPr>
    </w:p>
    <w:p w14:paraId="058BC52D" w14:textId="77777777" w:rsidR="006D2B4C" w:rsidRPr="00911097" w:rsidRDefault="006D2B4C" w:rsidP="006D2B4C">
      <w:pPr>
        <w:spacing w:line="360" w:lineRule="auto"/>
        <w:ind w:left="720" w:hanging="720"/>
        <w:rPr>
          <w:rtl/>
        </w:rPr>
      </w:pPr>
      <w:r w:rsidRPr="00911097">
        <w:rPr>
          <w:rFonts w:hint="cs"/>
          <w:rtl/>
        </w:rPr>
        <w:t>1.</w:t>
      </w:r>
      <w:r w:rsidRPr="00911097">
        <w:rPr>
          <w:rFonts w:hint="cs"/>
          <w:rtl/>
        </w:rPr>
        <w:tab/>
      </w:r>
      <w:bookmarkStart w:id="6" w:name="ABSTRACT_START"/>
      <w:bookmarkEnd w:id="6"/>
      <w:r w:rsidRPr="00911097">
        <w:rPr>
          <w:rFonts w:hint="cs"/>
          <w:rtl/>
        </w:rPr>
        <w:t xml:space="preserve">נאשם 1 (להלן </w:t>
      </w:r>
      <w:r w:rsidRPr="00911097">
        <w:rPr>
          <w:rtl/>
        </w:rPr>
        <w:t>–</w:t>
      </w:r>
      <w:r w:rsidRPr="00911097">
        <w:rPr>
          <w:rFonts w:hint="cs"/>
          <w:rtl/>
        </w:rPr>
        <w:t xml:space="preserve"> </w:t>
      </w:r>
      <w:r w:rsidRPr="00911097">
        <w:rPr>
          <w:rFonts w:hint="cs"/>
          <w:b/>
          <w:bCs/>
          <w:rtl/>
        </w:rPr>
        <w:t>הנאשם</w:t>
      </w:r>
      <w:r w:rsidRPr="00911097">
        <w:rPr>
          <w:rFonts w:hint="cs"/>
          <w:rtl/>
        </w:rPr>
        <w:t xml:space="preserve">) הורשע על יסוד הודאתו, ובמסגרת הסדר טיעון, בעובדות כתב אישום מתוקן בעבירות הבאות: </w:t>
      </w:r>
    </w:p>
    <w:p w14:paraId="5E181494" w14:textId="77777777" w:rsidR="006D2B4C" w:rsidRPr="00911097" w:rsidRDefault="006D2B4C" w:rsidP="006D2B4C">
      <w:pPr>
        <w:spacing w:line="360" w:lineRule="auto"/>
        <w:ind w:left="720" w:hanging="720"/>
        <w:rPr>
          <w:rtl/>
        </w:rPr>
      </w:pPr>
    </w:p>
    <w:p w14:paraId="5CDA6BAC" w14:textId="77777777" w:rsidR="006D2B4C" w:rsidRPr="00911097" w:rsidRDefault="006D2B4C" w:rsidP="006D2B4C">
      <w:pPr>
        <w:spacing w:line="360" w:lineRule="auto"/>
        <w:ind w:left="720" w:hanging="720"/>
        <w:jc w:val="both"/>
        <w:rPr>
          <w:rtl/>
        </w:rPr>
      </w:pPr>
      <w:r w:rsidRPr="00911097">
        <w:rPr>
          <w:rtl/>
        </w:rPr>
        <w:tab/>
      </w:r>
      <w:r w:rsidRPr="00911097">
        <w:rPr>
          <w:rFonts w:hint="cs"/>
          <w:rtl/>
        </w:rPr>
        <w:t xml:space="preserve">מתן אמצעים לביצוע פשע, עבירה לפי </w:t>
      </w:r>
      <w:hyperlink r:id="rId28" w:history="1">
        <w:r w:rsidR="00D40CA5" w:rsidRPr="00D40CA5">
          <w:rPr>
            <w:color w:val="0000FF"/>
            <w:u w:val="single"/>
            <w:rtl/>
          </w:rPr>
          <w:t>סעיף 498(א)</w:t>
        </w:r>
      </w:hyperlink>
      <w:r w:rsidRPr="00911097">
        <w:rPr>
          <w:rFonts w:hint="cs"/>
          <w:rtl/>
        </w:rPr>
        <w:t xml:space="preserve"> ל</w:t>
      </w:r>
      <w:hyperlink r:id="rId29" w:history="1">
        <w:r w:rsidR="00911097" w:rsidRPr="00911097">
          <w:rPr>
            <w:color w:val="0000FF"/>
            <w:u w:val="single"/>
            <w:rtl/>
          </w:rPr>
          <w:t>חוק העונשין</w:t>
        </w:r>
      </w:hyperlink>
      <w:r w:rsidRPr="00911097">
        <w:rPr>
          <w:rFonts w:hint="cs"/>
          <w:rtl/>
        </w:rPr>
        <w:t xml:space="preserve"> תשל"ז-1977; קשירת קשר לביצוע פשע (הצתה), עבירה לפי </w:t>
      </w:r>
      <w:hyperlink r:id="rId30" w:history="1">
        <w:r w:rsidR="00D40CA5" w:rsidRPr="00D40CA5">
          <w:rPr>
            <w:color w:val="0000FF"/>
            <w:u w:val="single"/>
            <w:rtl/>
          </w:rPr>
          <w:t>סעיף 499(א)(1)</w:t>
        </w:r>
      </w:hyperlink>
      <w:r w:rsidRPr="00911097">
        <w:rPr>
          <w:rFonts w:hint="cs"/>
          <w:rtl/>
        </w:rPr>
        <w:t xml:space="preserve"> לחוק העונשין; ניסיון להרוס נכס בחומר נפיץ, עבירה לפי </w:t>
      </w:r>
      <w:hyperlink r:id="rId31" w:history="1">
        <w:r w:rsidR="00D40CA5" w:rsidRPr="00D40CA5">
          <w:rPr>
            <w:color w:val="0000FF"/>
            <w:u w:val="single"/>
            <w:rtl/>
          </w:rPr>
          <w:t>סעיף 456</w:t>
        </w:r>
      </w:hyperlink>
      <w:r w:rsidRPr="00911097">
        <w:rPr>
          <w:rFonts w:hint="cs"/>
          <w:rtl/>
        </w:rPr>
        <w:t xml:space="preserve"> לחוק העונשין; ייצור נשק שלא כדין, עבירה לפי </w:t>
      </w:r>
      <w:hyperlink r:id="rId32" w:history="1">
        <w:r w:rsidR="00D40CA5" w:rsidRPr="00D40CA5">
          <w:rPr>
            <w:color w:val="0000FF"/>
            <w:u w:val="single"/>
            <w:rtl/>
          </w:rPr>
          <w:t>סעיף 144(ב2)</w:t>
        </w:r>
      </w:hyperlink>
      <w:r w:rsidRPr="00911097">
        <w:rPr>
          <w:rFonts w:hint="cs"/>
          <w:rtl/>
        </w:rPr>
        <w:t xml:space="preserve"> לחוק העונשין; החזקת נשק שלא כדין, עבירה לפי </w:t>
      </w:r>
      <w:hyperlink r:id="rId33" w:history="1">
        <w:r w:rsidR="00D40CA5" w:rsidRPr="00D40CA5">
          <w:rPr>
            <w:color w:val="0000FF"/>
            <w:u w:val="single"/>
            <w:rtl/>
          </w:rPr>
          <w:t>סעיף 144(א)</w:t>
        </w:r>
      </w:hyperlink>
      <w:r w:rsidRPr="00911097">
        <w:rPr>
          <w:rFonts w:hint="cs"/>
          <w:rtl/>
        </w:rPr>
        <w:t xml:space="preserve"> לחוק העונשין; נשיאת נשק שלא כדין, עבירה לפי </w:t>
      </w:r>
      <w:hyperlink r:id="rId34" w:history="1">
        <w:r w:rsidR="00D40CA5" w:rsidRPr="00D40CA5">
          <w:rPr>
            <w:color w:val="0000FF"/>
            <w:u w:val="single"/>
            <w:rtl/>
          </w:rPr>
          <w:t>סעיף 144(ב)</w:t>
        </w:r>
      </w:hyperlink>
      <w:r w:rsidRPr="00911097">
        <w:rPr>
          <w:rFonts w:hint="cs"/>
          <w:rtl/>
        </w:rPr>
        <w:t xml:space="preserve"> לחוק העונשין; איומים, עבירה לפי </w:t>
      </w:r>
      <w:hyperlink r:id="rId35" w:history="1">
        <w:r w:rsidR="00D40CA5" w:rsidRPr="00D40CA5">
          <w:rPr>
            <w:color w:val="0000FF"/>
            <w:u w:val="single"/>
            <w:rtl/>
          </w:rPr>
          <w:t>סעיף 192</w:t>
        </w:r>
      </w:hyperlink>
      <w:r w:rsidRPr="00911097">
        <w:rPr>
          <w:rFonts w:hint="cs"/>
          <w:rtl/>
        </w:rPr>
        <w:t xml:space="preserve"> לחוק העונשין ושינוי זהות של רכב, עבירה לפי </w:t>
      </w:r>
      <w:hyperlink r:id="rId36" w:history="1">
        <w:r w:rsidR="00D40CA5" w:rsidRPr="00D40CA5">
          <w:rPr>
            <w:color w:val="0000FF"/>
            <w:u w:val="single"/>
            <w:rtl/>
          </w:rPr>
          <w:t>סעיף 413ט</w:t>
        </w:r>
      </w:hyperlink>
      <w:r w:rsidRPr="00911097">
        <w:rPr>
          <w:rFonts w:hint="cs"/>
          <w:rtl/>
        </w:rPr>
        <w:t xml:space="preserve"> לחוק העונשין.</w:t>
      </w:r>
    </w:p>
    <w:p w14:paraId="426193A1" w14:textId="77777777" w:rsidR="006D2B4C" w:rsidRPr="00911097" w:rsidRDefault="006D2B4C" w:rsidP="006D2B4C">
      <w:pPr>
        <w:spacing w:line="360" w:lineRule="auto"/>
        <w:ind w:left="720" w:hanging="720"/>
        <w:rPr>
          <w:rtl/>
        </w:rPr>
      </w:pPr>
      <w:bookmarkStart w:id="7" w:name="ABSTRACT_END"/>
      <w:bookmarkEnd w:id="7"/>
    </w:p>
    <w:p w14:paraId="346961C7" w14:textId="77777777" w:rsidR="006D2B4C" w:rsidRPr="00911097" w:rsidRDefault="006D2B4C" w:rsidP="006D2B4C">
      <w:pPr>
        <w:spacing w:line="360" w:lineRule="auto"/>
        <w:ind w:left="720" w:hanging="720"/>
        <w:jc w:val="both"/>
        <w:rPr>
          <w:rtl/>
        </w:rPr>
      </w:pPr>
      <w:r w:rsidRPr="00911097">
        <w:rPr>
          <w:rFonts w:hint="cs"/>
          <w:rtl/>
        </w:rPr>
        <w:t>2.</w:t>
      </w:r>
      <w:r w:rsidRPr="00911097">
        <w:rPr>
          <w:rFonts w:hint="cs"/>
          <w:rtl/>
        </w:rPr>
        <w:tab/>
        <w:t xml:space="preserve">במסגרת הסדר הטיעון שגובש בין הצדדים, הגבילה התביעה עתירתה העונשית לעונש של 58 חודשי מאסר הכולל הפעלת מאסר מותנה בן 10 חודשים, ובנוסף עתרה לרכיבי ענישה נלווים בדמות מאסר מותנה וקנס.  סוכם כי הסנגור יוכל לטעון באופן חופשי ביחס לכל רכיבי הענישה, וייערך תסקיר בעניינו של הנאשם עובר לשמיעת טיעוני הצדדים לעונש. </w:t>
      </w:r>
    </w:p>
    <w:p w14:paraId="49D8E469" w14:textId="77777777" w:rsidR="006D2B4C" w:rsidRPr="00911097" w:rsidRDefault="006D2B4C" w:rsidP="006D2B4C">
      <w:pPr>
        <w:spacing w:line="360" w:lineRule="auto"/>
        <w:ind w:left="720" w:hanging="720"/>
        <w:jc w:val="both"/>
        <w:rPr>
          <w:rtl/>
        </w:rPr>
      </w:pPr>
    </w:p>
    <w:p w14:paraId="20BF772C" w14:textId="77777777" w:rsidR="006D2B4C" w:rsidRPr="00911097" w:rsidRDefault="006D2B4C" w:rsidP="006D2B4C">
      <w:pPr>
        <w:spacing w:line="360" w:lineRule="auto"/>
        <w:ind w:left="720" w:hanging="720"/>
        <w:jc w:val="both"/>
        <w:rPr>
          <w:rtl/>
        </w:rPr>
      </w:pPr>
      <w:r w:rsidRPr="00911097">
        <w:rPr>
          <w:rFonts w:hint="cs"/>
          <w:rtl/>
        </w:rPr>
        <w:t>3.</w:t>
      </w:r>
      <w:r w:rsidRPr="00911097">
        <w:rPr>
          <w:rFonts w:hint="cs"/>
          <w:rtl/>
        </w:rPr>
        <w:tab/>
        <w:t xml:space="preserve">למען השלמת התמונה העובדתית, יצוין כי גם נאשם 2 סיים את עניינו בהסדר טיעון, במסגרתו תוקן כתב האישום, וכפועל יוצא מכך, הורשע אך ורק בעבירה של קשירת קשר לביצוע פשע (הצתה) שביצע בצוותא ביחד עם הנאשם. בעניינו של נאשם 2 גובשה ענישה מוסכמת בדמות מאסר לתקופה של חודשיים, ונקבע כי מאסר זה ירוצה במצטבר למאסר אחר אותו ריצה הנאשם עת נגזר דינו. </w:t>
      </w:r>
    </w:p>
    <w:p w14:paraId="6C4BA374" w14:textId="77777777" w:rsidR="006D2B4C" w:rsidRPr="00911097" w:rsidRDefault="006D2B4C" w:rsidP="006D2B4C">
      <w:pPr>
        <w:spacing w:line="360" w:lineRule="auto"/>
        <w:ind w:left="720" w:hanging="720"/>
        <w:jc w:val="both"/>
        <w:rPr>
          <w:rtl/>
        </w:rPr>
      </w:pPr>
    </w:p>
    <w:p w14:paraId="2CCA9C7E" w14:textId="77777777" w:rsidR="006D2B4C" w:rsidRPr="00911097" w:rsidRDefault="006D2B4C" w:rsidP="006D2B4C">
      <w:pPr>
        <w:spacing w:line="360" w:lineRule="auto"/>
        <w:ind w:left="720" w:hanging="720"/>
        <w:jc w:val="both"/>
        <w:rPr>
          <w:rtl/>
        </w:rPr>
      </w:pPr>
      <w:r w:rsidRPr="00911097">
        <w:rPr>
          <w:rtl/>
        </w:rPr>
        <w:tab/>
      </w:r>
      <w:r w:rsidRPr="00911097">
        <w:rPr>
          <w:rFonts w:hint="cs"/>
          <w:rtl/>
        </w:rPr>
        <w:t>תמצית כתב האישום</w:t>
      </w:r>
    </w:p>
    <w:p w14:paraId="73E25148" w14:textId="77777777" w:rsidR="006D2B4C" w:rsidRPr="00911097" w:rsidRDefault="006D2B4C" w:rsidP="006D2B4C">
      <w:pPr>
        <w:spacing w:line="360" w:lineRule="auto"/>
        <w:rPr>
          <w:rtl/>
        </w:rPr>
      </w:pPr>
    </w:p>
    <w:p w14:paraId="4C552A3F" w14:textId="77777777" w:rsidR="006D2B4C" w:rsidRPr="00911097" w:rsidRDefault="006D2B4C" w:rsidP="006D2B4C">
      <w:pPr>
        <w:spacing w:line="360" w:lineRule="auto"/>
        <w:ind w:left="720" w:hanging="720"/>
        <w:rPr>
          <w:rtl/>
        </w:rPr>
      </w:pPr>
      <w:r w:rsidRPr="00911097">
        <w:rPr>
          <w:rFonts w:hint="cs"/>
          <w:rtl/>
        </w:rPr>
        <w:t>4.</w:t>
      </w:r>
      <w:r w:rsidRPr="00911097">
        <w:rPr>
          <w:rFonts w:hint="cs"/>
          <w:rtl/>
        </w:rPr>
        <w:tab/>
        <w:t xml:space="preserve">כתב האישום מחזיק כשלושה אישומים, כאשר במסגרת האישום השני, פעל הנאשם בצוותא עם נאשם 2, שעניינו הסתיים, כפי שפורט לעיל. </w:t>
      </w:r>
    </w:p>
    <w:bookmarkEnd w:id="0"/>
    <w:p w14:paraId="7A428CB9" w14:textId="77777777" w:rsidR="006D2B4C" w:rsidRDefault="006D2B4C" w:rsidP="006D2B4C">
      <w:pPr>
        <w:spacing w:line="360" w:lineRule="auto"/>
        <w:ind w:left="720" w:hanging="720"/>
        <w:rPr>
          <w:rtl/>
        </w:rPr>
      </w:pPr>
    </w:p>
    <w:p w14:paraId="661D8D3D" w14:textId="77777777" w:rsidR="006D2B4C" w:rsidRDefault="006D2B4C" w:rsidP="006D2B4C">
      <w:pPr>
        <w:spacing w:line="360" w:lineRule="auto"/>
        <w:ind w:left="720" w:hanging="720"/>
        <w:jc w:val="both"/>
        <w:rPr>
          <w:rtl/>
        </w:rPr>
      </w:pPr>
      <w:r>
        <w:rPr>
          <w:rtl/>
        </w:rPr>
        <w:tab/>
      </w:r>
      <w:r w:rsidRPr="00017877">
        <w:rPr>
          <w:rFonts w:hint="cs"/>
          <w:b/>
          <w:bCs/>
          <w:rtl/>
        </w:rPr>
        <w:t>על-פי עובדות האישום הראשון</w:t>
      </w:r>
      <w:r>
        <w:rPr>
          <w:rFonts w:hint="cs"/>
          <w:rtl/>
        </w:rPr>
        <w:t xml:space="preserve">, במועד שאינו ידוע למאשימה עובר ליום 24.7.17, רכש הנאשם טלפון  נייד הכולל כרטיס (להלן </w:t>
      </w:r>
      <w:r>
        <w:rPr>
          <w:rtl/>
        </w:rPr>
        <w:t>–</w:t>
      </w:r>
      <w:r>
        <w:rPr>
          <w:rFonts w:hint="cs"/>
          <w:rtl/>
        </w:rPr>
        <w:t xml:space="preserve"> </w:t>
      </w:r>
      <w:r>
        <w:rPr>
          <w:rFonts w:hint="cs"/>
          <w:b/>
          <w:bCs/>
          <w:rtl/>
        </w:rPr>
        <w:t>הטלפון הנייד</w:t>
      </w:r>
      <w:r>
        <w:rPr>
          <w:rFonts w:hint="cs"/>
          <w:rtl/>
        </w:rPr>
        <w:t xml:space="preserve">). בסמוך לאחר מכן, מסר הנאשם את הטלפון הנייד לאדם אחר, שזהותו אינה ידועה למאשימה, ביודעו כי הטלפון הנייד ישמש את האחר לשם ביצוע פשע, שפרטיו לא היו ידועים לנאשם. </w:t>
      </w:r>
    </w:p>
    <w:p w14:paraId="16C05D11" w14:textId="77777777" w:rsidR="006D2B4C" w:rsidRDefault="006D2B4C" w:rsidP="006D2B4C">
      <w:pPr>
        <w:spacing w:line="360" w:lineRule="auto"/>
        <w:ind w:left="720" w:hanging="720"/>
        <w:jc w:val="both"/>
        <w:rPr>
          <w:rtl/>
        </w:rPr>
      </w:pPr>
    </w:p>
    <w:p w14:paraId="6CBF0AF9" w14:textId="77777777" w:rsidR="006D2B4C" w:rsidRPr="00017877" w:rsidRDefault="006D2B4C" w:rsidP="006D2B4C">
      <w:pPr>
        <w:spacing w:line="360" w:lineRule="auto"/>
        <w:ind w:left="720" w:hanging="720"/>
        <w:jc w:val="both"/>
        <w:rPr>
          <w:rtl/>
        </w:rPr>
      </w:pPr>
      <w:r w:rsidRPr="00017877">
        <w:rPr>
          <w:rtl/>
        </w:rPr>
        <w:tab/>
      </w:r>
      <w:r w:rsidRPr="00017877">
        <w:rPr>
          <w:rFonts w:hint="cs"/>
          <w:rtl/>
        </w:rPr>
        <w:t xml:space="preserve">במסגרת אישום זה הורשע הנאשם בעבירה של מתן אמצעים לביצוע פשע.  </w:t>
      </w:r>
    </w:p>
    <w:p w14:paraId="7814DC54" w14:textId="77777777" w:rsidR="006D2B4C" w:rsidRDefault="006D2B4C" w:rsidP="006D2B4C">
      <w:pPr>
        <w:spacing w:line="360" w:lineRule="auto"/>
        <w:ind w:left="720" w:hanging="720"/>
        <w:rPr>
          <w:rtl/>
        </w:rPr>
      </w:pPr>
    </w:p>
    <w:p w14:paraId="535575AE" w14:textId="77777777" w:rsidR="006D2B4C" w:rsidRDefault="006D2B4C" w:rsidP="006D2B4C">
      <w:pPr>
        <w:spacing w:line="360" w:lineRule="auto"/>
        <w:ind w:left="720" w:hanging="720"/>
        <w:jc w:val="both"/>
        <w:rPr>
          <w:rtl/>
        </w:rPr>
      </w:pPr>
      <w:r w:rsidRPr="00017877">
        <w:rPr>
          <w:b/>
          <w:bCs/>
          <w:rtl/>
        </w:rPr>
        <w:tab/>
      </w:r>
      <w:r w:rsidRPr="00017877">
        <w:rPr>
          <w:rFonts w:hint="cs"/>
          <w:b/>
          <w:bCs/>
          <w:rtl/>
        </w:rPr>
        <w:t>על-פי עובדות האישום השני</w:t>
      </w:r>
      <w:r>
        <w:rPr>
          <w:rFonts w:hint="cs"/>
          <w:rtl/>
        </w:rPr>
        <w:t xml:space="preserve">, ביום 29.11.17 או בסמוך לכך, קשרו הנאשמים קשר להצית אופנוע מ.ר.        80-706-33, אשר בבעלותו של מורל מרגוליס. במסגרת הקשר ולשם קידומו, שהו הנאשמים ביום 29.11.17 עובר לשעה 14:00 ברחוב קרול בפתח תקוה, בסמוך לביתו של מרגוליס. </w:t>
      </w:r>
    </w:p>
    <w:p w14:paraId="10907519" w14:textId="77777777" w:rsidR="006D2B4C" w:rsidRDefault="006D2B4C" w:rsidP="006D2B4C">
      <w:pPr>
        <w:spacing w:line="360" w:lineRule="auto"/>
        <w:ind w:left="720" w:hanging="720"/>
        <w:rPr>
          <w:rtl/>
        </w:rPr>
      </w:pPr>
    </w:p>
    <w:p w14:paraId="10E8EE3E" w14:textId="77777777" w:rsidR="006D2B4C" w:rsidRDefault="006D2B4C" w:rsidP="006D2B4C">
      <w:pPr>
        <w:spacing w:line="360" w:lineRule="auto"/>
        <w:ind w:left="720" w:hanging="720"/>
        <w:rPr>
          <w:rtl/>
        </w:rPr>
      </w:pPr>
      <w:r>
        <w:rPr>
          <w:rtl/>
        </w:rPr>
        <w:tab/>
      </w:r>
      <w:r>
        <w:rPr>
          <w:rFonts w:hint="cs"/>
          <w:rtl/>
        </w:rPr>
        <w:t xml:space="preserve">במסגרת אישום זה הורשע הנאשם בעבירה של קשירת קשר לביצוע פשע (הצתה).  </w:t>
      </w:r>
    </w:p>
    <w:p w14:paraId="53086FCD" w14:textId="77777777" w:rsidR="006D2B4C" w:rsidRDefault="006D2B4C" w:rsidP="006D2B4C">
      <w:pPr>
        <w:spacing w:line="360" w:lineRule="auto"/>
        <w:ind w:left="720" w:hanging="720"/>
        <w:rPr>
          <w:rtl/>
        </w:rPr>
      </w:pPr>
    </w:p>
    <w:p w14:paraId="05B5FCEB" w14:textId="77777777" w:rsidR="006D2B4C" w:rsidRDefault="006D2B4C" w:rsidP="006D2B4C">
      <w:pPr>
        <w:spacing w:line="360" w:lineRule="auto"/>
        <w:ind w:left="720" w:hanging="720"/>
        <w:jc w:val="both"/>
        <w:rPr>
          <w:rtl/>
        </w:rPr>
      </w:pPr>
      <w:r w:rsidRPr="00017877">
        <w:rPr>
          <w:b/>
          <w:bCs/>
          <w:rtl/>
        </w:rPr>
        <w:tab/>
      </w:r>
      <w:r w:rsidRPr="00017877">
        <w:rPr>
          <w:rFonts w:hint="cs"/>
          <w:b/>
          <w:bCs/>
          <w:rtl/>
        </w:rPr>
        <w:t>על-פי עובדות האישום השלישי</w:t>
      </w:r>
      <w:r>
        <w:rPr>
          <w:rFonts w:hint="cs"/>
          <w:rtl/>
        </w:rPr>
        <w:t xml:space="preserve">, במועד שאינו ידוע למאשימה עובר ליום 3.1.18 יצר הנאשם, בעצמו או באמצעות אחר, בלא רשות על-פי  דין, מטען חבלה מאולתר, המורכב, בין היתר, ממיכל תרמוס נירוסטה, תערובת נפץ פירוטכנית המכילה מלח פרכלוראטי ודיפניל אמין (להלן </w:t>
      </w:r>
      <w:r>
        <w:rPr>
          <w:rtl/>
        </w:rPr>
        <w:t>–</w:t>
      </w:r>
      <w:r>
        <w:rPr>
          <w:rFonts w:hint="cs"/>
          <w:rtl/>
        </w:rPr>
        <w:t xml:space="preserve"> </w:t>
      </w:r>
      <w:r>
        <w:rPr>
          <w:rFonts w:hint="cs"/>
          <w:b/>
          <w:bCs/>
          <w:rtl/>
        </w:rPr>
        <w:t>החומר הנפיץ</w:t>
      </w:r>
      <w:r>
        <w:rPr>
          <w:rFonts w:hint="cs"/>
          <w:rtl/>
        </w:rPr>
        <w:t xml:space="preserve">) בקבוק פלסטיק המכיל בנזין, ראש גפרור חשמלי וטלפון נייד ששימש כמערכת הפעלה (להלן </w:t>
      </w:r>
      <w:r>
        <w:rPr>
          <w:rtl/>
        </w:rPr>
        <w:t>–</w:t>
      </w:r>
      <w:r>
        <w:rPr>
          <w:rFonts w:hint="cs"/>
          <w:rtl/>
        </w:rPr>
        <w:t xml:space="preserve"> </w:t>
      </w:r>
      <w:r>
        <w:rPr>
          <w:rFonts w:hint="cs"/>
          <w:b/>
          <w:bCs/>
          <w:rtl/>
        </w:rPr>
        <w:t>מטען החבלה</w:t>
      </w:r>
      <w:r>
        <w:rPr>
          <w:rFonts w:hint="cs"/>
          <w:rtl/>
        </w:rPr>
        <w:t xml:space="preserve">). מטען החבלה הינו נשק, בהיותו כולל חומר נפיץ, אשר בכוחו להזיק לאדם בשעת פעולתו. הנאשם החזיק, בלא רשות על-פי דין, את מטען החבלה ברשותו או בצוותא עם אחר, עד ליום 3.1.18. ביום 3.1.18 בשעת ערב נטל הנאשם לשימושו אופנוע מסוק קימקו מ.ר. 316-74-901 (להלן </w:t>
      </w:r>
      <w:r>
        <w:rPr>
          <w:rtl/>
        </w:rPr>
        <w:t>–</w:t>
      </w:r>
      <w:r>
        <w:rPr>
          <w:rFonts w:hint="cs"/>
          <w:rtl/>
        </w:rPr>
        <w:t xml:space="preserve"> </w:t>
      </w:r>
      <w:r>
        <w:rPr>
          <w:rFonts w:hint="cs"/>
          <w:b/>
          <w:bCs/>
          <w:rtl/>
        </w:rPr>
        <w:t>האופנוע</w:t>
      </w:r>
      <w:r>
        <w:rPr>
          <w:rFonts w:hint="cs"/>
          <w:rtl/>
        </w:rPr>
        <w:t xml:space="preserve">) המצוי בבעלות אדם אחר. בסמוך לכך, הנאשם, בעצמו או באמצעות אחר, זייף את סימני הזיהוי של האופנוע, בכך שהדביק על הספרה 3 בלוחית הזיהוי סרט דביק שחור באופן שהספרה תיחזה לספרה 8 (להלן </w:t>
      </w:r>
      <w:r>
        <w:rPr>
          <w:rtl/>
        </w:rPr>
        <w:t>–</w:t>
      </w:r>
      <w:r>
        <w:rPr>
          <w:rFonts w:hint="cs"/>
          <w:rtl/>
        </w:rPr>
        <w:t xml:space="preserve"> </w:t>
      </w:r>
      <w:r>
        <w:rPr>
          <w:rFonts w:hint="cs"/>
          <w:b/>
          <w:bCs/>
          <w:rtl/>
        </w:rPr>
        <w:t>לוחית הרישוי המזויפת</w:t>
      </w:r>
      <w:r>
        <w:rPr>
          <w:rFonts w:hint="cs"/>
          <w:rtl/>
        </w:rPr>
        <w:t xml:space="preserve">). במועד זה, עובר לשעה 23:45 או בסמוך לכך, נשא הנאשם והוביל את מטען החבלה, בלא רשות על-פי דין, כשהוא רוכב על האופנוע עם לוחית הרישוי המזויפת. במועד זה בשעה 23:45 או בסמוך לכך הגיע הנאשם, כשהוא נושא ומוביל את מטען החבלה, לרחוב אח"י דקר בתל-אביב-יפו וניגש לרכב מסוג טויוטה מ.ר. 106-20-001 (להלן </w:t>
      </w:r>
      <w:r>
        <w:rPr>
          <w:rtl/>
        </w:rPr>
        <w:t>–</w:t>
      </w:r>
      <w:r>
        <w:rPr>
          <w:rFonts w:hint="cs"/>
          <w:rtl/>
        </w:rPr>
        <w:t xml:space="preserve"> </w:t>
      </w:r>
      <w:r w:rsidRPr="007A779C">
        <w:rPr>
          <w:rFonts w:hint="cs"/>
          <w:b/>
          <w:bCs/>
          <w:rtl/>
        </w:rPr>
        <w:t>הרכב</w:t>
      </w:r>
      <w:r>
        <w:rPr>
          <w:rFonts w:hint="cs"/>
          <w:rtl/>
        </w:rPr>
        <w:t xml:space="preserve">) אשר חנה ברחוב סמוך לבית מס' 28. הנאשם הצמיד את מטען החבלה לתחתית הרכב, בכוונה לפוצץ בסמוך לאחר מכן את טען החבלה ולגרום לרכב נזק. הנאשם עזב את המקום באמצעות האופנוע עם לוחית הזיהוי המזויפת ועשה דרכו לכביש הסמוך לאצטדיון רמת גן </w:t>
      </w:r>
      <w:r>
        <w:rPr>
          <w:rFonts w:hint="cs"/>
          <w:rtl/>
        </w:rPr>
        <w:lastRenderedPageBreak/>
        <w:t xml:space="preserve">(להלן </w:t>
      </w:r>
      <w:r>
        <w:rPr>
          <w:rtl/>
        </w:rPr>
        <w:t>–</w:t>
      </w:r>
      <w:r>
        <w:rPr>
          <w:rFonts w:hint="cs"/>
          <w:rtl/>
        </w:rPr>
        <w:t xml:space="preserve"> </w:t>
      </w:r>
      <w:r>
        <w:rPr>
          <w:rFonts w:hint="cs"/>
          <w:b/>
          <w:bCs/>
          <w:rtl/>
        </w:rPr>
        <w:t>מקום ההפעלה</w:t>
      </w:r>
      <w:r>
        <w:rPr>
          <w:rFonts w:hint="cs"/>
          <w:rtl/>
        </w:rPr>
        <w:t xml:space="preserve">). בשעה 00:04 או בסמוך לכך, במקום ההפעלה, הפעיל הנאשם מרחוק את מטען החבלה באמצעות חיוב מטל' נייד שברשותו לטל' הנייד שבמטען החבלה, בכוונה לגרום לפיצוץ מטען החבלה ולגרום לרכב נזק. בעת ההפעלה, כאמור, פעל ראש הגפרור החשמלי וגרם להצתת החומר הנפיץ ולהתפרקות מטען החבלה, אולם עקב כשל טכני, לא התפוצץ מטען החבלה, ומשכך הרכב לא ניזוק בפועל. הנאשם פעל כאמור תוך אדישות להימצאות בני אדם בתוך הרכב או בסמוך לו בעת הפעלת מטען החבלה, ותוך גרימת סיכון ממשי לחיי אדם. הנאשם פעל כמתואר, על-מנת לאיים על בעל הרכב או על אדם אחר הקשור אליו. </w:t>
      </w:r>
    </w:p>
    <w:p w14:paraId="31B476FF" w14:textId="77777777" w:rsidR="006D2B4C" w:rsidRDefault="006D2B4C" w:rsidP="006D2B4C">
      <w:pPr>
        <w:spacing w:line="360" w:lineRule="auto"/>
        <w:ind w:left="720" w:hanging="720"/>
        <w:jc w:val="both"/>
        <w:rPr>
          <w:rtl/>
        </w:rPr>
      </w:pPr>
    </w:p>
    <w:p w14:paraId="7345F43E" w14:textId="77777777" w:rsidR="006D2B4C" w:rsidRDefault="006D2B4C" w:rsidP="006D2B4C">
      <w:pPr>
        <w:spacing w:line="360" w:lineRule="auto"/>
        <w:ind w:left="720" w:hanging="720"/>
        <w:jc w:val="both"/>
        <w:rPr>
          <w:rtl/>
        </w:rPr>
      </w:pPr>
      <w:r>
        <w:rPr>
          <w:rtl/>
        </w:rPr>
        <w:tab/>
      </w:r>
      <w:r>
        <w:rPr>
          <w:rFonts w:hint="cs"/>
          <w:rtl/>
        </w:rPr>
        <w:t>במסגרת אישום זה, הורשע הנאשם בעבירות של ניסיון להרוס נכס בחומר נפיץ; ייצור נשק שלא כדין; החזקת נשק שלא כדין; נשיאת נשק שלא כדין, איומים ושינוי זהות של רכב.</w:t>
      </w:r>
    </w:p>
    <w:p w14:paraId="5DB7E608" w14:textId="77777777" w:rsidR="006D2B4C" w:rsidRDefault="006D2B4C" w:rsidP="006D2B4C">
      <w:pPr>
        <w:spacing w:line="360" w:lineRule="auto"/>
        <w:ind w:left="720" w:hanging="720"/>
        <w:jc w:val="both"/>
        <w:rPr>
          <w:rtl/>
        </w:rPr>
      </w:pPr>
    </w:p>
    <w:p w14:paraId="7300B651" w14:textId="77777777" w:rsidR="006D2B4C" w:rsidRDefault="006D2B4C" w:rsidP="006D2B4C">
      <w:pPr>
        <w:spacing w:line="360" w:lineRule="auto"/>
        <w:ind w:left="720" w:hanging="720"/>
        <w:jc w:val="both"/>
        <w:rPr>
          <w:u w:val="single"/>
          <w:rtl/>
        </w:rPr>
      </w:pPr>
      <w:r>
        <w:rPr>
          <w:rtl/>
        </w:rPr>
        <w:tab/>
      </w:r>
      <w:r>
        <w:rPr>
          <w:rFonts w:hint="cs"/>
          <w:u w:val="single"/>
          <w:rtl/>
        </w:rPr>
        <w:t>תסקיר שרות המבחן</w:t>
      </w:r>
    </w:p>
    <w:p w14:paraId="7D5F3377" w14:textId="77777777" w:rsidR="006D2B4C" w:rsidRPr="00CF5B94" w:rsidRDefault="006D2B4C" w:rsidP="006D2B4C">
      <w:pPr>
        <w:spacing w:line="360" w:lineRule="auto"/>
        <w:ind w:left="720" w:hanging="720"/>
        <w:jc w:val="both"/>
        <w:rPr>
          <w:rtl/>
        </w:rPr>
      </w:pPr>
    </w:p>
    <w:p w14:paraId="484647C1" w14:textId="77777777" w:rsidR="006D2B4C" w:rsidRDefault="006D2B4C" w:rsidP="006D2B4C">
      <w:pPr>
        <w:spacing w:line="360" w:lineRule="auto"/>
        <w:ind w:left="720" w:hanging="720"/>
        <w:jc w:val="both"/>
        <w:rPr>
          <w:rtl/>
        </w:rPr>
      </w:pPr>
      <w:r>
        <w:rPr>
          <w:rFonts w:hint="cs"/>
          <w:rtl/>
        </w:rPr>
        <w:t>5.</w:t>
      </w:r>
      <w:r>
        <w:rPr>
          <w:rFonts w:hint="cs"/>
          <w:rtl/>
        </w:rPr>
        <w:tab/>
        <w:t xml:space="preserve">תסקיר שרות המבחן שהוגש בעניינו של הנאשם כולל התייחסות לנתוניו האישיים: בן 21, רווק, אשר קיים בעבר אורח חיים דתי, ועבד תקופה קצרה במשלוחים עד שפוטר. אביו של הנאשם עזב עת היה הנאשם תינוק, והנאשם גדל אצל אימו אשר נישאה בשלישית. הנאשם סיים 8 שנות לימוד במסגרת פנימייה חרדית, אך עזב את הפנימייה על רקע קשיים חברתיים ותחושות דחייה. הנאשם לא גויס לשירות צבאי עקב פטור על רקע אי התאמה, וזאת בעקבות מאסר שריצה באותה תקופה (כפי שיפורט בהמשך בסקירת העבר הפלילי). בשנת 2016 השתחרר הנאשם מריצוי המאסר, ולאחר תקופה קצרה חזר לקיים קשרים שוליים, התקשה להתמיד בעבודה במשלוחים והחל להלוות כסף מגורמים בשוק האפור. לגרסת הנאשם בפני קצינת המבחן, הדחק המתמשך בו היה מצוי סביב חובותיו עמד ברקע לביצוע העבירות. הנאשם קיבל אחריות בפני שרות המבחן על מעשיו, אולם שרות המבחן התרשם מנטייה לצמצום באופן שהקשה להבין על הנסיבות והמניעים להתנהגותו. צוין כי כיום הנאשם מבין את חומרת מעשיו, אך עדיין מדבריו, עלה נתק רגשי וקושי להתייחס להתנהלותו, תוך שהוא מתמקד בצרכיו ומצוקותיו. הנאשם אינו תופס עצמו כמי שמתקשה לווסת את התנהגותו, וניכר קושי מצידו להתייחס לעובדה כי בעברו עבירות בעלות אופי אלים, וכי סנקציות שהוטלו עליו בעבר, לא הועילו. הנאשם ציין בפני קצינת המבחן כי פנה לגורמי הטיפול בשב"ס וביקש להשתלב בטיפול. </w:t>
      </w:r>
    </w:p>
    <w:p w14:paraId="4B3B83C4" w14:textId="77777777" w:rsidR="006D2B4C" w:rsidRDefault="006D2B4C" w:rsidP="006D2B4C">
      <w:pPr>
        <w:spacing w:line="360" w:lineRule="auto"/>
        <w:ind w:left="720" w:hanging="720"/>
        <w:jc w:val="both"/>
        <w:rPr>
          <w:rtl/>
        </w:rPr>
      </w:pPr>
    </w:p>
    <w:p w14:paraId="453AC913" w14:textId="77777777" w:rsidR="006D2B4C" w:rsidRDefault="006D2B4C" w:rsidP="006D2B4C">
      <w:pPr>
        <w:spacing w:line="360" w:lineRule="auto"/>
        <w:ind w:left="720" w:hanging="720"/>
        <w:jc w:val="both"/>
        <w:rPr>
          <w:rtl/>
        </w:rPr>
      </w:pPr>
      <w:r>
        <w:rPr>
          <w:rtl/>
        </w:rPr>
        <w:tab/>
      </w:r>
      <w:r>
        <w:rPr>
          <w:rFonts w:hint="cs"/>
          <w:rtl/>
        </w:rPr>
        <w:t xml:space="preserve">שרות המבחן ציין כי בחינת הפרמטרים להישנות התנהגות אלימה מלמדת כי קיים סיכון גבוה לכך, ובמידה ותהיה כזו, חומרת ההתנהגות תהא אף היא גבוהה. בנסיבות שפורטו לעיל, סבר שרות המבחן כי יהיה בעונש מאסר בפועל כדי לחדד עבור הנאשם את חומרת מעשיו, אך קיימת חשיבות כי במהלך תקופת המאסר ישתלב הנאשם בטיפול אינטנסיבי שיוכל להפחית את הסיכון להישנות התנהגות בעייתית. </w:t>
      </w:r>
    </w:p>
    <w:p w14:paraId="7B40B3B1" w14:textId="77777777" w:rsidR="006D2B4C" w:rsidRDefault="006D2B4C" w:rsidP="006D2B4C">
      <w:pPr>
        <w:spacing w:line="360" w:lineRule="auto"/>
        <w:ind w:left="720" w:hanging="720"/>
        <w:jc w:val="both"/>
        <w:rPr>
          <w:rtl/>
        </w:rPr>
      </w:pPr>
    </w:p>
    <w:p w14:paraId="7C3A8CAD" w14:textId="77777777" w:rsidR="006D2B4C" w:rsidRDefault="006D2B4C" w:rsidP="006D2B4C">
      <w:pPr>
        <w:spacing w:line="360" w:lineRule="auto"/>
        <w:ind w:left="720" w:hanging="720"/>
        <w:jc w:val="both"/>
        <w:rPr>
          <w:rtl/>
        </w:rPr>
      </w:pPr>
      <w:r>
        <w:rPr>
          <w:rtl/>
        </w:rPr>
        <w:tab/>
      </w:r>
      <w:r>
        <w:rPr>
          <w:rFonts w:hint="cs"/>
          <w:u w:val="single"/>
          <w:rtl/>
        </w:rPr>
        <w:t>עבר פלילי ומאסר מותנה</w:t>
      </w:r>
    </w:p>
    <w:p w14:paraId="6D33C0F5" w14:textId="77777777" w:rsidR="006D2B4C" w:rsidRPr="00C91423" w:rsidRDefault="006D2B4C" w:rsidP="006D2B4C">
      <w:pPr>
        <w:spacing w:line="360" w:lineRule="auto"/>
        <w:ind w:left="720" w:hanging="720"/>
        <w:jc w:val="both"/>
        <w:rPr>
          <w:rtl/>
        </w:rPr>
      </w:pPr>
    </w:p>
    <w:p w14:paraId="757E576F" w14:textId="77777777" w:rsidR="006D2B4C" w:rsidRDefault="006D2B4C" w:rsidP="006D2B4C">
      <w:pPr>
        <w:spacing w:line="360" w:lineRule="auto"/>
        <w:ind w:left="720" w:hanging="720"/>
        <w:jc w:val="both"/>
        <w:rPr>
          <w:rtl/>
        </w:rPr>
      </w:pPr>
      <w:r>
        <w:rPr>
          <w:rFonts w:hint="cs"/>
          <w:rtl/>
        </w:rPr>
        <w:t>6.</w:t>
      </w:r>
      <w:r>
        <w:rPr>
          <w:rFonts w:hint="cs"/>
          <w:rtl/>
        </w:rPr>
        <w:tab/>
        <w:t xml:space="preserve">עברו הפלילי של הנאשם כולל רישום מבית המשפט לנוער בעבירה של החזקת סכין משנת 2011 (עת היה הנאשם בן 16), וכן הרשעה בעבירות של חבלה חמורה, חבלה חמורה כשהעבריין מזוין, חבלה בצוותא, החזקת נשק, החזקת סכין ואיומים, וזאת בגין אירוע שהתרחש בשנת 2014. בגין אירוע זה הוגש נגד הנאשם ושניים אחרים כתב אישום לבית המשפט המחוזי מרכז לוד, ובהמשך דינו נגזר ל- 24 חודשי מאסר ו- 10 חודשי מאסר על-תנאי אשר מוסכם כי יש להפעילם בענייננו כחלק מהסדר הטיעון ומרף הענישה לו עתרה התביעה. לציין כי מדובר באירוע אלימות חמור אשר בוצע בחבורה על-ידי הנאשמים שהשתמשו בשוקר, בסכין ובאקדח, תוך שהם מכים את המתלונן, שבשלב מסוים היה שרוע על הרצפה. הנאשמים 2 ו- 3 דקרו את המתלונן בסכין, כאשר גם הנאשם לא טמן ידו בצלחת, והיכה את המתלונן בעודו שרוע על הרצפה ומדמם. לציין כי בתחילת האירוע הצמיד הנאשם שוקר חשמלי לצווארו של אותו מתלונן, וחישמל אותו. </w:t>
      </w:r>
    </w:p>
    <w:p w14:paraId="0AED34D7" w14:textId="77777777" w:rsidR="006D2B4C" w:rsidRDefault="006D2B4C" w:rsidP="006D2B4C">
      <w:pPr>
        <w:spacing w:line="360" w:lineRule="auto"/>
        <w:ind w:left="720" w:hanging="720"/>
        <w:jc w:val="both"/>
        <w:rPr>
          <w:rtl/>
        </w:rPr>
      </w:pPr>
    </w:p>
    <w:p w14:paraId="4910C4CB" w14:textId="77777777" w:rsidR="006D2B4C" w:rsidRDefault="006D2B4C" w:rsidP="006D2B4C">
      <w:pPr>
        <w:spacing w:line="360" w:lineRule="auto"/>
        <w:ind w:left="720"/>
        <w:jc w:val="both"/>
        <w:rPr>
          <w:rtl/>
        </w:rPr>
      </w:pPr>
      <w:r>
        <w:rPr>
          <w:rFonts w:hint="cs"/>
          <w:rtl/>
        </w:rPr>
        <w:t>עוד ראיתי לציין כי שותפו של הנאשם בכתב האישום המונח בפניי כעת (נוריאל חג'אני) היה אף שותפו לביצוע העבירה שתוארה לעיל (נאשם 1, אשר נגזר עליו עונש של 43 חודשי מאסר).</w:t>
      </w:r>
    </w:p>
    <w:p w14:paraId="235A6B6D" w14:textId="77777777" w:rsidR="006D2B4C" w:rsidRDefault="006D2B4C" w:rsidP="006D2B4C">
      <w:pPr>
        <w:spacing w:line="360" w:lineRule="auto"/>
        <w:ind w:left="720" w:hanging="720"/>
        <w:jc w:val="both"/>
        <w:rPr>
          <w:rtl/>
        </w:rPr>
      </w:pPr>
    </w:p>
    <w:p w14:paraId="5ED7F99B" w14:textId="77777777" w:rsidR="006D2B4C" w:rsidRDefault="006D2B4C" w:rsidP="006D2B4C">
      <w:pPr>
        <w:spacing w:line="360" w:lineRule="auto"/>
        <w:ind w:left="720" w:hanging="720"/>
        <w:jc w:val="both"/>
        <w:rPr>
          <w:u w:val="single"/>
          <w:rtl/>
        </w:rPr>
      </w:pPr>
      <w:r>
        <w:rPr>
          <w:rtl/>
        </w:rPr>
        <w:tab/>
      </w:r>
      <w:r w:rsidRPr="00AF42B9">
        <w:rPr>
          <w:rFonts w:hint="cs"/>
          <w:u w:val="single"/>
          <w:rtl/>
        </w:rPr>
        <w:t>טיעוני הצדדים ל</w:t>
      </w:r>
      <w:r>
        <w:rPr>
          <w:rFonts w:hint="cs"/>
          <w:u w:val="single"/>
          <w:rtl/>
        </w:rPr>
        <w:t>עניין ה</w:t>
      </w:r>
      <w:r w:rsidRPr="00AF42B9">
        <w:rPr>
          <w:rFonts w:hint="cs"/>
          <w:u w:val="single"/>
          <w:rtl/>
        </w:rPr>
        <w:t>עונש</w:t>
      </w:r>
    </w:p>
    <w:p w14:paraId="1E8F9450" w14:textId="77777777" w:rsidR="006D2B4C" w:rsidRPr="00AF42B9" w:rsidRDefault="006D2B4C" w:rsidP="006D2B4C">
      <w:pPr>
        <w:spacing w:line="360" w:lineRule="auto"/>
        <w:ind w:left="720" w:hanging="720"/>
        <w:jc w:val="both"/>
        <w:rPr>
          <w:u w:val="single"/>
          <w:rtl/>
        </w:rPr>
      </w:pPr>
    </w:p>
    <w:p w14:paraId="05399536" w14:textId="77777777" w:rsidR="006D2B4C" w:rsidRDefault="006D2B4C" w:rsidP="006D2B4C">
      <w:pPr>
        <w:spacing w:line="360" w:lineRule="auto"/>
        <w:ind w:left="720" w:hanging="720"/>
        <w:jc w:val="both"/>
        <w:rPr>
          <w:rtl/>
        </w:rPr>
      </w:pPr>
      <w:r>
        <w:rPr>
          <w:rFonts w:hint="cs"/>
          <w:rtl/>
        </w:rPr>
        <w:t>7.</w:t>
      </w:r>
      <w:r>
        <w:rPr>
          <w:rFonts w:hint="cs"/>
          <w:rtl/>
        </w:rPr>
        <w:tab/>
        <w:t xml:space="preserve">התובע, עו"ד אורן פז, הדגיש בטיעוניו את כלל הערכים המוגנים שנפגעו כתוצאה מהתנהלותו האלימה של הנאשם. התובע עמד על חומרתם של האישומים הראשון והשני, וציין כי הוא נכון לקבל את ההנחה כי עונשו של הנאשם בגין שני אישומים אלה צריך לעמוד על ארבעה חודשים, וזאת בדומה, ובשינויים המחויבים, לעונש שנגזר על נאשם 2 בגין מעורבותו באישום השני. </w:t>
      </w:r>
    </w:p>
    <w:p w14:paraId="0D1DEB6C" w14:textId="77777777" w:rsidR="006D2B4C" w:rsidRDefault="006D2B4C" w:rsidP="006D2B4C">
      <w:pPr>
        <w:spacing w:line="360" w:lineRule="auto"/>
        <w:ind w:left="720" w:hanging="720"/>
        <w:jc w:val="both"/>
        <w:rPr>
          <w:rtl/>
        </w:rPr>
      </w:pPr>
    </w:p>
    <w:p w14:paraId="4FDD478E" w14:textId="77777777" w:rsidR="006D2B4C" w:rsidRDefault="006D2B4C" w:rsidP="006D2B4C">
      <w:pPr>
        <w:spacing w:line="360" w:lineRule="auto"/>
        <w:ind w:left="720" w:hanging="720"/>
        <w:jc w:val="both"/>
        <w:rPr>
          <w:rtl/>
        </w:rPr>
      </w:pPr>
      <w:r>
        <w:rPr>
          <w:rtl/>
        </w:rPr>
        <w:tab/>
      </w:r>
      <w:r>
        <w:rPr>
          <w:rFonts w:hint="cs"/>
          <w:rtl/>
        </w:rPr>
        <w:t xml:space="preserve">לב הענישה לשיטת התביעה, נעוץ באישום השלישי, ובהקשר זה עמד התובע על מגוון הפעולות שביצע הנאשם עד לפיצוץ המטען, על פוטנציאל הנזק, על לכידתו של הנאשם בסמוך לביצוע העבירה, ועל המניע שעמד ביסוד העבירה (איום). התובע הסביר כי במסגרת הסדר הטיעון והרף לו עתרה התביעה, שיקללה התביעה את כל אותם נתונים הקשורים לביצוע העבירה, אך גם את אותם נתונים שניתן לראות בהם פוטנציאל להקלה בעונש, ובהם גילו הצעיר של הנאשם והבעת החרטה. </w:t>
      </w:r>
    </w:p>
    <w:p w14:paraId="770EEAB3" w14:textId="77777777" w:rsidR="006D2B4C" w:rsidRDefault="006D2B4C" w:rsidP="006D2B4C">
      <w:pPr>
        <w:spacing w:line="360" w:lineRule="auto"/>
        <w:ind w:left="720" w:hanging="720"/>
        <w:jc w:val="both"/>
        <w:rPr>
          <w:rtl/>
        </w:rPr>
      </w:pPr>
    </w:p>
    <w:p w14:paraId="124EC63F" w14:textId="77777777" w:rsidR="006D2B4C" w:rsidRDefault="006D2B4C" w:rsidP="006D2B4C">
      <w:pPr>
        <w:spacing w:line="360" w:lineRule="auto"/>
        <w:ind w:left="720" w:hanging="720"/>
        <w:jc w:val="both"/>
        <w:rPr>
          <w:rtl/>
        </w:rPr>
      </w:pPr>
      <w:r>
        <w:rPr>
          <w:rtl/>
        </w:rPr>
        <w:tab/>
      </w:r>
      <w:r>
        <w:rPr>
          <w:rFonts w:hint="cs"/>
          <w:rtl/>
        </w:rPr>
        <w:t xml:space="preserve">בעניינו של האישום השלישי, ותוך שהוא מתבסס על פסיקה, סבר התובע כי מתחם העונש צריך לנוע בין 4 שנות מאסר ל- 7 שנות מאסר, ועל כן עתירת התביעה לעונש של 58 חודשי מאסר (הכולל, כאמור, הן 4 חודשי מאסר בגין האישום הראשון והשני והן 10 חודשי מאסר בעקבות הפעלת המאסר המותנה) היא עתירה ראויה ומאוזנת. </w:t>
      </w:r>
    </w:p>
    <w:p w14:paraId="7318240B" w14:textId="77777777" w:rsidR="006D2B4C" w:rsidRDefault="006D2B4C" w:rsidP="006D2B4C">
      <w:pPr>
        <w:spacing w:line="360" w:lineRule="auto"/>
        <w:ind w:left="720" w:hanging="720"/>
        <w:jc w:val="both"/>
        <w:rPr>
          <w:rtl/>
        </w:rPr>
      </w:pPr>
    </w:p>
    <w:p w14:paraId="002BACF1" w14:textId="77777777" w:rsidR="006D2B4C" w:rsidRDefault="006D2B4C" w:rsidP="006D2B4C">
      <w:pPr>
        <w:spacing w:line="360" w:lineRule="auto"/>
        <w:ind w:left="720" w:hanging="720"/>
        <w:jc w:val="both"/>
        <w:rPr>
          <w:rtl/>
        </w:rPr>
      </w:pPr>
      <w:r>
        <w:rPr>
          <w:rFonts w:hint="cs"/>
          <w:rtl/>
        </w:rPr>
        <w:t>8.</w:t>
      </w:r>
      <w:r>
        <w:rPr>
          <w:rFonts w:hint="cs"/>
          <w:rtl/>
        </w:rPr>
        <w:tab/>
        <w:t xml:space="preserve">הסנגור, עו"ד גיא פרידמן, עמד בטיעוניו על הפער המשמעותי הקיים בין כתב האישום שהוגש במקור לבין כתב האישום המתוקן בו הורשע הנאשם, והסביר כי לטעמו "המחיר העונשי" בגין שני האישומים הראשונים צריך להיות פחות מ-4 חודשים, וזאת בהינתן העובדה כי מדובר באישומים פחותים מאוד בחומרתם. עוד עמד הסנגור על נטילת האחריות והמשמעות שיש להעניק לה בהקשר לעונש. כאינדיקציה נוספת למוטיב קבלת האחריות, ומעבר להודאה בבית המשפט, הפנה הסנגור לתסקיר שרות המבחן ולהסבר שמסר הנאשם לקצינת המבחן בדבר האופן בו למד להכין את מטען החבלה (לימוד עצמי באינטרנט). הוסבר כי התקופה בה נעברו העבירות הייתה תקופה שאופיינה בלחצים כבדים בהם היה נתון הנאשם, וגם פעולותיו לא נעשו על-מנת לפגוע באחרים אלא, כפי שצוין בעובדות האישום השלישי, כדי לאיים בלבד. </w:t>
      </w:r>
    </w:p>
    <w:p w14:paraId="26963F3E" w14:textId="77777777" w:rsidR="006D2B4C" w:rsidRDefault="006D2B4C" w:rsidP="006D2B4C">
      <w:pPr>
        <w:spacing w:line="360" w:lineRule="auto"/>
        <w:ind w:left="720" w:hanging="720"/>
        <w:jc w:val="both"/>
        <w:rPr>
          <w:rtl/>
        </w:rPr>
      </w:pPr>
    </w:p>
    <w:p w14:paraId="6D04EF03" w14:textId="77777777" w:rsidR="006D2B4C" w:rsidRDefault="006D2B4C" w:rsidP="006D2B4C">
      <w:pPr>
        <w:spacing w:line="360" w:lineRule="auto"/>
        <w:ind w:left="720" w:hanging="720"/>
        <w:jc w:val="both"/>
        <w:rPr>
          <w:rtl/>
        </w:rPr>
      </w:pPr>
      <w:r>
        <w:rPr>
          <w:rtl/>
        </w:rPr>
        <w:tab/>
      </w:r>
      <w:r>
        <w:rPr>
          <w:rFonts w:hint="cs"/>
          <w:rtl/>
        </w:rPr>
        <w:t>עו"ד פרידמן סקר אף הוא פסיקה מגוונת, ממנה ביקש ללמוד כי הענישה הראויה במקרה דנן, נמוכה באופן משמעותי מהרף שנטען על-ידי התביעה. טענה נוספת שנטענה באותו הקשר, קשורה לעמדת התביעה בתיקים דומים, ונטען כי "</w:t>
      </w:r>
      <w:r>
        <w:rPr>
          <w:rFonts w:hint="cs"/>
          <w:b/>
          <w:bCs/>
          <w:rtl/>
        </w:rPr>
        <w:t>המדינה דיברה במקרים חמורים יותר על עונשים פחותים יותר. לא יכול להיות שבמקרה הזה, יש לי לפחות את התחושה, שהוא קיבל נופך של חומרה, הרבה מעבר</w:t>
      </w:r>
      <w:r>
        <w:rPr>
          <w:rFonts w:hint="cs"/>
          <w:rtl/>
        </w:rPr>
        <w:t xml:space="preserve">". </w:t>
      </w:r>
    </w:p>
    <w:p w14:paraId="715224DF" w14:textId="77777777" w:rsidR="006D2B4C" w:rsidRDefault="006D2B4C" w:rsidP="006D2B4C">
      <w:pPr>
        <w:spacing w:line="360" w:lineRule="auto"/>
        <w:ind w:left="720" w:hanging="720"/>
        <w:jc w:val="both"/>
        <w:rPr>
          <w:rtl/>
        </w:rPr>
      </w:pPr>
    </w:p>
    <w:p w14:paraId="775D76AB" w14:textId="77777777" w:rsidR="006D2B4C" w:rsidRDefault="006D2B4C" w:rsidP="006D2B4C">
      <w:pPr>
        <w:spacing w:line="360" w:lineRule="auto"/>
        <w:ind w:left="720" w:hanging="720"/>
        <w:jc w:val="both"/>
        <w:rPr>
          <w:rtl/>
        </w:rPr>
      </w:pPr>
      <w:r>
        <w:rPr>
          <w:rtl/>
        </w:rPr>
        <w:tab/>
      </w:r>
      <w:r>
        <w:rPr>
          <w:rFonts w:hint="cs"/>
          <w:rtl/>
        </w:rPr>
        <w:t xml:space="preserve">עוד נסקרו נתוניו האישיים המורכבים של הנאשם, גילו הצעיר, רצונו לשקם את חייו, והתקופה הלא קצרה בה הוחזק במעצר עד תום ההליכים. </w:t>
      </w:r>
    </w:p>
    <w:p w14:paraId="579E8178" w14:textId="77777777" w:rsidR="006D2B4C" w:rsidRDefault="006D2B4C" w:rsidP="006D2B4C">
      <w:pPr>
        <w:spacing w:line="360" w:lineRule="auto"/>
        <w:ind w:left="720" w:hanging="720"/>
        <w:jc w:val="both"/>
        <w:rPr>
          <w:rtl/>
        </w:rPr>
      </w:pPr>
    </w:p>
    <w:p w14:paraId="76D9C277" w14:textId="77777777" w:rsidR="006D2B4C" w:rsidRDefault="006D2B4C" w:rsidP="006D2B4C">
      <w:pPr>
        <w:spacing w:line="360" w:lineRule="auto"/>
        <w:ind w:left="720" w:hanging="720"/>
        <w:jc w:val="both"/>
        <w:rPr>
          <w:rtl/>
        </w:rPr>
      </w:pPr>
      <w:r>
        <w:rPr>
          <w:rtl/>
        </w:rPr>
        <w:tab/>
      </w:r>
      <w:r>
        <w:rPr>
          <w:rFonts w:hint="cs"/>
          <w:rtl/>
        </w:rPr>
        <w:t xml:space="preserve">בסיכומו של טיעון, ביקש הסנגור להטיל על הנאשם עונש מתון, אשר לא יעלה על תקופה בת שנתיים. </w:t>
      </w:r>
    </w:p>
    <w:p w14:paraId="1B064253" w14:textId="77777777" w:rsidR="006D2B4C" w:rsidRDefault="006D2B4C" w:rsidP="006D2B4C">
      <w:pPr>
        <w:spacing w:line="360" w:lineRule="auto"/>
        <w:ind w:left="720" w:hanging="720"/>
        <w:jc w:val="both"/>
        <w:rPr>
          <w:rtl/>
        </w:rPr>
      </w:pPr>
    </w:p>
    <w:p w14:paraId="5A2B1DA0" w14:textId="77777777" w:rsidR="006D2B4C" w:rsidRDefault="006D2B4C" w:rsidP="006D2B4C">
      <w:pPr>
        <w:spacing w:line="360" w:lineRule="auto"/>
        <w:ind w:left="720" w:hanging="720"/>
        <w:jc w:val="both"/>
        <w:rPr>
          <w:rtl/>
        </w:rPr>
      </w:pPr>
      <w:r>
        <w:rPr>
          <w:rtl/>
        </w:rPr>
        <w:tab/>
      </w:r>
      <w:r>
        <w:rPr>
          <w:rFonts w:hint="cs"/>
          <w:u w:val="single"/>
          <w:rtl/>
        </w:rPr>
        <w:t>דיון והכרעה</w:t>
      </w:r>
    </w:p>
    <w:p w14:paraId="431C7B29" w14:textId="77777777" w:rsidR="006D2B4C" w:rsidRPr="00516B8F" w:rsidRDefault="006D2B4C" w:rsidP="006D2B4C">
      <w:pPr>
        <w:spacing w:line="360" w:lineRule="auto"/>
        <w:ind w:left="720" w:hanging="720"/>
        <w:jc w:val="both"/>
        <w:rPr>
          <w:rtl/>
        </w:rPr>
      </w:pPr>
    </w:p>
    <w:p w14:paraId="36ADAD49" w14:textId="77777777" w:rsidR="006D2B4C" w:rsidRDefault="006D2B4C" w:rsidP="006D2B4C">
      <w:pPr>
        <w:spacing w:line="360" w:lineRule="auto"/>
        <w:ind w:left="720" w:hanging="720"/>
        <w:jc w:val="both"/>
        <w:rPr>
          <w:rtl/>
        </w:rPr>
      </w:pPr>
      <w:r>
        <w:rPr>
          <w:rFonts w:hint="cs"/>
          <w:rtl/>
        </w:rPr>
        <w:t>9.</w:t>
      </w:r>
      <w:r>
        <w:rPr>
          <w:rFonts w:hint="cs"/>
          <w:rtl/>
        </w:rPr>
        <w:tab/>
        <w:t xml:space="preserve">מעשיו של הנאשם חמורים ממגוון היבטים, ונראה כי הנאשם מתנהל באופן אלים ומאיים כמעט באופן שגרתי. אתייחס בהמשך למשקל הקיים בענישה לשני האישומים הראשונים, אך דומני כי בשלב ראשון, יש להשקיף על שלושת האישומים במבט על, וכשעושים זאת  - מצטיירת תמונה עגומה ביותר ביחס להתנהלותו של הנאשם. </w:t>
      </w:r>
    </w:p>
    <w:p w14:paraId="3FDD97BF" w14:textId="77777777" w:rsidR="006D2B4C" w:rsidRDefault="006D2B4C" w:rsidP="006D2B4C">
      <w:pPr>
        <w:spacing w:line="360" w:lineRule="auto"/>
        <w:ind w:left="720" w:hanging="720"/>
        <w:jc w:val="both"/>
        <w:rPr>
          <w:rtl/>
        </w:rPr>
      </w:pPr>
    </w:p>
    <w:p w14:paraId="33134624" w14:textId="77777777" w:rsidR="006D2B4C" w:rsidRDefault="006D2B4C" w:rsidP="006D2B4C">
      <w:pPr>
        <w:spacing w:line="360" w:lineRule="auto"/>
        <w:ind w:left="720" w:hanging="720"/>
        <w:jc w:val="both"/>
        <w:rPr>
          <w:rtl/>
        </w:rPr>
      </w:pPr>
      <w:r>
        <w:rPr>
          <w:rtl/>
        </w:rPr>
        <w:tab/>
      </w:r>
      <w:r>
        <w:rPr>
          <w:rFonts w:hint="cs"/>
          <w:rtl/>
        </w:rPr>
        <w:t xml:space="preserve">אם באישום הראשון מסר הנאשם לאחר "טלפון מבצעי" לצורך ביצוע פשע, ואם באישום השני קשר הנאשם קשר עם נאשם 2 להצתת אופנוע, הרי עובדות האישום השלישי מלמדות על עליית מדרגה משמעותית בהתנהלותו האלימה והמאיימת של הנאשם. עובדותיו של אישום זה מלמדות על תכנון מוקדם, תעוזה,  יכולת עבריינית מגוונת (לרבות יכולת טכנית) והעדר מורא מהשלמת המעשה, דהיינו - הצמדת המטען לרכב והפעלתו מרחוק. </w:t>
      </w:r>
    </w:p>
    <w:p w14:paraId="05769F0F" w14:textId="77777777" w:rsidR="006D2B4C" w:rsidRDefault="006D2B4C" w:rsidP="006D2B4C">
      <w:pPr>
        <w:spacing w:line="360" w:lineRule="auto"/>
        <w:ind w:left="720" w:hanging="720"/>
        <w:jc w:val="both"/>
        <w:rPr>
          <w:rtl/>
        </w:rPr>
      </w:pPr>
    </w:p>
    <w:p w14:paraId="32C0BCF8" w14:textId="77777777" w:rsidR="006D2B4C" w:rsidRDefault="006D2B4C" w:rsidP="006D2B4C">
      <w:pPr>
        <w:spacing w:line="360" w:lineRule="auto"/>
        <w:ind w:left="720" w:hanging="720"/>
        <w:jc w:val="both"/>
        <w:rPr>
          <w:rtl/>
        </w:rPr>
      </w:pPr>
      <w:r>
        <w:rPr>
          <w:rtl/>
        </w:rPr>
        <w:tab/>
      </w:r>
      <w:r>
        <w:rPr>
          <w:rFonts w:hint="cs"/>
          <w:rtl/>
        </w:rPr>
        <w:t xml:space="preserve">בצדק עמד התובע על החומרה הנובעת ממיקום המטען והפעלתו בטבורה של עיר, וברור כי אף אם נועד "רק" לאיים, לא ניתן להתעלם מפוטנציאל הנזק שיכול היה לגרום. </w:t>
      </w:r>
    </w:p>
    <w:p w14:paraId="271E4A9D" w14:textId="77777777" w:rsidR="006D2B4C" w:rsidRDefault="006D2B4C" w:rsidP="006D2B4C">
      <w:pPr>
        <w:spacing w:line="360" w:lineRule="auto"/>
        <w:ind w:left="720" w:hanging="720"/>
        <w:jc w:val="both"/>
        <w:rPr>
          <w:rtl/>
        </w:rPr>
      </w:pPr>
    </w:p>
    <w:p w14:paraId="50213EAD" w14:textId="77777777" w:rsidR="006D2B4C" w:rsidRDefault="006D2B4C" w:rsidP="006D2B4C">
      <w:pPr>
        <w:spacing w:line="360" w:lineRule="auto"/>
        <w:ind w:left="720"/>
        <w:jc w:val="both"/>
        <w:rPr>
          <w:rtl/>
        </w:rPr>
      </w:pPr>
      <w:r>
        <w:rPr>
          <w:rFonts w:hint="cs"/>
          <w:rtl/>
        </w:rPr>
        <w:t xml:space="preserve">מדובר במעשים הפוגעים במגוון ערכים מוגנים, שהמרכזי בהם  - הצורך להבטיח את ביטחון הציבור ושלומו. </w:t>
      </w:r>
    </w:p>
    <w:p w14:paraId="266E644A" w14:textId="77777777" w:rsidR="006D2B4C" w:rsidRDefault="006D2B4C" w:rsidP="006D2B4C">
      <w:pPr>
        <w:spacing w:line="360" w:lineRule="auto"/>
        <w:ind w:left="720"/>
        <w:jc w:val="both"/>
        <w:rPr>
          <w:rtl/>
        </w:rPr>
      </w:pPr>
    </w:p>
    <w:p w14:paraId="740A44DE" w14:textId="77777777" w:rsidR="006D2B4C" w:rsidRDefault="006D2B4C" w:rsidP="006D2B4C">
      <w:pPr>
        <w:spacing w:line="360" w:lineRule="auto"/>
        <w:ind w:left="720"/>
        <w:jc w:val="both"/>
        <w:rPr>
          <w:rtl/>
        </w:rPr>
      </w:pPr>
      <w:r>
        <w:rPr>
          <w:rFonts w:hint="cs"/>
          <w:rtl/>
        </w:rPr>
        <w:t>פסיקת בתי המשפט עמדה על החומרה הרבה הטמונה בעבירות בנשק נוכח הסיכון הרב הגלום בעבירות מסוג זה. ראה לדוגמא, עמדת בית המשפט העליון ב</w:t>
      </w:r>
      <w:hyperlink r:id="rId37" w:history="1">
        <w:r w:rsidR="00911097" w:rsidRPr="00911097">
          <w:rPr>
            <w:color w:val="0000FF"/>
            <w:u w:val="single"/>
            <w:rtl/>
          </w:rPr>
          <w:t>ע"פ 5779/14</w:t>
        </w:r>
      </w:hyperlink>
      <w:r>
        <w:rPr>
          <w:rFonts w:hint="cs"/>
          <w:rtl/>
        </w:rPr>
        <w:t xml:space="preserve"> </w:t>
      </w:r>
      <w:r>
        <w:rPr>
          <w:rFonts w:hint="cs"/>
          <w:b/>
          <w:bCs/>
          <w:rtl/>
        </w:rPr>
        <w:t xml:space="preserve">אלגזי נ' מדינת ישראל </w:t>
      </w:r>
      <w:r>
        <w:rPr>
          <w:rFonts w:hint="cs"/>
          <w:rtl/>
        </w:rPr>
        <w:t>(5.2.2015):</w:t>
      </w:r>
    </w:p>
    <w:p w14:paraId="4900FE9F" w14:textId="77777777" w:rsidR="006D2B4C" w:rsidRDefault="006D2B4C" w:rsidP="006D2B4C">
      <w:pPr>
        <w:spacing w:line="360" w:lineRule="auto"/>
        <w:ind w:left="720"/>
        <w:jc w:val="both"/>
        <w:rPr>
          <w:rtl/>
        </w:rPr>
      </w:pPr>
    </w:p>
    <w:p w14:paraId="4634EAE9" w14:textId="77777777" w:rsidR="006D2B4C" w:rsidRPr="00811FF3" w:rsidRDefault="006D2B4C" w:rsidP="006D2B4C">
      <w:pPr>
        <w:pStyle w:val="Ruller40"/>
        <w:ind w:left="720"/>
        <w:rPr>
          <w:rFonts w:ascii="Times New Roman" w:hAnsi="Times New Roman" w:cs="David"/>
          <w:b/>
          <w:bCs/>
          <w:spacing w:val="0"/>
          <w:sz w:val="24"/>
          <w:szCs w:val="24"/>
        </w:rPr>
      </w:pPr>
      <w:r>
        <w:rPr>
          <w:rFonts w:ascii="Times New Roman" w:hAnsi="Times New Roman" w:cs="David" w:hint="cs"/>
          <w:spacing w:val="0"/>
          <w:sz w:val="24"/>
          <w:szCs w:val="24"/>
          <w:rtl/>
        </w:rPr>
        <w:t>"</w:t>
      </w:r>
      <w:r w:rsidRPr="00811FF3">
        <w:rPr>
          <w:rFonts w:ascii="Times New Roman" w:hAnsi="Times New Roman" w:cs="David"/>
          <w:b/>
          <w:bCs/>
          <w:spacing w:val="0"/>
          <w:sz w:val="24"/>
          <w:szCs w:val="24"/>
          <w:rtl/>
        </w:rPr>
        <w:t>הפסיקה בעבירות נשק היא מחמירה, תוך מתן משקל לשיקולי הרתעה וגמול, וזאת בשל פוטנציאל הפגיעה הרב הגלום בעבירות אלה:</w:t>
      </w:r>
    </w:p>
    <w:p w14:paraId="7724BB9E" w14:textId="77777777" w:rsidR="006D2B4C" w:rsidRPr="00811FF3" w:rsidRDefault="006D2B4C" w:rsidP="006D2B4C">
      <w:pPr>
        <w:pStyle w:val="Ruller40"/>
        <w:rPr>
          <w:rFonts w:ascii="Times New Roman" w:hAnsi="Times New Roman" w:cs="David"/>
          <w:b/>
          <w:bCs/>
          <w:spacing w:val="0"/>
          <w:sz w:val="24"/>
          <w:szCs w:val="24"/>
        </w:rPr>
      </w:pPr>
    </w:p>
    <w:p w14:paraId="573E8778" w14:textId="77777777" w:rsidR="006D2B4C" w:rsidRPr="00811FF3" w:rsidRDefault="006D2B4C" w:rsidP="006D2B4C">
      <w:pPr>
        <w:pStyle w:val="Ruller5"/>
        <w:spacing w:line="360" w:lineRule="auto"/>
        <w:rPr>
          <w:rFonts w:ascii="Times New Roman" w:eastAsia="Times New Roman" w:hAnsi="Times New Roman" w:cs="David"/>
          <w:b/>
          <w:bCs/>
          <w:spacing w:val="0"/>
          <w:sz w:val="24"/>
          <w:szCs w:val="24"/>
          <w:rtl/>
        </w:rPr>
      </w:pPr>
      <w:r>
        <w:rPr>
          <w:rFonts w:ascii="Times New Roman" w:eastAsia="Times New Roman" w:hAnsi="Times New Roman" w:cs="David" w:hint="cs"/>
          <w:spacing w:val="0"/>
          <w:sz w:val="24"/>
          <w:szCs w:val="24"/>
          <w:rtl/>
        </w:rPr>
        <w:t>'</w:t>
      </w:r>
      <w:r w:rsidRPr="00811FF3">
        <w:rPr>
          <w:rFonts w:ascii="Times New Roman" w:eastAsia="Times New Roman" w:hAnsi="Times New Roman" w:cs="David" w:hint="cs"/>
          <w:b/>
          <w:bCs/>
          <w:spacing w:val="0"/>
          <w:sz w:val="24"/>
          <w:szCs w:val="24"/>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לידים עברייניות, עניין חמור לעצמו, כי אם לידיהם של אלה המבקשים להוציא אל הפועל פעילות חבלנית עוינת</w:t>
      </w:r>
      <w:r w:rsidRPr="00B20D9C">
        <w:rPr>
          <w:rFonts w:ascii="Times New Roman" w:eastAsia="Times New Roman" w:hAnsi="Times New Roman" w:cs="David" w:hint="cs"/>
          <w:spacing w:val="0"/>
          <w:sz w:val="24"/>
          <w:szCs w:val="24"/>
          <w:rtl/>
        </w:rPr>
        <w:t>'</w:t>
      </w:r>
      <w:r w:rsidRPr="00811FF3">
        <w:rPr>
          <w:rFonts w:ascii="Times New Roman" w:eastAsia="Times New Roman" w:hAnsi="Times New Roman" w:cs="David" w:hint="cs"/>
          <w:b/>
          <w:bCs/>
          <w:spacing w:val="0"/>
          <w:sz w:val="24"/>
          <w:szCs w:val="24"/>
          <w:rtl/>
        </w:rPr>
        <w:t xml:space="preserve"> (</w:t>
      </w:r>
      <w:hyperlink r:id="rId38" w:history="1">
        <w:r w:rsidR="00911097" w:rsidRPr="00911097">
          <w:rPr>
            <w:rFonts w:ascii="Times New Roman" w:eastAsia="Times New Roman" w:hAnsi="Times New Roman" w:cs="David"/>
            <w:b/>
            <w:bCs/>
            <w:color w:val="0000FF"/>
            <w:spacing w:val="0"/>
            <w:sz w:val="24"/>
            <w:szCs w:val="24"/>
            <w:u w:val="single"/>
            <w:rtl/>
          </w:rPr>
          <w:t>ע"פ 2251/11</w:t>
        </w:r>
      </w:hyperlink>
      <w:r w:rsidRPr="00811FF3">
        <w:rPr>
          <w:rFonts w:ascii="Times New Roman" w:eastAsia="Times New Roman" w:hAnsi="Times New Roman" w:cs="David" w:hint="cs"/>
          <w:b/>
          <w:bCs/>
          <w:spacing w:val="0"/>
          <w:sz w:val="24"/>
          <w:szCs w:val="24"/>
          <w:rtl/>
        </w:rPr>
        <w:t xml:space="preserve"> נפאע נ' מדינת ישראל, פסקה 5 (4.12.2011)).</w:t>
      </w:r>
    </w:p>
    <w:p w14:paraId="14DFF62A" w14:textId="77777777" w:rsidR="006D2B4C" w:rsidRPr="00811FF3" w:rsidRDefault="006D2B4C" w:rsidP="006D2B4C">
      <w:pPr>
        <w:pStyle w:val="Ruller5"/>
        <w:rPr>
          <w:rFonts w:ascii="Times New Roman" w:eastAsia="Times New Roman" w:hAnsi="Times New Roman" w:cs="David"/>
          <w:b/>
          <w:bCs/>
          <w:spacing w:val="0"/>
          <w:sz w:val="24"/>
          <w:szCs w:val="24"/>
          <w:rtl/>
        </w:rPr>
      </w:pPr>
    </w:p>
    <w:p w14:paraId="6EF36E7D" w14:textId="77777777" w:rsidR="006D2B4C" w:rsidRPr="00811FF3" w:rsidRDefault="006D2B4C" w:rsidP="006D2B4C">
      <w:pPr>
        <w:pStyle w:val="Ruller40"/>
        <w:rPr>
          <w:rFonts w:ascii="Times New Roman" w:hAnsi="Times New Roman" w:cs="David"/>
          <w:b/>
          <w:bCs/>
          <w:spacing w:val="0"/>
          <w:sz w:val="24"/>
          <w:szCs w:val="24"/>
          <w:rtl/>
        </w:rPr>
      </w:pPr>
    </w:p>
    <w:p w14:paraId="0BE2AB52" w14:textId="77777777" w:rsidR="006D2B4C" w:rsidRDefault="006D2B4C" w:rsidP="006D2B4C">
      <w:pPr>
        <w:pStyle w:val="Ruller40"/>
        <w:ind w:left="720"/>
        <w:rPr>
          <w:rtl/>
        </w:rPr>
      </w:pPr>
      <w:r w:rsidRPr="00811FF3">
        <w:rPr>
          <w:rFonts w:ascii="Times New Roman" w:hAnsi="Times New Roman" w:cs="David"/>
          <w:b/>
          <w:bCs/>
          <w:spacing w:val="0"/>
          <w:sz w:val="24"/>
          <w:szCs w:val="24"/>
          <w:rtl/>
        </w:rPr>
        <w:t>ענייננו במטען חבלה, וגם אם המערער לא ידע על השימוש המדוייק שאלירן ואפי התכוונו לעשות במטען, הרי שאין צורך בדמיון מפותח כדי להבין כי מטען החבלה לא נועד לצרכים תמימים. מטעני חבלה מתפוצצים ומסכנים עוברי אורח תמימים ברחובותינו, פגיעתם ברכוש ובנפש קשה והם מביאים להסלמת הפעילות העבריינית. גם אם העונש שהושת על המערער אינו מן הקלים, הרי שכחלק ממלחמת החורמה שמנהלים גורמי אכיפת החוק בכל חוליה וחוליה בשרשרת רכישת המטען – הכנתו – הטמנתו, על בית המשפט לתרום תרומתו</w:t>
      </w:r>
      <w:r>
        <w:rPr>
          <w:rFonts w:ascii="Times New Roman" w:hAnsi="Times New Roman" w:cs="David"/>
          <w:b/>
          <w:bCs/>
          <w:spacing w:val="0"/>
          <w:sz w:val="24"/>
          <w:szCs w:val="24"/>
          <w:rtl/>
        </w:rPr>
        <w:t xml:space="preserve"> בענישה מכאיבה בעבירות כגון דא</w:t>
      </w:r>
      <w:r>
        <w:rPr>
          <w:rFonts w:ascii="Times New Roman" w:hAnsi="Times New Roman" w:cs="David" w:hint="cs"/>
          <w:spacing w:val="0"/>
          <w:sz w:val="24"/>
          <w:szCs w:val="24"/>
          <w:rtl/>
        </w:rPr>
        <w:t>".</w:t>
      </w:r>
    </w:p>
    <w:p w14:paraId="11D330A6" w14:textId="77777777" w:rsidR="006D2B4C" w:rsidRDefault="006D2B4C" w:rsidP="006D2B4C">
      <w:pPr>
        <w:pStyle w:val="Ruller40"/>
        <w:ind w:left="720"/>
        <w:rPr>
          <w:rtl/>
        </w:rPr>
      </w:pPr>
    </w:p>
    <w:p w14:paraId="6DFE0B32" w14:textId="77777777" w:rsidR="006D2B4C" w:rsidRDefault="006D2B4C" w:rsidP="006D2B4C">
      <w:pPr>
        <w:pStyle w:val="Ruller40"/>
        <w:ind w:left="720"/>
        <w:rPr>
          <w:rFonts w:ascii="Times New Roman" w:hAnsi="Times New Roman" w:cs="David"/>
          <w:spacing w:val="0"/>
          <w:sz w:val="24"/>
          <w:szCs w:val="24"/>
          <w:rtl/>
        </w:rPr>
      </w:pPr>
      <w:r w:rsidRPr="004B70A9">
        <w:rPr>
          <w:rFonts w:ascii="Times New Roman" w:hAnsi="Times New Roman" w:cs="David" w:hint="cs"/>
          <w:spacing w:val="0"/>
          <w:sz w:val="24"/>
          <w:szCs w:val="24"/>
          <w:rtl/>
        </w:rPr>
        <w:t xml:space="preserve">במסגרת בחינת מתחם העונש ההולם וסבירות הסדר הטיעון, נתתי דעתי למגוון פסקי הדין שהוגשו על-ידי הצדדים ואחרים, ובהם: </w:t>
      </w:r>
      <w:hyperlink r:id="rId39" w:history="1">
        <w:r w:rsidR="00911097" w:rsidRPr="00911097">
          <w:rPr>
            <w:rFonts w:ascii="Times New Roman" w:hAnsi="Times New Roman" w:cs="David"/>
            <w:color w:val="0000FF"/>
            <w:spacing w:val="0"/>
            <w:sz w:val="24"/>
            <w:szCs w:val="24"/>
            <w:u w:val="single"/>
            <w:rtl/>
          </w:rPr>
          <w:t>ע"פ 9158/16</w:t>
        </w:r>
      </w:hyperlink>
      <w:r w:rsidRPr="004B70A9">
        <w:rPr>
          <w:rFonts w:ascii="Times New Roman" w:hAnsi="Times New Roman" w:cs="David" w:hint="cs"/>
          <w:spacing w:val="0"/>
          <w:sz w:val="24"/>
          <w:szCs w:val="24"/>
          <w:rtl/>
        </w:rPr>
        <w:t xml:space="preserve"> </w:t>
      </w:r>
      <w:r w:rsidRPr="004B70A9">
        <w:rPr>
          <w:rFonts w:ascii="Times New Roman" w:hAnsi="Times New Roman" w:cs="David" w:hint="cs"/>
          <w:b/>
          <w:bCs/>
          <w:spacing w:val="0"/>
          <w:sz w:val="24"/>
          <w:szCs w:val="24"/>
          <w:rtl/>
        </w:rPr>
        <w:t>אברג'יל ואח' נ' מדינת ישראל</w:t>
      </w:r>
      <w:r w:rsidRPr="004B70A9">
        <w:rPr>
          <w:rFonts w:ascii="Times New Roman" w:hAnsi="Times New Roman" w:cs="David" w:hint="cs"/>
          <w:spacing w:val="0"/>
          <w:sz w:val="24"/>
          <w:szCs w:val="24"/>
          <w:rtl/>
        </w:rPr>
        <w:t xml:space="preserve"> (30.1.2017); </w:t>
      </w:r>
      <w:hyperlink r:id="rId40" w:history="1">
        <w:r w:rsidR="00911097" w:rsidRPr="00911097">
          <w:rPr>
            <w:rFonts w:ascii="Times New Roman" w:hAnsi="Times New Roman" w:cs="David"/>
            <w:color w:val="0000FF"/>
            <w:spacing w:val="0"/>
            <w:sz w:val="24"/>
            <w:szCs w:val="24"/>
            <w:u w:val="single"/>
            <w:rtl/>
          </w:rPr>
          <w:t>ע"פ 5995/11</w:t>
        </w:r>
      </w:hyperlink>
      <w:r w:rsidRPr="004B70A9">
        <w:rPr>
          <w:rFonts w:ascii="Times New Roman" w:hAnsi="Times New Roman" w:cs="David" w:hint="cs"/>
          <w:spacing w:val="0"/>
          <w:sz w:val="24"/>
          <w:szCs w:val="24"/>
          <w:rtl/>
        </w:rPr>
        <w:t xml:space="preserve"> </w:t>
      </w:r>
      <w:r w:rsidRPr="004B70A9">
        <w:rPr>
          <w:rFonts w:ascii="Times New Roman" w:hAnsi="Times New Roman" w:cs="David" w:hint="cs"/>
          <w:b/>
          <w:bCs/>
          <w:spacing w:val="0"/>
          <w:sz w:val="24"/>
          <w:szCs w:val="24"/>
          <w:rtl/>
        </w:rPr>
        <w:t>בדראן נ' מדינת ישראל</w:t>
      </w:r>
      <w:r w:rsidRPr="004B70A9">
        <w:rPr>
          <w:rFonts w:ascii="Times New Roman" w:hAnsi="Times New Roman" w:cs="David" w:hint="cs"/>
          <w:spacing w:val="0"/>
          <w:sz w:val="24"/>
          <w:szCs w:val="24"/>
          <w:rtl/>
        </w:rPr>
        <w:t xml:space="preserve"> (14.10.2012);</w:t>
      </w:r>
      <w:r>
        <w:rPr>
          <w:rFonts w:ascii="Times New Roman" w:hAnsi="Times New Roman" w:cs="David" w:hint="cs"/>
          <w:spacing w:val="0"/>
          <w:sz w:val="24"/>
          <w:szCs w:val="24"/>
          <w:rtl/>
        </w:rPr>
        <w:t xml:space="preserve"> </w:t>
      </w:r>
      <w:hyperlink r:id="rId41" w:history="1">
        <w:r w:rsidR="00911097" w:rsidRPr="00911097">
          <w:rPr>
            <w:rFonts w:ascii="Times New Roman" w:hAnsi="Times New Roman" w:cs="David"/>
            <w:color w:val="0000FF"/>
            <w:spacing w:val="0"/>
            <w:sz w:val="24"/>
            <w:szCs w:val="24"/>
            <w:u w:val="single"/>
            <w:rtl/>
          </w:rPr>
          <w:t>ת"פ (חיפה) 49995-09-17</w:t>
        </w:r>
      </w:hyperlink>
      <w:r>
        <w:rPr>
          <w:rFonts w:ascii="Times New Roman" w:hAnsi="Times New Roman" w:cs="David" w:hint="cs"/>
          <w:spacing w:val="0"/>
          <w:sz w:val="24"/>
          <w:szCs w:val="24"/>
          <w:rtl/>
        </w:rPr>
        <w:t xml:space="preserve"> </w:t>
      </w:r>
      <w:r>
        <w:rPr>
          <w:rFonts w:ascii="Times New Roman" w:hAnsi="Times New Roman" w:cs="David" w:hint="cs"/>
          <w:b/>
          <w:bCs/>
          <w:spacing w:val="0"/>
          <w:sz w:val="24"/>
          <w:szCs w:val="24"/>
          <w:rtl/>
        </w:rPr>
        <w:t xml:space="preserve">מדינת ישראל נ' עלי </w:t>
      </w:r>
      <w:r>
        <w:rPr>
          <w:rFonts w:ascii="Times New Roman" w:hAnsi="Times New Roman" w:cs="David" w:hint="cs"/>
          <w:spacing w:val="0"/>
          <w:sz w:val="24"/>
          <w:szCs w:val="24"/>
          <w:rtl/>
        </w:rPr>
        <w:t xml:space="preserve">(4.11.2018); </w:t>
      </w:r>
      <w:hyperlink r:id="rId42" w:history="1">
        <w:r w:rsidR="00911097" w:rsidRPr="00911097">
          <w:rPr>
            <w:rFonts w:ascii="Times New Roman" w:hAnsi="Times New Roman" w:cs="David"/>
            <w:color w:val="0000FF"/>
            <w:spacing w:val="0"/>
            <w:sz w:val="24"/>
            <w:szCs w:val="24"/>
            <w:u w:val="single"/>
            <w:rtl/>
          </w:rPr>
          <w:t>ת"פ (חיפה) 34413-09-17</w:t>
        </w:r>
      </w:hyperlink>
      <w:r>
        <w:rPr>
          <w:rFonts w:ascii="Times New Roman" w:hAnsi="Times New Roman" w:cs="David" w:hint="cs"/>
          <w:spacing w:val="0"/>
          <w:sz w:val="24"/>
          <w:szCs w:val="24"/>
          <w:rtl/>
        </w:rPr>
        <w:t xml:space="preserve"> </w:t>
      </w:r>
      <w:r>
        <w:rPr>
          <w:rFonts w:ascii="Times New Roman" w:hAnsi="Times New Roman" w:cs="David" w:hint="cs"/>
          <w:b/>
          <w:bCs/>
          <w:spacing w:val="0"/>
          <w:sz w:val="24"/>
          <w:szCs w:val="24"/>
          <w:rtl/>
        </w:rPr>
        <w:t xml:space="preserve">מדינת ישראל נ' בן שלום </w:t>
      </w:r>
      <w:r>
        <w:rPr>
          <w:rFonts w:ascii="Times New Roman" w:hAnsi="Times New Roman" w:cs="David" w:hint="cs"/>
          <w:spacing w:val="0"/>
          <w:sz w:val="24"/>
          <w:szCs w:val="24"/>
          <w:rtl/>
        </w:rPr>
        <w:t xml:space="preserve">(28.3.2018); ת"פ (ב"ש) 32440-06-16 </w:t>
      </w:r>
      <w:r>
        <w:rPr>
          <w:rFonts w:ascii="Times New Roman" w:hAnsi="Times New Roman" w:cs="David" w:hint="cs"/>
          <w:b/>
          <w:bCs/>
          <w:spacing w:val="0"/>
          <w:sz w:val="24"/>
          <w:szCs w:val="24"/>
          <w:rtl/>
        </w:rPr>
        <w:t xml:space="preserve">מדינת ישראל נ' </w:t>
      </w:r>
      <w:hyperlink r:id="rId43" w:history="1">
        <w:r w:rsidR="009F16AD" w:rsidRPr="009F16AD">
          <w:rPr>
            <w:rFonts w:ascii="Times New Roman" w:hAnsi="Times New Roman" w:cs="David"/>
            <w:b/>
            <w:bCs/>
            <w:color w:val="0000FF"/>
            <w:spacing w:val="0"/>
            <w:sz w:val="24"/>
            <w:szCs w:val="24"/>
            <w:u w:val="single"/>
            <w:rtl/>
          </w:rPr>
          <w:t xml:space="preserve">גיל אנג'דה </w:t>
        </w:r>
      </w:hyperlink>
      <w:r>
        <w:rPr>
          <w:rFonts w:ascii="Times New Roman" w:hAnsi="Times New Roman" w:cs="David" w:hint="cs"/>
          <w:b/>
          <w:bCs/>
          <w:spacing w:val="0"/>
          <w:sz w:val="24"/>
          <w:szCs w:val="24"/>
          <w:rtl/>
        </w:rPr>
        <w:t xml:space="preserve"> ואח'</w:t>
      </w:r>
      <w:r>
        <w:rPr>
          <w:rFonts w:ascii="Times New Roman" w:hAnsi="Times New Roman" w:cs="David" w:hint="cs"/>
          <w:spacing w:val="0"/>
          <w:sz w:val="24"/>
          <w:szCs w:val="24"/>
          <w:rtl/>
        </w:rPr>
        <w:t xml:space="preserve"> (21.12.2017).</w:t>
      </w:r>
    </w:p>
    <w:p w14:paraId="46007486" w14:textId="77777777" w:rsidR="006D2B4C" w:rsidRDefault="006D2B4C" w:rsidP="006D2B4C">
      <w:pPr>
        <w:pStyle w:val="Ruller40"/>
        <w:ind w:left="720"/>
        <w:rPr>
          <w:rFonts w:ascii="Times New Roman" w:hAnsi="Times New Roman" w:cs="David"/>
          <w:spacing w:val="0"/>
          <w:sz w:val="24"/>
          <w:szCs w:val="24"/>
          <w:rtl/>
        </w:rPr>
      </w:pPr>
    </w:p>
    <w:p w14:paraId="1A832029" w14:textId="77777777" w:rsidR="006D2B4C" w:rsidRDefault="006D2B4C" w:rsidP="006D2B4C">
      <w:pPr>
        <w:pStyle w:val="Ruller40"/>
        <w:ind w:left="720" w:hanging="720"/>
        <w:rPr>
          <w:rFonts w:ascii="Times New Roman" w:hAnsi="Times New Roman" w:cs="David"/>
          <w:spacing w:val="0"/>
          <w:sz w:val="24"/>
          <w:szCs w:val="24"/>
          <w:rtl/>
        </w:rPr>
      </w:pPr>
      <w:r>
        <w:rPr>
          <w:rFonts w:ascii="Times New Roman" w:hAnsi="Times New Roman" w:cs="David" w:hint="cs"/>
          <w:spacing w:val="0"/>
          <w:sz w:val="24"/>
          <w:szCs w:val="24"/>
          <w:rtl/>
        </w:rPr>
        <w:t>10.</w:t>
      </w:r>
      <w:r>
        <w:rPr>
          <w:rFonts w:ascii="Times New Roman" w:hAnsi="Times New Roman" w:cs="David" w:hint="cs"/>
          <w:spacing w:val="0"/>
          <w:sz w:val="24"/>
          <w:szCs w:val="24"/>
          <w:rtl/>
        </w:rPr>
        <w:tab/>
        <w:t xml:space="preserve">לא הייתה מחלוקת של ממש כי משקלם של שני האישומים הראשונים בענישה מצומצם ביותר, ועמדת התביעה לפיה יש "לתמחר" כל אישום בתקופת מאסר בת חודשיים, נראית לי ראויה ומתיישבת עם הסדר הטיעון שגובש ביחס לנאשם 2, אשר הורשע בגין מעורבותו באישום השני. </w:t>
      </w:r>
    </w:p>
    <w:p w14:paraId="33757274" w14:textId="77777777" w:rsidR="006D2B4C" w:rsidRDefault="006D2B4C" w:rsidP="006D2B4C">
      <w:pPr>
        <w:pStyle w:val="Ruller40"/>
        <w:ind w:left="720" w:hanging="720"/>
        <w:rPr>
          <w:rFonts w:ascii="Times New Roman" w:hAnsi="Times New Roman" w:cs="David"/>
          <w:spacing w:val="0"/>
          <w:sz w:val="24"/>
          <w:szCs w:val="24"/>
          <w:rtl/>
        </w:rPr>
      </w:pPr>
    </w:p>
    <w:p w14:paraId="3BB49067" w14:textId="77777777" w:rsidR="006D2B4C" w:rsidRDefault="006D2B4C" w:rsidP="006D2B4C">
      <w:pPr>
        <w:pStyle w:val="Ruller40"/>
        <w:ind w:left="720" w:hanging="720"/>
        <w:rPr>
          <w:rFonts w:ascii="Times New Roman" w:hAnsi="Times New Roman" w:cs="David"/>
          <w:spacing w:val="0"/>
          <w:sz w:val="24"/>
          <w:szCs w:val="24"/>
          <w:rtl/>
        </w:rPr>
      </w:pPr>
      <w:r>
        <w:rPr>
          <w:rFonts w:ascii="Times New Roman" w:hAnsi="Times New Roman" w:cs="David" w:hint="cs"/>
          <w:spacing w:val="0"/>
          <w:sz w:val="24"/>
          <w:szCs w:val="24"/>
          <w:rtl/>
        </w:rPr>
        <w:t>11.</w:t>
      </w:r>
      <w:r>
        <w:rPr>
          <w:rFonts w:ascii="Times New Roman" w:hAnsi="Times New Roman" w:cs="David" w:hint="cs"/>
          <w:spacing w:val="0"/>
          <w:sz w:val="24"/>
          <w:szCs w:val="24"/>
          <w:rtl/>
        </w:rPr>
        <w:tab/>
        <w:t xml:space="preserve">ככל שהייתי נדרש לקביעת מתחם עונש הולם בעניינו של האישום השלישי, ולאור שקלול הנתונים שפורטו לעיל, היה מקום לקבוע מתחם הנע בין 34 חודשי מאסר ל- 62 חודשי מאסר. </w:t>
      </w:r>
    </w:p>
    <w:p w14:paraId="1914851B" w14:textId="77777777" w:rsidR="006D2B4C" w:rsidRDefault="006D2B4C" w:rsidP="006D2B4C">
      <w:pPr>
        <w:pStyle w:val="Ruller40"/>
        <w:ind w:left="720" w:hanging="720"/>
        <w:rPr>
          <w:rFonts w:ascii="Times New Roman" w:hAnsi="Times New Roman" w:cs="David"/>
          <w:spacing w:val="0"/>
          <w:sz w:val="24"/>
          <w:szCs w:val="24"/>
          <w:rtl/>
        </w:rPr>
      </w:pPr>
    </w:p>
    <w:p w14:paraId="43430D70" w14:textId="77777777" w:rsidR="006D2B4C" w:rsidRDefault="006D2B4C" w:rsidP="006D2B4C">
      <w:pPr>
        <w:pStyle w:val="Ruller40"/>
        <w:ind w:left="720" w:hanging="720"/>
        <w:rPr>
          <w:rFonts w:ascii="Times New Roman" w:hAnsi="Times New Roman" w:cs="David"/>
          <w:spacing w:val="0"/>
          <w:sz w:val="24"/>
          <w:szCs w:val="24"/>
          <w:rtl/>
        </w:rPr>
      </w:pPr>
      <w:r>
        <w:rPr>
          <w:rFonts w:ascii="Times New Roman" w:hAnsi="Times New Roman" w:cs="David" w:hint="cs"/>
          <w:spacing w:val="0"/>
          <w:sz w:val="24"/>
          <w:szCs w:val="24"/>
          <w:rtl/>
        </w:rPr>
        <w:t>12.</w:t>
      </w:r>
      <w:r>
        <w:rPr>
          <w:rFonts w:ascii="Times New Roman" w:hAnsi="Times New Roman" w:cs="David" w:hint="cs"/>
          <w:spacing w:val="0"/>
          <w:sz w:val="24"/>
          <w:szCs w:val="24"/>
          <w:rtl/>
        </w:rPr>
        <w:tab/>
        <w:t xml:space="preserve">כעת, יש להידרש למכלול הנתונים הרלוונטיים לקביעת העונש המתאים לנאשם, ואלה הם: </w:t>
      </w:r>
    </w:p>
    <w:p w14:paraId="7E67571A" w14:textId="77777777" w:rsidR="006D2B4C" w:rsidRDefault="006D2B4C" w:rsidP="006D2B4C">
      <w:pPr>
        <w:pStyle w:val="Ruller40"/>
        <w:ind w:left="720" w:hanging="720"/>
        <w:rPr>
          <w:rFonts w:ascii="Times New Roman" w:hAnsi="Times New Roman" w:cs="David"/>
          <w:spacing w:val="0"/>
          <w:sz w:val="24"/>
          <w:szCs w:val="24"/>
          <w:rtl/>
        </w:rPr>
      </w:pPr>
    </w:p>
    <w:p w14:paraId="5D858358" w14:textId="77777777" w:rsidR="006D2B4C" w:rsidRDefault="006D2B4C" w:rsidP="006D2B4C">
      <w:pPr>
        <w:pStyle w:val="Ruller40"/>
        <w:ind w:left="720"/>
        <w:rPr>
          <w:rFonts w:ascii="Times New Roman" w:hAnsi="Times New Roman" w:cs="David"/>
          <w:spacing w:val="0"/>
          <w:sz w:val="24"/>
          <w:szCs w:val="24"/>
          <w:rtl/>
        </w:rPr>
      </w:pPr>
      <w:r>
        <w:rPr>
          <w:rFonts w:ascii="Times New Roman" w:hAnsi="Times New Roman" w:cs="David" w:hint="cs"/>
          <w:spacing w:val="0"/>
          <w:sz w:val="24"/>
          <w:szCs w:val="24"/>
          <w:rtl/>
        </w:rPr>
        <w:t xml:space="preserve">(א) </w:t>
      </w:r>
      <w:r w:rsidRPr="00FA239C">
        <w:rPr>
          <w:rFonts w:ascii="Times New Roman" w:hAnsi="Times New Roman" w:cs="David" w:hint="cs"/>
          <w:b/>
          <w:bCs/>
          <w:spacing w:val="0"/>
          <w:sz w:val="24"/>
          <w:szCs w:val="24"/>
          <w:rtl/>
        </w:rPr>
        <w:t>עבר פלילי</w:t>
      </w:r>
      <w:r>
        <w:rPr>
          <w:rFonts w:ascii="Times New Roman" w:hAnsi="Times New Roman" w:cs="David" w:hint="cs"/>
          <w:spacing w:val="0"/>
          <w:sz w:val="24"/>
          <w:szCs w:val="24"/>
          <w:rtl/>
        </w:rPr>
        <w:t xml:space="preserve"> </w:t>
      </w:r>
      <w:r>
        <w:rPr>
          <w:rFonts w:ascii="Times New Roman" w:hAnsi="Times New Roman" w:cs="David"/>
          <w:spacing w:val="0"/>
          <w:sz w:val="24"/>
          <w:szCs w:val="24"/>
          <w:rtl/>
        </w:rPr>
        <w:t>–</w:t>
      </w:r>
      <w:r>
        <w:rPr>
          <w:rFonts w:ascii="Times New Roman" w:hAnsi="Times New Roman" w:cs="David" w:hint="cs"/>
          <w:spacing w:val="0"/>
          <w:sz w:val="24"/>
          <w:szCs w:val="24"/>
          <w:rtl/>
        </w:rPr>
        <w:t xml:space="preserve"> עברו הפלילי של הנאשם כפי שפורט לעיל, מכביד יחסית לגילו, ויש משקל לחומרה בעובדה כי מדובר במי שריצה תקופת מאסר לא קצרה, וביצע את העבירות בהן הורשע כעת, פרק זמן לא ארוך לאחר שחרורו. </w:t>
      </w:r>
    </w:p>
    <w:p w14:paraId="660CAD65" w14:textId="77777777" w:rsidR="006D2B4C" w:rsidRDefault="006D2B4C" w:rsidP="006D2B4C">
      <w:pPr>
        <w:pStyle w:val="Ruller40"/>
        <w:ind w:left="720"/>
        <w:rPr>
          <w:rFonts w:ascii="Times New Roman" w:hAnsi="Times New Roman" w:cs="David"/>
          <w:spacing w:val="0"/>
          <w:sz w:val="24"/>
          <w:szCs w:val="24"/>
          <w:rtl/>
        </w:rPr>
      </w:pPr>
    </w:p>
    <w:p w14:paraId="0F64E126" w14:textId="77777777" w:rsidR="006D2B4C" w:rsidRDefault="006D2B4C" w:rsidP="006D2B4C">
      <w:pPr>
        <w:pStyle w:val="Ruller40"/>
        <w:ind w:left="720"/>
        <w:rPr>
          <w:rFonts w:ascii="Times New Roman" w:hAnsi="Times New Roman" w:cs="David"/>
          <w:spacing w:val="0"/>
          <w:sz w:val="24"/>
          <w:szCs w:val="24"/>
          <w:rtl/>
        </w:rPr>
      </w:pPr>
      <w:r>
        <w:rPr>
          <w:rFonts w:ascii="Times New Roman" w:hAnsi="Times New Roman" w:cs="David" w:hint="cs"/>
          <w:spacing w:val="0"/>
          <w:sz w:val="24"/>
          <w:szCs w:val="24"/>
          <w:rtl/>
        </w:rPr>
        <w:t xml:space="preserve">(ב) </w:t>
      </w:r>
      <w:r w:rsidRPr="00865EC2">
        <w:rPr>
          <w:rFonts w:ascii="Times New Roman" w:hAnsi="Times New Roman" w:cs="David" w:hint="cs"/>
          <w:b/>
          <w:bCs/>
          <w:spacing w:val="0"/>
          <w:sz w:val="24"/>
          <w:szCs w:val="24"/>
          <w:rtl/>
        </w:rPr>
        <w:t>נתונים אישיים</w:t>
      </w:r>
      <w:r>
        <w:rPr>
          <w:rFonts w:ascii="Times New Roman" w:hAnsi="Times New Roman" w:cs="David" w:hint="cs"/>
          <w:spacing w:val="0"/>
          <w:sz w:val="24"/>
          <w:szCs w:val="24"/>
          <w:rtl/>
        </w:rPr>
        <w:t xml:space="preserve"> </w:t>
      </w:r>
      <w:r>
        <w:rPr>
          <w:rFonts w:ascii="Times New Roman" w:hAnsi="Times New Roman" w:cs="David"/>
          <w:spacing w:val="0"/>
          <w:sz w:val="24"/>
          <w:szCs w:val="24"/>
          <w:rtl/>
        </w:rPr>
        <w:t>–</w:t>
      </w:r>
      <w:r>
        <w:rPr>
          <w:rFonts w:ascii="Times New Roman" w:hAnsi="Times New Roman" w:cs="David" w:hint="cs"/>
          <w:spacing w:val="0"/>
          <w:sz w:val="24"/>
          <w:szCs w:val="24"/>
          <w:rtl/>
        </w:rPr>
        <w:t xml:space="preserve"> אין ספק כי נתוניו האישיים של הנאשם מורכבים, והדברים עולים מתסקיר שרות המבחן. אביו של הנאשם נטש אותו עת היה תינוק, ולאורך השנים התפתחו קשיים לא מועטים, אשר יתכן ונובעים מאותה נקודת פתיחה מורכבת. לצד ההתחשבות בנתונים אלה, ובשים לב לעובדה כי מדובר בהליך פלילי שלישי בו נותן הנאשם את הדין, ראיתי לציין כי משקלם של הנתונים האישיים הולך ונשחק תחת גלגלי ההרשעות הקודמות. נתתי משקל מסוים לגילו הצעיר של הנאשם. </w:t>
      </w:r>
    </w:p>
    <w:p w14:paraId="2C1E2009" w14:textId="77777777" w:rsidR="006D2B4C" w:rsidRDefault="006D2B4C" w:rsidP="006D2B4C">
      <w:pPr>
        <w:pStyle w:val="Ruller40"/>
        <w:ind w:left="720"/>
        <w:rPr>
          <w:rFonts w:ascii="Times New Roman" w:hAnsi="Times New Roman" w:cs="David"/>
          <w:spacing w:val="0"/>
          <w:sz w:val="24"/>
          <w:szCs w:val="24"/>
          <w:rtl/>
        </w:rPr>
      </w:pPr>
    </w:p>
    <w:p w14:paraId="1ABFB9B6" w14:textId="77777777" w:rsidR="006D2B4C" w:rsidRPr="00E907D5" w:rsidRDefault="006D2B4C" w:rsidP="006D2B4C">
      <w:pPr>
        <w:pStyle w:val="Ruller40"/>
        <w:ind w:left="720"/>
        <w:rPr>
          <w:rFonts w:ascii="Times New Roman" w:hAnsi="Times New Roman" w:cs="David"/>
          <w:spacing w:val="0"/>
          <w:sz w:val="24"/>
          <w:szCs w:val="24"/>
          <w:rtl/>
        </w:rPr>
      </w:pPr>
      <w:r>
        <w:rPr>
          <w:rFonts w:ascii="Times New Roman" w:hAnsi="Times New Roman" w:cs="David" w:hint="cs"/>
          <w:spacing w:val="0"/>
          <w:sz w:val="24"/>
          <w:szCs w:val="24"/>
          <w:rtl/>
        </w:rPr>
        <w:t xml:space="preserve">(ג) </w:t>
      </w:r>
      <w:r w:rsidRPr="00865EC2">
        <w:rPr>
          <w:rFonts w:ascii="Times New Roman" w:hAnsi="Times New Roman" w:cs="David" w:hint="cs"/>
          <w:b/>
          <w:bCs/>
          <w:spacing w:val="0"/>
          <w:sz w:val="24"/>
          <w:szCs w:val="24"/>
          <w:rtl/>
        </w:rPr>
        <w:t>הודאה וקבלת אחריות</w:t>
      </w:r>
      <w:r>
        <w:rPr>
          <w:rFonts w:ascii="Times New Roman" w:hAnsi="Times New Roman" w:cs="David" w:hint="cs"/>
          <w:spacing w:val="0"/>
          <w:sz w:val="24"/>
          <w:szCs w:val="24"/>
          <w:rtl/>
        </w:rPr>
        <w:t xml:space="preserve"> </w:t>
      </w:r>
      <w:r>
        <w:rPr>
          <w:rFonts w:ascii="Times New Roman" w:hAnsi="Times New Roman" w:cs="David"/>
          <w:spacing w:val="0"/>
          <w:sz w:val="24"/>
          <w:szCs w:val="24"/>
          <w:rtl/>
        </w:rPr>
        <w:t>–</w:t>
      </w:r>
      <w:r>
        <w:rPr>
          <w:rFonts w:ascii="Times New Roman" w:hAnsi="Times New Roman" w:cs="David" w:hint="cs"/>
          <w:spacing w:val="0"/>
          <w:sz w:val="24"/>
          <w:szCs w:val="24"/>
          <w:rtl/>
        </w:rPr>
        <w:t xml:space="preserve"> הנאשם הודה וקיבל אחריות מלאה על מעשיו, ומשכך, עומדת לו הזכות להקלה בעונש, הן נוכח מוטיב החיסכון בזמן ציבורי, אך בעיקר נוכח מוטיב הפנמת הפסול שבמעשים.  </w:t>
      </w:r>
    </w:p>
    <w:p w14:paraId="484436AF" w14:textId="77777777" w:rsidR="006D2B4C" w:rsidRDefault="006D2B4C" w:rsidP="006D2B4C">
      <w:pPr>
        <w:spacing w:line="360" w:lineRule="auto"/>
        <w:rPr>
          <w:rtl/>
        </w:rPr>
      </w:pPr>
      <w:r>
        <w:rPr>
          <w:rtl/>
        </w:rPr>
        <w:tab/>
      </w:r>
    </w:p>
    <w:p w14:paraId="7BF2C0EC" w14:textId="77777777" w:rsidR="006D2B4C" w:rsidRDefault="006D2B4C" w:rsidP="006D2B4C">
      <w:pPr>
        <w:spacing w:line="360" w:lineRule="auto"/>
        <w:ind w:left="720" w:hanging="720"/>
        <w:rPr>
          <w:rtl/>
        </w:rPr>
      </w:pPr>
    </w:p>
    <w:p w14:paraId="2AE00669" w14:textId="77777777" w:rsidR="006D2B4C" w:rsidRDefault="006D2B4C" w:rsidP="006D2B4C">
      <w:pPr>
        <w:rPr>
          <w:rtl/>
        </w:rPr>
      </w:pPr>
      <w:r>
        <w:rPr>
          <w:rtl/>
        </w:rPr>
        <w:tab/>
      </w:r>
      <w:r>
        <w:rPr>
          <w:rFonts w:hint="cs"/>
          <w:u w:val="single"/>
          <w:rtl/>
        </w:rPr>
        <w:t>סיכום</w:t>
      </w:r>
    </w:p>
    <w:p w14:paraId="6F62BA8A" w14:textId="77777777" w:rsidR="006D2B4C" w:rsidRDefault="006D2B4C" w:rsidP="006D2B4C">
      <w:pPr>
        <w:rPr>
          <w:rtl/>
        </w:rPr>
      </w:pPr>
    </w:p>
    <w:p w14:paraId="399B3C84" w14:textId="77777777" w:rsidR="006D2B4C" w:rsidRDefault="006D2B4C" w:rsidP="006D2B4C">
      <w:pPr>
        <w:spacing w:line="360" w:lineRule="auto"/>
        <w:ind w:left="720" w:hanging="720"/>
        <w:jc w:val="both"/>
        <w:rPr>
          <w:rtl/>
        </w:rPr>
      </w:pPr>
      <w:r>
        <w:rPr>
          <w:rFonts w:hint="cs"/>
          <w:rtl/>
        </w:rPr>
        <w:t>13.</w:t>
      </w:r>
      <w:r>
        <w:rPr>
          <w:rFonts w:hint="cs"/>
          <w:rtl/>
        </w:rPr>
        <w:tab/>
        <w:t xml:space="preserve">בשקלול הנתונים שפורטו לעיל ובגדרו של הסדר הטיעון, ראיתי להטיל על הנאשם עונש מאסר בן 4 חודשים בגין מעורבותו בשני האישומים הראשונים, מאסר בן 42 חודשים בגין מעשיו באישום השלישי, וכן להורות על הפעלת המאסר המותנה באופן ש-6 חודשים ירוצו במצטבר ו- 4 חודשים בחופף. כמו כן, ראיתי להטיל על הנאשם עונש מאסר מותנה וקנס. ראיתי לציין כי אלמלא היה מדובר בנאשם צעיר מאוד, הייתי גוזר את דינו של הנאשם בהתאם לרף העליון של הסדר הטיעון, ואם ראיתי לחרוג ממנו ב- 6 חודשים, עשיתי כן בעיקר נוכח הודאת הנאשם וגילו הצעיר, ומתוך כוונה ליתן לנאשם פתח של תקווה לשיקום חייו. </w:t>
      </w:r>
    </w:p>
    <w:p w14:paraId="136D5B83" w14:textId="77777777" w:rsidR="006D2B4C" w:rsidRDefault="006D2B4C" w:rsidP="006D2B4C">
      <w:pPr>
        <w:spacing w:line="360" w:lineRule="auto"/>
        <w:ind w:left="720" w:hanging="720"/>
        <w:jc w:val="both"/>
        <w:rPr>
          <w:rtl/>
        </w:rPr>
      </w:pPr>
    </w:p>
    <w:p w14:paraId="655C75F9" w14:textId="77777777" w:rsidR="006D2B4C" w:rsidRDefault="006D2B4C" w:rsidP="006D2B4C">
      <w:pPr>
        <w:spacing w:line="360" w:lineRule="auto"/>
        <w:ind w:left="720" w:hanging="720"/>
        <w:jc w:val="both"/>
        <w:rPr>
          <w:rtl/>
        </w:rPr>
      </w:pPr>
      <w:r>
        <w:rPr>
          <w:rFonts w:hint="cs"/>
          <w:rtl/>
        </w:rPr>
        <w:t>14.</w:t>
      </w:r>
      <w:r>
        <w:rPr>
          <w:rFonts w:hint="cs"/>
          <w:rtl/>
        </w:rPr>
        <w:tab/>
        <w:t>אשר על כן, אני מטיל על הנאשם את העונשים הבאים:</w:t>
      </w:r>
    </w:p>
    <w:p w14:paraId="2726B2F1" w14:textId="77777777" w:rsidR="006D2B4C" w:rsidRDefault="006D2B4C" w:rsidP="006D2B4C">
      <w:pPr>
        <w:spacing w:line="360" w:lineRule="auto"/>
        <w:ind w:left="720" w:hanging="720"/>
        <w:jc w:val="both"/>
        <w:rPr>
          <w:rtl/>
        </w:rPr>
      </w:pPr>
    </w:p>
    <w:p w14:paraId="12AB8718" w14:textId="77777777" w:rsidR="006D2B4C" w:rsidRDefault="006D2B4C" w:rsidP="006D2B4C">
      <w:pPr>
        <w:spacing w:line="360" w:lineRule="auto"/>
        <w:jc w:val="both"/>
        <w:rPr>
          <w:rFonts w:ascii="Arial" w:hAnsi="Arial"/>
          <w:rtl/>
        </w:rPr>
      </w:pPr>
      <w:r>
        <w:rPr>
          <w:rFonts w:ascii="Arial" w:hAnsi="Arial" w:hint="cs"/>
          <w:rtl/>
        </w:rPr>
        <w:t>א.</w:t>
      </w:r>
      <w:r>
        <w:rPr>
          <w:rFonts w:ascii="Arial" w:hAnsi="Arial" w:hint="cs"/>
          <w:rtl/>
        </w:rPr>
        <w:tab/>
        <w:t>46 חודשי מאסר לריצוי בפועל.</w:t>
      </w:r>
    </w:p>
    <w:p w14:paraId="596A5864" w14:textId="77777777" w:rsidR="006D2B4C" w:rsidRDefault="006D2B4C" w:rsidP="006D2B4C">
      <w:pPr>
        <w:spacing w:line="360" w:lineRule="auto"/>
        <w:jc w:val="both"/>
        <w:rPr>
          <w:rFonts w:ascii="Arial" w:hAnsi="Arial"/>
          <w:rtl/>
        </w:rPr>
      </w:pPr>
    </w:p>
    <w:p w14:paraId="5FCDE8C4" w14:textId="77777777" w:rsidR="006D2B4C" w:rsidRDefault="006D2B4C" w:rsidP="006D2B4C">
      <w:pPr>
        <w:spacing w:line="360" w:lineRule="auto"/>
        <w:ind w:left="720" w:hanging="720"/>
        <w:jc w:val="both"/>
        <w:rPr>
          <w:rFonts w:ascii="Arial" w:hAnsi="Arial"/>
          <w:rtl/>
        </w:rPr>
      </w:pPr>
      <w:r>
        <w:rPr>
          <w:rFonts w:ascii="Arial" w:hAnsi="Arial" w:hint="cs"/>
          <w:rtl/>
        </w:rPr>
        <w:t>ב.</w:t>
      </w:r>
      <w:r>
        <w:rPr>
          <w:rFonts w:ascii="Arial" w:hAnsi="Arial" w:hint="cs"/>
          <w:rtl/>
        </w:rPr>
        <w:tab/>
        <w:t>אני מפעיל את המאסר המותנה בן 10 חודשים שהוטל על הנאשם ב</w:t>
      </w:r>
      <w:hyperlink r:id="rId44" w:history="1">
        <w:r w:rsidR="00911097" w:rsidRPr="00911097">
          <w:rPr>
            <w:rFonts w:ascii="Arial" w:hAnsi="Arial"/>
            <w:color w:val="0000FF"/>
            <w:u w:val="single"/>
            <w:rtl/>
          </w:rPr>
          <w:t>ת"פ 5997-12-14</w:t>
        </w:r>
      </w:hyperlink>
      <w:r>
        <w:rPr>
          <w:rFonts w:ascii="Arial" w:hAnsi="Arial" w:hint="cs"/>
          <w:rtl/>
        </w:rPr>
        <w:t xml:space="preserve"> בבית המשפט המחוזי מרכז לוד, באופן ש- 6 חודשים ירוצו במצטבר למאסר שהוטל בסעיף "א" ו- 4 חודשים בחופף.</w:t>
      </w:r>
    </w:p>
    <w:p w14:paraId="79678B61" w14:textId="77777777" w:rsidR="006D2B4C" w:rsidRDefault="006D2B4C" w:rsidP="006D2B4C">
      <w:pPr>
        <w:spacing w:line="360" w:lineRule="auto"/>
        <w:ind w:left="720" w:hanging="720"/>
        <w:jc w:val="both"/>
        <w:rPr>
          <w:rFonts w:ascii="Arial" w:hAnsi="Arial"/>
          <w:rtl/>
        </w:rPr>
      </w:pPr>
    </w:p>
    <w:p w14:paraId="145B02D3" w14:textId="77777777" w:rsidR="006D2B4C" w:rsidRPr="00FD2B41" w:rsidRDefault="006D2B4C" w:rsidP="006D2B4C">
      <w:pPr>
        <w:spacing w:line="360" w:lineRule="auto"/>
        <w:ind w:left="720" w:hanging="720"/>
        <w:jc w:val="both"/>
        <w:rPr>
          <w:rFonts w:ascii="Arial" w:hAnsi="Arial"/>
          <w:b/>
          <w:bCs/>
          <w:u w:val="single"/>
        </w:rPr>
      </w:pPr>
      <w:r>
        <w:rPr>
          <w:rFonts w:ascii="Arial" w:hAnsi="Arial"/>
          <w:rtl/>
        </w:rPr>
        <w:tab/>
      </w:r>
      <w:r w:rsidRPr="00FD2B41">
        <w:rPr>
          <w:rFonts w:ascii="Arial" w:hAnsi="Arial" w:hint="cs"/>
          <w:b/>
          <w:bCs/>
          <w:u w:val="single"/>
          <w:rtl/>
        </w:rPr>
        <w:t xml:space="preserve">סך הכל יירצה הנאשם 52 חודשי מאסר החל מיום מעצרו </w:t>
      </w:r>
      <w:r w:rsidRPr="00FD2B41">
        <w:rPr>
          <w:rFonts w:ascii="Arial" w:hAnsi="Arial"/>
          <w:b/>
          <w:bCs/>
          <w:u w:val="single"/>
          <w:rtl/>
        </w:rPr>
        <w:t>–</w:t>
      </w:r>
      <w:r w:rsidRPr="00FD2B41">
        <w:rPr>
          <w:rFonts w:ascii="Arial" w:hAnsi="Arial" w:hint="cs"/>
          <w:b/>
          <w:bCs/>
          <w:u w:val="single"/>
          <w:rtl/>
        </w:rPr>
        <w:t xml:space="preserve"> 13.3.18</w:t>
      </w:r>
      <w:r w:rsidRPr="00FD2B41">
        <w:rPr>
          <w:rFonts w:ascii="Arial" w:hAnsi="Arial" w:hint="cs"/>
          <w:rtl/>
        </w:rPr>
        <w:t>.</w:t>
      </w:r>
    </w:p>
    <w:p w14:paraId="0288126D" w14:textId="77777777" w:rsidR="006D2B4C" w:rsidRDefault="006D2B4C" w:rsidP="006D2B4C">
      <w:pPr>
        <w:spacing w:line="360" w:lineRule="auto"/>
        <w:jc w:val="both"/>
        <w:rPr>
          <w:rFonts w:ascii="Arial" w:hAnsi="Arial"/>
        </w:rPr>
      </w:pPr>
      <w:r>
        <w:rPr>
          <w:rFonts w:ascii="Arial" w:hAnsi="Arial" w:hint="cs"/>
          <w:rtl/>
        </w:rPr>
        <w:tab/>
      </w:r>
    </w:p>
    <w:p w14:paraId="393794CC" w14:textId="77777777" w:rsidR="006D2B4C" w:rsidRDefault="006D2B4C" w:rsidP="006D2B4C">
      <w:pPr>
        <w:spacing w:line="360" w:lineRule="auto"/>
        <w:ind w:left="720" w:hanging="720"/>
        <w:jc w:val="both"/>
        <w:rPr>
          <w:rFonts w:ascii="Arial" w:hAnsi="Arial"/>
        </w:rPr>
      </w:pPr>
      <w:r>
        <w:rPr>
          <w:rFonts w:ascii="Arial" w:hAnsi="Arial" w:hint="cs"/>
          <w:rtl/>
        </w:rPr>
        <w:t>ג.</w:t>
      </w:r>
      <w:r>
        <w:rPr>
          <w:rFonts w:ascii="Arial" w:hAnsi="Arial" w:hint="cs"/>
          <w:rtl/>
        </w:rPr>
        <w:tab/>
        <w:t xml:space="preserve">9 חודשי מאסר, אולם הנאשם לא יישא עונש זה אלא אם יעבור תוך שלוש שנים מיום שחרורו עבירות בנשק לפי אחת החלופות המנויות </w:t>
      </w:r>
      <w:hyperlink r:id="rId45" w:history="1">
        <w:r w:rsidR="00D40CA5" w:rsidRPr="00D40CA5">
          <w:rPr>
            <w:rFonts w:ascii="Arial" w:hAnsi="Arial"/>
            <w:color w:val="0000FF"/>
            <w:u w:val="single"/>
            <w:rtl/>
          </w:rPr>
          <w:t>בסעיף 144</w:t>
        </w:r>
      </w:hyperlink>
      <w:r>
        <w:rPr>
          <w:rFonts w:ascii="Arial" w:hAnsi="Arial" w:hint="cs"/>
          <w:rtl/>
        </w:rPr>
        <w:t xml:space="preserve"> ב</w:t>
      </w:r>
      <w:hyperlink r:id="rId46" w:history="1">
        <w:r w:rsidR="00911097" w:rsidRPr="00911097">
          <w:rPr>
            <w:rFonts w:ascii="Arial" w:hAnsi="Arial"/>
            <w:color w:val="0000FF"/>
            <w:u w:val="single"/>
            <w:rtl/>
          </w:rPr>
          <w:t>חוק העונשין</w:t>
        </w:r>
      </w:hyperlink>
      <w:r>
        <w:rPr>
          <w:rFonts w:ascii="Arial" w:hAnsi="Arial" w:hint="cs"/>
          <w:rtl/>
        </w:rPr>
        <w:t xml:space="preserve"> או עבירה לפי </w:t>
      </w:r>
      <w:hyperlink r:id="rId47" w:history="1">
        <w:r w:rsidR="00D40CA5" w:rsidRPr="00D40CA5">
          <w:rPr>
            <w:rFonts w:ascii="Arial" w:hAnsi="Arial"/>
            <w:color w:val="0000FF"/>
            <w:u w:val="single"/>
            <w:rtl/>
          </w:rPr>
          <w:t>סעיף 454</w:t>
        </w:r>
      </w:hyperlink>
      <w:r>
        <w:rPr>
          <w:rFonts w:ascii="Arial" w:hAnsi="Arial" w:hint="cs"/>
          <w:rtl/>
        </w:rPr>
        <w:t xml:space="preserve"> לחוק העונשין או עבירה  לפי </w:t>
      </w:r>
      <w:hyperlink r:id="rId48" w:history="1">
        <w:r w:rsidR="00D40CA5" w:rsidRPr="00D40CA5">
          <w:rPr>
            <w:rFonts w:ascii="Arial" w:hAnsi="Arial"/>
            <w:color w:val="0000FF"/>
            <w:u w:val="single"/>
            <w:rtl/>
          </w:rPr>
          <w:t>סעיף 456</w:t>
        </w:r>
      </w:hyperlink>
      <w:r>
        <w:rPr>
          <w:rFonts w:ascii="Arial" w:hAnsi="Arial" w:hint="cs"/>
          <w:rtl/>
        </w:rPr>
        <w:t xml:space="preserve"> לחוק העונשין או עבירת אלימות נגד הגוף מסוג פשע. </w:t>
      </w:r>
    </w:p>
    <w:p w14:paraId="24542E9B" w14:textId="77777777" w:rsidR="006D2B4C" w:rsidRDefault="006D2B4C" w:rsidP="006D2B4C">
      <w:pPr>
        <w:spacing w:line="360" w:lineRule="auto"/>
        <w:jc w:val="both"/>
        <w:rPr>
          <w:rFonts w:ascii="Arial" w:hAnsi="Arial"/>
          <w:rtl/>
        </w:rPr>
      </w:pPr>
    </w:p>
    <w:p w14:paraId="4C8CA848" w14:textId="77777777" w:rsidR="006D2B4C" w:rsidRDefault="006D2B4C" w:rsidP="006D2B4C">
      <w:pPr>
        <w:spacing w:line="360" w:lineRule="auto"/>
        <w:ind w:left="720" w:hanging="720"/>
        <w:jc w:val="both"/>
        <w:rPr>
          <w:rFonts w:ascii="Arial" w:hAnsi="Arial"/>
          <w:rtl/>
        </w:rPr>
      </w:pPr>
      <w:r>
        <w:rPr>
          <w:rFonts w:ascii="Arial" w:hAnsi="Arial" w:hint="cs"/>
          <w:rtl/>
        </w:rPr>
        <w:t>ד.</w:t>
      </w:r>
      <w:r>
        <w:rPr>
          <w:rFonts w:ascii="Arial" w:hAnsi="Arial"/>
          <w:rtl/>
        </w:rPr>
        <w:tab/>
      </w:r>
      <w:r>
        <w:rPr>
          <w:rFonts w:ascii="Arial" w:hAnsi="Arial" w:hint="cs"/>
          <w:rtl/>
        </w:rPr>
        <w:t xml:space="preserve">5 חודשי מאסר, אולם הנאשם לא יישא עונש זה אלא אם יעבור תוך שלוש שנים מיום שחרורו עבירה של  מתן אמצעים לביצוע פשע או עבירה של קשירת קשר לביצוע פשע. </w:t>
      </w:r>
    </w:p>
    <w:p w14:paraId="4B209FEE" w14:textId="77777777" w:rsidR="006D2B4C" w:rsidRDefault="006D2B4C" w:rsidP="006D2B4C">
      <w:pPr>
        <w:spacing w:line="360" w:lineRule="auto"/>
        <w:ind w:left="720" w:hanging="720"/>
        <w:jc w:val="both"/>
        <w:rPr>
          <w:rFonts w:ascii="Arial" w:hAnsi="Arial"/>
          <w:rtl/>
        </w:rPr>
      </w:pPr>
    </w:p>
    <w:p w14:paraId="3DA45C21" w14:textId="77777777" w:rsidR="006D2B4C" w:rsidRDefault="006D2B4C" w:rsidP="006D2B4C">
      <w:pPr>
        <w:spacing w:line="360" w:lineRule="auto"/>
        <w:ind w:left="720" w:hanging="720"/>
        <w:jc w:val="both"/>
        <w:rPr>
          <w:rFonts w:ascii="Arial" w:hAnsi="Arial"/>
          <w:rtl/>
        </w:rPr>
      </w:pPr>
      <w:r>
        <w:rPr>
          <w:rFonts w:ascii="Arial" w:hAnsi="Arial" w:hint="cs"/>
          <w:rtl/>
        </w:rPr>
        <w:t>ה.</w:t>
      </w:r>
      <w:r>
        <w:rPr>
          <w:rFonts w:ascii="Arial" w:hAnsi="Arial" w:hint="cs"/>
          <w:rtl/>
        </w:rPr>
        <w:tab/>
        <w:t xml:space="preserve">קנס בסך 5,000 ₪ או 50 ימי מאסר תמורתו. הקנס ישולם עד ולא יאוחר מיום 1.6.19. </w:t>
      </w:r>
    </w:p>
    <w:p w14:paraId="656F42B1" w14:textId="77777777" w:rsidR="006D2B4C" w:rsidRDefault="006D2B4C" w:rsidP="006D2B4C">
      <w:pPr>
        <w:ind w:left="720" w:hanging="720"/>
        <w:jc w:val="both"/>
        <w:rPr>
          <w:rFonts w:ascii="Arial" w:hAnsi="Arial"/>
          <w:rtl/>
        </w:rPr>
      </w:pPr>
    </w:p>
    <w:p w14:paraId="785E5EEF" w14:textId="77777777" w:rsidR="006D2B4C" w:rsidRDefault="006D2B4C" w:rsidP="006D2B4C">
      <w:pPr>
        <w:spacing w:line="360" w:lineRule="auto"/>
        <w:ind w:left="720" w:hanging="720"/>
        <w:jc w:val="both"/>
        <w:rPr>
          <w:rFonts w:ascii="Arial" w:hAnsi="Arial"/>
          <w:rtl/>
        </w:rPr>
      </w:pPr>
      <w:r>
        <w:rPr>
          <w:rFonts w:ascii="Arial" w:hAnsi="Arial" w:hint="cs"/>
          <w:rtl/>
        </w:rPr>
        <w:t>ניתן צו כללי למוצגים לשיקול דעת קצין משטרה ו/או התביעה.</w:t>
      </w:r>
    </w:p>
    <w:p w14:paraId="576CE079" w14:textId="77777777" w:rsidR="006D2B4C" w:rsidRDefault="006D2B4C" w:rsidP="006D2B4C">
      <w:pPr>
        <w:ind w:left="720" w:hanging="720"/>
        <w:jc w:val="both"/>
        <w:rPr>
          <w:rFonts w:ascii="Arial" w:hAnsi="Arial"/>
          <w:rtl/>
        </w:rPr>
      </w:pPr>
    </w:p>
    <w:p w14:paraId="06EC604C" w14:textId="77777777" w:rsidR="006D2B4C" w:rsidRDefault="006D2B4C" w:rsidP="006D2B4C">
      <w:pPr>
        <w:spacing w:line="360" w:lineRule="auto"/>
        <w:ind w:left="720" w:hanging="720"/>
        <w:jc w:val="both"/>
        <w:rPr>
          <w:rFonts w:ascii="Arial" w:hAnsi="Arial"/>
          <w:rtl/>
        </w:rPr>
      </w:pPr>
      <w:r>
        <w:rPr>
          <w:rFonts w:ascii="Arial" w:hAnsi="Arial" w:hint="cs"/>
          <w:rtl/>
        </w:rPr>
        <w:t xml:space="preserve">זכות ערעור כחוק. </w:t>
      </w:r>
    </w:p>
    <w:p w14:paraId="3536EB06" w14:textId="77777777" w:rsidR="006D2B4C" w:rsidRPr="00250B83" w:rsidRDefault="006D2B4C" w:rsidP="006D2B4C">
      <w:pPr>
        <w:rPr>
          <w:rtl/>
        </w:rPr>
      </w:pPr>
    </w:p>
    <w:p w14:paraId="16E30D7D" w14:textId="77777777" w:rsidR="006D2B4C" w:rsidRDefault="00911097" w:rsidP="006D2B4C">
      <w:pPr>
        <w:rPr>
          <w:rtl/>
        </w:rPr>
      </w:pPr>
      <w:r w:rsidRPr="00911097">
        <w:rPr>
          <w:b/>
          <w:bCs/>
          <w:color w:val="FFFFFF"/>
          <w:sz w:val="2"/>
          <w:szCs w:val="2"/>
          <w:rtl/>
        </w:rPr>
        <w:t>5129371</w:t>
      </w:r>
      <w:r>
        <w:rPr>
          <w:b/>
          <w:bCs/>
          <w:rtl/>
        </w:rPr>
        <w:t xml:space="preserve">ניתן והודע היום ח' טבת תשע"ט (16 דצמבר, 2018) במעמד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D2B4C" w14:paraId="02366F41" w14:textId="77777777" w:rsidTr="006D2B4C">
        <w:trPr>
          <w:trHeight w:val="316"/>
          <w:jc w:val="right"/>
        </w:trPr>
        <w:tc>
          <w:tcPr>
            <w:tcW w:w="3936" w:type="dxa"/>
            <w:tcBorders>
              <w:top w:val="nil"/>
              <w:left w:val="nil"/>
              <w:bottom w:val="single" w:sz="4" w:space="0" w:color="auto"/>
              <w:right w:val="nil"/>
            </w:tcBorders>
            <w:shd w:val="clear" w:color="auto" w:fill="auto"/>
            <w:vAlign w:val="bottom"/>
          </w:tcPr>
          <w:p w14:paraId="1F8932C1" w14:textId="77777777" w:rsidR="006D2B4C" w:rsidRPr="00911097" w:rsidRDefault="00911097" w:rsidP="006D2B4C">
            <w:pPr>
              <w:jc w:val="center"/>
              <w:rPr>
                <w:color w:val="FFFFFF"/>
                <w:sz w:val="2"/>
                <w:szCs w:val="2"/>
                <w:rtl/>
              </w:rPr>
            </w:pPr>
            <w:r w:rsidRPr="00911097">
              <w:rPr>
                <w:color w:val="FFFFFF"/>
                <w:sz w:val="2"/>
                <w:szCs w:val="2"/>
                <w:rtl/>
              </w:rPr>
              <w:t>54678313</w:t>
            </w:r>
          </w:p>
          <w:p w14:paraId="6D6CCE62" w14:textId="77777777" w:rsidR="006D2B4C" w:rsidRDefault="006D2B4C" w:rsidP="006D2B4C">
            <w:pPr>
              <w:jc w:val="center"/>
            </w:pPr>
          </w:p>
        </w:tc>
      </w:tr>
      <w:tr w:rsidR="006D2B4C" w14:paraId="0559F046" w14:textId="77777777" w:rsidTr="006D2B4C">
        <w:trPr>
          <w:trHeight w:val="361"/>
          <w:jc w:val="right"/>
        </w:trPr>
        <w:tc>
          <w:tcPr>
            <w:tcW w:w="3936" w:type="dxa"/>
            <w:tcBorders>
              <w:top w:val="single" w:sz="4" w:space="0" w:color="auto"/>
              <w:left w:val="nil"/>
              <w:bottom w:val="nil"/>
              <w:right w:val="nil"/>
            </w:tcBorders>
            <w:shd w:val="clear" w:color="auto" w:fill="auto"/>
          </w:tcPr>
          <w:p w14:paraId="7D56C895" w14:textId="77777777" w:rsidR="006D2B4C" w:rsidRPr="006D2B4C" w:rsidRDefault="006D2B4C" w:rsidP="006D2B4C">
            <w:pPr>
              <w:jc w:val="center"/>
              <w:rPr>
                <w:b/>
                <w:bCs/>
                <w:rtl/>
              </w:rPr>
            </w:pPr>
            <w:r w:rsidRPr="006D2B4C">
              <w:rPr>
                <w:rFonts w:hint="cs"/>
                <w:b/>
                <w:bCs/>
                <w:rtl/>
              </w:rPr>
              <w:t>בני שגיא, שופט</w:t>
            </w:r>
          </w:p>
        </w:tc>
      </w:tr>
    </w:tbl>
    <w:p w14:paraId="66636673" w14:textId="77777777" w:rsidR="00911097" w:rsidRDefault="00911097" w:rsidP="00911097">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0E5E2C63" w14:textId="77777777" w:rsidR="00D40CA5" w:rsidRPr="00D40CA5" w:rsidRDefault="00D40CA5" w:rsidP="00D40CA5">
      <w:pPr>
        <w:keepNext/>
        <w:rPr>
          <w:rFonts w:ascii="David" w:hAnsi="David"/>
          <w:color w:val="000000"/>
          <w:sz w:val="22"/>
          <w:szCs w:val="22"/>
          <w:rtl/>
        </w:rPr>
      </w:pPr>
    </w:p>
    <w:p w14:paraId="4DD986F0" w14:textId="77777777" w:rsidR="00D40CA5" w:rsidRPr="00D40CA5" w:rsidRDefault="00D40CA5" w:rsidP="00D40CA5">
      <w:pPr>
        <w:keepNext/>
        <w:rPr>
          <w:rFonts w:ascii="David" w:hAnsi="David"/>
          <w:color w:val="000000"/>
          <w:sz w:val="22"/>
          <w:szCs w:val="22"/>
          <w:rtl/>
        </w:rPr>
      </w:pPr>
      <w:r w:rsidRPr="00D40CA5">
        <w:rPr>
          <w:rFonts w:ascii="David" w:hAnsi="David"/>
          <w:color w:val="000000"/>
          <w:sz w:val="22"/>
          <w:szCs w:val="22"/>
          <w:rtl/>
        </w:rPr>
        <w:t>בני שגיא 54678313-/</w:t>
      </w:r>
    </w:p>
    <w:p w14:paraId="2D1A8F23" w14:textId="77777777" w:rsidR="00911097" w:rsidRPr="00911097" w:rsidRDefault="00D40CA5" w:rsidP="00D40CA5">
      <w:pPr>
        <w:rPr>
          <w:color w:val="0000FF"/>
          <w:u w:val="single"/>
        </w:rPr>
      </w:pPr>
      <w:r w:rsidRPr="00D40CA5">
        <w:rPr>
          <w:color w:val="000000"/>
          <w:u w:val="single"/>
          <w:rtl/>
        </w:rPr>
        <w:t>נוסח מסמך זה כפוף לשינויי ניסוח ועריכה</w:t>
      </w:r>
    </w:p>
    <w:sectPr w:rsidR="00911097" w:rsidRPr="00911097" w:rsidSect="00D40CA5">
      <w:headerReference w:type="even" r:id="rId50"/>
      <w:headerReference w:type="default" r:id="rId51"/>
      <w:footerReference w:type="even" r:id="rId52"/>
      <w:footerReference w:type="default" r:id="rId53"/>
      <w:pgSz w:w="11907" w:h="16840" w:code="9"/>
      <w:pgMar w:top="1701" w:right="1077" w:bottom="1440" w:left="1077"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F8124" w14:textId="77777777" w:rsidR="00F47794" w:rsidRDefault="00F47794" w:rsidP="004F12E6">
      <w:r>
        <w:separator/>
      </w:r>
    </w:p>
  </w:endnote>
  <w:endnote w:type="continuationSeparator" w:id="0">
    <w:p w14:paraId="1F568E5D" w14:textId="77777777" w:rsidR="00F47794" w:rsidRDefault="00F47794" w:rsidP="004F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008B8" w14:textId="77777777" w:rsidR="00D40CA5" w:rsidRDefault="00D40CA5" w:rsidP="00D40CA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BB6BE9" w14:textId="77777777" w:rsidR="00010559" w:rsidRPr="00D40CA5" w:rsidRDefault="00D40CA5" w:rsidP="00D40CA5">
    <w:pPr>
      <w:pStyle w:val="a5"/>
      <w:pBdr>
        <w:top w:val="single" w:sz="4" w:space="1" w:color="auto"/>
        <w:between w:val="single" w:sz="4" w:space="0" w:color="auto"/>
      </w:pBdr>
      <w:spacing w:after="60"/>
      <w:jc w:val="center"/>
      <w:rPr>
        <w:rFonts w:ascii="FrankRuehl" w:hAnsi="FrankRuehl" w:cs="FrankRuehl"/>
        <w:color w:val="000000"/>
      </w:rPr>
    </w:pPr>
    <w:r w:rsidRPr="00D40C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75740" w14:textId="77777777" w:rsidR="00D40CA5" w:rsidRDefault="00D40CA5" w:rsidP="00D40CA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5011">
      <w:rPr>
        <w:rFonts w:ascii="FrankRuehl" w:hAnsi="FrankRuehl" w:cs="FrankRuehl"/>
        <w:noProof/>
        <w:rtl/>
      </w:rPr>
      <w:t>1</w:t>
    </w:r>
    <w:r>
      <w:rPr>
        <w:rFonts w:ascii="FrankRuehl" w:hAnsi="FrankRuehl" w:cs="FrankRuehl"/>
        <w:rtl/>
      </w:rPr>
      <w:fldChar w:fldCharType="end"/>
    </w:r>
  </w:p>
  <w:p w14:paraId="7EEB23C3" w14:textId="77777777" w:rsidR="00010559" w:rsidRPr="00D40CA5" w:rsidRDefault="00D40CA5" w:rsidP="00D40CA5">
    <w:pPr>
      <w:pStyle w:val="a5"/>
      <w:pBdr>
        <w:top w:val="single" w:sz="4" w:space="1" w:color="auto"/>
        <w:between w:val="single" w:sz="4" w:space="0" w:color="auto"/>
      </w:pBdr>
      <w:spacing w:after="60"/>
      <w:jc w:val="center"/>
      <w:rPr>
        <w:rFonts w:ascii="FrankRuehl" w:hAnsi="FrankRuehl" w:cs="FrankRuehl"/>
        <w:color w:val="000000"/>
      </w:rPr>
    </w:pPr>
    <w:r w:rsidRPr="00D40CA5">
      <w:rPr>
        <w:rFonts w:ascii="FrankRuehl" w:hAnsi="FrankRuehl" w:cs="FrankRuehl"/>
        <w:color w:val="000000"/>
      </w:rPr>
      <w:pict w14:anchorId="0F642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662DD" w14:textId="77777777" w:rsidR="00F47794" w:rsidRDefault="00F47794" w:rsidP="004F12E6">
      <w:r>
        <w:separator/>
      </w:r>
    </w:p>
  </w:footnote>
  <w:footnote w:type="continuationSeparator" w:id="0">
    <w:p w14:paraId="3986B4BF" w14:textId="77777777" w:rsidR="00F47794" w:rsidRDefault="00F47794" w:rsidP="004F1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CCA07" w14:textId="77777777" w:rsidR="00911097" w:rsidRPr="00D40CA5" w:rsidRDefault="00D40CA5" w:rsidP="00D40C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49632-01-18</w:t>
    </w:r>
    <w:r>
      <w:rPr>
        <w:rFonts w:ascii="David" w:hAnsi="David"/>
        <w:color w:val="000000"/>
        <w:sz w:val="22"/>
        <w:szCs w:val="22"/>
        <w:rtl/>
      </w:rPr>
      <w:tab/>
      <w:t xml:space="preserve"> מדינת ישראל נ' משה שיינברג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C9CDC" w14:textId="77777777" w:rsidR="00911097" w:rsidRPr="00D40CA5" w:rsidRDefault="00D40CA5" w:rsidP="00D40C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49632-01-18</w:t>
    </w:r>
    <w:r>
      <w:rPr>
        <w:rFonts w:ascii="David" w:hAnsi="David"/>
        <w:color w:val="000000"/>
        <w:sz w:val="22"/>
        <w:szCs w:val="22"/>
        <w:rtl/>
      </w:rPr>
      <w:tab/>
      <w:t xml:space="preserve"> מדינת ישראל נ' משה שיינברג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2B4C"/>
    <w:rsid w:val="00010559"/>
    <w:rsid w:val="001F2EBD"/>
    <w:rsid w:val="0035015A"/>
    <w:rsid w:val="00381020"/>
    <w:rsid w:val="00426B0F"/>
    <w:rsid w:val="00436A7A"/>
    <w:rsid w:val="004F12E6"/>
    <w:rsid w:val="006D2B4C"/>
    <w:rsid w:val="007162AA"/>
    <w:rsid w:val="00805011"/>
    <w:rsid w:val="00911097"/>
    <w:rsid w:val="009F16AD"/>
    <w:rsid w:val="00D40CA5"/>
    <w:rsid w:val="00F477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4C4123"/>
  <w15:chartTrackingRefBased/>
  <w15:docId w15:val="{3F72D395-AC71-4D17-BC0A-C5AF3BF3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2B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2B4C"/>
    <w:pPr>
      <w:tabs>
        <w:tab w:val="center" w:pos="4153"/>
        <w:tab w:val="right" w:pos="8306"/>
      </w:tabs>
    </w:pPr>
  </w:style>
  <w:style w:type="character" w:customStyle="1" w:styleId="a4">
    <w:name w:val="כותרת עליונה תו"/>
    <w:link w:val="a3"/>
    <w:rsid w:val="006D2B4C"/>
    <w:rPr>
      <w:rFonts w:ascii="Times New Roman" w:eastAsia="Times New Roman" w:hAnsi="Times New Roman" w:cs="David"/>
      <w:sz w:val="24"/>
      <w:szCs w:val="24"/>
    </w:rPr>
  </w:style>
  <w:style w:type="paragraph" w:styleId="a5">
    <w:name w:val="footer"/>
    <w:basedOn w:val="a"/>
    <w:link w:val="a6"/>
    <w:rsid w:val="006D2B4C"/>
    <w:pPr>
      <w:tabs>
        <w:tab w:val="center" w:pos="4153"/>
        <w:tab w:val="right" w:pos="8306"/>
      </w:tabs>
    </w:pPr>
  </w:style>
  <w:style w:type="character" w:customStyle="1" w:styleId="a6">
    <w:name w:val="כותרת תחתונה תו"/>
    <w:link w:val="a5"/>
    <w:rsid w:val="006D2B4C"/>
    <w:rPr>
      <w:rFonts w:ascii="Times New Roman" w:eastAsia="Times New Roman" w:hAnsi="Times New Roman" w:cs="David"/>
      <w:sz w:val="24"/>
      <w:szCs w:val="24"/>
    </w:rPr>
  </w:style>
  <w:style w:type="table" w:styleId="a7">
    <w:name w:val="Table Grid"/>
    <w:basedOn w:val="a1"/>
    <w:rsid w:val="006D2B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2B4C"/>
  </w:style>
  <w:style w:type="character" w:customStyle="1" w:styleId="Ruller4">
    <w:name w:val="Ruller4 תו"/>
    <w:link w:val="Ruller40"/>
    <w:locked/>
    <w:rsid w:val="006D2B4C"/>
    <w:rPr>
      <w:rFonts w:ascii="Arial TUR" w:hAnsi="Arial TUR" w:cs="Arial TUR"/>
      <w:spacing w:val="10"/>
    </w:rPr>
  </w:style>
  <w:style w:type="paragraph" w:customStyle="1" w:styleId="Ruller40">
    <w:name w:val="Ruller4"/>
    <w:basedOn w:val="a"/>
    <w:link w:val="Ruller4"/>
    <w:rsid w:val="006D2B4C"/>
    <w:pPr>
      <w:overflowPunct w:val="0"/>
      <w:autoSpaceDE w:val="0"/>
      <w:autoSpaceDN w:val="0"/>
      <w:spacing w:line="360" w:lineRule="auto"/>
      <w:jc w:val="both"/>
    </w:pPr>
    <w:rPr>
      <w:rFonts w:ascii="Arial TUR" w:eastAsia="Calibri" w:hAnsi="Arial TUR" w:cs="Arial TUR"/>
      <w:spacing w:val="10"/>
      <w:sz w:val="22"/>
      <w:szCs w:val="22"/>
    </w:rPr>
  </w:style>
  <w:style w:type="paragraph" w:customStyle="1" w:styleId="Ruller5">
    <w:name w:val="Ruller5"/>
    <w:basedOn w:val="a"/>
    <w:rsid w:val="006D2B4C"/>
    <w:pPr>
      <w:overflowPunct w:val="0"/>
      <w:autoSpaceDE w:val="0"/>
      <w:autoSpaceDN w:val="0"/>
      <w:ind w:left="1642" w:right="1282"/>
      <w:jc w:val="both"/>
    </w:pPr>
    <w:rPr>
      <w:rFonts w:ascii="Arial TUR" w:eastAsia="Calibri" w:hAnsi="Arial TUR" w:cs="Arial TUR"/>
      <w:spacing w:val="10"/>
      <w:sz w:val="22"/>
      <w:szCs w:val="22"/>
    </w:rPr>
  </w:style>
  <w:style w:type="character" w:styleId="Hyperlink">
    <w:name w:val="Hyperlink"/>
    <w:rsid w:val="0091109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4" TargetMode="External"/><Relationship Id="rId18" Type="http://schemas.openxmlformats.org/officeDocument/2006/relationships/hyperlink" Target="http://www.nevo.co.il/law/70301/144" TargetMode="External"/><Relationship Id="rId26" Type="http://schemas.openxmlformats.org/officeDocument/2006/relationships/hyperlink" Target="http://www.nevo.co.il/law/70301/498.a" TargetMode="External"/><Relationship Id="rId39" Type="http://schemas.openxmlformats.org/officeDocument/2006/relationships/hyperlink" Target="http://www.nevo.co.il/case/21731268"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case/22993551" TargetMode="External"/><Relationship Id="rId47" Type="http://schemas.openxmlformats.org/officeDocument/2006/relationships/hyperlink" Target="http://www.nevo.co.il/law/70301/454"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499.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454"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case/17948154" TargetMode="External"/><Relationship Id="rId40" Type="http://schemas.openxmlformats.org/officeDocument/2006/relationships/hyperlink" Target="http://www.nevo.co.il/case/6043688" TargetMode="External"/><Relationship Id="rId45" Type="http://schemas.openxmlformats.org/officeDocument/2006/relationships/hyperlink" Target="http://www.nevo.co.il/law/70301/144"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144.b2"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law/70301/456" TargetMode="External"/><Relationship Id="rId44" Type="http://schemas.openxmlformats.org/officeDocument/2006/relationships/hyperlink" Target="http://www.nevo.co.il/case/18705438"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56"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499.a.1" TargetMode="External"/><Relationship Id="rId30" Type="http://schemas.openxmlformats.org/officeDocument/2006/relationships/hyperlink" Target="http://www.nevo.co.il/law/70301/499.a.1" TargetMode="External"/><Relationship Id="rId35" Type="http://schemas.openxmlformats.org/officeDocument/2006/relationships/hyperlink" Target="http://www.nevo.co.il/law/70301/192" TargetMode="External"/><Relationship Id="rId43" Type="http://schemas.openxmlformats.org/officeDocument/2006/relationships/hyperlink" Target="http://www.nevo.co.il/case/21943447" TargetMode="External"/><Relationship Id="rId48" Type="http://schemas.openxmlformats.org/officeDocument/2006/relationships/hyperlink" Target="http://www.nevo.co.il/law/70301/456" TargetMode="External"/><Relationship Id="rId8" Type="http://schemas.openxmlformats.org/officeDocument/2006/relationships/hyperlink" Target="http://www.nevo.co.il/law/70301/144.a"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13i"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56"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5821327"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3009435"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98.a" TargetMode="External"/><Relationship Id="rId23" Type="http://schemas.openxmlformats.org/officeDocument/2006/relationships/hyperlink" Target="http://www.nevo.co.il/law/70301/413i" TargetMode="External"/><Relationship Id="rId28" Type="http://schemas.openxmlformats.org/officeDocument/2006/relationships/hyperlink" Target="http://www.nevo.co.il/law/70301/498.a" TargetMode="External"/><Relationship Id="rId36" Type="http://schemas.openxmlformats.org/officeDocument/2006/relationships/hyperlink" Target="http://www.nevo.co.il/law/70301/413i"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2868</Words>
  <Characters>14345</Characters>
  <Application>Microsoft Office Word</Application>
  <DocSecurity>0</DocSecurity>
  <Lines>119</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17179</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6291553</vt:i4>
      </vt:variant>
      <vt:variant>
        <vt:i4>126</vt:i4>
      </vt:variant>
      <vt:variant>
        <vt:i4>0</vt:i4>
      </vt:variant>
      <vt:variant>
        <vt:i4>5</vt:i4>
      </vt:variant>
      <vt:variant>
        <vt:lpwstr>http://www.nevo.co.il/law/70301/456</vt:lpwstr>
      </vt:variant>
      <vt:variant>
        <vt:lpwstr/>
      </vt:variant>
      <vt:variant>
        <vt:i4>6291553</vt:i4>
      </vt:variant>
      <vt:variant>
        <vt:i4>123</vt:i4>
      </vt:variant>
      <vt:variant>
        <vt:i4>0</vt:i4>
      </vt:variant>
      <vt:variant>
        <vt:i4>5</vt:i4>
      </vt:variant>
      <vt:variant>
        <vt:lpwstr>http://www.nevo.co.il/law/70301/454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3145848</vt:i4>
      </vt:variant>
      <vt:variant>
        <vt:i4>114</vt:i4>
      </vt:variant>
      <vt:variant>
        <vt:i4>0</vt:i4>
      </vt:variant>
      <vt:variant>
        <vt:i4>5</vt:i4>
      </vt:variant>
      <vt:variant>
        <vt:lpwstr>http://www.nevo.co.il/case/18705438</vt:lpwstr>
      </vt:variant>
      <vt:variant>
        <vt:lpwstr/>
      </vt:variant>
      <vt:variant>
        <vt:i4>3932277</vt:i4>
      </vt:variant>
      <vt:variant>
        <vt:i4>111</vt:i4>
      </vt:variant>
      <vt:variant>
        <vt:i4>0</vt:i4>
      </vt:variant>
      <vt:variant>
        <vt:i4>5</vt:i4>
      </vt:variant>
      <vt:variant>
        <vt:lpwstr>http://www.nevo.co.il/case/21943447</vt:lpwstr>
      </vt:variant>
      <vt:variant>
        <vt:lpwstr/>
      </vt:variant>
      <vt:variant>
        <vt:i4>3997818</vt:i4>
      </vt:variant>
      <vt:variant>
        <vt:i4>108</vt:i4>
      </vt:variant>
      <vt:variant>
        <vt:i4>0</vt:i4>
      </vt:variant>
      <vt:variant>
        <vt:i4>5</vt:i4>
      </vt:variant>
      <vt:variant>
        <vt:lpwstr>http://www.nevo.co.il/case/22993551</vt:lpwstr>
      </vt:variant>
      <vt:variant>
        <vt:lpwstr/>
      </vt:variant>
      <vt:variant>
        <vt:i4>3670131</vt:i4>
      </vt:variant>
      <vt:variant>
        <vt:i4>105</vt:i4>
      </vt:variant>
      <vt:variant>
        <vt:i4>0</vt:i4>
      </vt:variant>
      <vt:variant>
        <vt:i4>5</vt:i4>
      </vt:variant>
      <vt:variant>
        <vt:lpwstr>http://www.nevo.co.il/case/23009435</vt:lpwstr>
      </vt:variant>
      <vt:variant>
        <vt:lpwstr/>
      </vt:variant>
      <vt:variant>
        <vt:i4>3932287</vt:i4>
      </vt:variant>
      <vt:variant>
        <vt:i4>102</vt:i4>
      </vt:variant>
      <vt:variant>
        <vt:i4>0</vt:i4>
      </vt:variant>
      <vt:variant>
        <vt:i4>5</vt:i4>
      </vt:variant>
      <vt:variant>
        <vt:lpwstr>http://www.nevo.co.il/case/6043688</vt:lpwstr>
      </vt:variant>
      <vt:variant>
        <vt:lpwstr/>
      </vt:variant>
      <vt:variant>
        <vt:i4>3276916</vt:i4>
      </vt:variant>
      <vt:variant>
        <vt:i4>99</vt:i4>
      </vt:variant>
      <vt:variant>
        <vt:i4>0</vt:i4>
      </vt:variant>
      <vt:variant>
        <vt:i4>5</vt:i4>
      </vt:variant>
      <vt:variant>
        <vt:lpwstr>http://www.nevo.co.il/case/21731268</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3473526</vt:i4>
      </vt:variant>
      <vt:variant>
        <vt:i4>93</vt:i4>
      </vt:variant>
      <vt:variant>
        <vt:i4>0</vt:i4>
      </vt:variant>
      <vt:variant>
        <vt:i4>5</vt:i4>
      </vt:variant>
      <vt:variant>
        <vt:lpwstr>http://www.nevo.co.il/case/17948154</vt:lpwstr>
      </vt:variant>
      <vt:variant>
        <vt:lpwstr/>
      </vt:variant>
      <vt:variant>
        <vt:i4>852050</vt:i4>
      </vt:variant>
      <vt:variant>
        <vt:i4>90</vt:i4>
      </vt:variant>
      <vt:variant>
        <vt:i4>0</vt:i4>
      </vt:variant>
      <vt:variant>
        <vt:i4>5</vt:i4>
      </vt:variant>
      <vt:variant>
        <vt:lpwstr>http://www.nevo.co.il/law/70301/413i</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6291553</vt:i4>
      </vt:variant>
      <vt:variant>
        <vt:i4>75</vt:i4>
      </vt:variant>
      <vt:variant>
        <vt:i4>0</vt:i4>
      </vt:variant>
      <vt:variant>
        <vt:i4>5</vt:i4>
      </vt:variant>
      <vt:variant>
        <vt:lpwstr>http://www.nevo.co.il/law/70301/456</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7995492</vt:i4>
      </vt:variant>
      <vt:variant>
        <vt:i4>69</vt:i4>
      </vt:variant>
      <vt:variant>
        <vt:i4>0</vt:i4>
      </vt:variant>
      <vt:variant>
        <vt:i4>5</vt:i4>
      </vt:variant>
      <vt:variant>
        <vt:lpwstr>http://www.nevo.co.il/law/70301</vt:lpwstr>
      </vt:variant>
      <vt:variant>
        <vt:lpwstr/>
      </vt:variant>
      <vt:variant>
        <vt:i4>4325465</vt:i4>
      </vt:variant>
      <vt:variant>
        <vt:i4>66</vt:i4>
      </vt:variant>
      <vt:variant>
        <vt:i4>0</vt:i4>
      </vt:variant>
      <vt:variant>
        <vt:i4>5</vt:i4>
      </vt:variant>
      <vt:variant>
        <vt:lpwstr>http://www.nevo.co.il/law/70301/498.a</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4325465</vt:i4>
      </vt:variant>
      <vt:variant>
        <vt:i4>60</vt:i4>
      </vt:variant>
      <vt:variant>
        <vt:i4>0</vt:i4>
      </vt:variant>
      <vt:variant>
        <vt:i4>5</vt:i4>
      </vt:variant>
      <vt:variant>
        <vt:lpwstr>http://www.nevo.co.il/law/70301/498.a</vt:lpwstr>
      </vt:variant>
      <vt:variant>
        <vt:lpwstr/>
      </vt:variant>
      <vt:variant>
        <vt:i4>6291553</vt:i4>
      </vt:variant>
      <vt:variant>
        <vt:i4>57</vt:i4>
      </vt:variant>
      <vt:variant>
        <vt:i4>0</vt:i4>
      </vt:variant>
      <vt:variant>
        <vt:i4>5</vt:i4>
      </vt:variant>
      <vt:variant>
        <vt:lpwstr>http://www.nevo.co.il/law/70301/456</vt:lpwstr>
      </vt:variant>
      <vt:variant>
        <vt:lpwstr/>
      </vt:variant>
      <vt:variant>
        <vt:i4>6291553</vt:i4>
      </vt:variant>
      <vt:variant>
        <vt:i4>54</vt:i4>
      </vt:variant>
      <vt:variant>
        <vt:i4>0</vt:i4>
      </vt:variant>
      <vt:variant>
        <vt:i4>5</vt:i4>
      </vt:variant>
      <vt:variant>
        <vt:lpwstr>http://www.nevo.co.il/law/70301/454</vt:lpwstr>
      </vt:variant>
      <vt:variant>
        <vt:lpwstr/>
      </vt:variant>
      <vt:variant>
        <vt:i4>852050</vt:i4>
      </vt:variant>
      <vt:variant>
        <vt:i4>51</vt:i4>
      </vt:variant>
      <vt:variant>
        <vt:i4>0</vt:i4>
      </vt:variant>
      <vt:variant>
        <vt:i4>5</vt:i4>
      </vt:variant>
      <vt:variant>
        <vt:lpwstr>http://www.nevo.co.il/law/70301/413i</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4325465</vt:i4>
      </vt:variant>
      <vt:variant>
        <vt:i4>27</vt:i4>
      </vt:variant>
      <vt:variant>
        <vt:i4>0</vt:i4>
      </vt:variant>
      <vt:variant>
        <vt:i4>5</vt:i4>
      </vt:variant>
      <vt:variant>
        <vt:lpwstr>http://www.nevo.co.il/law/70301/498.a</vt:lpwstr>
      </vt:variant>
      <vt:variant>
        <vt:lpwstr/>
      </vt:variant>
      <vt:variant>
        <vt:i4>6291553</vt:i4>
      </vt:variant>
      <vt:variant>
        <vt:i4>24</vt:i4>
      </vt:variant>
      <vt:variant>
        <vt:i4>0</vt:i4>
      </vt:variant>
      <vt:variant>
        <vt:i4>5</vt:i4>
      </vt:variant>
      <vt:variant>
        <vt:lpwstr>http://www.nevo.co.il/law/70301/456</vt:lpwstr>
      </vt:variant>
      <vt:variant>
        <vt:lpwstr/>
      </vt:variant>
      <vt:variant>
        <vt:i4>6291553</vt:i4>
      </vt:variant>
      <vt:variant>
        <vt:i4>21</vt:i4>
      </vt:variant>
      <vt:variant>
        <vt:i4>0</vt:i4>
      </vt:variant>
      <vt:variant>
        <vt:i4>5</vt:i4>
      </vt:variant>
      <vt:variant>
        <vt:lpwstr>http://www.nevo.co.il/law/70301/454</vt:lpwstr>
      </vt:variant>
      <vt:variant>
        <vt:lpwstr/>
      </vt:variant>
      <vt:variant>
        <vt:i4>852050</vt:i4>
      </vt:variant>
      <vt:variant>
        <vt:i4>18</vt:i4>
      </vt:variant>
      <vt:variant>
        <vt:i4>0</vt:i4>
      </vt:variant>
      <vt:variant>
        <vt:i4>5</vt:i4>
      </vt:variant>
      <vt:variant>
        <vt:lpwstr>http://www.nevo.co.il/law/70301/413i</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49632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משה שיינברג;נוריאל חג'אני </vt:lpwstr>
  </property>
  <property fmtid="{D5CDD505-2E9C-101B-9397-08002B2CF9AE}" pid="10" name="LAWYER">
    <vt:lpwstr>אורן פז;גיא פרידמן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20181216</vt:lpwstr>
  </property>
  <property fmtid="{D5CDD505-2E9C-101B-9397-08002B2CF9AE}" pid="14" name="TYPE_N_DATE">
    <vt:lpwstr>39020181216</vt:lpwstr>
  </property>
  <property fmtid="{D5CDD505-2E9C-101B-9397-08002B2CF9AE}" pid="15" name="WORDNUMPAGES">
    <vt:lpwstr>8</vt:lpwstr>
  </property>
  <property fmtid="{D5CDD505-2E9C-101B-9397-08002B2CF9AE}" pid="16" name="TYPE_ABS_DATE">
    <vt:lpwstr>390020181216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17948154;5821327;21731268;6043688;23009435;22993551;21943447;18705438</vt:lpwstr>
  </property>
  <property fmtid="{D5CDD505-2E9C-101B-9397-08002B2CF9AE}" pid="36" name="LAWLISTTMP1">
    <vt:lpwstr>70301/144;144.a;144.b;144.b2;192;413i;454;456:2;498.a;499.a.1</vt:lpwstr>
  </property>
</Properties>
</file>