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B0B5F" w:rsidRPr="00D14A54" w14:paraId="5F3AEB3F" w14:textId="77777777" w:rsidTr="000D4FE3">
        <w:trPr>
          <w:trHeight w:hRule="exact" w:val="418"/>
          <w:jc w:val="center"/>
        </w:trPr>
        <w:tc>
          <w:tcPr>
            <w:tcW w:w="8721" w:type="dxa"/>
            <w:gridSpan w:val="2"/>
          </w:tcPr>
          <w:p w14:paraId="565A3F4A" w14:textId="77777777" w:rsidR="006B0B5F" w:rsidRPr="00D14A54" w:rsidRDefault="006B0B5F" w:rsidP="00520599">
            <w:pPr>
              <w:pStyle w:val="a3"/>
              <w:jc w:val="center"/>
              <w:rPr>
                <w:rFonts w:ascii="Tahoma" w:hAnsi="Tahoma" w:cs="Tahoma"/>
                <w:color w:val="000080"/>
                <w:rtl/>
              </w:rPr>
            </w:pPr>
            <w:bookmarkStart w:id="0" w:name="LastJudge"/>
            <w:r w:rsidRPr="00D14A54">
              <w:rPr>
                <w:rFonts w:ascii="Tahoma" w:hAnsi="Tahoma" w:cs="Tahoma"/>
                <w:b/>
                <w:bCs/>
                <w:color w:val="000080"/>
                <w:rtl/>
              </w:rPr>
              <w:t>בית המשפט המחוזי בחיפה</w:t>
            </w:r>
          </w:p>
        </w:tc>
      </w:tr>
      <w:tr w:rsidR="006B0B5F" w:rsidRPr="00D14A54" w14:paraId="5775A178" w14:textId="77777777" w:rsidTr="000D4FE3">
        <w:trPr>
          <w:trHeight w:val="337"/>
          <w:jc w:val="center"/>
        </w:trPr>
        <w:tc>
          <w:tcPr>
            <w:tcW w:w="5057" w:type="dxa"/>
          </w:tcPr>
          <w:p w14:paraId="725FC945" w14:textId="77777777" w:rsidR="006B0B5F" w:rsidRPr="00D14A54" w:rsidRDefault="006B0B5F" w:rsidP="00520599">
            <w:pPr>
              <w:rPr>
                <w:rFonts w:cs="FrankRuehl"/>
                <w:sz w:val="28"/>
                <w:szCs w:val="28"/>
                <w:rtl/>
              </w:rPr>
            </w:pPr>
            <w:r w:rsidRPr="00D14A54">
              <w:rPr>
                <w:rFonts w:cs="FrankRuehl"/>
                <w:sz w:val="28"/>
                <w:szCs w:val="28"/>
                <w:rtl/>
              </w:rPr>
              <w:t>ת"פ</w:t>
            </w:r>
            <w:r w:rsidRPr="00D14A54">
              <w:rPr>
                <w:rFonts w:cs="FrankRuehl" w:hint="cs"/>
                <w:sz w:val="28"/>
                <w:szCs w:val="28"/>
                <w:rtl/>
              </w:rPr>
              <w:t xml:space="preserve"> </w:t>
            </w:r>
            <w:r w:rsidRPr="00D14A54">
              <w:rPr>
                <w:rFonts w:cs="FrankRuehl"/>
                <w:sz w:val="28"/>
                <w:szCs w:val="28"/>
                <w:rtl/>
              </w:rPr>
              <w:t>52479-01-18</w:t>
            </w:r>
            <w:r w:rsidRPr="00D14A54">
              <w:rPr>
                <w:rFonts w:cs="FrankRuehl" w:hint="cs"/>
                <w:sz w:val="28"/>
                <w:szCs w:val="28"/>
                <w:rtl/>
              </w:rPr>
              <w:t xml:space="preserve"> </w:t>
            </w:r>
            <w:r w:rsidRPr="00D14A54">
              <w:rPr>
                <w:rFonts w:cs="FrankRuehl"/>
                <w:sz w:val="28"/>
                <w:szCs w:val="28"/>
                <w:rtl/>
              </w:rPr>
              <w:t>מדינת ישראל נ' מלחם(עצור בפיקוח)</w:t>
            </w:r>
          </w:p>
          <w:p w14:paraId="5FB93FCB" w14:textId="77777777" w:rsidR="006B0B5F" w:rsidRPr="00D14A54" w:rsidRDefault="006B0B5F" w:rsidP="00520599">
            <w:pPr>
              <w:pStyle w:val="a3"/>
              <w:rPr>
                <w:rFonts w:cs="FrankRuehl"/>
                <w:sz w:val="28"/>
                <w:szCs w:val="28"/>
                <w:rtl/>
              </w:rPr>
            </w:pPr>
          </w:p>
        </w:tc>
        <w:tc>
          <w:tcPr>
            <w:tcW w:w="3664" w:type="dxa"/>
          </w:tcPr>
          <w:p w14:paraId="60D145F5" w14:textId="77777777" w:rsidR="006B0B5F" w:rsidRPr="00D14A54" w:rsidRDefault="006B0B5F" w:rsidP="00520599">
            <w:pPr>
              <w:pStyle w:val="a3"/>
              <w:jc w:val="right"/>
              <w:rPr>
                <w:rFonts w:cs="FrankRuehl"/>
                <w:sz w:val="28"/>
                <w:szCs w:val="28"/>
                <w:rtl/>
              </w:rPr>
            </w:pPr>
          </w:p>
        </w:tc>
      </w:tr>
    </w:tbl>
    <w:p w14:paraId="56C04DC9" w14:textId="77777777" w:rsidR="006B0B5F" w:rsidRPr="00D14A54" w:rsidRDefault="006B0B5F" w:rsidP="006B0B5F">
      <w:pPr>
        <w:pStyle w:val="a3"/>
        <w:rPr>
          <w:rtl/>
        </w:rPr>
      </w:pPr>
      <w:r w:rsidRPr="00D14A54">
        <w:rPr>
          <w:rFonts w:hint="cs"/>
          <w:rtl/>
        </w:rPr>
        <w:t xml:space="preserve"> </w:t>
      </w:r>
    </w:p>
    <w:p w14:paraId="2A750604" w14:textId="77777777" w:rsidR="006B0B5F" w:rsidRPr="00D14A54" w:rsidRDefault="006B0B5F" w:rsidP="006B0B5F">
      <w:pPr>
        <w:pStyle w:val="12"/>
        <w:spacing w:line="360" w:lineRule="auto"/>
        <w:jc w:val="both"/>
        <w:rPr>
          <w:b w:val="0"/>
          <w:bCs w:val="0"/>
          <w:u w:val="none"/>
          <w:rtl/>
        </w:rPr>
      </w:pPr>
    </w:p>
    <w:tbl>
      <w:tblPr>
        <w:bidiVisual/>
        <w:tblW w:w="9018" w:type="dxa"/>
        <w:tblInd w:w="-28" w:type="dxa"/>
        <w:tblLook w:val="01E0" w:firstRow="1" w:lastRow="1" w:firstColumn="1" w:lastColumn="1" w:noHBand="0" w:noVBand="0"/>
      </w:tblPr>
      <w:tblGrid>
        <w:gridCol w:w="9018"/>
      </w:tblGrid>
      <w:tr w:rsidR="006B0B5F" w:rsidRPr="00D14A54" w14:paraId="67F804E2" w14:textId="77777777" w:rsidTr="006B0B5F">
        <w:tc>
          <w:tcPr>
            <w:tcW w:w="9018" w:type="dxa"/>
            <w:shd w:val="clear" w:color="auto" w:fill="auto"/>
          </w:tcPr>
          <w:p w14:paraId="667493CE" w14:textId="77777777" w:rsidR="006B0B5F" w:rsidRPr="00D14A54" w:rsidRDefault="006B0B5F" w:rsidP="00520599">
            <w:pPr>
              <w:rPr>
                <w:b/>
                <w:bCs/>
                <w:sz w:val="26"/>
                <w:szCs w:val="26"/>
                <w:rtl/>
              </w:rPr>
            </w:pPr>
            <w:bookmarkStart w:id="1" w:name="FirstAppellant"/>
            <w:bookmarkStart w:id="2" w:name="FirstLawyer"/>
            <w:r w:rsidRPr="00D14A54">
              <w:rPr>
                <w:rFonts w:hint="cs"/>
                <w:b/>
                <w:bCs/>
                <w:sz w:val="26"/>
                <w:szCs w:val="26"/>
                <w:rtl/>
              </w:rPr>
              <w:t>לפני כבוד השופט אמיר טובי</w:t>
            </w:r>
            <w:r w:rsidRPr="00D14A54">
              <w:rPr>
                <w:rStyle w:val="TimesNewRomanTimesNewRoman"/>
                <w:rFonts w:hint="cs"/>
                <w:rtl/>
              </w:rPr>
              <w:t xml:space="preserve"> </w:t>
            </w:r>
          </w:p>
          <w:p w14:paraId="21572333" w14:textId="77777777" w:rsidR="006B0B5F" w:rsidRPr="00D14A54" w:rsidRDefault="006B0B5F" w:rsidP="006B0B5F">
            <w:pPr>
              <w:jc w:val="both"/>
              <w:rPr>
                <w:b/>
                <w:bCs/>
                <w:sz w:val="26"/>
                <w:szCs w:val="26"/>
                <w:rtl/>
              </w:rPr>
            </w:pPr>
          </w:p>
          <w:p w14:paraId="26EE1B71" w14:textId="77777777" w:rsidR="006B0B5F" w:rsidRPr="00D14A54" w:rsidRDefault="006B0B5F" w:rsidP="006B0B5F">
            <w:pPr>
              <w:jc w:val="both"/>
              <w:rPr>
                <w:rtl/>
              </w:rPr>
            </w:pPr>
            <w:r w:rsidRPr="00D14A54">
              <w:rPr>
                <w:rFonts w:hint="cs"/>
                <w:b/>
                <w:bCs/>
                <w:sz w:val="26"/>
                <w:szCs w:val="26"/>
                <w:rtl/>
              </w:rPr>
              <w:t>המאשימה</w:t>
            </w:r>
            <w:r w:rsidRPr="00D14A54">
              <w:rPr>
                <w:b/>
                <w:bCs/>
                <w:sz w:val="26"/>
                <w:szCs w:val="26"/>
                <w:rtl/>
              </w:rPr>
              <w:t>-</w:t>
            </w:r>
          </w:p>
          <w:p w14:paraId="179F9592" w14:textId="77777777" w:rsidR="006B0B5F" w:rsidRPr="00D14A54" w:rsidRDefault="006B0B5F" w:rsidP="006B0B5F">
            <w:pPr>
              <w:jc w:val="both"/>
              <w:rPr>
                <w:b/>
                <w:bCs/>
                <w:sz w:val="26"/>
                <w:szCs w:val="26"/>
                <w:rtl/>
              </w:rPr>
            </w:pPr>
            <w:r w:rsidRPr="00D14A54">
              <w:rPr>
                <w:rFonts w:hint="cs"/>
                <w:rtl/>
              </w:rPr>
              <w:t xml:space="preserve"> </w:t>
            </w:r>
            <w:r w:rsidRPr="00D14A54">
              <w:rPr>
                <w:rFonts w:hint="cs"/>
                <w:b/>
                <w:bCs/>
                <w:sz w:val="26"/>
                <w:szCs w:val="26"/>
                <w:rtl/>
              </w:rPr>
              <w:t>מדינת ישראל</w:t>
            </w:r>
          </w:p>
          <w:p w14:paraId="6039BB82" w14:textId="77777777" w:rsidR="006B0B5F" w:rsidRPr="00D14A54" w:rsidRDefault="006B0B5F" w:rsidP="00520599">
            <w:pPr>
              <w:rPr>
                <w:b/>
                <w:bCs/>
                <w:sz w:val="26"/>
                <w:szCs w:val="26"/>
                <w:rtl/>
              </w:rPr>
            </w:pPr>
          </w:p>
          <w:p w14:paraId="21DB5048" w14:textId="77777777" w:rsidR="006B0B5F" w:rsidRPr="00D14A54" w:rsidRDefault="006B0B5F" w:rsidP="006B0B5F">
            <w:pPr>
              <w:jc w:val="both"/>
              <w:rPr>
                <w:rFonts w:ascii="Arial" w:hAnsi="Arial"/>
                <w:b/>
                <w:bCs/>
                <w:sz w:val="26"/>
                <w:szCs w:val="26"/>
                <w:rtl/>
              </w:rPr>
            </w:pPr>
          </w:p>
          <w:bookmarkEnd w:id="1"/>
          <w:p w14:paraId="75A39CC4" w14:textId="77777777" w:rsidR="006B0B5F" w:rsidRPr="00D14A54" w:rsidRDefault="006B0B5F" w:rsidP="006B0B5F">
            <w:pPr>
              <w:jc w:val="center"/>
              <w:rPr>
                <w:rFonts w:ascii="Arial" w:hAnsi="Arial"/>
                <w:b/>
                <w:bCs/>
                <w:sz w:val="26"/>
                <w:szCs w:val="26"/>
                <w:rtl/>
              </w:rPr>
            </w:pPr>
            <w:r w:rsidRPr="00D14A54">
              <w:rPr>
                <w:rFonts w:ascii="Arial" w:hAnsi="Arial" w:hint="cs"/>
                <w:b/>
                <w:bCs/>
                <w:sz w:val="26"/>
                <w:szCs w:val="26"/>
                <w:rtl/>
              </w:rPr>
              <w:t>נגד</w:t>
            </w:r>
          </w:p>
          <w:p w14:paraId="20C1F767" w14:textId="77777777" w:rsidR="006B0B5F" w:rsidRPr="00D14A54" w:rsidRDefault="006B0B5F" w:rsidP="00520599">
            <w:pPr>
              <w:rPr>
                <w:rFonts w:ascii="Arial" w:hAnsi="Arial"/>
                <w:b/>
                <w:bCs/>
                <w:sz w:val="26"/>
                <w:szCs w:val="26"/>
                <w:rtl/>
              </w:rPr>
            </w:pPr>
          </w:p>
          <w:p w14:paraId="4C3CE8FC" w14:textId="77777777" w:rsidR="006B0B5F" w:rsidRPr="00D14A54" w:rsidRDefault="006B0B5F" w:rsidP="000D4FE3">
            <w:pPr>
              <w:rPr>
                <w:rFonts w:hint="cs"/>
                <w:b/>
                <w:bCs/>
                <w:sz w:val="26"/>
                <w:szCs w:val="26"/>
                <w:rtl/>
              </w:rPr>
            </w:pPr>
            <w:r w:rsidRPr="00D14A54">
              <w:rPr>
                <w:rFonts w:hint="cs"/>
                <w:b/>
                <w:bCs/>
                <w:sz w:val="26"/>
                <w:szCs w:val="26"/>
                <w:rtl/>
              </w:rPr>
              <w:t>הנאשם</w:t>
            </w:r>
            <w:r w:rsidRPr="00D14A54">
              <w:rPr>
                <w:b/>
                <w:bCs/>
                <w:sz w:val="26"/>
                <w:szCs w:val="26"/>
                <w:rtl/>
              </w:rPr>
              <w:t>-</w:t>
            </w:r>
            <w:r w:rsidRPr="00D14A54">
              <w:rPr>
                <w:rFonts w:hint="cs"/>
                <w:rtl/>
              </w:rPr>
              <w:t xml:space="preserve"> </w:t>
            </w:r>
            <w:r w:rsidRPr="00D14A54">
              <w:rPr>
                <w:rFonts w:hint="cs"/>
                <w:b/>
                <w:bCs/>
                <w:sz w:val="26"/>
                <w:szCs w:val="26"/>
                <w:rtl/>
              </w:rPr>
              <w:t xml:space="preserve">יאסר מלחם </w:t>
            </w:r>
            <w:r w:rsidRPr="00D14A54">
              <w:rPr>
                <w:rFonts w:hint="cs"/>
                <w:rtl/>
              </w:rPr>
              <w:t xml:space="preserve"> </w:t>
            </w:r>
          </w:p>
          <w:p w14:paraId="57C2D8B9" w14:textId="77777777" w:rsidR="006B0B5F" w:rsidRPr="00D14A54" w:rsidRDefault="006B0B5F" w:rsidP="006B0B5F">
            <w:pPr>
              <w:jc w:val="both"/>
              <w:rPr>
                <w:rFonts w:ascii="David" w:hAnsi="David"/>
                <w:sz w:val="6"/>
                <w:szCs w:val="6"/>
                <w:rtl/>
              </w:rPr>
            </w:pPr>
            <w:r w:rsidRPr="00D14A54">
              <w:rPr>
                <w:rFonts w:hint="cs"/>
                <w:sz w:val="6"/>
                <w:szCs w:val="6"/>
                <w:rtl/>
              </w:rPr>
              <w:t>&lt;#1#&gt;</w:t>
            </w:r>
          </w:p>
          <w:p w14:paraId="69010E7E" w14:textId="77777777" w:rsidR="006B0B5F" w:rsidRPr="00D14A54" w:rsidRDefault="006B0B5F" w:rsidP="006B0B5F">
            <w:pPr>
              <w:pStyle w:val="12"/>
              <w:jc w:val="both"/>
              <w:rPr>
                <w:b w:val="0"/>
                <w:bCs w:val="0"/>
                <w:u w:val="none"/>
                <w:rtl/>
              </w:rPr>
            </w:pPr>
          </w:p>
          <w:p w14:paraId="6895D714" w14:textId="77777777" w:rsidR="006B0B5F" w:rsidRPr="00D14A54" w:rsidRDefault="006B0B5F" w:rsidP="006B0B5F">
            <w:pPr>
              <w:pStyle w:val="12"/>
              <w:jc w:val="both"/>
              <w:rPr>
                <w:u w:val="none"/>
                <w:rtl/>
              </w:rPr>
            </w:pPr>
            <w:r w:rsidRPr="00D14A54">
              <w:rPr>
                <w:rFonts w:hint="cs"/>
                <w:u w:val="none"/>
                <w:rtl/>
              </w:rPr>
              <w:t>נוכחים:</w:t>
            </w:r>
          </w:p>
          <w:p w14:paraId="57691C44" w14:textId="77777777" w:rsidR="006B0B5F" w:rsidRPr="00D14A54" w:rsidRDefault="006B0B5F" w:rsidP="006B0B5F">
            <w:pPr>
              <w:pStyle w:val="12"/>
              <w:jc w:val="both"/>
              <w:rPr>
                <w:b w:val="0"/>
                <w:bCs w:val="0"/>
                <w:u w:val="none"/>
                <w:rtl/>
              </w:rPr>
            </w:pPr>
            <w:r w:rsidRPr="00D14A54">
              <w:rPr>
                <w:rFonts w:hint="cs"/>
                <w:b w:val="0"/>
                <w:bCs w:val="0"/>
                <w:u w:val="none"/>
                <w:rtl/>
              </w:rPr>
              <w:t xml:space="preserve">ב"כ המאשימה: עו"ד יוסי גימפל </w:t>
            </w:r>
          </w:p>
          <w:p w14:paraId="766E3C29" w14:textId="77777777" w:rsidR="006B0B5F" w:rsidRPr="00D14A54" w:rsidRDefault="006B0B5F" w:rsidP="006B0B5F">
            <w:pPr>
              <w:pStyle w:val="12"/>
              <w:jc w:val="both"/>
              <w:rPr>
                <w:b w:val="0"/>
                <w:bCs w:val="0"/>
                <w:u w:val="none"/>
                <w:rtl/>
              </w:rPr>
            </w:pPr>
            <w:r w:rsidRPr="00D14A54">
              <w:rPr>
                <w:rFonts w:hint="cs"/>
                <w:b w:val="0"/>
                <w:bCs w:val="0"/>
                <w:u w:val="none"/>
                <w:rtl/>
              </w:rPr>
              <w:t>ב"כ הנאשם: עו"ד ששון בר עוז  ועו"ד פהד חאג'</w:t>
            </w:r>
          </w:p>
          <w:p w14:paraId="7E06DA77" w14:textId="77777777" w:rsidR="006B0B5F" w:rsidRPr="00D14A54" w:rsidRDefault="006B0B5F" w:rsidP="006B0B5F">
            <w:pPr>
              <w:pStyle w:val="12"/>
              <w:jc w:val="both"/>
              <w:rPr>
                <w:b w:val="0"/>
                <w:bCs w:val="0"/>
                <w:u w:val="none"/>
                <w:rtl/>
              </w:rPr>
            </w:pPr>
            <w:r w:rsidRPr="00D14A54">
              <w:rPr>
                <w:rFonts w:hint="cs"/>
                <w:b w:val="0"/>
                <w:bCs w:val="0"/>
                <w:u w:val="none"/>
                <w:rtl/>
              </w:rPr>
              <w:t xml:space="preserve">הנאשם בעצמו </w:t>
            </w:r>
          </w:p>
        </w:tc>
      </w:tr>
    </w:tbl>
    <w:p w14:paraId="30E04378" w14:textId="77777777" w:rsidR="00C445A0" w:rsidRDefault="00C445A0" w:rsidP="006B0B5F">
      <w:pPr>
        <w:spacing w:line="360" w:lineRule="auto"/>
        <w:jc w:val="both"/>
        <w:rPr>
          <w:rFonts w:ascii="Arial" w:hAnsi="Arial"/>
          <w:rtl/>
        </w:rPr>
      </w:pPr>
      <w:bookmarkStart w:id="3" w:name="LawTable"/>
      <w:bookmarkEnd w:id="2"/>
      <w:bookmarkEnd w:id="3"/>
    </w:p>
    <w:p w14:paraId="2689259E" w14:textId="77777777" w:rsidR="00C445A0" w:rsidRPr="00C445A0" w:rsidRDefault="00C445A0" w:rsidP="00C445A0">
      <w:pPr>
        <w:spacing w:after="120" w:line="240" w:lineRule="exact"/>
        <w:ind w:left="283" w:hanging="283"/>
        <w:jc w:val="both"/>
        <w:rPr>
          <w:rFonts w:ascii="FrankRuehl" w:hAnsi="FrankRuehl" w:cs="FrankRuehl"/>
          <w:rtl/>
        </w:rPr>
      </w:pPr>
    </w:p>
    <w:p w14:paraId="7674DBC3" w14:textId="77777777" w:rsidR="00C445A0" w:rsidRPr="00C445A0" w:rsidRDefault="00C445A0" w:rsidP="00C445A0">
      <w:pPr>
        <w:spacing w:after="120" w:line="240" w:lineRule="exact"/>
        <w:ind w:left="283" w:hanging="283"/>
        <w:jc w:val="both"/>
        <w:rPr>
          <w:rFonts w:ascii="FrankRuehl" w:hAnsi="FrankRuehl" w:cs="FrankRuehl"/>
          <w:rtl/>
        </w:rPr>
      </w:pPr>
      <w:r w:rsidRPr="00C445A0">
        <w:rPr>
          <w:rFonts w:ascii="FrankRuehl" w:hAnsi="FrankRuehl" w:cs="FrankRuehl"/>
          <w:rtl/>
        </w:rPr>
        <w:t xml:space="preserve">חקיקה שאוזכרה: </w:t>
      </w:r>
    </w:p>
    <w:p w14:paraId="7C1FBEF9" w14:textId="77777777" w:rsidR="00C445A0" w:rsidRPr="00C445A0" w:rsidRDefault="00C445A0" w:rsidP="00C445A0">
      <w:pPr>
        <w:spacing w:after="120" w:line="240" w:lineRule="exact"/>
        <w:ind w:left="283" w:hanging="283"/>
        <w:jc w:val="both"/>
        <w:rPr>
          <w:rFonts w:ascii="FrankRuehl" w:hAnsi="FrankRuehl" w:cs="FrankRuehl"/>
          <w:rtl/>
        </w:rPr>
      </w:pPr>
      <w:hyperlink r:id="rId6" w:history="1">
        <w:r w:rsidRPr="00C445A0">
          <w:rPr>
            <w:rFonts w:ascii="FrankRuehl" w:hAnsi="FrankRuehl" w:cs="FrankRuehl"/>
            <w:color w:val="0000FF"/>
            <w:u w:val="single"/>
            <w:rtl/>
          </w:rPr>
          <w:t>חוק העונשין, תשל"ז-1977</w:t>
        </w:r>
      </w:hyperlink>
      <w:r w:rsidRPr="00C445A0">
        <w:rPr>
          <w:rFonts w:ascii="FrankRuehl" w:hAnsi="FrankRuehl" w:cs="FrankRuehl"/>
          <w:rtl/>
        </w:rPr>
        <w:t xml:space="preserve">: סע'  </w:t>
      </w:r>
      <w:hyperlink r:id="rId7" w:history="1">
        <w:r w:rsidRPr="00C445A0">
          <w:rPr>
            <w:rFonts w:ascii="FrankRuehl" w:hAnsi="FrankRuehl" w:cs="FrankRuehl"/>
            <w:color w:val="0000FF"/>
            <w:u w:val="single"/>
            <w:rtl/>
          </w:rPr>
          <w:t>40ט (א)</w:t>
        </w:r>
      </w:hyperlink>
      <w:r w:rsidRPr="00C445A0">
        <w:rPr>
          <w:rFonts w:ascii="FrankRuehl" w:hAnsi="FrankRuehl" w:cs="FrankRuehl"/>
          <w:rtl/>
        </w:rPr>
        <w:t xml:space="preserve">, </w:t>
      </w:r>
      <w:hyperlink r:id="rId8" w:history="1">
        <w:r w:rsidRPr="00C445A0">
          <w:rPr>
            <w:rFonts w:ascii="FrankRuehl" w:hAnsi="FrankRuehl" w:cs="FrankRuehl"/>
            <w:color w:val="0000FF"/>
            <w:u w:val="single"/>
            <w:rtl/>
          </w:rPr>
          <w:t>144(ב)</w:t>
        </w:r>
      </w:hyperlink>
    </w:p>
    <w:p w14:paraId="68EE4F77" w14:textId="77777777" w:rsidR="00C445A0" w:rsidRPr="00C445A0" w:rsidRDefault="00C445A0" w:rsidP="00C445A0">
      <w:pPr>
        <w:spacing w:after="120" w:line="240" w:lineRule="exact"/>
        <w:ind w:left="283" w:hanging="283"/>
        <w:jc w:val="both"/>
        <w:rPr>
          <w:rFonts w:ascii="FrankRuehl" w:hAnsi="FrankRuehl" w:cs="FrankRuehl"/>
          <w:rtl/>
        </w:rPr>
      </w:pPr>
    </w:p>
    <w:p w14:paraId="196B6F8F" w14:textId="77777777" w:rsidR="00C445A0" w:rsidRPr="00C445A0" w:rsidRDefault="00C445A0" w:rsidP="006B0B5F">
      <w:pPr>
        <w:spacing w:line="360" w:lineRule="auto"/>
        <w:jc w:val="both"/>
        <w:rPr>
          <w:rFonts w:ascii="Arial" w:hAnsi="Arial"/>
          <w:rtl/>
        </w:rPr>
      </w:pPr>
      <w:bookmarkStart w:id="4" w:name="LawTable_End"/>
      <w:bookmarkEnd w:id="4"/>
    </w:p>
    <w:p w14:paraId="49A386EF" w14:textId="77777777" w:rsidR="00C445A0" w:rsidRPr="00C445A0" w:rsidRDefault="00C445A0" w:rsidP="006B0B5F">
      <w:pPr>
        <w:spacing w:line="360" w:lineRule="auto"/>
        <w:jc w:val="both"/>
        <w:rPr>
          <w:rFonts w:ascii="Arial" w:hAnsi="Arial"/>
          <w:rtl/>
        </w:rPr>
      </w:pPr>
    </w:p>
    <w:p w14:paraId="217C4B54" w14:textId="77777777" w:rsidR="00D14A54" w:rsidRPr="00D14A54" w:rsidRDefault="00D14A54" w:rsidP="006B0B5F">
      <w:pPr>
        <w:spacing w:line="360" w:lineRule="auto"/>
        <w:jc w:val="both"/>
        <w:rPr>
          <w:rFonts w:ascii="Arial" w:hAnsi="Arial"/>
          <w:rtl/>
        </w:rPr>
      </w:pPr>
    </w:p>
    <w:p w14:paraId="38629A73" w14:textId="77777777" w:rsidR="006B0B5F" w:rsidRPr="00D14A54" w:rsidRDefault="006B0B5F" w:rsidP="006B0B5F">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0B5F" w14:paraId="3CEF57CE" w14:textId="77777777" w:rsidTr="006B0B5F">
        <w:trPr>
          <w:trHeight w:val="355"/>
          <w:jc w:val="center"/>
        </w:trPr>
        <w:tc>
          <w:tcPr>
            <w:tcW w:w="8820" w:type="dxa"/>
            <w:tcBorders>
              <w:top w:val="nil"/>
              <w:left w:val="nil"/>
              <w:bottom w:val="nil"/>
              <w:right w:val="nil"/>
            </w:tcBorders>
            <w:shd w:val="clear" w:color="auto" w:fill="auto"/>
          </w:tcPr>
          <w:p w14:paraId="39CC0BD0" w14:textId="77777777" w:rsidR="00D14A54" w:rsidRPr="00D14A54" w:rsidRDefault="00D14A54" w:rsidP="00D14A54">
            <w:pPr>
              <w:spacing w:line="360" w:lineRule="auto"/>
              <w:jc w:val="center"/>
              <w:rPr>
                <w:rFonts w:ascii="Arial" w:hAnsi="Arial" w:cs="FrankRuehl"/>
                <w:b/>
                <w:bCs/>
                <w:sz w:val="32"/>
                <w:szCs w:val="32"/>
                <w:u w:val="single"/>
                <w:rtl/>
              </w:rPr>
            </w:pPr>
            <w:bookmarkStart w:id="5" w:name="PsakDin" w:colFirst="0" w:colLast="0"/>
            <w:bookmarkEnd w:id="0"/>
            <w:r w:rsidRPr="00D14A54">
              <w:rPr>
                <w:rFonts w:ascii="Arial" w:hAnsi="Arial" w:cs="FrankRuehl"/>
                <w:b/>
                <w:bCs/>
                <w:sz w:val="32"/>
                <w:szCs w:val="32"/>
                <w:u w:val="single"/>
                <w:rtl/>
              </w:rPr>
              <w:t>גזר דין</w:t>
            </w:r>
          </w:p>
          <w:p w14:paraId="63EE02D3" w14:textId="77777777" w:rsidR="006B0B5F" w:rsidRPr="00D14A54" w:rsidRDefault="006B0B5F" w:rsidP="00D14A54">
            <w:pPr>
              <w:spacing w:line="360" w:lineRule="auto"/>
              <w:jc w:val="center"/>
              <w:rPr>
                <w:rFonts w:ascii="Arial" w:hAnsi="Arial" w:cs="FrankRuehl"/>
                <w:bCs/>
                <w:sz w:val="32"/>
                <w:szCs w:val="32"/>
                <w:u w:val="single"/>
                <w:rtl/>
              </w:rPr>
            </w:pPr>
          </w:p>
        </w:tc>
      </w:tr>
      <w:bookmarkEnd w:id="5"/>
    </w:tbl>
    <w:p w14:paraId="45085D0A" w14:textId="77777777" w:rsidR="006B0B5F" w:rsidRDefault="006B0B5F" w:rsidP="006B0B5F">
      <w:pPr>
        <w:spacing w:line="360" w:lineRule="auto"/>
        <w:jc w:val="both"/>
        <w:rPr>
          <w:rFonts w:ascii="Arial" w:hAnsi="Arial"/>
          <w:rtl/>
        </w:rPr>
      </w:pPr>
    </w:p>
    <w:p w14:paraId="6CE6355A" w14:textId="77777777" w:rsidR="006B0B5F" w:rsidRDefault="006B0B5F" w:rsidP="006B0B5F">
      <w:pPr>
        <w:spacing w:line="360" w:lineRule="auto"/>
        <w:ind w:left="567" w:hanging="567"/>
        <w:jc w:val="both"/>
        <w:rPr>
          <w:u w:val="single"/>
        </w:rPr>
      </w:pPr>
      <w:r>
        <w:rPr>
          <w:rFonts w:hint="cs"/>
          <w:u w:val="single"/>
          <w:rtl/>
        </w:rPr>
        <w:t>כתב האישום</w:t>
      </w:r>
    </w:p>
    <w:p w14:paraId="5699AD0A" w14:textId="77777777" w:rsidR="006B0B5F" w:rsidRDefault="006B0B5F" w:rsidP="006B0B5F">
      <w:pPr>
        <w:spacing w:line="360" w:lineRule="auto"/>
        <w:ind w:left="567" w:hanging="567"/>
        <w:jc w:val="both"/>
        <w:rPr>
          <w:u w:val="single"/>
          <w:rtl/>
        </w:rPr>
      </w:pPr>
      <w:bookmarkStart w:id="6" w:name="ABSTRACT_START"/>
      <w:bookmarkEnd w:id="6"/>
    </w:p>
    <w:p w14:paraId="60902F79" w14:textId="77777777" w:rsidR="006B0B5F" w:rsidRDefault="006B0B5F" w:rsidP="006B0B5F">
      <w:pPr>
        <w:spacing w:line="360" w:lineRule="auto"/>
        <w:ind w:left="567" w:hanging="567"/>
        <w:jc w:val="both"/>
        <w:rPr>
          <w:rtl/>
        </w:rPr>
      </w:pPr>
      <w:r>
        <w:rPr>
          <w:rFonts w:hint="cs"/>
          <w:rtl/>
        </w:rPr>
        <w:t>1.</w:t>
      </w:r>
      <w:r>
        <w:rPr>
          <w:rFonts w:hint="cs"/>
          <w:rtl/>
        </w:rPr>
        <w:tab/>
        <w:t xml:space="preserve">הנאשם הורשע, על סמך הודאתו, בעבירות שיוחסו לו בכתב אישום שתוקן במסגרת הסדר טיעון ואשר לא כלל הסכמה עונשית. כתב האישום המתוקן (להלן: "כתב האישום") ייחס לנאשם עבירות בנשק (נשיאה והובלה) לפי </w:t>
      </w:r>
      <w:hyperlink r:id="rId9" w:history="1">
        <w:r w:rsidR="000D4FE3" w:rsidRPr="000D4FE3">
          <w:rPr>
            <w:color w:val="0000FF"/>
            <w:u w:val="single"/>
            <w:rtl/>
          </w:rPr>
          <w:t>סעיפים 144(ב)</w:t>
        </w:r>
      </w:hyperlink>
      <w:r>
        <w:rPr>
          <w:rFonts w:hint="cs"/>
          <w:rtl/>
        </w:rPr>
        <w:t xml:space="preserve"> רישא וסיפא ל</w:t>
      </w:r>
      <w:hyperlink r:id="rId10" w:history="1">
        <w:r w:rsidR="00D14A54" w:rsidRPr="00D14A54">
          <w:rPr>
            <w:color w:val="0000FF"/>
            <w:u w:val="single"/>
            <w:rtl/>
          </w:rPr>
          <w:t>חוק העונשין</w:t>
        </w:r>
      </w:hyperlink>
      <w:r>
        <w:rPr>
          <w:rFonts w:hint="cs"/>
          <w:rtl/>
        </w:rPr>
        <w:t>, התשל"ז -  1977 (להלן: "חוק העונשין").</w:t>
      </w:r>
    </w:p>
    <w:p w14:paraId="167A22CE" w14:textId="77777777" w:rsidR="006B0B5F" w:rsidRDefault="006B0B5F" w:rsidP="006B0B5F">
      <w:pPr>
        <w:spacing w:line="360" w:lineRule="auto"/>
        <w:ind w:left="567" w:hanging="567"/>
        <w:jc w:val="both"/>
        <w:rPr>
          <w:rtl/>
        </w:rPr>
      </w:pPr>
    </w:p>
    <w:p w14:paraId="6695F740" w14:textId="77777777" w:rsidR="006B0B5F" w:rsidRDefault="006B0B5F" w:rsidP="006B0B5F">
      <w:pPr>
        <w:spacing w:line="360" w:lineRule="auto"/>
        <w:ind w:left="567" w:hanging="567"/>
        <w:jc w:val="both"/>
        <w:rPr>
          <w:rtl/>
        </w:rPr>
      </w:pPr>
      <w:bookmarkStart w:id="7" w:name="ABSTRACT_END"/>
      <w:bookmarkEnd w:id="7"/>
      <w:r>
        <w:rPr>
          <w:rFonts w:hint="cs"/>
          <w:rtl/>
        </w:rPr>
        <w:lastRenderedPageBreak/>
        <w:t>2.</w:t>
      </w:r>
      <w:r>
        <w:rPr>
          <w:rFonts w:hint="cs"/>
          <w:rtl/>
        </w:rPr>
        <w:tab/>
        <w:t xml:space="preserve">בעובדות כתב האישום נאמר כי ביום 11.1.2018 בשעות אחר הצהריים, שהה הנאשם בחצר ביתו בכפר ג'דיידה מכר. בהמשך, נכנס הנאשם לרכב שחנה בחצר הבית ונמצא בשימושו הבלעדי, ונסע אל מחוץ לחצר כשהוא נושא ומוביל, בלא רשות על פי דין, תת מקלע מאולתר ובתוכו מחסנית. הנאשם הניח את הנשק ברכב על המושב שליד הנהג, כשהוא מוסתר ועטוף בשקית בד, בתוך שקית שהכילה דברי אשפה. בחיפוש שנערך בביתו של הנאשם נמצא כדור בקליבר 9 מ"מ. </w:t>
      </w:r>
    </w:p>
    <w:p w14:paraId="223B37DB" w14:textId="77777777" w:rsidR="006B0B5F" w:rsidRDefault="006B0B5F" w:rsidP="006B0B5F">
      <w:pPr>
        <w:spacing w:line="360" w:lineRule="auto"/>
        <w:ind w:left="567" w:hanging="567"/>
        <w:jc w:val="both"/>
        <w:rPr>
          <w:rtl/>
        </w:rPr>
      </w:pPr>
    </w:p>
    <w:p w14:paraId="54DA8BB9" w14:textId="77777777" w:rsidR="006B0B5F" w:rsidRDefault="006B0B5F" w:rsidP="006B0B5F">
      <w:pPr>
        <w:spacing w:line="360" w:lineRule="auto"/>
        <w:ind w:left="567" w:hanging="567"/>
        <w:jc w:val="both"/>
        <w:rPr>
          <w:rtl/>
        </w:rPr>
      </w:pPr>
      <w:r>
        <w:rPr>
          <w:rFonts w:hint="cs"/>
          <w:rtl/>
        </w:rPr>
        <w:t>3.</w:t>
      </w:r>
      <w:r>
        <w:rPr>
          <w:rFonts w:hint="cs"/>
          <w:rtl/>
        </w:rPr>
        <w:tab/>
        <w:t xml:space="preserve">כאמור הנאשם הודה והורשע על סמך הודאתו בעבירות נשוא כתב האישום. בהמשך, הוריתי לשירות המבחן לערוך תסקיר בעניינו, בטרם שמיעת הטיעונים לעונש. </w:t>
      </w:r>
    </w:p>
    <w:p w14:paraId="5F2F16C4" w14:textId="77777777" w:rsidR="006B0B5F" w:rsidRDefault="006B0B5F" w:rsidP="006B0B5F">
      <w:pPr>
        <w:spacing w:line="360" w:lineRule="auto"/>
        <w:ind w:left="567" w:hanging="567"/>
        <w:jc w:val="both"/>
        <w:rPr>
          <w:rtl/>
        </w:rPr>
      </w:pPr>
    </w:p>
    <w:p w14:paraId="2C893FE3" w14:textId="77777777" w:rsidR="006B0B5F" w:rsidRDefault="006B0B5F" w:rsidP="006B0B5F">
      <w:pPr>
        <w:spacing w:line="360" w:lineRule="auto"/>
        <w:ind w:left="567" w:hanging="567"/>
        <w:jc w:val="both"/>
        <w:rPr>
          <w:rtl/>
        </w:rPr>
      </w:pPr>
    </w:p>
    <w:p w14:paraId="2864A369" w14:textId="77777777" w:rsidR="006B0B5F" w:rsidRDefault="006B0B5F" w:rsidP="006B0B5F">
      <w:pPr>
        <w:spacing w:line="360" w:lineRule="auto"/>
        <w:ind w:left="567" w:hanging="567"/>
        <w:jc w:val="both"/>
        <w:rPr>
          <w:rtl/>
        </w:rPr>
      </w:pPr>
    </w:p>
    <w:p w14:paraId="37DDB29C" w14:textId="77777777" w:rsidR="006B0B5F" w:rsidRDefault="006B0B5F" w:rsidP="006B0B5F">
      <w:pPr>
        <w:spacing w:line="360" w:lineRule="auto"/>
        <w:ind w:left="567" w:hanging="567"/>
        <w:jc w:val="both"/>
        <w:rPr>
          <w:rtl/>
        </w:rPr>
      </w:pPr>
    </w:p>
    <w:p w14:paraId="4F19DEBE" w14:textId="77777777" w:rsidR="006B0B5F" w:rsidRDefault="006B0B5F" w:rsidP="006B0B5F">
      <w:pPr>
        <w:spacing w:line="360" w:lineRule="auto"/>
        <w:ind w:left="567" w:hanging="567"/>
        <w:jc w:val="both"/>
        <w:rPr>
          <w:u w:val="single"/>
          <w:rtl/>
        </w:rPr>
      </w:pPr>
      <w:r>
        <w:rPr>
          <w:rFonts w:hint="cs"/>
          <w:u w:val="single"/>
          <w:rtl/>
        </w:rPr>
        <w:t>תסקיר שירות המבחן</w:t>
      </w:r>
    </w:p>
    <w:p w14:paraId="2E82F139" w14:textId="77777777" w:rsidR="006B0B5F" w:rsidRDefault="006B0B5F" w:rsidP="006B0B5F">
      <w:pPr>
        <w:spacing w:line="360" w:lineRule="auto"/>
        <w:ind w:left="567" w:hanging="567"/>
        <w:jc w:val="both"/>
        <w:rPr>
          <w:u w:val="single"/>
          <w:rtl/>
        </w:rPr>
      </w:pPr>
    </w:p>
    <w:p w14:paraId="706CD525" w14:textId="77777777" w:rsidR="006B0B5F" w:rsidRDefault="006B0B5F" w:rsidP="006B0B5F">
      <w:pPr>
        <w:spacing w:line="360" w:lineRule="auto"/>
        <w:ind w:left="567" w:hanging="567"/>
        <w:jc w:val="both"/>
        <w:rPr>
          <w:rtl/>
        </w:rPr>
      </w:pPr>
      <w:r>
        <w:rPr>
          <w:rFonts w:hint="cs"/>
          <w:rtl/>
        </w:rPr>
        <w:t>4.</w:t>
      </w:r>
      <w:r>
        <w:rPr>
          <w:rFonts w:hint="cs"/>
          <w:rtl/>
        </w:rPr>
        <w:tab/>
        <w:t xml:space="preserve">בתסקיר שירות המבחן מיום 17.9.2018 נאמר כי מדובר בגבר בן 44 נשוי ואב לששה ילדים שאין לחובתו כל הרשעות קודמות ואשר התקשה לשמור על רצף תעסוקתי לאורך השנים בשל בעיות בריאות מהן סבל. </w:t>
      </w:r>
    </w:p>
    <w:p w14:paraId="1A39EA8C" w14:textId="77777777" w:rsidR="006B0B5F" w:rsidRDefault="006B0B5F" w:rsidP="006B0B5F">
      <w:pPr>
        <w:spacing w:line="360" w:lineRule="auto"/>
        <w:ind w:left="567" w:hanging="567"/>
        <w:jc w:val="both"/>
        <w:rPr>
          <w:rtl/>
        </w:rPr>
      </w:pPr>
    </w:p>
    <w:p w14:paraId="3AE7CB4F" w14:textId="77777777" w:rsidR="006B0B5F" w:rsidRDefault="006B0B5F" w:rsidP="006B0B5F">
      <w:pPr>
        <w:spacing w:line="360" w:lineRule="auto"/>
        <w:ind w:left="567" w:hanging="567"/>
        <w:jc w:val="both"/>
        <w:rPr>
          <w:rtl/>
        </w:rPr>
      </w:pPr>
      <w:r>
        <w:rPr>
          <w:rFonts w:hint="cs"/>
          <w:rtl/>
        </w:rPr>
        <w:tab/>
        <w:t xml:space="preserve">בבואו להעריך את הסיכון להישנות מקרים דומים בעתיד, ציין שירות המבחן כי התרשם מקיומו של קושי בוויסות דחפים ובהפעלת שיקול דעת הולם אצל הנאשם, המובילים אותו להתנהגות אימפולסיבית. יחד עם זאת, ניכרת אצלו יכולת לקחת אחריות על מעשיו תוך חיבור רגשי לחומרתם. שירות המבחן ציין כי התרשם מהיעדר אינדיקציות לשימוש בחומרים ממכרים וכן מהעדר אינדיקציות למעורבות בתת תרבות עבריינית. לכן, העריך את רמת הסיכון להישנות עברות דומות בעתיד כנמוכה. עוד צוין כי בהעדר כלים נכונים להתמודדות עם אימפולסיביות, רמת הסיכון עולה, אך עשויה להצטמצם בעקבות התערבות טיפולית ארוכת טווח. </w:t>
      </w:r>
    </w:p>
    <w:p w14:paraId="696F765B" w14:textId="77777777" w:rsidR="006B0B5F" w:rsidRDefault="006B0B5F" w:rsidP="006B0B5F">
      <w:pPr>
        <w:spacing w:line="360" w:lineRule="auto"/>
        <w:ind w:left="567" w:hanging="567"/>
        <w:jc w:val="both"/>
        <w:rPr>
          <w:rtl/>
        </w:rPr>
      </w:pPr>
    </w:p>
    <w:p w14:paraId="741C6708" w14:textId="77777777" w:rsidR="006B0B5F" w:rsidRDefault="006B0B5F" w:rsidP="006B0B5F">
      <w:pPr>
        <w:spacing w:line="360" w:lineRule="auto"/>
        <w:ind w:left="567" w:hanging="567"/>
        <w:jc w:val="both"/>
        <w:rPr>
          <w:rtl/>
        </w:rPr>
      </w:pPr>
      <w:r>
        <w:rPr>
          <w:rFonts w:hint="cs"/>
          <w:rtl/>
        </w:rPr>
        <w:tab/>
        <w:t xml:space="preserve">בסיכומו של דבר, המליץ שירות המבחן להעמיד את הנאשם בפיקוחו למשך 12 חודשים במהלכם ישולב בתוכנית טיפולית ייעודית לעוברי חוק בתחום עבירות הנשק. כן הומלץ להשית עליו ענישה מוחשית בדמות מאסר שירוצה בעבודות שירות. </w:t>
      </w:r>
    </w:p>
    <w:p w14:paraId="00A9A648" w14:textId="77777777" w:rsidR="006B0B5F" w:rsidRDefault="006B0B5F" w:rsidP="006B0B5F">
      <w:pPr>
        <w:spacing w:line="360" w:lineRule="auto"/>
        <w:ind w:left="567" w:hanging="567"/>
        <w:jc w:val="both"/>
        <w:rPr>
          <w:rtl/>
        </w:rPr>
      </w:pPr>
    </w:p>
    <w:p w14:paraId="075CBBC0" w14:textId="77777777" w:rsidR="006B0B5F" w:rsidRDefault="006B0B5F" w:rsidP="006B0B5F">
      <w:pPr>
        <w:spacing w:line="360" w:lineRule="auto"/>
        <w:ind w:left="567" w:hanging="567"/>
        <w:jc w:val="both"/>
        <w:rPr>
          <w:u w:val="single"/>
          <w:rtl/>
        </w:rPr>
      </w:pPr>
      <w:r>
        <w:rPr>
          <w:rFonts w:hint="cs"/>
          <w:u w:val="single"/>
          <w:rtl/>
        </w:rPr>
        <w:t>טיעוני הצדדים לעונש</w:t>
      </w:r>
    </w:p>
    <w:p w14:paraId="0B9B72F2" w14:textId="77777777" w:rsidR="006B0B5F" w:rsidRDefault="006B0B5F" w:rsidP="006B0B5F">
      <w:pPr>
        <w:spacing w:line="360" w:lineRule="auto"/>
        <w:ind w:left="567" w:hanging="567"/>
        <w:jc w:val="both"/>
        <w:rPr>
          <w:u w:val="single"/>
          <w:rtl/>
        </w:rPr>
      </w:pPr>
    </w:p>
    <w:p w14:paraId="659563C0" w14:textId="77777777" w:rsidR="006B0B5F" w:rsidRDefault="006B0B5F" w:rsidP="006B0B5F">
      <w:pPr>
        <w:spacing w:line="360" w:lineRule="auto"/>
        <w:ind w:left="567" w:hanging="567"/>
        <w:jc w:val="both"/>
        <w:rPr>
          <w:rtl/>
        </w:rPr>
      </w:pPr>
      <w:r>
        <w:rPr>
          <w:rFonts w:hint="cs"/>
          <w:rtl/>
        </w:rPr>
        <w:lastRenderedPageBreak/>
        <w:t>5.</w:t>
      </w:r>
      <w:r>
        <w:rPr>
          <w:rFonts w:hint="cs"/>
          <w:rtl/>
        </w:rPr>
        <w:tab/>
        <w:t xml:space="preserve">בטיעוניה לעונש הפנתה המאשימה לערך החברתי שנפגע מביצוע העבירה בענייננו, בציינה כי מדובר בהגנה על חיי אדם ועל שלום הציבור. בתוך כך הפנתה המאשימה להשלכות הרות האסון של עבירות בנשק והסיכון הגלום בהן. </w:t>
      </w:r>
    </w:p>
    <w:p w14:paraId="2F2096ED" w14:textId="77777777" w:rsidR="006B0B5F" w:rsidRDefault="006B0B5F" w:rsidP="006B0B5F">
      <w:pPr>
        <w:spacing w:line="360" w:lineRule="auto"/>
        <w:ind w:left="567" w:hanging="567"/>
        <w:jc w:val="both"/>
        <w:rPr>
          <w:rtl/>
        </w:rPr>
      </w:pPr>
    </w:p>
    <w:p w14:paraId="104ADFE9" w14:textId="77777777" w:rsidR="006B0B5F" w:rsidRDefault="006B0B5F" w:rsidP="006B0B5F">
      <w:pPr>
        <w:spacing w:line="360" w:lineRule="auto"/>
        <w:ind w:left="567" w:hanging="567"/>
        <w:jc w:val="both"/>
        <w:rPr>
          <w:rtl/>
        </w:rPr>
      </w:pPr>
      <w:r>
        <w:rPr>
          <w:rFonts w:hint="cs"/>
          <w:rtl/>
        </w:rPr>
        <w:tab/>
        <w:t xml:space="preserve">בהתייחס לנסיבות הקשורות בביצוע העבירה, טענה המאשימה כי אדם הנמצא מחזיק בנשק ללא רישיון, ניתן להניח לחובתו כי הוא עושה כן למטרות לא כשרות, בייחוד כשאין באמתחתו הסבר אשר יניח את הדעת לעניין זה. המאשימה הפנתה למדיניות הענישה הנוהגת במקרים דומים, המלמדת על מגמת החמרה בענישה כלפי מורשעים בעבירות נשק. </w:t>
      </w:r>
    </w:p>
    <w:p w14:paraId="237CB102" w14:textId="77777777" w:rsidR="006B0B5F" w:rsidRDefault="006B0B5F" w:rsidP="006B0B5F">
      <w:pPr>
        <w:spacing w:line="360" w:lineRule="auto"/>
        <w:ind w:left="567" w:hanging="567"/>
        <w:jc w:val="both"/>
        <w:rPr>
          <w:rtl/>
        </w:rPr>
      </w:pPr>
    </w:p>
    <w:p w14:paraId="019F5885" w14:textId="77777777" w:rsidR="006B0B5F" w:rsidRDefault="006B0B5F" w:rsidP="006B0B5F">
      <w:pPr>
        <w:spacing w:line="360" w:lineRule="auto"/>
        <w:ind w:left="567" w:hanging="567"/>
        <w:jc w:val="both"/>
        <w:rPr>
          <w:rtl/>
        </w:rPr>
      </w:pPr>
    </w:p>
    <w:p w14:paraId="5913A208" w14:textId="77777777" w:rsidR="006B0B5F" w:rsidRDefault="006B0B5F" w:rsidP="006B0B5F">
      <w:pPr>
        <w:spacing w:line="360" w:lineRule="auto"/>
        <w:ind w:left="567" w:hanging="567"/>
        <w:jc w:val="both"/>
        <w:rPr>
          <w:rtl/>
        </w:rPr>
      </w:pPr>
    </w:p>
    <w:p w14:paraId="613C0431" w14:textId="77777777" w:rsidR="006B0B5F" w:rsidRDefault="006B0B5F" w:rsidP="006B0B5F">
      <w:pPr>
        <w:spacing w:line="360" w:lineRule="auto"/>
        <w:ind w:left="567" w:hanging="567"/>
        <w:jc w:val="both"/>
        <w:rPr>
          <w:rtl/>
        </w:rPr>
      </w:pPr>
      <w:r>
        <w:rPr>
          <w:rFonts w:hint="cs"/>
          <w:rtl/>
        </w:rPr>
        <w:tab/>
        <w:t xml:space="preserve">בנסיבות, סבורה המאשימה כי מתחם העונש ההולם את נסיבות תיק זה נע בין 2.5 - 5 שנות מאסר בפועל בצירוף מאסר מותנה, קנס כספי וחילוט הרכב. לעניין נסיבותיו האישיות של הנאשם, טענה המאשימה כי ניתן להתחשב לקולא בעברו הנקי של הנאשם ובעובדה כי הוא הודה במיוחס לו. בתוך כך בקשה המאשימה לדחות את המלצת שירות המבחן להטיל על הנאשם עונש שירוצה בעבודות שירות,  בהפנותה לגרסה לא אמינה שמסר הנאשם לשירות המבחן וכן בשל כך שאותה המלצה נוגדת את האינטרס הציבורי. </w:t>
      </w:r>
    </w:p>
    <w:p w14:paraId="5679B7B2" w14:textId="77777777" w:rsidR="006B0B5F" w:rsidRDefault="006B0B5F" w:rsidP="006B0B5F">
      <w:pPr>
        <w:spacing w:line="360" w:lineRule="auto"/>
        <w:ind w:left="567" w:hanging="567"/>
        <w:jc w:val="both"/>
        <w:rPr>
          <w:rtl/>
        </w:rPr>
      </w:pPr>
    </w:p>
    <w:p w14:paraId="16891716" w14:textId="77777777" w:rsidR="006B0B5F" w:rsidRDefault="006B0B5F" w:rsidP="006B0B5F">
      <w:pPr>
        <w:spacing w:line="360" w:lineRule="auto"/>
        <w:ind w:left="567" w:hanging="567"/>
        <w:jc w:val="both"/>
        <w:rPr>
          <w:rtl/>
        </w:rPr>
      </w:pPr>
      <w:r>
        <w:rPr>
          <w:rFonts w:hint="cs"/>
          <w:rtl/>
        </w:rPr>
        <w:t>6.</w:t>
      </w:r>
      <w:r>
        <w:rPr>
          <w:rFonts w:hint="cs"/>
          <w:rtl/>
        </w:rPr>
        <w:tab/>
        <w:t xml:space="preserve">הסנגור מצדו טען כי הנשיאה וההובלה היו לפרק זמן קצר ביותר ולכן העבירה נושקת לעבירת ההחזקה.  נטען כי מדובר בנאשם נעדר כל עבר פלילי, נשוי ואב לששה ילדים, שזו המעידה הראשונה בחייו. הנאשם היה במעצר משך שלושה חודשים ולאחר מכן היה נתון במעצר באיזוק אלקטרוני משך תקופה ארוכה ורק לאחרונה, בעקבות התסקיר החיובי של שירות המבחן, הוסר האיזוק. עוד ציין הסנגור כי מדובר בנאשם שהודה בהזדמנות הראשונה ומי שלא נשקפת הימנו מסוכנות, לאחר שלקח אחריות על מעשיו, והודה בטעותו. בשים לב לתסקיר החיובי ולהודאתו של הנאשם ועברו הנקי, סבור הסנגור כי יש לאמץ את המלצת שירות המבחן. </w:t>
      </w:r>
    </w:p>
    <w:p w14:paraId="24475E4B" w14:textId="77777777" w:rsidR="006B0B5F" w:rsidRDefault="006B0B5F" w:rsidP="006B0B5F">
      <w:pPr>
        <w:spacing w:line="360" w:lineRule="auto"/>
        <w:ind w:left="567" w:hanging="567"/>
        <w:jc w:val="both"/>
        <w:rPr>
          <w:rtl/>
        </w:rPr>
      </w:pPr>
    </w:p>
    <w:p w14:paraId="60F918AB" w14:textId="77777777" w:rsidR="006B0B5F" w:rsidRDefault="006B0B5F" w:rsidP="006B0B5F">
      <w:pPr>
        <w:spacing w:line="360" w:lineRule="auto"/>
        <w:ind w:left="567" w:hanging="567"/>
        <w:jc w:val="both"/>
        <w:rPr>
          <w:rtl/>
        </w:rPr>
      </w:pPr>
      <w:r>
        <w:rPr>
          <w:rFonts w:hint="cs"/>
          <w:rtl/>
        </w:rPr>
        <w:tab/>
        <w:t>לעניין חילוט הרכב, בקש ב"כ הנאשם להסתפק בקנס ולהימנע מחילוט הרכב שכן מאז המקרה ועד היום שולחו אינו עובד ומתקשה בפרנסת משפחתו.</w:t>
      </w:r>
    </w:p>
    <w:p w14:paraId="4F344584" w14:textId="77777777" w:rsidR="006B0B5F" w:rsidRDefault="006B0B5F" w:rsidP="006B0B5F">
      <w:pPr>
        <w:spacing w:line="360" w:lineRule="auto"/>
        <w:ind w:left="567" w:hanging="567"/>
        <w:jc w:val="both"/>
        <w:rPr>
          <w:rtl/>
        </w:rPr>
      </w:pPr>
    </w:p>
    <w:p w14:paraId="235BBA49" w14:textId="77777777" w:rsidR="006B0B5F" w:rsidRDefault="006B0B5F" w:rsidP="006B0B5F">
      <w:pPr>
        <w:spacing w:line="360" w:lineRule="auto"/>
        <w:ind w:left="567" w:hanging="567"/>
        <w:jc w:val="both"/>
        <w:rPr>
          <w:u w:val="single"/>
          <w:rtl/>
        </w:rPr>
      </w:pPr>
      <w:r>
        <w:rPr>
          <w:rFonts w:hint="cs"/>
          <w:u w:val="single"/>
          <w:rtl/>
        </w:rPr>
        <w:t>דברו האחרון של הנאשם</w:t>
      </w:r>
    </w:p>
    <w:p w14:paraId="11065A7D" w14:textId="77777777" w:rsidR="006B0B5F" w:rsidRDefault="006B0B5F" w:rsidP="006B0B5F">
      <w:pPr>
        <w:spacing w:line="360" w:lineRule="auto"/>
        <w:ind w:left="567" w:hanging="567"/>
        <w:jc w:val="both"/>
        <w:rPr>
          <w:u w:val="single"/>
          <w:rtl/>
        </w:rPr>
      </w:pPr>
    </w:p>
    <w:p w14:paraId="3BCA2A54" w14:textId="77777777" w:rsidR="006B0B5F" w:rsidRDefault="006B0B5F" w:rsidP="006B0B5F">
      <w:pPr>
        <w:spacing w:line="360" w:lineRule="auto"/>
        <w:ind w:left="567" w:hanging="567"/>
        <w:jc w:val="both"/>
        <w:rPr>
          <w:rtl/>
        </w:rPr>
      </w:pPr>
      <w:r>
        <w:rPr>
          <w:rFonts w:hint="cs"/>
          <w:rtl/>
        </w:rPr>
        <w:t>7.</w:t>
      </w:r>
      <w:r>
        <w:rPr>
          <w:rFonts w:hint="cs"/>
          <w:rtl/>
        </w:rPr>
        <w:tab/>
        <w:t xml:space="preserve">בדברו האחרון, הביע הנאשם צער וחרטה על מעשיו. לדבריו, הוא השקיע בגידול ילדיו, העניק להם חינוך טוב ומבקש לשמור על התא המשפחתי ולאפשר לו המשיך לדאוג לצרכי משפחתו. עוד הוסיף כי המשפחה מצויה במצב כלכלי קשה וכי הוא מבכה מדי יום את הטעות שעשה.  </w:t>
      </w:r>
    </w:p>
    <w:p w14:paraId="55C6A5D7" w14:textId="77777777" w:rsidR="006B0B5F" w:rsidRDefault="006B0B5F" w:rsidP="006B0B5F">
      <w:pPr>
        <w:spacing w:line="360" w:lineRule="auto"/>
        <w:ind w:left="567" w:hanging="567"/>
        <w:jc w:val="both"/>
        <w:rPr>
          <w:rtl/>
        </w:rPr>
      </w:pPr>
    </w:p>
    <w:p w14:paraId="40D51454" w14:textId="77777777" w:rsidR="006B0B5F" w:rsidRDefault="006B0B5F" w:rsidP="006B0B5F">
      <w:pPr>
        <w:spacing w:line="360" w:lineRule="auto"/>
        <w:ind w:left="567" w:hanging="567"/>
        <w:jc w:val="both"/>
        <w:rPr>
          <w:u w:val="single"/>
          <w:rtl/>
        </w:rPr>
      </w:pPr>
      <w:r>
        <w:rPr>
          <w:rFonts w:hint="cs"/>
          <w:u w:val="single"/>
          <w:rtl/>
        </w:rPr>
        <w:t>דיון והכרעה - קביעת מתחם העונש</w:t>
      </w:r>
    </w:p>
    <w:p w14:paraId="4979B195" w14:textId="77777777" w:rsidR="006B0B5F" w:rsidRDefault="006B0B5F" w:rsidP="006B0B5F">
      <w:pPr>
        <w:spacing w:line="360" w:lineRule="auto"/>
        <w:ind w:left="567" w:hanging="567"/>
        <w:jc w:val="both"/>
        <w:rPr>
          <w:u w:val="single"/>
          <w:rtl/>
        </w:rPr>
      </w:pPr>
    </w:p>
    <w:p w14:paraId="5C9E7D84" w14:textId="77777777" w:rsidR="006B0B5F" w:rsidRPr="001608BC" w:rsidRDefault="006B0B5F" w:rsidP="006B0B5F">
      <w:pPr>
        <w:spacing w:line="360" w:lineRule="auto"/>
        <w:ind w:left="567" w:hanging="567"/>
        <w:jc w:val="both"/>
        <w:rPr>
          <w:rtl/>
        </w:rPr>
      </w:pPr>
      <w:r>
        <w:rPr>
          <w:rFonts w:hint="cs"/>
          <w:rtl/>
        </w:rPr>
        <w:t>8.</w:t>
      </w:r>
      <w:r>
        <w:rPr>
          <w:rFonts w:hint="cs"/>
          <w:rtl/>
        </w:rPr>
        <w:tab/>
        <w:t xml:space="preserve">העקרון המנחה בענישה הוא עקרון ההלימה המחייב קיומו של יחס הולם בין חומרת העבירה בנסיבותיה ומידת אשמו של הנאשם ובין סוג ומידת העונש המוטל עליו. השלב הראשון בגזירת העונש הוא קביעת מתחם העונש ההולם, אשר בקביעתו על בית המשפט להתחשב בערכים החברתיים שנפגעו מביצוע העבירה, במידת הפגיעה בהם, במדיניות הענישה הנהוגה ובנסיבות </w:t>
      </w:r>
      <w:r w:rsidRPr="001608BC">
        <w:rPr>
          <w:rFonts w:hint="cs"/>
          <w:rtl/>
        </w:rPr>
        <w:t xml:space="preserve">הקשורות בביצוע העבירה, כמפורט </w:t>
      </w:r>
      <w:r w:rsidRPr="00D14A54">
        <w:rPr>
          <w:rFonts w:hint="cs"/>
          <w:color w:val="000000"/>
          <w:rtl/>
        </w:rPr>
        <w:t xml:space="preserve">בסעיף </w:t>
      </w:r>
      <w:hyperlink r:id="rId11" w:history="1">
        <w:r w:rsidR="000D4FE3" w:rsidRPr="000D4FE3">
          <w:rPr>
            <w:color w:val="0000FF"/>
            <w:u w:val="single"/>
            <w:rtl/>
          </w:rPr>
          <w:t>40ט (א)</w:t>
        </w:r>
      </w:hyperlink>
      <w:r w:rsidRPr="001608BC">
        <w:rPr>
          <w:rFonts w:hint="cs"/>
          <w:rtl/>
        </w:rPr>
        <w:t xml:space="preserve"> ל</w:t>
      </w:r>
      <w:hyperlink r:id="rId12" w:history="1">
        <w:r w:rsidR="00D14A54" w:rsidRPr="00D14A54">
          <w:rPr>
            <w:color w:val="0000FF"/>
            <w:u w:val="single"/>
            <w:rtl/>
          </w:rPr>
          <w:t>חוק העונשין</w:t>
        </w:r>
      </w:hyperlink>
      <w:r w:rsidRPr="001608BC">
        <w:rPr>
          <w:rFonts w:hint="cs"/>
          <w:rtl/>
        </w:rPr>
        <w:t>.</w:t>
      </w:r>
    </w:p>
    <w:p w14:paraId="4742095E" w14:textId="77777777" w:rsidR="006B0B5F" w:rsidRDefault="006B0B5F" w:rsidP="006B0B5F">
      <w:pPr>
        <w:spacing w:line="360" w:lineRule="auto"/>
        <w:ind w:left="567" w:hanging="567"/>
        <w:jc w:val="both"/>
        <w:rPr>
          <w:rtl/>
        </w:rPr>
      </w:pPr>
    </w:p>
    <w:p w14:paraId="4B6E41E0" w14:textId="77777777" w:rsidR="006B0B5F" w:rsidRDefault="006B0B5F" w:rsidP="006B0B5F">
      <w:pPr>
        <w:spacing w:line="360" w:lineRule="auto"/>
        <w:ind w:left="567" w:hanging="567"/>
        <w:jc w:val="both"/>
        <w:rPr>
          <w:rtl/>
        </w:rPr>
      </w:pPr>
      <w:r>
        <w:rPr>
          <w:rFonts w:hint="cs"/>
          <w:rtl/>
        </w:rPr>
        <w:t>9.</w:t>
      </w:r>
      <w:r>
        <w:rPr>
          <w:rFonts w:hint="cs"/>
          <w:rtl/>
        </w:rPr>
        <w:tab/>
        <w:t xml:space="preserve">הערכים החברתיים המוגנים אשר נפגעו מביצוע העבירה בענייננו, הם בראש ובראשונה הערך העליון של שמירה על חיי אדם ושלמות גופו ושלום הציבור וביטחונו. מדובר בעבירה שעלולה להוביל לפגיעה אנושה בערך קדושת החיים ומכאן מתחייבת ענישה מחמירה על מנת למגר העבירות בנשק שהפכו זה מכבר למכת מדינה. בפסיקה הודגש במספר רב של הזדמנויות תפקידו של בית המשפט שנדרש לתרום את תרומתו למיגור תופעה זו, בדרך של הטלת עונשים מרתיעים. עמד על כך בית המשפט </w:t>
      </w:r>
      <w:r w:rsidRPr="001608BC">
        <w:rPr>
          <w:rFonts w:hint="cs"/>
          <w:rtl/>
        </w:rPr>
        <w:t>ב</w:t>
      </w:r>
      <w:hyperlink r:id="rId13" w:history="1">
        <w:r w:rsidR="00D14A54" w:rsidRPr="00D14A54">
          <w:rPr>
            <w:color w:val="0000FF"/>
            <w:u w:val="single"/>
            <w:rtl/>
          </w:rPr>
          <w:t>ע"פ 1323/13</w:t>
        </w:r>
      </w:hyperlink>
      <w:r w:rsidRPr="001608BC">
        <w:rPr>
          <w:rFonts w:hint="cs"/>
          <w:u w:val="single"/>
          <w:rtl/>
        </w:rPr>
        <w:t xml:space="preserve"> </w:t>
      </w:r>
      <w:r>
        <w:rPr>
          <w:rFonts w:hint="cs"/>
          <w:b/>
          <w:bCs/>
          <w:rtl/>
        </w:rPr>
        <w:t>חסין נ' מדינת ישראל</w:t>
      </w:r>
      <w:r>
        <w:rPr>
          <w:rFonts w:hint="cs"/>
          <w:rtl/>
        </w:rPr>
        <w:t xml:space="preserve"> (5.6.2013) בקבעו:</w:t>
      </w:r>
    </w:p>
    <w:p w14:paraId="5FE20956" w14:textId="77777777" w:rsidR="006B0B5F" w:rsidRDefault="006B0B5F" w:rsidP="006B0B5F">
      <w:pPr>
        <w:tabs>
          <w:tab w:val="left" w:pos="720"/>
        </w:tabs>
        <w:spacing w:line="360" w:lineRule="auto"/>
        <w:ind w:left="720" w:hanging="720"/>
        <w:jc w:val="both"/>
        <w:rPr>
          <w:rtl/>
        </w:rPr>
      </w:pPr>
    </w:p>
    <w:p w14:paraId="7D8D15B6" w14:textId="77777777" w:rsidR="006B0B5F" w:rsidRDefault="006B0B5F" w:rsidP="006B0B5F">
      <w:pPr>
        <w:spacing w:line="360" w:lineRule="auto"/>
        <w:ind w:left="1418" w:right="1418"/>
        <w:jc w:val="both"/>
        <w:rPr>
          <w:rtl/>
        </w:rPr>
      </w:pPr>
      <w:r>
        <w:rPr>
          <w:rFonts w:hint="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2886CF6B" w14:textId="77777777" w:rsidR="006B0B5F" w:rsidRDefault="006B0B5F" w:rsidP="006B0B5F">
      <w:pPr>
        <w:tabs>
          <w:tab w:val="left" w:pos="720"/>
        </w:tabs>
        <w:spacing w:line="360" w:lineRule="auto"/>
        <w:jc w:val="both"/>
        <w:rPr>
          <w:rtl/>
        </w:rPr>
      </w:pPr>
    </w:p>
    <w:p w14:paraId="56D00FB7" w14:textId="77777777" w:rsidR="006B0B5F" w:rsidRDefault="006B0B5F" w:rsidP="006B0B5F">
      <w:pPr>
        <w:tabs>
          <w:tab w:val="left" w:pos="720"/>
        </w:tabs>
        <w:spacing w:line="360" w:lineRule="auto"/>
        <w:jc w:val="both"/>
        <w:rPr>
          <w:rtl/>
        </w:rPr>
      </w:pPr>
      <w:r w:rsidRPr="001608BC">
        <w:rPr>
          <w:rFonts w:hint="cs"/>
          <w:rtl/>
        </w:rPr>
        <w:tab/>
        <w:t>ב</w:t>
      </w:r>
      <w:hyperlink r:id="rId14" w:history="1">
        <w:r w:rsidR="00D14A54" w:rsidRPr="00D14A54">
          <w:rPr>
            <w:color w:val="0000FF"/>
            <w:u w:val="single"/>
            <w:rtl/>
          </w:rPr>
          <w:t>ע"פ 27/17</w:t>
        </w:r>
      </w:hyperlink>
      <w:r w:rsidRPr="001608BC">
        <w:rPr>
          <w:rFonts w:hint="cs"/>
          <w:rtl/>
        </w:rPr>
        <w:t xml:space="preserve"> </w:t>
      </w:r>
      <w:r>
        <w:rPr>
          <w:rFonts w:hint="cs"/>
          <w:b/>
          <w:bCs/>
          <w:rtl/>
        </w:rPr>
        <w:t>בסל נ' מדינת ישראל</w:t>
      </w:r>
      <w:r>
        <w:rPr>
          <w:rFonts w:hint="cs"/>
          <w:rtl/>
        </w:rPr>
        <w:t xml:space="preserve"> (12.12.2017) מהעת האחרונה נאמר כי:</w:t>
      </w:r>
    </w:p>
    <w:p w14:paraId="06F7C324" w14:textId="77777777" w:rsidR="006B0B5F" w:rsidRDefault="006B0B5F" w:rsidP="006B0B5F">
      <w:pPr>
        <w:spacing w:line="360" w:lineRule="auto"/>
        <w:ind w:left="1418" w:right="1418"/>
        <w:jc w:val="both"/>
        <w:rPr>
          <w:rtl/>
        </w:rPr>
      </w:pPr>
    </w:p>
    <w:p w14:paraId="6A05DF84" w14:textId="77777777" w:rsidR="006B0B5F" w:rsidRDefault="006B0B5F" w:rsidP="006B0B5F">
      <w:pPr>
        <w:spacing w:line="360" w:lineRule="auto"/>
        <w:ind w:left="1418" w:right="1418"/>
        <w:jc w:val="both"/>
        <w:rPr>
          <w:rtl/>
        </w:rPr>
      </w:pPr>
      <w:r>
        <w:rPr>
          <w:rFonts w:hint="cs"/>
          <w:rtl/>
        </w:rPr>
        <w:t>"אין להקל ראש בחומרתן של העבירות שאותן ביצע המערער. בית משפט זה פסק בעבר כי לא ניתן להשלים עם עבירות בכלי נשק, והדגיש את חומרתן הרבה של עבירות אלו, על הסכנות הטמונות בהחזקת נשק שלא כדין, ועל אחת כמה וכמה ברכישה, בנשיאה ובהובלה של נשק שלא כדין, אשר לעיתים משמש לא רק לפעילות עבריינית אלא גם לפעילות חבלנית עוינת על רקע ביטחוני. ואכן, המגמה בשנים האחרונות ביחס לעבירות נשק היא של החמרה ברמת ענישתם של המעורבים בהן, תוך מתן ביטוי עונשי הולם לסכנה הנשקפת מהן (ראו למשל</w:t>
      </w:r>
      <w:r w:rsidRPr="001608BC">
        <w:rPr>
          <w:rFonts w:hint="cs"/>
          <w:rtl/>
        </w:rPr>
        <w:t xml:space="preserve">: </w:t>
      </w:r>
      <w:hyperlink r:id="rId15" w:history="1">
        <w:r w:rsidR="00D14A54" w:rsidRPr="00D14A54">
          <w:rPr>
            <w:color w:val="0000FF"/>
            <w:u w:val="single"/>
            <w:rtl/>
          </w:rPr>
          <w:t>ע"פ 4154/16</w:t>
        </w:r>
      </w:hyperlink>
      <w:r w:rsidRPr="001608BC">
        <w:rPr>
          <w:rFonts w:hint="cs"/>
          <w:rtl/>
        </w:rPr>
        <w:t xml:space="preserve"> </w:t>
      </w:r>
      <w:r>
        <w:rPr>
          <w:rFonts w:hint="cs"/>
          <w:b/>
          <w:rtl/>
        </w:rPr>
        <w:t>דהוד נ' מדינת ישראל</w:t>
      </w:r>
      <w:r>
        <w:rPr>
          <w:rFonts w:hint="cs"/>
          <w:rtl/>
        </w:rPr>
        <w:t>, [פורסם בנבו] פסקה 11 (19.1.2017))".</w:t>
      </w:r>
    </w:p>
    <w:p w14:paraId="7E5CC7EE" w14:textId="77777777" w:rsidR="006B0B5F" w:rsidRDefault="006B0B5F" w:rsidP="006B0B5F">
      <w:pPr>
        <w:spacing w:line="360" w:lineRule="auto"/>
        <w:ind w:left="1418" w:right="1418"/>
        <w:jc w:val="both"/>
        <w:rPr>
          <w:rtl/>
        </w:rPr>
      </w:pPr>
    </w:p>
    <w:p w14:paraId="486EF4C4" w14:textId="77777777" w:rsidR="006B0B5F" w:rsidRDefault="006B0B5F" w:rsidP="006B0B5F">
      <w:pPr>
        <w:spacing w:line="360" w:lineRule="auto"/>
        <w:ind w:left="567" w:hanging="567"/>
        <w:jc w:val="both"/>
        <w:rPr>
          <w:rtl/>
        </w:rPr>
      </w:pPr>
      <w:r>
        <w:rPr>
          <w:rFonts w:hint="cs"/>
          <w:rtl/>
        </w:rPr>
        <w:t>10.</w:t>
      </w:r>
      <w:r>
        <w:rPr>
          <w:rFonts w:hint="cs"/>
          <w:rtl/>
        </w:rPr>
        <w:tab/>
        <w:t xml:space="preserve">בבואי לבחון את הנסיבות הקשורות בביצוע העבירה, ראיתי להביא בחשבון את העובדה שהנאשם נשא והוביל את הנשק אל מחוץ לחצריו, אם כי אין כל פירוט לגבי פרק הזמן של ההובלה. בנוסף, ההסבר שנמסר מפי הנאשם לשירות המבחן, לגבי הגעת כלי הנשק לידיו אינו חלק מעובדות כתב האישום ועל כן לא ראיתי לייחס לו משקל. הנאשם בצע את העבירה לבדו כך שחלקו בביצועה הנו בלעדי. בנוסף, הנזק שצפוי היה להיגרם מביצוע העבירה הנו רב וחמור. כבר נקבע כי עצם החזקת נשק באופן שאינו מפוקח על ידי הרשויות טומן בחובו סיכון שמא יתפתה המחזיק לעשות בו שימוש, או שמא יגיע לידיים עברייניות (ראו: </w:t>
      </w:r>
      <w:hyperlink r:id="rId16" w:history="1">
        <w:r w:rsidR="00D14A54" w:rsidRPr="00D14A54">
          <w:rPr>
            <w:color w:val="0000FF"/>
            <w:u w:val="single"/>
            <w:rtl/>
          </w:rPr>
          <w:t>ע"פ 4945/13</w:t>
        </w:r>
      </w:hyperlink>
      <w:r>
        <w:rPr>
          <w:rFonts w:hint="cs"/>
          <w:rtl/>
        </w:rPr>
        <w:t xml:space="preserve"> </w:t>
      </w:r>
      <w:r>
        <w:rPr>
          <w:rFonts w:hint="cs"/>
          <w:b/>
          <w:bCs/>
          <w:rtl/>
        </w:rPr>
        <w:t>מדינת ישראל נ' סלמיאן</w:t>
      </w:r>
      <w:r>
        <w:rPr>
          <w:rFonts w:hint="cs"/>
          <w:rtl/>
        </w:rPr>
        <w:t xml:space="preserve"> (19.2.2014); </w:t>
      </w:r>
      <w:hyperlink r:id="rId17" w:history="1">
        <w:r w:rsidR="00D14A54" w:rsidRPr="00D14A54">
          <w:rPr>
            <w:color w:val="0000FF"/>
            <w:u w:val="single"/>
            <w:rtl/>
          </w:rPr>
          <w:t>ע"פ 3300/06</w:t>
        </w:r>
      </w:hyperlink>
      <w:r>
        <w:rPr>
          <w:rFonts w:hint="cs"/>
          <w:rtl/>
        </w:rPr>
        <w:t xml:space="preserve"> </w:t>
      </w:r>
      <w:r>
        <w:rPr>
          <w:rFonts w:hint="cs"/>
          <w:b/>
          <w:bCs/>
          <w:rtl/>
        </w:rPr>
        <w:t>אבו סניינה נ' מדינת ישראל</w:t>
      </w:r>
      <w:r>
        <w:rPr>
          <w:rFonts w:hint="cs"/>
          <w:rtl/>
        </w:rPr>
        <w:t xml:space="preserve"> (10.08.2006)). לא כל שכן כאשר מדובר בנשק אוטומטי שעל אף שהוא מאולתר, הרי שיש בו פוטנציאל לפגיעה רבת עוצמה והוא עלול להביא לפגיעות קשות בגוף ובנפש. יפים לעניין זה דברי בית המשפט </w:t>
      </w:r>
      <w:r w:rsidRPr="001608BC">
        <w:rPr>
          <w:rFonts w:hint="cs"/>
          <w:rtl/>
        </w:rPr>
        <w:t>ב</w:t>
      </w:r>
      <w:hyperlink r:id="rId18" w:history="1">
        <w:r w:rsidR="00D14A54" w:rsidRPr="00D14A54">
          <w:rPr>
            <w:color w:val="0000FF"/>
            <w:u w:val="single"/>
            <w:rtl/>
          </w:rPr>
          <w:t>ע"פ 761/07</w:t>
        </w:r>
      </w:hyperlink>
      <w:r w:rsidRPr="001608BC">
        <w:rPr>
          <w:rFonts w:hint="cs"/>
          <w:rtl/>
        </w:rPr>
        <w:t xml:space="preserve"> </w:t>
      </w:r>
      <w:r>
        <w:rPr>
          <w:rFonts w:hint="cs"/>
          <w:b/>
          <w:bCs/>
          <w:rtl/>
        </w:rPr>
        <w:t xml:space="preserve">מדינת ישראל נ' אדרי </w:t>
      </w:r>
      <w:r>
        <w:rPr>
          <w:rFonts w:hint="cs"/>
          <w:rtl/>
        </w:rPr>
        <w:t>(22.2.2007) שם נקבע כי:</w:t>
      </w:r>
    </w:p>
    <w:p w14:paraId="63B0CE0E" w14:textId="77777777" w:rsidR="006B0B5F" w:rsidRDefault="006B0B5F" w:rsidP="006B0B5F">
      <w:pPr>
        <w:tabs>
          <w:tab w:val="left" w:pos="720"/>
        </w:tabs>
        <w:spacing w:line="360" w:lineRule="auto"/>
        <w:ind w:left="567" w:hanging="567"/>
        <w:jc w:val="both"/>
        <w:rPr>
          <w:rtl/>
        </w:rPr>
      </w:pPr>
    </w:p>
    <w:p w14:paraId="10DDDA89" w14:textId="77777777" w:rsidR="006B0B5F" w:rsidRDefault="006B0B5F" w:rsidP="006B0B5F">
      <w:pPr>
        <w:spacing w:line="360" w:lineRule="auto"/>
        <w:ind w:left="1418" w:right="1418"/>
        <w:jc w:val="both"/>
        <w:rPr>
          <w:rtl/>
        </w:rPr>
      </w:pPr>
      <w:r>
        <w:rPr>
          <w:rFonts w:hint="cs"/>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w:t>
      </w:r>
    </w:p>
    <w:p w14:paraId="2A157F61" w14:textId="77777777" w:rsidR="006B0B5F" w:rsidRDefault="006B0B5F" w:rsidP="006B0B5F">
      <w:pPr>
        <w:tabs>
          <w:tab w:val="left" w:pos="720"/>
        </w:tabs>
        <w:spacing w:line="360" w:lineRule="auto"/>
        <w:jc w:val="both"/>
        <w:rPr>
          <w:rtl/>
        </w:rPr>
      </w:pPr>
    </w:p>
    <w:p w14:paraId="15C47C44" w14:textId="77777777" w:rsidR="006B0B5F" w:rsidRDefault="006B0B5F" w:rsidP="006B0B5F">
      <w:pPr>
        <w:tabs>
          <w:tab w:val="left" w:pos="720"/>
        </w:tabs>
        <w:spacing w:line="360" w:lineRule="auto"/>
        <w:jc w:val="both"/>
        <w:rPr>
          <w:rtl/>
        </w:rPr>
      </w:pPr>
      <w:r>
        <w:rPr>
          <w:rFonts w:hint="cs"/>
          <w:rtl/>
        </w:rPr>
        <w:tab/>
      </w:r>
      <w:r w:rsidRPr="001608BC">
        <w:rPr>
          <w:rFonts w:hint="cs"/>
          <w:rtl/>
        </w:rPr>
        <w:t>וב</w:t>
      </w:r>
      <w:hyperlink r:id="rId19" w:history="1">
        <w:r w:rsidR="00D14A54" w:rsidRPr="00D14A54">
          <w:rPr>
            <w:color w:val="0000FF"/>
            <w:u w:val="single"/>
            <w:rtl/>
          </w:rPr>
          <w:t>ע"פ 8416/09</w:t>
        </w:r>
      </w:hyperlink>
      <w:r w:rsidRPr="001608BC">
        <w:rPr>
          <w:rFonts w:hint="cs"/>
          <w:rtl/>
        </w:rPr>
        <w:t xml:space="preserve"> </w:t>
      </w:r>
      <w:r>
        <w:rPr>
          <w:rFonts w:hint="cs"/>
          <w:b/>
          <w:bCs/>
          <w:rtl/>
        </w:rPr>
        <w:t xml:space="preserve"> מדינת ישראל נ' חרבוש</w:t>
      </w:r>
      <w:r>
        <w:rPr>
          <w:rFonts w:hint="cs"/>
          <w:rtl/>
        </w:rPr>
        <w:t xml:space="preserve"> (9.6.2010) נאמר:</w:t>
      </w:r>
    </w:p>
    <w:p w14:paraId="2DDFEFE1" w14:textId="77777777" w:rsidR="006B0B5F" w:rsidRDefault="006B0B5F" w:rsidP="006B0B5F">
      <w:pPr>
        <w:tabs>
          <w:tab w:val="left" w:pos="720"/>
        </w:tabs>
        <w:spacing w:line="360" w:lineRule="auto"/>
        <w:jc w:val="both"/>
        <w:rPr>
          <w:rtl/>
        </w:rPr>
      </w:pPr>
    </w:p>
    <w:p w14:paraId="030266E7" w14:textId="77777777" w:rsidR="006B0B5F" w:rsidRDefault="006B0B5F" w:rsidP="006B0B5F">
      <w:pPr>
        <w:spacing w:line="360" w:lineRule="auto"/>
        <w:ind w:left="1418" w:right="1418"/>
        <w:jc w:val="both"/>
        <w:rPr>
          <w:rtl/>
        </w:rPr>
      </w:pPr>
      <w:r>
        <w:rPr>
          <w:rFonts w:hint="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r>
        <w:rPr>
          <w:rFonts w:hint="cs"/>
          <w:color w:val="000000"/>
          <w:rtl/>
        </w:rPr>
        <w:t>ע"פ 1332/04</w:t>
      </w:r>
      <w:r>
        <w:rPr>
          <w:rFonts w:hint="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w:t>
      </w:r>
      <w:r w:rsidRPr="001608BC">
        <w:rPr>
          <w:rFonts w:hint="cs"/>
          <w:rtl/>
        </w:rPr>
        <w:t xml:space="preserve">משי לריצוי בפועל (ראו למשל </w:t>
      </w:r>
      <w:hyperlink r:id="rId20" w:history="1">
        <w:r w:rsidR="00D14A54" w:rsidRPr="00D14A54">
          <w:rPr>
            <w:color w:val="0000FF"/>
            <w:u w:val="single"/>
            <w:rtl/>
          </w:rPr>
          <w:t>ע"פ 3361/08</w:t>
        </w:r>
      </w:hyperlink>
      <w:r w:rsidRPr="001608BC">
        <w:rPr>
          <w:rFonts w:hint="cs"/>
          <w:rtl/>
        </w:rPr>
        <w:t xml:space="preserve"> </w:t>
      </w:r>
      <w:r w:rsidRPr="001608BC">
        <w:rPr>
          <w:rFonts w:hint="cs"/>
          <w:b/>
          <w:bCs/>
          <w:rtl/>
        </w:rPr>
        <w:t>ליבוביץ' נ' מדינת ישראל</w:t>
      </w:r>
      <w:r w:rsidRPr="001608BC">
        <w:rPr>
          <w:rFonts w:hint="cs"/>
          <w:rtl/>
        </w:rPr>
        <w:t xml:space="preserve"> ([פורסם בנבו], 27.7.08) (להלן: עניין ליבוביץ'); </w:t>
      </w:r>
      <w:hyperlink r:id="rId21" w:history="1">
        <w:r w:rsidR="00D14A54" w:rsidRPr="00D14A54">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([פורסם בנבו], 30.12.09))". </w:t>
      </w:r>
    </w:p>
    <w:p w14:paraId="0E326F6F" w14:textId="77777777" w:rsidR="006B0B5F" w:rsidRDefault="006B0B5F" w:rsidP="006B0B5F">
      <w:pPr>
        <w:tabs>
          <w:tab w:val="left" w:pos="720"/>
        </w:tabs>
        <w:spacing w:line="360" w:lineRule="auto"/>
        <w:jc w:val="both"/>
        <w:rPr>
          <w:rtl/>
        </w:rPr>
      </w:pPr>
    </w:p>
    <w:p w14:paraId="3FE99BB1" w14:textId="77777777" w:rsidR="006B0B5F" w:rsidRDefault="006B0B5F" w:rsidP="006B0B5F">
      <w:pPr>
        <w:tabs>
          <w:tab w:val="left" w:pos="720"/>
        </w:tabs>
        <w:spacing w:line="360" w:lineRule="auto"/>
        <w:ind w:left="567"/>
        <w:jc w:val="both"/>
        <w:rPr>
          <w:rtl/>
        </w:rPr>
      </w:pPr>
      <w:r>
        <w:rPr>
          <w:rFonts w:hint="cs"/>
          <w:rtl/>
        </w:rPr>
        <w:t xml:space="preserve">מנגד, לא נעלמה מעיניי העובדה שכתב האישום אינו מייחס לנאשם עבירות נלוות ולא נטען כי נעשה שימוש כלשהו בכלי הנשק. </w:t>
      </w:r>
    </w:p>
    <w:p w14:paraId="00069FC9" w14:textId="77777777" w:rsidR="006B0B5F" w:rsidRDefault="006B0B5F" w:rsidP="006B0B5F">
      <w:pPr>
        <w:tabs>
          <w:tab w:val="left" w:pos="720"/>
        </w:tabs>
        <w:spacing w:line="360" w:lineRule="auto"/>
        <w:ind w:left="567"/>
        <w:jc w:val="both"/>
        <w:rPr>
          <w:rtl/>
        </w:rPr>
      </w:pPr>
    </w:p>
    <w:p w14:paraId="192C8444" w14:textId="77777777" w:rsidR="006B0B5F" w:rsidRDefault="006B0B5F" w:rsidP="006B0B5F">
      <w:pPr>
        <w:tabs>
          <w:tab w:val="left" w:pos="720"/>
        </w:tabs>
        <w:spacing w:line="360" w:lineRule="auto"/>
        <w:ind w:left="567" w:hanging="567"/>
        <w:jc w:val="both"/>
        <w:rPr>
          <w:rtl/>
        </w:rPr>
      </w:pPr>
      <w:r>
        <w:rPr>
          <w:rFonts w:hint="cs"/>
          <w:rtl/>
        </w:rPr>
        <w:t>11.</w:t>
      </w:r>
      <w:r>
        <w:rPr>
          <w:rFonts w:hint="cs"/>
          <w:rtl/>
        </w:rPr>
        <w:tab/>
        <w:t xml:space="preserve">אשר למדיניות הענישה הנהוגה הפנו ב"כ הצדדים לפסיקה מגוונת, שעניינה מקרים אשר נסיבותיהם לא תאמו בהכרח את נסיבות המקרה דידן. כך למשל אותם פסקי דין שעניינם עבירות ירי באזור מגורים לצד העבירות של החזקה והובלת כלי נשק. ברי כי חומרתם של אותם מקרים בהם בוצע ירי באזור מגורים, עולה לאין שיעור על חומרת המקרה דכאן. יחד עם זאת, וכפי שצוין לעיל, אין חולק כי מגמת הפסיקה בעבירות נשק, גם כאשר מדובר בהובלה ונשיאה בלבד, הנה להחמרה, אם כי כל מקרה נבחן ונדון לפי נסיבותיו. </w:t>
      </w:r>
    </w:p>
    <w:p w14:paraId="5BDAD88E" w14:textId="77777777" w:rsidR="006B0B5F" w:rsidRDefault="006B0B5F" w:rsidP="006B0B5F">
      <w:pPr>
        <w:tabs>
          <w:tab w:val="left" w:pos="720"/>
        </w:tabs>
        <w:spacing w:line="360" w:lineRule="auto"/>
        <w:ind w:left="567" w:hanging="567"/>
        <w:jc w:val="both"/>
        <w:rPr>
          <w:rtl/>
        </w:rPr>
      </w:pPr>
    </w:p>
    <w:p w14:paraId="75B29B64" w14:textId="77777777" w:rsidR="006B0B5F" w:rsidRDefault="006B0B5F" w:rsidP="006B0B5F">
      <w:pPr>
        <w:tabs>
          <w:tab w:val="left" w:pos="720"/>
        </w:tabs>
        <w:spacing w:line="360" w:lineRule="auto"/>
        <w:ind w:left="567" w:hanging="567"/>
        <w:jc w:val="both"/>
        <w:rPr>
          <w:rtl/>
        </w:rPr>
      </w:pPr>
      <w:r>
        <w:rPr>
          <w:rFonts w:hint="cs"/>
          <w:rtl/>
        </w:rPr>
        <w:tab/>
        <w:t>עוד לעניין מדיניות הענישה הנוהגת אני רואה להפנות ל</w:t>
      </w:r>
      <w:hyperlink r:id="rId22" w:history="1">
        <w:r w:rsidR="00D14A54" w:rsidRPr="00D14A54">
          <w:rPr>
            <w:color w:val="0000FF"/>
            <w:u w:val="single"/>
            <w:rtl/>
          </w:rPr>
          <w:t>ת"פ (חי') 21602-01-16</w:t>
        </w:r>
      </w:hyperlink>
      <w:r>
        <w:rPr>
          <w:rFonts w:hint="cs"/>
          <w:rtl/>
        </w:rPr>
        <w:t xml:space="preserve"> </w:t>
      </w:r>
      <w:r>
        <w:rPr>
          <w:rFonts w:hint="cs"/>
          <w:b/>
          <w:bCs/>
          <w:rtl/>
        </w:rPr>
        <w:t>מדינת ישראל נ' אלפסי</w:t>
      </w:r>
      <w:r>
        <w:rPr>
          <w:rFonts w:hint="cs"/>
          <w:rtl/>
        </w:rPr>
        <w:t xml:space="preserve"> (16.2.2018) שם נמצא ברכבו של הנאשם, בביקורת שגרתית של המשטרה, אקדח טעון, ונקבע מתחם בין 12-36 חודשי מאסר בפועל. באותו מקרה נגזרו על הנאשם 14 חודשי מאסר לריצוי בפועל. ב</w:t>
      </w:r>
      <w:hyperlink r:id="rId23" w:history="1">
        <w:r w:rsidR="00D14A54" w:rsidRPr="00D14A54">
          <w:rPr>
            <w:color w:val="0000FF"/>
            <w:u w:val="single"/>
            <w:rtl/>
          </w:rPr>
          <w:t>ת"פ (חי') 36551-10-17</w:t>
        </w:r>
      </w:hyperlink>
      <w:r>
        <w:rPr>
          <w:rFonts w:hint="cs"/>
          <w:rtl/>
        </w:rPr>
        <w:t xml:space="preserve"> </w:t>
      </w:r>
      <w:r>
        <w:rPr>
          <w:rFonts w:hint="cs"/>
          <w:b/>
          <w:bCs/>
          <w:rtl/>
        </w:rPr>
        <w:t>מדינת ישראל מ' עמאש</w:t>
      </w:r>
      <w:r>
        <w:rPr>
          <w:rFonts w:hint="cs"/>
          <w:rtl/>
        </w:rPr>
        <w:t xml:space="preserve"> (16.1.2018) החזיק הנאשם אקדח כאשר נקבע כי עשה כן לפחות משך מספר ימים. אף שם מתחם העונש שנקבע נע בין 12-36 חודשי מאסר בפועל והנאשם נדון ל- 12 חודשי מאסר . ב</w:t>
      </w:r>
      <w:hyperlink r:id="rId24" w:history="1">
        <w:r w:rsidR="00D14A54" w:rsidRPr="00D14A54">
          <w:rPr>
            <w:color w:val="0000FF"/>
            <w:u w:val="single"/>
            <w:rtl/>
          </w:rPr>
          <w:t>ת"פ (חי') 47161-08-17</w:t>
        </w:r>
      </w:hyperlink>
      <w:r>
        <w:rPr>
          <w:rFonts w:hint="cs"/>
          <w:rtl/>
        </w:rPr>
        <w:t xml:space="preserve"> </w:t>
      </w:r>
      <w:r>
        <w:rPr>
          <w:rFonts w:hint="cs"/>
          <w:b/>
          <w:bCs/>
          <w:rtl/>
        </w:rPr>
        <w:t>מדינת ישראל נ' עאסלה</w:t>
      </w:r>
      <w:r>
        <w:rPr>
          <w:rFonts w:hint="cs"/>
          <w:rtl/>
        </w:rPr>
        <w:t xml:space="preserve"> (21.2.2018) נדון עניינו של נאשם שהחזיק, הוביל ונשא נשק מאולתר מסוג קארל גוסטב וכמות גדולה של כדורים. נקבע מתחם שנע בין 10-36 חודשי מאסר ועל הנאשם שם נגזרו 12 חודשי מאסר לריצוי בפועל. ב</w:t>
      </w:r>
      <w:hyperlink r:id="rId25" w:history="1">
        <w:r w:rsidR="00D14A54" w:rsidRPr="00D14A54">
          <w:rPr>
            <w:color w:val="0000FF"/>
            <w:u w:val="single"/>
            <w:rtl/>
          </w:rPr>
          <w:t>ת"פ (חי') 16505-02-18</w:t>
        </w:r>
      </w:hyperlink>
      <w:r>
        <w:rPr>
          <w:rFonts w:hint="cs"/>
          <w:rtl/>
        </w:rPr>
        <w:t xml:space="preserve"> </w:t>
      </w:r>
      <w:r>
        <w:rPr>
          <w:rFonts w:hint="cs"/>
          <w:b/>
          <w:bCs/>
          <w:rtl/>
        </w:rPr>
        <w:t>מדינת ישראל נ' סעדי</w:t>
      </w:r>
      <w:r>
        <w:rPr>
          <w:rFonts w:hint="cs"/>
          <w:rtl/>
        </w:rPr>
        <w:t xml:space="preserve"> (26.6.2018) הורשע הנאשם בעבירה של החזקה, נשיאה והובלה של נשק. בעובדות כתב האישום שם נאמר כי הנאשם נסע ברכב מחיפה לכיוון נהריה כשהוא מחזיק בכיסי מעילו אקדח ו- 31 כדורים. מתחם העונש שנקבע באות מקרה נע בין 10-30 חודשי מאסר ובסופו של יום נגזרו על הנאשם שם 11 חודשי מאסר בפועל. </w:t>
      </w:r>
    </w:p>
    <w:p w14:paraId="600030DB" w14:textId="77777777" w:rsidR="006B0B5F" w:rsidRDefault="006B0B5F" w:rsidP="006B0B5F">
      <w:pPr>
        <w:tabs>
          <w:tab w:val="left" w:pos="720"/>
        </w:tabs>
        <w:spacing w:line="360" w:lineRule="auto"/>
        <w:ind w:left="567" w:hanging="567"/>
        <w:jc w:val="both"/>
        <w:rPr>
          <w:rtl/>
        </w:rPr>
      </w:pPr>
    </w:p>
    <w:p w14:paraId="025F2032" w14:textId="77777777" w:rsidR="006B0B5F" w:rsidRDefault="006B0B5F" w:rsidP="006B0B5F">
      <w:pPr>
        <w:tabs>
          <w:tab w:val="left" w:pos="720"/>
        </w:tabs>
        <w:spacing w:line="360" w:lineRule="auto"/>
        <w:ind w:left="567" w:hanging="567"/>
        <w:jc w:val="both"/>
        <w:rPr>
          <w:rtl/>
        </w:rPr>
      </w:pPr>
      <w:r>
        <w:rPr>
          <w:rFonts w:hint="cs"/>
          <w:rtl/>
        </w:rPr>
        <w:t>12.</w:t>
      </w:r>
      <w:r>
        <w:rPr>
          <w:rFonts w:hint="cs"/>
          <w:rtl/>
        </w:rPr>
        <w:tab/>
        <w:t xml:space="preserve">בהביאי בחשבון את הערכים החברתיים שנפגעו כתוצאה מביצוע העבירה נשוא ענייננו, את מידת הפגיעה בהם, את נסיבות ביצוע העבירה ואת מדיניות הענישה הנהוגה, אני סבור כי מתחם העונש ההולם במקרה דידן נע בין 12-36 חודשי מאסר בפועל. </w:t>
      </w:r>
    </w:p>
    <w:p w14:paraId="1662E174" w14:textId="77777777" w:rsidR="006B0B5F" w:rsidRPr="006B0B5F" w:rsidRDefault="006B0B5F" w:rsidP="006B0B5F">
      <w:pPr>
        <w:spacing w:line="360" w:lineRule="auto"/>
        <w:ind w:left="567" w:hanging="567"/>
        <w:jc w:val="both"/>
        <w:rPr>
          <w:rFonts w:ascii="Calibri" w:eastAsia="Calibri" w:hAnsi="Calibri"/>
          <w:rtl/>
        </w:rPr>
      </w:pPr>
    </w:p>
    <w:p w14:paraId="6A6FD6F6" w14:textId="77777777" w:rsidR="006B0B5F" w:rsidRPr="001608BC" w:rsidRDefault="006B0B5F" w:rsidP="006B0B5F">
      <w:pPr>
        <w:spacing w:line="360" w:lineRule="auto"/>
        <w:ind w:left="567" w:hanging="567"/>
        <w:jc w:val="both"/>
        <w:rPr>
          <w:rFonts w:ascii="Calibri" w:hAnsi="Calibri"/>
          <w:rtl/>
        </w:rPr>
      </w:pPr>
      <w:r>
        <w:rPr>
          <w:rFonts w:hint="cs"/>
          <w:rtl/>
        </w:rPr>
        <w:t>13.</w:t>
      </w:r>
      <w:r>
        <w:rPr>
          <w:rFonts w:hint="cs"/>
          <w:rtl/>
        </w:rPr>
        <w:tab/>
        <w:t xml:space="preserve">בחנתי בכובד ראש את המלצת שירות המבחן להסתפק בהטלת עונש מאסר אותו ירצה הנאשם בעבודות שירות, אך לא ראיתי לקבלה. זאת, משום שהמלצה זו אינה הולמת את חומרת העבירה בה הורשע הנאשם ואינה עולה בקנה אחד עם מדיניות הענישה הנוהגת במקרים דומים. כבר נפסק לא אחת כי המלצת שירות המבחן כשמה כן היא – המלצה – ובית המשפט לעולם נדרש להתחשב במכלול השיקולים והאינטרסים הצריכים לעניין, שהם רחבים ומקיפים יותר מהאינטרסים האישיים של הנאשם העומד בפניו. יפים לעניין זה דברי בית המשפט </w:t>
      </w:r>
      <w:r w:rsidRPr="001608BC">
        <w:rPr>
          <w:rFonts w:hint="cs"/>
          <w:rtl/>
        </w:rPr>
        <w:t>ב</w:t>
      </w:r>
      <w:hyperlink r:id="rId26" w:history="1">
        <w:r w:rsidR="00D14A54" w:rsidRPr="00D14A54">
          <w:rPr>
            <w:color w:val="0000FF"/>
            <w:u w:val="single"/>
            <w:rtl/>
          </w:rPr>
          <w:t>ע"פ 3183/16</w:t>
        </w:r>
      </w:hyperlink>
      <w:r w:rsidRPr="001608BC">
        <w:rPr>
          <w:rFonts w:hint="cs"/>
          <w:rtl/>
        </w:rPr>
        <w:t xml:space="preserve"> </w:t>
      </w:r>
      <w:r w:rsidRPr="001608BC">
        <w:rPr>
          <w:rFonts w:hint="cs"/>
          <w:b/>
          <w:bCs/>
          <w:rtl/>
        </w:rPr>
        <w:t xml:space="preserve">שלמה עופרי נ' מדינת ישראל </w:t>
      </w:r>
      <w:r w:rsidRPr="001608BC">
        <w:rPr>
          <w:rFonts w:hint="cs"/>
          <w:rtl/>
        </w:rPr>
        <w:t xml:space="preserve">(8.3.2017): </w:t>
      </w:r>
    </w:p>
    <w:p w14:paraId="5F969892" w14:textId="77777777" w:rsidR="006B0B5F" w:rsidRDefault="006B0B5F" w:rsidP="006B0B5F">
      <w:pPr>
        <w:spacing w:line="360" w:lineRule="auto"/>
        <w:ind w:left="567" w:hanging="567"/>
        <w:jc w:val="both"/>
        <w:rPr>
          <w:rFonts w:ascii="Calibri" w:hAnsi="Calibri"/>
          <w:rtl/>
        </w:rPr>
      </w:pPr>
    </w:p>
    <w:p w14:paraId="2F6806E3" w14:textId="77777777" w:rsidR="006B0B5F" w:rsidRDefault="006B0B5F" w:rsidP="006B0B5F">
      <w:pPr>
        <w:pStyle w:val="a9"/>
        <w:rPr>
          <w:rtl/>
        </w:rPr>
      </w:pPr>
      <w:r>
        <w:rPr>
          <w:rFonts w:hint="cs"/>
          <w:rtl/>
        </w:rPr>
        <w:t xml:space="preserve">"אין בידינו לקבל את טענת המערער, לפיה היה מקום להטיל עליו ענישה מקלה יותר ולהסתפק בגזירת עונש שירוצה בעבודות שירות בהתאם להערכת שירות המבחן. לעניין זה ידועה ההלכה לפיה תסקיר שירות המבחן, על אף הערכת מקצועיותו הרבה, מהווה המלצה בלבד ובית המשפט רשאי להפעיל את שיקול דעתו בהתחשב </w:t>
      </w:r>
      <w:r w:rsidRPr="001608BC">
        <w:rPr>
          <w:rFonts w:hint="cs"/>
          <w:rtl/>
        </w:rPr>
        <w:t>בכלל האינטרסים העומדים לפניו (</w:t>
      </w:r>
      <w:hyperlink r:id="rId27" w:history="1">
        <w:r w:rsidR="00D14A54" w:rsidRPr="00D14A54">
          <w:rPr>
            <w:color w:val="0000FF"/>
            <w:u w:val="single"/>
            <w:rtl/>
          </w:rPr>
          <w:t>ע"פ 4472/16</w:t>
        </w:r>
      </w:hyperlink>
      <w:r w:rsidRPr="001608BC">
        <w:rPr>
          <w:rFonts w:hint="cs"/>
          <w:rtl/>
        </w:rPr>
        <w:t xml:space="preserve"> עווד נ' מדינת ישראל, [פורסם בנבו] פסקה 7 (15.6.2016); </w:t>
      </w:r>
      <w:hyperlink r:id="rId28" w:history="1">
        <w:r w:rsidR="00D14A54" w:rsidRPr="00D14A54">
          <w:rPr>
            <w:color w:val="0000FF"/>
            <w:u w:val="single"/>
            <w:rtl/>
          </w:rPr>
          <w:t>ע"פ 6560/15</w:t>
        </w:r>
      </w:hyperlink>
      <w:r w:rsidRPr="001608BC">
        <w:rPr>
          <w:rFonts w:hint="cs"/>
          <w:rtl/>
        </w:rPr>
        <w:t xml:space="preserve"> סריס נ' מדינת ישראל, [פורסם בנבו] פסקה 11 (2.5.2016); </w:t>
      </w:r>
      <w:hyperlink r:id="rId29" w:history="1">
        <w:r w:rsidR="00D14A54" w:rsidRPr="00D14A54">
          <w:rPr>
            <w:color w:val="0000FF"/>
            <w:u w:val="single"/>
            <w:rtl/>
          </w:rPr>
          <w:t>ע"פ 2032/15</w:t>
        </w:r>
      </w:hyperlink>
      <w:r w:rsidRPr="001608BC">
        <w:rPr>
          <w:rFonts w:hint="cs"/>
          <w:rtl/>
        </w:rPr>
        <w:t xml:space="preserve"> ממן נ' מדינת ישראל, [פורסם בנבו] פסקה 22 (11.8.2015); </w:t>
      </w:r>
      <w:hyperlink r:id="rId30" w:history="1">
        <w:r w:rsidR="00D14A54" w:rsidRPr="00D14A54">
          <w:rPr>
            <w:color w:val="0000FF"/>
            <w:u w:val="single"/>
            <w:rtl/>
          </w:rPr>
          <w:t>ע"פ 6341/14</w:t>
        </w:r>
      </w:hyperlink>
      <w:r w:rsidRPr="001608BC">
        <w:rPr>
          <w:rFonts w:hint="cs"/>
          <w:rtl/>
        </w:rPr>
        <w:t xml:space="preserve"> בן איטשי נ' מדינת ישראל, [פורסם בנבו] פסקה 13 (8.7.2015); </w:t>
      </w:r>
      <w:hyperlink r:id="rId31" w:history="1">
        <w:r w:rsidR="00D14A54" w:rsidRPr="00D14A54">
          <w:rPr>
            <w:color w:val="0000FF"/>
            <w:u w:val="single"/>
            <w:rtl/>
          </w:rPr>
          <w:t>בש"פ 5309/05</w:t>
        </w:r>
      </w:hyperlink>
      <w:r w:rsidRPr="001608BC">
        <w:rPr>
          <w:rFonts w:hint="cs"/>
          <w:rtl/>
        </w:rPr>
        <w:t xml:space="preserve"> צמח נ' מדינת ישראל, [פורסם בנבו] </w:t>
      </w:r>
      <w:r>
        <w:rPr>
          <w:rFonts w:hint="cs"/>
          <w:rtl/>
        </w:rPr>
        <w:t>פסקה 6 (29.6.2005))".</w:t>
      </w:r>
    </w:p>
    <w:p w14:paraId="44DCF0E1" w14:textId="77777777" w:rsidR="006B0B5F" w:rsidRDefault="006B0B5F" w:rsidP="006B0B5F">
      <w:pPr>
        <w:spacing w:line="360" w:lineRule="auto"/>
        <w:ind w:left="567" w:hanging="567"/>
        <w:jc w:val="both"/>
        <w:rPr>
          <w:rtl/>
        </w:rPr>
      </w:pPr>
    </w:p>
    <w:p w14:paraId="6B11CD57" w14:textId="77777777" w:rsidR="006B0B5F" w:rsidRDefault="006B0B5F" w:rsidP="006B0B5F">
      <w:pPr>
        <w:spacing w:line="360" w:lineRule="auto"/>
        <w:ind w:left="567" w:hanging="567"/>
        <w:jc w:val="both"/>
        <w:rPr>
          <w:u w:val="single"/>
          <w:rtl/>
        </w:rPr>
      </w:pPr>
      <w:r>
        <w:rPr>
          <w:rFonts w:hint="cs"/>
          <w:u w:val="single"/>
          <w:rtl/>
        </w:rPr>
        <w:t>גזירת העונש בתוך המתחם</w:t>
      </w:r>
    </w:p>
    <w:p w14:paraId="24FF6823" w14:textId="77777777" w:rsidR="006B0B5F" w:rsidRDefault="006B0B5F" w:rsidP="006B0B5F">
      <w:pPr>
        <w:spacing w:line="360" w:lineRule="auto"/>
        <w:ind w:left="567" w:hanging="567"/>
        <w:jc w:val="both"/>
        <w:rPr>
          <w:rtl/>
        </w:rPr>
      </w:pPr>
    </w:p>
    <w:p w14:paraId="754ABEFC" w14:textId="77777777" w:rsidR="006B0B5F" w:rsidRDefault="006B0B5F" w:rsidP="006B0B5F">
      <w:pPr>
        <w:spacing w:line="360" w:lineRule="auto"/>
        <w:ind w:left="567" w:hanging="567"/>
        <w:jc w:val="both"/>
        <w:rPr>
          <w:rtl/>
        </w:rPr>
      </w:pPr>
      <w:r>
        <w:rPr>
          <w:rFonts w:hint="cs"/>
          <w:rtl/>
        </w:rPr>
        <w:t>14.</w:t>
      </w:r>
      <w:r>
        <w:rPr>
          <w:rFonts w:hint="cs"/>
          <w:rtl/>
        </w:rPr>
        <w:tab/>
        <w:t xml:space="preserve">בבואי לגזור את עונשו של הנאשם בתוך המתחם הבאתי בחשבון את עברו הנקי ואת העובדה כי ניהל עד היום אורח חיים נורמטיבי וכי למעשה זו הסתבכותו הראשונה בפלילים. כמו כן הבאתי בחשבון את הודאתו במיוחס לו בשלב מוקדם של הדיון, הודאה שיש בה משום נטילת אחריות על מעשיו והיה בה כדי לחסוך בזמן שיפוטי יקר. כמו כן אני מביא בחשבון את נסיבותיו האישיות של הנאשם, עליהם עמד שירות המבחן בהרחבה בתסקיר שהוגש. </w:t>
      </w:r>
    </w:p>
    <w:p w14:paraId="4F8DB332" w14:textId="77777777" w:rsidR="006B0B5F" w:rsidRDefault="006B0B5F" w:rsidP="006B0B5F">
      <w:pPr>
        <w:spacing w:line="360" w:lineRule="auto"/>
        <w:ind w:left="567" w:hanging="567"/>
        <w:jc w:val="both"/>
        <w:rPr>
          <w:rtl/>
        </w:rPr>
      </w:pPr>
    </w:p>
    <w:p w14:paraId="0A206381" w14:textId="77777777" w:rsidR="006B0B5F" w:rsidRDefault="006B0B5F" w:rsidP="006B0B5F">
      <w:pPr>
        <w:spacing w:line="360" w:lineRule="auto"/>
        <w:ind w:left="567" w:hanging="567"/>
        <w:jc w:val="both"/>
        <w:rPr>
          <w:rtl/>
        </w:rPr>
      </w:pPr>
      <w:r>
        <w:rPr>
          <w:rFonts w:hint="cs"/>
          <w:rtl/>
        </w:rPr>
        <w:tab/>
        <w:t>בנסיבות, אני סבור כי נכון לגזור את עונשו של הנאשם ברף התחתון של המתחם שנקבע.</w:t>
      </w:r>
    </w:p>
    <w:p w14:paraId="1795F347" w14:textId="77777777" w:rsidR="006B0B5F" w:rsidRDefault="006B0B5F" w:rsidP="006B0B5F">
      <w:pPr>
        <w:spacing w:line="360" w:lineRule="auto"/>
        <w:ind w:left="567" w:hanging="567"/>
        <w:jc w:val="both"/>
        <w:rPr>
          <w:rtl/>
        </w:rPr>
      </w:pPr>
    </w:p>
    <w:p w14:paraId="6EA2B319" w14:textId="77777777" w:rsidR="006B0B5F" w:rsidRDefault="006B0B5F" w:rsidP="006B0B5F">
      <w:pPr>
        <w:spacing w:line="360" w:lineRule="auto"/>
        <w:ind w:left="567" w:hanging="567"/>
        <w:jc w:val="both"/>
        <w:rPr>
          <w:rtl/>
        </w:rPr>
      </w:pPr>
    </w:p>
    <w:p w14:paraId="72BDAAC8" w14:textId="77777777" w:rsidR="006B0B5F" w:rsidRDefault="006B0B5F" w:rsidP="006B0B5F">
      <w:pPr>
        <w:spacing w:line="360" w:lineRule="auto"/>
        <w:ind w:left="567" w:hanging="567"/>
        <w:jc w:val="both"/>
        <w:rPr>
          <w:rtl/>
        </w:rPr>
      </w:pPr>
    </w:p>
    <w:p w14:paraId="714DBFA7" w14:textId="77777777" w:rsidR="006B0B5F" w:rsidRDefault="006B0B5F" w:rsidP="006B0B5F">
      <w:pPr>
        <w:spacing w:line="360" w:lineRule="auto"/>
        <w:ind w:left="567" w:hanging="567"/>
        <w:jc w:val="both"/>
        <w:rPr>
          <w:rtl/>
        </w:rPr>
      </w:pPr>
    </w:p>
    <w:p w14:paraId="4EBE5364" w14:textId="77777777" w:rsidR="006B0B5F" w:rsidRDefault="006B0B5F" w:rsidP="006B0B5F">
      <w:pPr>
        <w:spacing w:line="360" w:lineRule="auto"/>
        <w:ind w:left="567" w:hanging="567"/>
        <w:jc w:val="both"/>
        <w:rPr>
          <w:rtl/>
        </w:rPr>
      </w:pPr>
      <w:r>
        <w:rPr>
          <w:rFonts w:hint="cs"/>
          <w:rtl/>
        </w:rPr>
        <w:t>15.</w:t>
      </w:r>
      <w:r>
        <w:rPr>
          <w:rFonts w:hint="cs"/>
          <w:rtl/>
        </w:rPr>
        <w:tab/>
        <w:t>לפיכך, אני גוזר על הנאשם את העונשים הבאים:</w:t>
      </w:r>
    </w:p>
    <w:p w14:paraId="7692088E" w14:textId="77777777" w:rsidR="006B0B5F" w:rsidRDefault="006B0B5F" w:rsidP="006B0B5F">
      <w:pPr>
        <w:spacing w:line="360" w:lineRule="auto"/>
        <w:ind w:left="567" w:hanging="567"/>
        <w:jc w:val="both"/>
        <w:rPr>
          <w:rtl/>
        </w:rPr>
      </w:pPr>
    </w:p>
    <w:p w14:paraId="5B5F18A2" w14:textId="77777777" w:rsidR="006B0B5F" w:rsidRDefault="006B0B5F" w:rsidP="006B0B5F">
      <w:pPr>
        <w:spacing w:line="360" w:lineRule="auto"/>
        <w:ind w:left="1134" w:hanging="567"/>
        <w:jc w:val="both"/>
        <w:rPr>
          <w:rtl/>
        </w:rPr>
      </w:pPr>
      <w:r>
        <w:rPr>
          <w:rFonts w:hint="cs"/>
          <w:rtl/>
        </w:rPr>
        <w:t>א.</w:t>
      </w:r>
      <w:r>
        <w:rPr>
          <w:rFonts w:hint="cs"/>
          <w:rtl/>
        </w:rPr>
        <w:tab/>
        <w:t>12 חודשי מאסר בפועל בניכוי תקופת מעצרו מיום 11.1.2018 ועד ליום 18.4.2018.</w:t>
      </w:r>
    </w:p>
    <w:p w14:paraId="6A40F22A" w14:textId="77777777" w:rsidR="006B0B5F" w:rsidRDefault="006B0B5F" w:rsidP="006B0B5F">
      <w:pPr>
        <w:spacing w:line="360" w:lineRule="auto"/>
        <w:ind w:left="567" w:hanging="567"/>
        <w:jc w:val="both"/>
        <w:rPr>
          <w:rtl/>
        </w:rPr>
      </w:pPr>
    </w:p>
    <w:p w14:paraId="58972400" w14:textId="77777777" w:rsidR="006B0B5F" w:rsidRDefault="006B0B5F" w:rsidP="006B0B5F">
      <w:pPr>
        <w:spacing w:line="360" w:lineRule="auto"/>
        <w:ind w:left="1134" w:hanging="567"/>
        <w:jc w:val="both"/>
        <w:rPr>
          <w:rtl/>
        </w:rPr>
      </w:pPr>
      <w:r>
        <w:rPr>
          <w:rFonts w:hint="cs"/>
          <w:rtl/>
        </w:rPr>
        <w:t>ב.</w:t>
      </w:r>
      <w:r>
        <w:rPr>
          <w:rtl/>
        </w:rPr>
        <w:tab/>
      </w:r>
      <w:r>
        <w:rPr>
          <w:rFonts w:hint="cs"/>
          <w:rtl/>
        </w:rPr>
        <w:t>8 חודשי מאסר על תנאי למשך שלוש שנים לבל יעבור כל עבירת נשק מסוג פשע  ויורשע בגינה.</w:t>
      </w:r>
    </w:p>
    <w:p w14:paraId="394CFFAC" w14:textId="77777777" w:rsidR="006B0B5F" w:rsidRDefault="006B0B5F" w:rsidP="006B0B5F">
      <w:pPr>
        <w:spacing w:line="360" w:lineRule="auto"/>
        <w:ind w:left="1134" w:hanging="567"/>
        <w:jc w:val="both"/>
        <w:rPr>
          <w:rtl/>
        </w:rPr>
      </w:pPr>
    </w:p>
    <w:p w14:paraId="59F943FF" w14:textId="77777777" w:rsidR="006B0B5F" w:rsidRDefault="006B0B5F" w:rsidP="006B0B5F">
      <w:pPr>
        <w:spacing w:line="360" w:lineRule="auto"/>
        <w:ind w:left="1134" w:hanging="567"/>
        <w:jc w:val="both"/>
        <w:rPr>
          <w:rtl/>
        </w:rPr>
      </w:pPr>
      <w:r>
        <w:rPr>
          <w:rFonts w:hint="cs"/>
          <w:rtl/>
        </w:rPr>
        <w:t>ג.</w:t>
      </w:r>
      <w:r>
        <w:rPr>
          <w:rFonts w:hint="cs"/>
          <w:rtl/>
        </w:rPr>
        <w:tab/>
        <w:t>קנס בסך 2,000 ₪ או 14 ימי מאסר תמורתו. הקנס ישולם עד ליום 16.12.2018.</w:t>
      </w:r>
    </w:p>
    <w:p w14:paraId="4AB277A9" w14:textId="77777777" w:rsidR="006B0B5F" w:rsidRDefault="006B0B5F" w:rsidP="006B0B5F">
      <w:pPr>
        <w:spacing w:line="360" w:lineRule="auto"/>
        <w:ind w:left="1134" w:hanging="1134"/>
        <w:jc w:val="both"/>
        <w:rPr>
          <w:rtl/>
        </w:rPr>
      </w:pPr>
    </w:p>
    <w:p w14:paraId="3BA5690F" w14:textId="77777777" w:rsidR="006B0B5F" w:rsidRDefault="006B0B5F" w:rsidP="006B0B5F">
      <w:pPr>
        <w:spacing w:line="360" w:lineRule="auto"/>
        <w:jc w:val="both"/>
        <w:rPr>
          <w:rtl/>
        </w:rPr>
      </w:pPr>
      <w:r>
        <w:rPr>
          <w:rFonts w:hint="cs"/>
          <w:rtl/>
        </w:rPr>
        <w:t xml:space="preserve">הנאשם יתייצב לתחילת ריצוי עונשו ביום 18.11.2018 שעה 09:00 בבית המעצר "קישון" כשבידו תעודה מזהה. עד לתחילת ריצוי עונשו ימשיכו לחול לגביו התנאים המגבילים החלים עליו כיום. </w:t>
      </w:r>
    </w:p>
    <w:p w14:paraId="53BC360C" w14:textId="77777777" w:rsidR="006B0B5F" w:rsidRDefault="006B0B5F" w:rsidP="006B0B5F">
      <w:pPr>
        <w:spacing w:line="360" w:lineRule="auto"/>
        <w:jc w:val="both"/>
        <w:rPr>
          <w:rtl/>
        </w:rPr>
      </w:pPr>
    </w:p>
    <w:p w14:paraId="76723CC7" w14:textId="77777777" w:rsidR="006B0B5F" w:rsidRDefault="006B0B5F" w:rsidP="006B0B5F">
      <w:pPr>
        <w:spacing w:line="360" w:lineRule="auto"/>
        <w:jc w:val="both"/>
        <w:rPr>
          <w:rtl/>
        </w:rPr>
      </w:pPr>
      <w:r>
        <w:rPr>
          <w:rFonts w:hint="cs"/>
          <w:rtl/>
        </w:rPr>
        <w:t>זכות ערעור לבית המשפט העליון תוך 45 יום.</w:t>
      </w:r>
    </w:p>
    <w:p w14:paraId="17929701" w14:textId="77777777" w:rsidR="006B0B5F" w:rsidRDefault="006B0B5F" w:rsidP="006B0B5F">
      <w:pPr>
        <w:spacing w:line="360" w:lineRule="auto"/>
        <w:jc w:val="both"/>
        <w:rPr>
          <w:rtl/>
        </w:rPr>
      </w:pPr>
    </w:p>
    <w:p w14:paraId="6DB7CCD0" w14:textId="77777777" w:rsidR="006B0B5F" w:rsidRPr="00D14A54" w:rsidRDefault="00D14A54" w:rsidP="006B0B5F">
      <w:pPr>
        <w:rPr>
          <w:color w:val="FFFFFF"/>
          <w:sz w:val="2"/>
          <w:szCs w:val="2"/>
          <w:rtl/>
        </w:rPr>
      </w:pPr>
      <w:r w:rsidRPr="00D14A54">
        <w:rPr>
          <w:color w:val="FFFFFF"/>
          <w:sz w:val="2"/>
          <w:szCs w:val="2"/>
          <w:rtl/>
        </w:rPr>
        <w:t>5129371</w:t>
      </w:r>
    </w:p>
    <w:p w14:paraId="3F394465" w14:textId="77777777" w:rsidR="006B0B5F" w:rsidRDefault="00D14A54" w:rsidP="006B0B5F">
      <w:pPr>
        <w:rPr>
          <w:rFonts w:cs="FrankRuehl"/>
          <w:sz w:val="28"/>
          <w:szCs w:val="28"/>
          <w:rtl/>
        </w:rPr>
      </w:pPr>
      <w:r w:rsidRPr="00D14A54">
        <w:rPr>
          <w:rFonts w:ascii="Arial" w:hAnsi="Arial"/>
          <w:color w:val="FFFFFF"/>
          <w:sz w:val="2"/>
          <w:szCs w:val="2"/>
          <w:rtl/>
        </w:rPr>
        <w:t>54678313</w:t>
      </w:r>
      <w:r>
        <w:rPr>
          <w:rFonts w:ascii="Arial" w:hAnsi="Arial"/>
          <w:rtl/>
        </w:rPr>
        <w:t xml:space="preserve">ניתן היום,  כ"ג חשוון תשע"ט, 01 נובמבר 2018, בנוכחות הצדדים. </w:t>
      </w:r>
    </w:p>
    <w:p w14:paraId="1301A1D9" w14:textId="77777777" w:rsidR="006B0B5F" w:rsidRDefault="006B0B5F" w:rsidP="006B0B5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0AABC6D" w14:textId="77777777" w:rsidR="006B0B5F" w:rsidRDefault="006B0B5F" w:rsidP="006B0B5F">
      <w:pPr>
        <w:jc w:val="center"/>
        <w:rPr>
          <w:rFonts w:ascii="Arial" w:hAnsi="Arial" w:cs="FrankRuehl"/>
          <w:sz w:val="28"/>
          <w:szCs w:val="28"/>
          <w:rtl/>
        </w:rPr>
      </w:pPr>
    </w:p>
    <w:p w14:paraId="710B7D15" w14:textId="77777777" w:rsidR="006B0B5F" w:rsidRDefault="006B0B5F" w:rsidP="006B0B5F">
      <w:pPr>
        <w:rPr>
          <w:rFonts w:cs="FrankRuehl"/>
          <w:sz w:val="28"/>
          <w:szCs w:val="28"/>
          <w:rtl/>
        </w:rPr>
      </w:pPr>
    </w:p>
    <w:p w14:paraId="60CA8683" w14:textId="77777777" w:rsidR="006B0B5F" w:rsidRPr="000D4FE3" w:rsidRDefault="000D4FE3" w:rsidP="006B0B5F">
      <w:pPr>
        <w:pStyle w:val="a3"/>
        <w:jc w:val="center"/>
        <w:rPr>
          <w:color w:val="FFFFFF"/>
          <w:sz w:val="2"/>
          <w:szCs w:val="2"/>
          <w:rtl/>
        </w:rPr>
      </w:pPr>
      <w:r w:rsidRPr="000D4FE3">
        <w:rPr>
          <w:color w:val="FFFFFF"/>
          <w:sz w:val="2"/>
          <w:szCs w:val="2"/>
          <w:rtl/>
        </w:rPr>
        <w:t>5129371</w:t>
      </w:r>
    </w:p>
    <w:p w14:paraId="54974168" w14:textId="77777777" w:rsidR="00CB6CE3" w:rsidRPr="000D4FE3" w:rsidRDefault="000D4FE3" w:rsidP="00D14A54">
      <w:pPr>
        <w:keepNext/>
        <w:rPr>
          <w:rFonts w:ascii="David" w:hAnsi="David"/>
          <w:color w:val="FFFFFF"/>
          <w:sz w:val="2"/>
          <w:szCs w:val="2"/>
          <w:rtl/>
        </w:rPr>
      </w:pPr>
      <w:r w:rsidRPr="000D4FE3">
        <w:rPr>
          <w:rFonts w:ascii="David" w:hAnsi="David"/>
          <w:color w:val="FFFFFF"/>
          <w:sz w:val="2"/>
          <w:szCs w:val="2"/>
          <w:rtl/>
        </w:rPr>
        <w:t>54678313</w:t>
      </w:r>
    </w:p>
    <w:p w14:paraId="49B50940" w14:textId="77777777" w:rsidR="00D14A54" w:rsidRPr="00D14A54" w:rsidRDefault="00D14A54" w:rsidP="00D14A54">
      <w:pPr>
        <w:keepNext/>
        <w:rPr>
          <w:rFonts w:ascii="David" w:hAnsi="David"/>
          <w:color w:val="000000"/>
          <w:sz w:val="22"/>
          <w:szCs w:val="22"/>
          <w:rtl/>
        </w:rPr>
      </w:pPr>
      <w:r w:rsidRPr="00D14A54">
        <w:rPr>
          <w:rFonts w:ascii="David" w:hAnsi="David"/>
          <w:color w:val="000000"/>
          <w:sz w:val="22"/>
          <w:szCs w:val="22"/>
          <w:rtl/>
        </w:rPr>
        <w:t>אמיר טובי 54678313</w:t>
      </w:r>
    </w:p>
    <w:p w14:paraId="4130A741" w14:textId="77777777" w:rsidR="00D14A54" w:rsidRDefault="00D14A54" w:rsidP="00D14A54">
      <w:r w:rsidRPr="00D14A54">
        <w:rPr>
          <w:color w:val="000000"/>
          <w:rtl/>
        </w:rPr>
        <w:t>נוסח מסמך זה כפוף לשינויי ניסוח ועריכה</w:t>
      </w:r>
    </w:p>
    <w:p w14:paraId="028D3BA3" w14:textId="77777777" w:rsidR="00D14A54" w:rsidRDefault="00D14A54" w:rsidP="00D14A54">
      <w:pPr>
        <w:rPr>
          <w:rtl/>
        </w:rPr>
      </w:pPr>
    </w:p>
    <w:p w14:paraId="7F359994" w14:textId="77777777" w:rsidR="00D14A54" w:rsidRDefault="00D14A54" w:rsidP="00D14A5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4651B9E7" w14:textId="77777777" w:rsidR="00D14A54" w:rsidRPr="00D14A54" w:rsidRDefault="00D14A54" w:rsidP="000D4FE3">
      <w:pPr>
        <w:rPr>
          <w:color w:val="0000FF"/>
          <w:u w:val="single"/>
        </w:rPr>
      </w:pPr>
    </w:p>
    <w:sectPr w:rsidR="00D14A54" w:rsidRPr="00D14A54" w:rsidSect="000D4FE3">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A3EF5" w14:textId="77777777" w:rsidR="00E7459D" w:rsidRDefault="00E7459D" w:rsidP="00A95A84">
      <w:r>
        <w:separator/>
      </w:r>
    </w:p>
  </w:endnote>
  <w:endnote w:type="continuationSeparator" w:id="0">
    <w:p w14:paraId="3F23112C" w14:textId="77777777" w:rsidR="00E7459D" w:rsidRDefault="00E7459D" w:rsidP="00A9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26DCA" w14:textId="77777777" w:rsidR="000D4FE3" w:rsidRDefault="000D4FE3" w:rsidP="000D4F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2AC530" w14:textId="77777777" w:rsidR="00520599" w:rsidRPr="000D4FE3" w:rsidRDefault="000D4FE3" w:rsidP="000D4FE3">
    <w:pPr>
      <w:pStyle w:val="a5"/>
      <w:pBdr>
        <w:top w:val="single" w:sz="4" w:space="1" w:color="auto"/>
        <w:between w:val="single" w:sz="4" w:space="0" w:color="auto"/>
      </w:pBdr>
      <w:spacing w:after="60"/>
      <w:jc w:val="center"/>
      <w:rPr>
        <w:rFonts w:ascii="FrankRuehl" w:hAnsi="FrankRuehl" w:cs="FrankRuehl"/>
        <w:color w:val="000000"/>
      </w:rPr>
    </w:pPr>
    <w:r w:rsidRPr="000D4F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DD5B6" w14:textId="77777777" w:rsidR="000D4FE3" w:rsidRDefault="000D4FE3" w:rsidP="000D4F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6351">
      <w:rPr>
        <w:rFonts w:ascii="FrankRuehl" w:hAnsi="FrankRuehl" w:cs="FrankRuehl"/>
        <w:noProof/>
        <w:rtl/>
      </w:rPr>
      <w:t>1</w:t>
    </w:r>
    <w:r>
      <w:rPr>
        <w:rFonts w:ascii="FrankRuehl" w:hAnsi="FrankRuehl" w:cs="FrankRuehl"/>
        <w:rtl/>
      </w:rPr>
      <w:fldChar w:fldCharType="end"/>
    </w:r>
  </w:p>
  <w:p w14:paraId="1E7C8FCB" w14:textId="77777777" w:rsidR="00520599" w:rsidRPr="000D4FE3" w:rsidRDefault="000D4FE3" w:rsidP="000D4FE3">
    <w:pPr>
      <w:pStyle w:val="a5"/>
      <w:pBdr>
        <w:top w:val="single" w:sz="4" w:space="1" w:color="auto"/>
        <w:between w:val="single" w:sz="4" w:space="0" w:color="auto"/>
      </w:pBdr>
      <w:spacing w:after="60"/>
      <w:jc w:val="center"/>
      <w:rPr>
        <w:rFonts w:ascii="FrankRuehl" w:hAnsi="FrankRuehl" w:cs="FrankRuehl"/>
        <w:color w:val="000000"/>
      </w:rPr>
    </w:pPr>
    <w:r w:rsidRPr="000D4FE3">
      <w:rPr>
        <w:rFonts w:ascii="FrankRuehl" w:hAnsi="FrankRuehl" w:cs="FrankRuehl"/>
        <w:color w:val="000000"/>
      </w:rPr>
      <w:pict w14:anchorId="06503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D04FE" w14:textId="77777777" w:rsidR="00E7459D" w:rsidRDefault="00E7459D" w:rsidP="00A95A84">
      <w:r>
        <w:separator/>
      </w:r>
    </w:p>
  </w:footnote>
  <w:footnote w:type="continuationSeparator" w:id="0">
    <w:p w14:paraId="5F50F5F8" w14:textId="77777777" w:rsidR="00E7459D" w:rsidRDefault="00E7459D" w:rsidP="00A95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A9B3C" w14:textId="77777777" w:rsidR="00D14A54" w:rsidRPr="000D4FE3" w:rsidRDefault="000D4FE3" w:rsidP="000D4F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52479-01-18</w:t>
    </w:r>
    <w:r>
      <w:rPr>
        <w:rFonts w:ascii="David" w:hAnsi="David"/>
        <w:color w:val="000000"/>
        <w:sz w:val="22"/>
        <w:szCs w:val="22"/>
        <w:rtl/>
      </w:rPr>
      <w:tab/>
      <w:t xml:space="preserve"> מדינת ישראל נ' יאסר מלחם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84618" w14:textId="77777777" w:rsidR="00D14A54" w:rsidRPr="000D4FE3" w:rsidRDefault="000D4FE3" w:rsidP="000D4F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52479-01-18</w:t>
    </w:r>
    <w:r>
      <w:rPr>
        <w:rFonts w:ascii="David" w:hAnsi="David"/>
        <w:color w:val="000000"/>
        <w:sz w:val="22"/>
        <w:szCs w:val="22"/>
        <w:rtl/>
      </w:rPr>
      <w:tab/>
      <w:t xml:space="preserve"> מדינת ישראל נ' יאסר מלחם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0B5F"/>
    <w:rsid w:val="000D4FE3"/>
    <w:rsid w:val="001473E3"/>
    <w:rsid w:val="002D6351"/>
    <w:rsid w:val="0044208B"/>
    <w:rsid w:val="00520599"/>
    <w:rsid w:val="006B0B5F"/>
    <w:rsid w:val="00941A6D"/>
    <w:rsid w:val="00A02B67"/>
    <w:rsid w:val="00A95A84"/>
    <w:rsid w:val="00C445A0"/>
    <w:rsid w:val="00CB6CE3"/>
    <w:rsid w:val="00D14A54"/>
    <w:rsid w:val="00E7459D"/>
    <w:rsid w:val="00F91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FF6C309"/>
  <w15:chartTrackingRefBased/>
  <w15:docId w15:val="{3D0E7564-FF59-4B5E-A0BE-D5859931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0B5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0B5F"/>
    <w:pPr>
      <w:tabs>
        <w:tab w:val="center" w:pos="4153"/>
        <w:tab w:val="right" w:pos="8306"/>
      </w:tabs>
    </w:pPr>
  </w:style>
  <w:style w:type="character" w:customStyle="1" w:styleId="a4">
    <w:name w:val="כותרת עליונה תו"/>
    <w:link w:val="a3"/>
    <w:rsid w:val="006B0B5F"/>
    <w:rPr>
      <w:rFonts w:ascii="Times New Roman" w:eastAsia="Times New Roman" w:hAnsi="Times New Roman" w:cs="David"/>
      <w:sz w:val="24"/>
      <w:szCs w:val="24"/>
    </w:rPr>
  </w:style>
  <w:style w:type="paragraph" w:styleId="a5">
    <w:name w:val="footer"/>
    <w:basedOn w:val="a"/>
    <w:link w:val="a6"/>
    <w:rsid w:val="006B0B5F"/>
    <w:pPr>
      <w:tabs>
        <w:tab w:val="center" w:pos="4153"/>
        <w:tab w:val="right" w:pos="8306"/>
      </w:tabs>
    </w:pPr>
  </w:style>
  <w:style w:type="character" w:customStyle="1" w:styleId="a6">
    <w:name w:val="כותרת תחתונה תו"/>
    <w:link w:val="a5"/>
    <w:rsid w:val="006B0B5F"/>
    <w:rPr>
      <w:rFonts w:ascii="Times New Roman" w:eastAsia="Times New Roman" w:hAnsi="Times New Roman" w:cs="David"/>
      <w:sz w:val="24"/>
      <w:szCs w:val="24"/>
    </w:rPr>
  </w:style>
  <w:style w:type="table" w:styleId="a7">
    <w:name w:val="Table Grid"/>
    <w:basedOn w:val="a1"/>
    <w:rsid w:val="006B0B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0B5F"/>
  </w:style>
  <w:style w:type="paragraph" w:customStyle="1" w:styleId="12">
    <w:name w:val="רגיל + ‏12 נק'"/>
    <w:aliases w:val="מיושר לשני הצדדים,מרווח בין שורות:  שורה וחצי"/>
    <w:basedOn w:val="a"/>
    <w:rsid w:val="006B0B5F"/>
    <w:rPr>
      <w:b/>
      <w:bCs/>
      <w:u w:val="single"/>
    </w:rPr>
  </w:style>
  <w:style w:type="character" w:customStyle="1" w:styleId="TimesNewRomanTimesNewRoman">
    <w:name w:val="סגנון (לטיני) Times New Roman (עברית ושפות אחרות) Times New Roman..."/>
    <w:rsid w:val="006B0B5F"/>
    <w:rPr>
      <w:rFonts w:ascii="Times New Roman" w:hAnsi="Times New Roman" w:cs="David" w:hint="default"/>
      <w:b/>
      <w:bCs/>
      <w:sz w:val="26"/>
      <w:szCs w:val="26"/>
    </w:rPr>
  </w:style>
  <w:style w:type="paragraph" w:styleId="a9">
    <w:name w:val="Quote"/>
    <w:basedOn w:val="a"/>
    <w:next w:val="a"/>
    <w:link w:val="aa"/>
    <w:qFormat/>
    <w:rsid w:val="006B0B5F"/>
    <w:pPr>
      <w:tabs>
        <w:tab w:val="left" w:pos="567"/>
        <w:tab w:val="left" w:pos="1134"/>
        <w:tab w:val="left" w:pos="1701"/>
      </w:tabs>
      <w:spacing w:line="360" w:lineRule="auto"/>
      <w:ind w:left="1418" w:right="1418"/>
      <w:jc w:val="both"/>
    </w:pPr>
  </w:style>
  <w:style w:type="character" w:customStyle="1" w:styleId="aa">
    <w:name w:val="ציטוט תו"/>
    <w:link w:val="a9"/>
    <w:rsid w:val="006B0B5F"/>
    <w:rPr>
      <w:rFonts w:ascii="Times New Roman" w:eastAsia="Times New Roman" w:hAnsi="Times New Roman" w:cs="David"/>
      <w:sz w:val="24"/>
      <w:szCs w:val="24"/>
    </w:rPr>
  </w:style>
  <w:style w:type="character" w:styleId="Hyperlink">
    <w:name w:val="Hyperlink"/>
    <w:rsid w:val="006B0B5F"/>
    <w:rPr>
      <w:color w:val="0000FF"/>
      <w:u w:val="single"/>
    </w:rPr>
  </w:style>
  <w:style w:type="paragraph" w:styleId="ab">
    <w:name w:val="Balloon Text"/>
    <w:basedOn w:val="a"/>
    <w:link w:val="ac"/>
    <w:rsid w:val="006B0B5F"/>
    <w:rPr>
      <w:rFonts w:ascii="Tahoma" w:hAnsi="Tahoma" w:cs="Tahoma"/>
      <w:sz w:val="16"/>
      <w:szCs w:val="16"/>
    </w:rPr>
  </w:style>
  <w:style w:type="character" w:customStyle="1" w:styleId="ac">
    <w:name w:val="טקסט בלונים תו"/>
    <w:link w:val="ab"/>
    <w:rsid w:val="006B0B5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473037" TargetMode="External"/><Relationship Id="rId18" Type="http://schemas.openxmlformats.org/officeDocument/2006/relationships/hyperlink" Target="http://www.nevo.co.il/case/5724364" TargetMode="External"/><Relationship Id="rId26" Type="http://schemas.openxmlformats.org/officeDocument/2006/relationships/hyperlink" Target="http://www.nevo.co.il/case/21473281" TargetMode="External"/><Relationship Id="rId21" Type="http://schemas.openxmlformats.org/officeDocument/2006/relationships/hyperlink" Target="http://www.nevo.co.il/case/6000182" TargetMode="External"/><Relationship Id="rId34" Type="http://schemas.openxmlformats.org/officeDocument/2006/relationships/header" Target="header2.xml"/><Relationship Id="rId7" Type="http://schemas.openxmlformats.org/officeDocument/2006/relationships/hyperlink" Target="http://www.nevo.co.il/law/70301/40i.a"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87664" TargetMode="External"/><Relationship Id="rId25" Type="http://schemas.openxmlformats.org/officeDocument/2006/relationships/hyperlink" Target="http://www.nevo.co.il/case/2362698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7791493" TargetMode="External"/><Relationship Id="rId20" Type="http://schemas.openxmlformats.org/officeDocument/2006/relationships/hyperlink" Target="http://www.nevo.co.il/case/5891605" TargetMode="External"/><Relationship Id="rId29" Type="http://schemas.openxmlformats.org/officeDocument/2006/relationships/hyperlink" Target="http://www.nevo.co.il/case/2013590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i.a" TargetMode="External"/><Relationship Id="rId24" Type="http://schemas.openxmlformats.org/officeDocument/2006/relationships/hyperlink" Target="http://www.nevo.co.il/case/2293504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1474520" TargetMode="External"/><Relationship Id="rId23" Type="http://schemas.openxmlformats.org/officeDocument/2006/relationships/hyperlink" Target="http://www.nevo.co.il/case/23161676" TargetMode="External"/><Relationship Id="rId28" Type="http://schemas.openxmlformats.org/officeDocument/2006/relationships/hyperlink" Target="http://www.nevo.co.il/case/20622819"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5969313" TargetMode="External"/><Relationship Id="rId31" Type="http://schemas.openxmlformats.org/officeDocument/2006/relationships/hyperlink" Target="http://www.nevo.co.il/case/6004964"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21946424" TargetMode="External"/><Relationship Id="rId22" Type="http://schemas.openxmlformats.org/officeDocument/2006/relationships/hyperlink" Target="http://www.nevo.co.il/case/20874779" TargetMode="External"/><Relationship Id="rId27" Type="http://schemas.openxmlformats.org/officeDocument/2006/relationships/hyperlink" Target="http://www.nevo.co.il/case/21475024" TargetMode="External"/><Relationship Id="rId30" Type="http://schemas.openxmlformats.org/officeDocument/2006/relationships/hyperlink" Target="http://www.nevo.co.il/case/18058872" TargetMode="External"/><Relationship Id="rId35" Type="http://schemas.openxmlformats.org/officeDocument/2006/relationships/footer" Target="footer1.xml"/><Relationship Id="rId8" Type="http://schemas.openxmlformats.org/officeDocument/2006/relationships/hyperlink" Target="http://www.nevo.co.il/law/70301/144.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2321</Words>
  <Characters>11606</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13900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3866742</vt:i4>
      </vt:variant>
      <vt:variant>
        <vt:i4>75</vt:i4>
      </vt:variant>
      <vt:variant>
        <vt:i4>0</vt:i4>
      </vt:variant>
      <vt:variant>
        <vt:i4>5</vt:i4>
      </vt:variant>
      <vt:variant>
        <vt:lpwstr>http://www.nevo.co.il/case/6004964</vt:lpwstr>
      </vt:variant>
      <vt:variant>
        <vt:lpwstr/>
      </vt:variant>
      <vt:variant>
        <vt:i4>4063345</vt:i4>
      </vt:variant>
      <vt:variant>
        <vt:i4>72</vt:i4>
      </vt:variant>
      <vt:variant>
        <vt:i4>0</vt:i4>
      </vt:variant>
      <vt:variant>
        <vt:i4>5</vt:i4>
      </vt:variant>
      <vt:variant>
        <vt:lpwstr>http://www.nevo.co.il/case/18058872</vt:lpwstr>
      </vt:variant>
      <vt:variant>
        <vt:lpwstr/>
      </vt:variant>
      <vt:variant>
        <vt:i4>3539070</vt:i4>
      </vt:variant>
      <vt:variant>
        <vt:i4>69</vt:i4>
      </vt:variant>
      <vt:variant>
        <vt:i4>0</vt:i4>
      </vt:variant>
      <vt:variant>
        <vt:i4>5</vt:i4>
      </vt:variant>
      <vt:variant>
        <vt:lpwstr>http://www.nevo.co.il/case/20135906</vt:lpwstr>
      </vt:variant>
      <vt:variant>
        <vt:lpwstr/>
      </vt:variant>
      <vt:variant>
        <vt:i4>3604606</vt:i4>
      </vt:variant>
      <vt:variant>
        <vt:i4>66</vt:i4>
      </vt:variant>
      <vt:variant>
        <vt:i4>0</vt:i4>
      </vt:variant>
      <vt:variant>
        <vt:i4>5</vt:i4>
      </vt:variant>
      <vt:variant>
        <vt:lpwstr>http://www.nevo.co.il/case/20622819</vt:lpwstr>
      </vt:variant>
      <vt:variant>
        <vt:lpwstr/>
      </vt:variant>
      <vt:variant>
        <vt:i4>3211378</vt:i4>
      </vt:variant>
      <vt:variant>
        <vt:i4>63</vt:i4>
      </vt:variant>
      <vt:variant>
        <vt:i4>0</vt:i4>
      </vt:variant>
      <vt:variant>
        <vt:i4>5</vt:i4>
      </vt:variant>
      <vt:variant>
        <vt:lpwstr>http://www.nevo.co.il/case/21475024</vt:lpwstr>
      </vt:variant>
      <vt:variant>
        <vt:lpwstr/>
      </vt:variant>
      <vt:variant>
        <vt:i4>3997808</vt:i4>
      </vt:variant>
      <vt:variant>
        <vt:i4>60</vt:i4>
      </vt:variant>
      <vt:variant>
        <vt:i4>0</vt:i4>
      </vt:variant>
      <vt:variant>
        <vt:i4>5</vt:i4>
      </vt:variant>
      <vt:variant>
        <vt:lpwstr>http://www.nevo.co.il/case/21473281</vt:lpwstr>
      </vt:variant>
      <vt:variant>
        <vt:lpwstr/>
      </vt:variant>
      <vt:variant>
        <vt:i4>3801212</vt:i4>
      </vt:variant>
      <vt:variant>
        <vt:i4>57</vt:i4>
      </vt:variant>
      <vt:variant>
        <vt:i4>0</vt:i4>
      </vt:variant>
      <vt:variant>
        <vt:i4>5</vt:i4>
      </vt:variant>
      <vt:variant>
        <vt:lpwstr>http://www.nevo.co.il/case/23626987</vt:lpwstr>
      </vt:variant>
      <vt:variant>
        <vt:lpwstr/>
      </vt:variant>
      <vt:variant>
        <vt:i4>3801205</vt:i4>
      </vt:variant>
      <vt:variant>
        <vt:i4>54</vt:i4>
      </vt:variant>
      <vt:variant>
        <vt:i4>0</vt:i4>
      </vt:variant>
      <vt:variant>
        <vt:i4>5</vt:i4>
      </vt:variant>
      <vt:variant>
        <vt:lpwstr>http://www.nevo.co.il/case/22935043</vt:lpwstr>
      </vt:variant>
      <vt:variant>
        <vt:lpwstr/>
      </vt:variant>
      <vt:variant>
        <vt:i4>3473527</vt:i4>
      </vt:variant>
      <vt:variant>
        <vt:i4>51</vt:i4>
      </vt:variant>
      <vt:variant>
        <vt:i4>0</vt:i4>
      </vt:variant>
      <vt:variant>
        <vt:i4>5</vt:i4>
      </vt:variant>
      <vt:variant>
        <vt:lpwstr>http://www.nevo.co.il/case/23161676</vt:lpwstr>
      </vt:variant>
      <vt:variant>
        <vt:lpwstr/>
      </vt:variant>
      <vt:variant>
        <vt:i4>3735668</vt:i4>
      </vt:variant>
      <vt:variant>
        <vt:i4>48</vt:i4>
      </vt:variant>
      <vt:variant>
        <vt:i4>0</vt:i4>
      </vt:variant>
      <vt:variant>
        <vt:i4>5</vt:i4>
      </vt:variant>
      <vt:variant>
        <vt:lpwstr>http://www.nevo.co.il/case/20874779</vt:lpwstr>
      </vt:variant>
      <vt:variant>
        <vt:lpwstr/>
      </vt:variant>
      <vt:variant>
        <vt:i4>3473532</vt:i4>
      </vt:variant>
      <vt:variant>
        <vt:i4>45</vt:i4>
      </vt:variant>
      <vt:variant>
        <vt:i4>0</vt:i4>
      </vt:variant>
      <vt:variant>
        <vt:i4>5</vt:i4>
      </vt:variant>
      <vt:variant>
        <vt:lpwstr>http://www.nevo.co.il/case/6000182</vt:lpwstr>
      </vt:variant>
      <vt:variant>
        <vt:lpwstr/>
      </vt:variant>
      <vt:variant>
        <vt:i4>4128893</vt:i4>
      </vt:variant>
      <vt:variant>
        <vt:i4>42</vt:i4>
      </vt:variant>
      <vt:variant>
        <vt:i4>0</vt:i4>
      </vt:variant>
      <vt:variant>
        <vt:i4>5</vt:i4>
      </vt:variant>
      <vt:variant>
        <vt:lpwstr>http://www.nevo.co.il/case/5891605</vt:lpwstr>
      </vt:variant>
      <vt:variant>
        <vt:lpwstr/>
      </vt:variant>
      <vt:variant>
        <vt:i4>3342453</vt:i4>
      </vt:variant>
      <vt:variant>
        <vt:i4>39</vt:i4>
      </vt:variant>
      <vt:variant>
        <vt:i4>0</vt:i4>
      </vt:variant>
      <vt:variant>
        <vt:i4>5</vt:i4>
      </vt:variant>
      <vt:variant>
        <vt:lpwstr>http://www.nevo.co.il/case/5969313</vt:lpwstr>
      </vt:variant>
      <vt:variant>
        <vt:lpwstr/>
      </vt:variant>
      <vt:variant>
        <vt:i4>3145841</vt:i4>
      </vt:variant>
      <vt:variant>
        <vt:i4>36</vt:i4>
      </vt:variant>
      <vt:variant>
        <vt:i4>0</vt:i4>
      </vt:variant>
      <vt:variant>
        <vt:i4>5</vt:i4>
      </vt:variant>
      <vt:variant>
        <vt:lpwstr>http://www.nevo.co.il/case/5724364</vt:lpwstr>
      </vt:variant>
      <vt:variant>
        <vt:lpwstr/>
      </vt:variant>
      <vt:variant>
        <vt:i4>4128893</vt:i4>
      </vt:variant>
      <vt:variant>
        <vt:i4>33</vt:i4>
      </vt:variant>
      <vt:variant>
        <vt:i4>0</vt:i4>
      </vt:variant>
      <vt:variant>
        <vt:i4>5</vt:i4>
      </vt:variant>
      <vt:variant>
        <vt:lpwstr>http://www.nevo.co.il/case/5887664</vt:lpwstr>
      </vt:variant>
      <vt:variant>
        <vt:lpwstr/>
      </vt:variant>
      <vt:variant>
        <vt:i4>3735675</vt:i4>
      </vt:variant>
      <vt:variant>
        <vt:i4>30</vt:i4>
      </vt:variant>
      <vt:variant>
        <vt:i4>0</vt:i4>
      </vt:variant>
      <vt:variant>
        <vt:i4>5</vt:i4>
      </vt:variant>
      <vt:variant>
        <vt:lpwstr>http://www.nevo.co.il/case/7791493</vt:lpwstr>
      </vt:variant>
      <vt:variant>
        <vt:lpwstr/>
      </vt:variant>
      <vt:variant>
        <vt:i4>3145847</vt:i4>
      </vt:variant>
      <vt:variant>
        <vt:i4>27</vt:i4>
      </vt:variant>
      <vt:variant>
        <vt:i4>0</vt:i4>
      </vt:variant>
      <vt:variant>
        <vt:i4>5</vt:i4>
      </vt:variant>
      <vt:variant>
        <vt:lpwstr>http://www.nevo.co.il/case/21474520</vt:lpwstr>
      </vt:variant>
      <vt:variant>
        <vt:lpwstr/>
      </vt:variant>
      <vt:variant>
        <vt:i4>4128885</vt:i4>
      </vt:variant>
      <vt:variant>
        <vt:i4>24</vt:i4>
      </vt:variant>
      <vt:variant>
        <vt:i4>0</vt:i4>
      </vt:variant>
      <vt:variant>
        <vt:i4>5</vt:i4>
      </vt:variant>
      <vt:variant>
        <vt:lpwstr>http://www.nevo.co.il/case/21946424</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52479</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LAWYER">
    <vt:lpwstr>יוסי גימפל;ששון בר עוז;פהד חאג'</vt:lpwstr>
  </property>
  <property fmtid="{D5CDD505-2E9C-101B-9397-08002B2CF9AE}" pid="10" name="JUDGE">
    <vt:lpwstr>אמיר טובי</vt:lpwstr>
  </property>
  <property fmtid="{D5CDD505-2E9C-101B-9397-08002B2CF9AE}" pid="11" name="CITY">
    <vt:lpwstr>חי'</vt:lpwstr>
  </property>
  <property fmtid="{D5CDD505-2E9C-101B-9397-08002B2CF9AE}" pid="12" name="DATE">
    <vt:lpwstr>20181101</vt:lpwstr>
  </property>
  <property fmtid="{D5CDD505-2E9C-101B-9397-08002B2CF9AE}" pid="13" name="TYPE_N_DATE">
    <vt:lpwstr>39020181101</vt:lpwstr>
  </property>
  <property fmtid="{D5CDD505-2E9C-101B-9397-08002B2CF9AE}" pid="14" name="WORDNUMPAGES">
    <vt:lpwstr>8</vt:lpwstr>
  </property>
  <property fmtid="{D5CDD505-2E9C-101B-9397-08002B2CF9AE}" pid="15" name="TYPE_ABS_DATE">
    <vt:lpwstr>390020181101</vt:lpwstr>
  </property>
  <property fmtid="{D5CDD505-2E9C-101B-9397-08002B2CF9AE}" pid="16" name="APPELLANT1">
    <vt:lpwstr/>
  </property>
  <property fmtid="{D5CDD505-2E9C-101B-9397-08002B2CF9AE}" pid="17" name="APPELLANT2">
    <vt:lpwstr/>
  </property>
  <property fmtid="{D5CDD505-2E9C-101B-9397-08002B2CF9AE}" pid="18" name="APPELLEE">
    <vt:lpwstr>יאסר מלחם;&lt;#1#&gt;</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6473037;21946424;21474520;7791493;5887664;5724364;5969313;5891605;6000182;20874779;23161676;22935043;23626987;21473281;21475024;20622819;20135906;18058872;6004964</vt:lpwstr>
  </property>
  <property fmtid="{D5CDD505-2E9C-101B-9397-08002B2CF9AE}" pid="36" name="LAWLISTTMP1">
    <vt:lpwstr>70301/144.b;040i.a</vt:lpwstr>
  </property>
</Properties>
</file>