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92532A" w:rsidRPr="002313EB" w14:paraId="3F131C53" w14:textId="77777777" w:rsidTr="00766028">
        <w:trPr>
          <w:trHeight w:hRule="exact" w:val="418"/>
          <w:jc w:val="center"/>
        </w:trPr>
        <w:tc>
          <w:tcPr>
            <w:tcW w:w="8721" w:type="dxa"/>
            <w:gridSpan w:val="2"/>
          </w:tcPr>
          <w:p w14:paraId="5D23BCE9" w14:textId="77777777" w:rsidR="0092532A" w:rsidRPr="002313EB" w:rsidRDefault="0092532A" w:rsidP="00FA7EA5">
            <w:pPr>
              <w:pStyle w:val="a3"/>
              <w:jc w:val="center"/>
              <w:rPr>
                <w:rFonts w:ascii="Tahoma" w:hAnsi="Tahoma" w:cs="Tahoma"/>
                <w:color w:val="000080"/>
                <w:rtl/>
              </w:rPr>
            </w:pPr>
            <w:bookmarkStart w:id="0" w:name="FirstLawyer"/>
            <w:bookmarkStart w:id="1" w:name="LastJudge"/>
            <w:r w:rsidRPr="002313EB">
              <w:rPr>
                <w:rFonts w:ascii="Tahoma" w:hAnsi="Tahoma" w:cs="Tahoma"/>
                <w:b/>
                <w:bCs/>
                <w:color w:val="000080"/>
                <w:rtl/>
              </w:rPr>
              <w:t>בית המשפט המחוזי בחיפה</w:t>
            </w:r>
          </w:p>
        </w:tc>
      </w:tr>
      <w:tr w:rsidR="0092532A" w:rsidRPr="002313EB" w14:paraId="4F4B943C" w14:textId="77777777" w:rsidTr="00766028">
        <w:trPr>
          <w:trHeight w:val="337"/>
          <w:jc w:val="center"/>
        </w:trPr>
        <w:tc>
          <w:tcPr>
            <w:tcW w:w="5058" w:type="dxa"/>
          </w:tcPr>
          <w:p w14:paraId="5B326249" w14:textId="77777777" w:rsidR="0092532A" w:rsidRPr="002313EB" w:rsidRDefault="0092532A" w:rsidP="00FA7EA5">
            <w:pPr>
              <w:rPr>
                <w:rFonts w:cs="FrankRuehl"/>
                <w:sz w:val="28"/>
                <w:szCs w:val="28"/>
                <w:rtl/>
              </w:rPr>
            </w:pPr>
            <w:r w:rsidRPr="002313EB">
              <w:rPr>
                <w:rFonts w:cs="FrankRuehl"/>
                <w:sz w:val="28"/>
                <w:szCs w:val="28"/>
                <w:rtl/>
              </w:rPr>
              <w:t>ת"פ</w:t>
            </w:r>
            <w:r w:rsidRPr="002313EB">
              <w:rPr>
                <w:rFonts w:cs="FrankRuehl" w:hint="cs"/>
                <w:sz w:val="28"/>
                <w:szCs w:val="28"/>
                <w:rtl/>
              </w:rPr>
              <w:t xml:space="preserve"> </w:t>
            </w:r>
            <w:r w:rsidRPr="002313EB">
              <w:rPr>
                <w:rFonts w:cs="FrankRuehl"/>
                <w:sz w:val="28"/>
                <w:szCs w:val="28"/>
                <w:rtl/>
              </w:rPr>
              <w:t>24047-02-18</w:t>
            </w:r>
            <w:r w:rsidRPr="002313EB">
              <w:rPr>
                <w:rFonts w:cs="FrankRuehl" w:hint="cs"/>
                <w:sz w:val="28"/>
                <w:szCs w:val="28"/>
                <w:rtl/>
              </w:rPr>
              <w:t xml:space="preserve"> </w:t>
            </w:r>
            <w:r w:rsidRPr="002313EB">
              <w:rPr>
                <w:rFonts w:cs="FrankRuehl"/>
                <w:sz w:val="28"/>
                <w:szCs w:val="28"/>
                <w:rtl/>
              </w:rPr>
              <w:t>מדינת ישראל נ' כורדי(עציר)</w:t>
            </w:r>
          </w:p>
          <w:p w14:paraId="36F164F5" w14:textId="77777777" w:rsidR="0092532A" w:rsidRPr="002313EB" w:rsidRDefault="0092532A" w:rsidP="00FA7EA5">
            <w:pPr>
              <w:pStyle w:val="a3"/>
              <w:rPr>
                <w:rFonts w:cs="FrankRuehl"/>
                <w:sz w:val="28"/>
                <w:szCs w:val="28"/>
                <w:rtl/>
              </w:rPr>
            </w:pPr>
          </w:p>
        </w:tc>
        <w:tc>
          <w:tcPr>
            <w:tcW w:w="3663" w:type="dxa"/>
          </w:tcPr>
          <w:p w14:paraId="65BAEE0F" w14:textId="77777777" w:rsidR="0092532A" w:rsidRPr="002313EB" w:rsidRDefault="0092532A" w:rsidP="00FA7EA5">
            <w:pPr>
              <w:pStyle w:val="a3"/>
              <w:jc w:val="right"/>
              <w:rPr>
                <w:rFonts w:cs="FrankRuehl"/>
                <w:sz w:val="28"/>
                <w:szCs w:val="28"/>
                <w:rtl/>
              </w:rPr>
            </w:pPr>
          </w:p>
        </w:tc>
      </w:tr>
    </w:tbl>
    <w:p w14:paraId="21829305" w14:textId="77777777" w:rsidR="0092532A" w:rsidRPr="002313EB" w:rsidRDefault="0092532A" w:rsidP="0092532A">
      <w:pPr>
        <w:pStyle w:val="a3"/>
        <w:rPr>
          <w:rtl/>
        </w:rPr>
      </w:pPr>
      <w:r w:rsidRPr="002313EB">
        <w:rPr>
          <w:rFonts w:hint="cs"/>
          <w:rtl/>
        </w:rPr>
        <w:t xml:space="preserve"> </w:t>
      </w:r>
    </w:p>
    <w:p w14:paraId="294EFCC3" w14:textId="77777777" w:rsidR="0092532A" w:rsidRPr="002313EB" w:rsidRDefault="0092532A" w:rsidP="0092532A">
      <w:pPr>
        <w:rPr>
          <w:rtl/>
        </w:rPr>
      </w:pPr>
    </w:p>
    <w:tbl>
      <w:tblPr>
        <w:bidiVisual/>
        <w:tblW w:w="8802" w:type="dxa"/>
        <w:tblInd w:w="-28" w:type="dxa"/>
        <w:tblLook w:val="01E0" w:firstRow="1" w:lastRow="1" w:firstColumn="1" w:lastColumn="1" w:noHBand="0" w:noVBand="0"/>
      </w:tblPr>
      <w:tblGrid>
        <w:gridCol w:w="2880"/>
        <w:gridCol w:w="5838"/>
        <w:gridCol w:w="84"/>
      </w:tblGrid>
      <w:tr w:rsidR="00FA7EA5" w:rsidRPr="002313EB" w14:paraId="77629676" w14:textId="77777777" w:rsidTr="0092532A">
        <w:trPr>
          <w:gridAfter w:val="1"/>
          <w:wAfter w:w="56" w:type="dxa"/>
        </w:trPr>
        <w:tc>
          <w:tcPr>
            <w:tcW w:w="8718" w:type="dxa"/>
            <w:gridSpan w:val="2"/>
            <w:shd w:val="clear" w:color="auto" w:fill="auto"/>
          </w:tcPr>
          <w:p w14:paraId="5643856D" w14:textId="77777777" w:rsidR="0092532A" w:rsidRPr="002313EB" w:rsidRDefault="0092532A" w:rsidP="00FA7EA5">
            <w:pPr>
              <w:rPr>
                <w:b/>
                <w:bCs/>
                <w:sz w:val="26"/>
                <w:szCs w:val="26"/>
                <w:rtl/>
              </w:rPr>
            </w:pPr>
            <w:r w:rsidRPr="002313EB">
              <w:rPr>
                <w:rFonts w:hint="cs"/>
                <w:b/>
                <w:bCs/>
                <w:sz w:val="26"/>
                <w:szCs w:val="26"/>
                <w:rtl/>
              </w:rPr>
              <w:t>לפני כבוד השופט דניאל פיש</w:t>
            </w:r>
            <w:r w:rsidRPr="002313EB">
              <w:rPr>
                <w:rStyle w:val="TimesNewRomanTimesNewRoman"/>
                <w:rFonts w:hint="cs"/>
                <w:rtl/>
              </w:rPr>
              <w:t xml:space="preserve"> </w:t>
            </w:r>
          </w:p>
        </w:tc>
      </w:tr>
      <w:tr w:rsidR="00FA7EA5" w:rsidRPr="002313EB" w14:paraId="0D5E1461" w14:textId="77777777" w:rsidTr="0092532A">
        <w:trPr>
          <w:cantSplit/>
          <w:trHeight w:val="724"/>
        </w:trPr>
        <w:tc>
          <w:tcPr>
            <w:tcW w:w="2880" w:type="dxa"/>
            <w:shd w:val="clear" w:color="auto" w:fill="auto"/>
          </w:tcPr>
          <w:p w14:paraId="1C333457" w14:textId="77777777" w:rsidR="0092532A" w:rsidRPr="002313EB" w:rsidRDefault="0092532A" w:rsidP="0092532A">
            <w:pPr>
              <w:ind w:left="26"/>
              <w:jc w:val="right"/>
              <w:rPr>
                <w:b/>
                <w:bCs/>
                <w:sz w:val="26"/>
                <w:szCs w:val="26"/>
                <w:rtl/>
              </w:rPr>
            </w:pPr>
            <w:bookmarkStart w:id="2" w:name="FirstAppellant"/>
          </w:p>
          <w:p w14:paraId="736BB0AA" w14:textId="77777777" w:rsidR="0092532A" w:rsidRPr="002313EB" w:rsidRDefault="0092532A" w:rsidP="0092532A">
            <w:pPr>
              <w:ind w:left="26"/>
              <w:rPr>
                <w:b/>
                <w:bCs/>
                <w:sz w:val="26"/>
                <w:szCs w:val="26"/>
                <w:rtl/>
              </w:rPr>
            </w:pPr>
            <w:r w:rsidRPr="002313EB">
              <w:rPr>
                <w:rFonts w:hint="cs"/>
                <w:b/>
                <w:bCs/>
                <w:sz w:val="26"/>
                <w:szCs w:val="26"/>
                <w:rtl/>
              </w:rPr>
              <w:t>המאשימה</w:t>
            </w:r>
          </w:p>
        </w:tc>
        <w:tc>
          <w:tcPr>
            <w:tcW w:w="5922" w:type="dxa"/>
            <w:gridSpan w:val="2"/>
            <w:shd w:val="clear" w:color="auto" w:fill="auto"/>
          </w:tcPr>
          <w:p w14:paraId="05655968" w14:textId="77777777" w:rsidR="0092532A" w:rsidRPr="002313EB" w:rsidRDefault="0092532A" w:rsidP="0092532A">
            <w:pPr>
              <w:jc w:val="right"/>
              <w:rPr>
                <w:rFonts w:cs="Times New Roman"/>
                <w:rtl/>
              </w:rPr>
            </w:pPr>
          </w:p>
          <w:p w14:paraId="1C2390C6" w14:textId="77777777" w:rsidR="0092532A" w:rsidRPr="002313EB" w:rsidRDefault="0092532A" w:rsidP="00FA7EA5">
            <w:pPr>
              <w:rPr>
                <w:b/>
                <w:bCs/>
                <w:sz w:val="26"/>
                <w:szCs w:val="26"/>
                <w:rtl/>
              </w:rPr>
            </w:pPr>
            <w:r w:rsidRPr="002313EB">
              <w:rPr>
                <w:rtl/>
              </w:rPr>
              <w:t xml:space="preserve"> </w:t>
            </w:r>
            <w:r w:rsidRPr="002313EB">
              <w:rPr>
                <w:rFonts w:hint="cs"/>
                <w:b/>
                <w:bCs/>
                <w:sz w:val="26"/>
                <w:szCs w:val="26"/>
                <w:rtl/>
              </w:rPr>
              <w:t>מדינת ישראל</w:t>
            </w:r>
            <w:r w:rsidRPr="002313EB">
              <w:rPr>
                <w:b/>
                <w:bCs/>
                <w:sz w:val="26"/>
                <w:szCs w:val="26"/>
                <w:rtl/>
              </w:rPr>
              <w:br/>
            </w:r>
            <w:r w:rsidRPr="002313EB">
              <w:rPr>
                <w:rFonts w:hint="cs"/>
                <w:rtl/>
              </w:rPr>
              <w:t>ע"י ב"כ עו"ד אמיר אוליאל</w:t>
            </w:r>
          </w:p>
          <w:p w14:paraId="1B75B2EE" w14:textId="77777777" w:rsidR="0092532A" w:rsidRPr="002313EB" w:rsidRDefault="0092532A" w:rsidP="0092532A">
            <w:pPr>
              <w:jc w:val="right"/>
              <w:rPr>
                <w:b/>
                <w:bCs/>
                <w:sz w:val="26"/>
                <w:szCs w:val="26"/>
                <w:rtl/>
              </w:rPr>
            </w:pPr>
          </w:p>
        </w:tc>
      </w:tr>
      <w:bookmarkEnd w:id="2"/>
      <w:tr w:rsidR="00FA7EA5" w:rsidRPr="002313EB" w14:paraId="2198E0C3" w14:textId="77777777" w:rsidTr="0092532A">
        <w:tc>
          <w:tcPr>
            <w:tcW w:w="8802" w:type="dxa"/>
            <w:gridSpan w:val="3"/>
            <w:shd w:val="clear" w:color="auto" w:fill="auto"/>
            <w:vAlign w:val="center"/>
          </w:tcPr>
          <w:p w14:paraId="6D407E64" w14:textId="77777777" w:rsidR="0092532A" w:rsidRPr="002313EB" w:rsidRDefault="0092532A" w:rsidP="0092532A">
            <w:pPr>
              <w:jc w:val="center"/>
              <w:rPr>
                <w:rFonts w:ascii="Arial" w:hAnsi="Arial"/>
                <w:b/>
                <w:bCs/>
                <w:sz w:val="26"/>
                <w:szCs w:val="26"/>
                <w:rtl/>
              </w:rPr>
            </w:pPr>
          </w:p>
          <w:p w14:paraId="5E3DA229" w14:textId="77777777" w:rsidR="0092532A" w:rsidRPr="002313EB" w:rsidRDefault="0092532A" w:rsidP="0092532A">
            <w:pPr>
              <w:jc w:val="center"/>
              <w:rPr>
                <w:rFonts w:ascii="Arial" w:hAnsi="Arial"/>
                <w:b/>
                <w:bCs/>
                <w:sz w:val="26"/>
                <w:szCs w:val="26"/>
                <w:rtl/>
              </w:rPr>
            </w:pPr>
            <w:r w:rsidRPr="002313EB">
              <w:rPr>
                <w:rFonts w:ascii="Arial" w:hAnsi="Arial" w:hint="cs"/>
                <w:b/>
                <w:bCs/>
                <w:sz w:val="26"/>
                <w:szCs w:val="26"/>
                <w:rtl/>
              </w:rPr>
              <w:t>נגד</w:t>
            </w:r>
          </w:p>
          <w:p w14:paraId="7D82E505" w14:textId="77777777" w:rsidR="0092532A" w:rsidRPr="002313EB" w:rsidRDefault="0092532A" w:rsidP="0092532A">
            <w:pPr>
              <w:jc w:val="right"/>
              <w:rPr>
                <w:rFonts w:ascii="Arial" w:hAnsi="Arial"/>
                <w:b/>
                <w:bCs/>
                <w:sz w:val="26"/>
                <w:szCs w:val="26"/>
                <w:rtl/>
              </w:rPr>
            </w:pPr>
          </w:p>
        </w:tc>
      </w:tr>
      <w:tr w:rsidR="00FA7EA5" w:rsidRPr="002313EB" w14:paraId="7A446B79" w14:textId="77777777" w:rsidTr="0092532A">
        <w:tc>
          <w:tcPr>
            <w:tcW w:w="2880" w:type="dxa"/>
            <w:shd w:val="clear" w:color="auto" w:fill="auto"/>
          </w:tcPr>
          <w:p w14:paraId="00F35AB5" w14:textId="77777777" w:rsidR="00766028" w:rsidRDefault="00766028" w:rsidP="0092532A">
            <w:pPr>
              <w:ind w:left="26"/>
              <w:rPr>
                <w:sz w:val="26"/>
                <w:szCs w:val="26"/>
                <w:rtl/>
              </w:rPr>
            </w:pPr>
            <w:bookmarkStart w:id="3" w:name="LawTable"/>
            <w:bookmarkEnd w:id="3"/>
          </w:p>
          <w:p w14:paraId="12EB7845" w14:textId="77777777" w:rsidR="00766028" w:rsidRPr="00766028" w:rsidRDefault="00766028" w:rsidP="00766028">
            <w:pPr>
              <w:spacing w:after="120" w:line="240" w:lineRule="exact"/>
              <w:ind w:left="283" w:hanging="283"/>
              <w:jc w:val="both"/>
              <w:rPr>
                <w:rFonts w:ascii="FrankRuehl" w:hAnsi="FrankRuehl" w:cs="FrankRuehl"/>
                <w:rtl/>
              </w:rPr>
            </w:pPr>
          </w:p>
          <w:p w14:paraId="6E71B07A" w14:textId="77777777" w:rsidR="00766028" w:rsidRPr="00766028" w:rsidRDefault="00766028" w:rsidP="00766028">
            <w:pPr>
              <w:spacing w:after="120" w:line="240" w:lineRule="exact"/>
              <w:ind w:left="283" w:hanging="283"/>
              <w:jc w:val="both"/>
              <w:rPr>
                <w:rFonts w:ascii="FrankRuehl" w:hAnsi="FrankRuehl" w:cs="FrankRuehl"/>
                <w:rtl/>
              </w:rPr>
            </w:pPr>
            <w:r w:rsidRPr="00766028">
              <w:rPr>
                <w:rFonts w:ascii="FrankRuehl" w:hAnsi="FrankRuehl" w:cs="FrankRuehl"/>
                <w:rtl/>
              </w:rPr>
              <w:t xml:space="preserve">חקיקה שאוזכרה: </w:t>
            </w:r>
          </w:p>
          <w:p w14:paraId="1A8C339E" w14:textId="77777777" w:rsidR="00766028" w:rsidRPr="00766028" w:rsidRDefault="00766028" w:rsidP="00766028">
            <w:pPr>
              <w:spacing w:after="120" w:line="240" w:lineRule="exact"/>
              <w:ind w:left="283" w:hanging="283"/>
              <w:jc w:val="both"/>
              <w:rPr>
                <w:rFonts w:ascii="FrankRuehl" w:hAnsi="FrankRuehl" w:cs="FrankRuehl"/>
                <w:rtl/>
              </w:rPr>
            </w:pPr>
            <w:hyperlink r:id="rId6" w:history="1">
              <w:r w:rsidRPr="00766028">
                <w:rPr>
                  <w:rFonts w:ascii="FrankRuehl" w:hAnsi="FrankRuehl" w:cs="FrankRuehl"/>
                  <w:color w:val="0000FF"/>
                  <w:u w:val="single"/>
                  <w:rtl/>
                </w:rPr>
                <w:t>חוק העונשין, תשל"ז-1977</w:t>
              </w:r>
            </w:hyperlink>
            <w:r w:rsidRPr="00766028">
              <w:rPr>
                <w:rFonts w:ascii="FrankRuehl" w:hAnsi="FrankRuehl" w:cs="FrankRuehl"/>
                <w:rtl/>
              </w:rPr>
              <w:t xml:space="preserve">: סע'  </w:t>
            </w:r>
            <w:hyperlink r:id="rId7" w:history="1">
              <w:r w:rsidRPr="00766028">
                <w:rPr>
                  <w:rFonts w:ascii="FrankRuehl" w:hAnsi="FrankRuehl" w:cs="FrankRuehl"/>
                  <w:color w:val="0000FF"/>
                  <w:u w:val="single"/>
                  <w:rtl/>
                </w:rPr>
                <w:t>25</w:t>
              </w:r>
            </w:hyperlink>
            <w:r w:rsidRPr="00766028">
              <w:rPr>
                <w:rFonts w:ascii="FrankRuehl" w:hAnsi="FrankRuehl" w:cs="FrankRuehl"/>
                <w:rtl/>
              </w:rPr>
              <w:t xml:space="preserve">, </w:t>
            </w:r>
            <w:hyperlink r:id="rId8" w:history="1">
              <w:r w:rsidRPr="00766028">
                <w:rPr>
                  <w:rFonts w:ascii="FrankRuehl" w:hAnsi="FrankRuehl" w:cs="FrankRuehl"/>
                  <w:color w:val="0000FF"/>
                  <w:u w:val="single"/>
                  <w:rtl/>
                </w:rPr>
                <w:t>29</w:t>
              </w:r>
            </w:hyperlink>
            <w:r w:rsidRPr="00766028">
              <w:rPr>
                <w:rFonts w:ascii="FrankRuehl" w:hAnsi="FrankRuehl" w:cs="FrankRuehl"/>
                <w:rtl/>
              </w:rPr>
              <w:t xml:space="preserve">, </w:t>
            </w:r>
            <w:hyperlink r:id="rId9" w:history="1">
              <w:r w:rsidRPr="00766028">
                <w:rPr>
                  <w:rFonts w:ascii="FrankRuehl" w:hAnsi="FrankRuehl" w:cs="FrankRuehl"/>
                  <w:color w:val="0000FF"/>
                  <w:u w:val="single"/>
                  <w:rtl/>
                </w:rPr>
                <w:t>144.ב.</w:t>
              </w:r>
            </w:hyperlink>
            <w:r w:rsidRPr="00766028">
              <w:rPr>
                <w:rFonts w:ascii="FrankRuehl" w:hAnsi="FrankRuehl" w:cs="FrankRuehl"/>
                <w:rtl/>
              </w:rPr>
              <w:t xml:space="preserve">, </w:t>
            </w:r>
            <w:hyperlink r:id="rId10" w:history="1">
              <w:r w:rsidRPr="00766028">
                <w:rPr>
                  <w:rFonts w:ascii="FrankRuehl" w:hAnsi="FrankRuehl" w:cs="FrankRuehl"/>
                  <w:color w:val="0000FF"/>
                  <w:u w:val="single"/>
                  <w:rtl/>
                </w:rPr>
                <w:t>144.ג.1.</w:t>
              </w:r>
            </w:hyperlink>
            <w:r w:rsidRPr="00766028">
              <w:rPr>
                <w:rFonts w:ascii="FrankRuehl" w:hAnsi="FrankRuehl" w:cs="FrankRuehl"/>
                <w:rtl/>
              </w:rPr>
              <w:t xml:space="preserve">, </w:t>
            </w:r>
            <w:hyperlink r:id="rId11" w:history="1">
              <w:r w:rsidRPr="00766028">
                <w:rPr>
                  <w:rFonts w:ascii="FrankRuehl" w:hAnsi="FrankRuehl" w:cs="FrankRuehl"/>
                  <w:color w:val="0000FF"/>
                  <w:u w:val="single"/>
                  <w:rtl/>
                </w:rPr>
                <w:t>333</w:t>
              </w:r>
            </w:hyperlink>
            <w:r w:rsidRPr="00766028">
              <w:rPr>
                <w:rFonts w:ascii="FrankRuehl" w:hAnsi="FrankRuehl" w:cs="FrankRuehl"/>
                <w:rtl/>
              </w:rPr>
              <w:t xml:space="preserve">, </w:t>
            </w:r>
            <w:hyperlink r:id="rId12" w:history="1">
              <w:r w:rsidRPr="00766028">
                <w:rPr>
                  <w:rFonts w:ascii="FrankRuehl" w:hAnsi="FrankRuehl" w:cs="FrankRuehl"/>
                  <w:color w:val="0000FF"/>
                  <w:u w:val="single"/>
                  <w:rtl/>
                </w:rPr>
                <w:t>335.א.1.</w:t>
              </w:r>
            </w:hyperlink>
            <w:r w:rsidRPr="00766028">
              <w:rPr>
                <w:rFonts w:ascii="FrankRuehl" w:hAnsi="FrankRuehl" w:cs="FrankRuehl"/>
                <w:rtl/>
              </w:rPr>
              <w:t xml:space="preserve">, </w:t>
            </w:r>
            <w:hyperlink r:id="rId13" w:history="1">
              <w:r w:rsidRPr="00766028">
                <w:rPr>
                  <w:rFonts w:ascii="FrankRuehl" w:hAnsi="FrankRuehl" w:cs="FrankRuehl"/>
                  <w:color w:val="0000FF"/>
                  <w:u w:val="single"/>
                  <w:rtl/>
                </w:rPr>
                <w:t>335.א.22</w:t>
              </w:r>
            </w:hyperlink>
          </w:p>
          <w:p w14:paraId="0FA4F6DD" w14:textId="77777777" w:rsidR="00766028" w:rsidRPr="00766028" w:rsidRDefault="00766028" w:rsidP="00766028">
            <w:pPr>
              <w:spacing w:after="120" w:line="240" w:lineRule="exact"/>
              <w:ind w:left="283" w:hanging="283"/>
              <w:jc w:val="both"/>
              <w:rPr>
                <w:rFonts w:ascii="FrankRuehl" w:hAnsi="FrankRuehl" w:cs="FrankRuehl"/>
                <w:rtl/>
              </w:rPr>
            </w:pPr>
          </w:p>
          <w:p w14:paraId="469F342E" w14:textId="77777777" w:rsidR="00766028" w:rsidRPr="00766028" w:rsidRDefault="00766028" w:rsidP="0092532A">
            <w:pPr>
              <w:ind w:left="26"/>
              <w:rPr>
                <w:sz w:val="26"/>
                <w:szCs w:val="26"/>
                <w:rtl/>
              </w:rPr>
            </w:pPr>
            <w:bookmarkStart w:id="4" w:name="LawTable_End"/>
            <w:bookmarkEnd w:id="4"/>
          </w:p>
          <w:p w14:paraId="64A1B5E1" w14:textId="77777777" w:rsidR="002313EB" w:rsidRPr="002313EB" w:rsidRDefault="002313EB" w:rsidP="0092532A">
            <w:pPr>
              <w:ind w:left="26"/>
              <w:rPr>
                <w:sz w:val="26"/>
                <w:szCs w:val="26"/>
                <w:rtl/>
              </w:rPr>
            </w:pPr>
          </w:p>
          <w:p w14:paraId="2ACB6B88" w14:textId="77777777" w:rsidR="002313EB" w:rsidRPr="002313EB" w:rsidRDefault="002313EB" w:rsidP="0092532A">
            <w:pPr>
              <w:ind w:left="26"/>
              <w:rPr>
                <w:b/>
                <w:bCs/>
                <w:sz w:val="26"/>
                <w:szCs w:val="26"/>
                <w:rtl/>
              </w:rPr>
            </w:pPr>
          </w:p>
          <w:p w14:paraId="58E8FE5F" w14:textId="77777777" w:rsidR="0092532A" w:rsidRPr="002313EB" w:rsidRDefault="0092532A" w:rsidP="0092532A">
            <w:pPr>
              <w:ind w:left="26"/>
              <w:rPr>
                <w:b/>
                <w:bCs/>
                <w:sz w:val="26"/>
                <w:szCs w:val="26"/>
              </w:rPr>
            </w:pPr>
            <w:r w:rsidRPr="002313EB">
              <w:rPr>
                <w:rFonts w:hint="cs"/>
                <w:b/>
                <w:bCs/>
                <w:sz w:val="26"/>
                <w:szCs w:val="26"/>
                <w:rtl/>
              </w:rPr>
              <w:t>הנאשם</w:t>
            </w:r>
          </w:p>
        </w:tc>
        <w:tc>
          <w:tcPr>
            <w:tcW w:w="5922" w:type="dxa"/>
            <w:gridSpan w:val="2"/>
            <w:shd w:val="clear" w:color="auto" w:fill="auto"/>
          </w:tcPr>
          <w:p w14:paraId="7D7364AA" w14:textId="77777777" w:rsidR="0092532A" w:rsidRPr="002313EB" w:rsidRDefault="0092532A" w:rsidP="00FA7EA5">
            <w:pPr>
              <w:rPr>
                <w:b/>
                <w:bCs/>
                <w:sz w:val="26"/>
                <w:szCs w:val="26"/>
                <w:rtl/>
              </w:rPr>
            </w:pPr>
            <w:r w:rsidRPr="002313EB">
              <w:rPr>
                <w:rtl/>
              </w:rPr>
              <w:t xml:space="preserve"> </w:t>
            </w:r>
            <w:r w:rsidRPr="002313EB">
              <w:rPr>
                <w:rFonts w:hint="cs"/>
                <w:b/>
                <w:bCs/>
                <w:sz w:val="26"/>
                <w:szCs w:val="26"/>
                <w:rtl/>
              </w:rPr>
              <w:t>מוחמד כורדי (עציר)</w:t>
            </w:r>
            <w:r w:rsidRPr="002313EB">
              <w:rPr>
                <w:rFonts w:cs="Times New Roman"/>
                <w:rtl/>
              </w:rPr>
              <w:t xml:space="preserve"> </w:t>
            </w:r>
            <w:r w:rsidRPr="002313EB">
              <w:rPr>
                <w:rFonts w:hint="cs"/>
                <w:b/>
                <w:bCs/>
                <w:sz w:val="26"/>
                <w:szCs w:val="26"/>
                <w:rtl/>
              </w:rPr>
              <w:t xml:space="preserve">ת.ז.  </w:t>
            </w:r>
            <w:r w:rsidR="002313EB" w:rsidRPr="002313EB">
              <w:t>xxxxxxxxx</w:t>
            </w:r>
            <w:r w:rsidRPr="002313EB">
              <w:rPr>
                <w:rtl/>
              </w:rPr>
              <w:br/>
            </w:r>
            <w:r w:rsidRPr="002313EB">
              <w:rPr>
                <w:rFonts w:hint="cs"/>
                <w:rtl/>
              </w:rPr>
              <w:t>ע"י ב"כ עו"ד מאהר תלחמי</w:t>
            </w:r>
            <w:r w:rsidRPr="002313EB">
              <w:rPr>
                <w:rFonts w:hint="cs"/>
                <w:b/>
                <w:bCs/>
                <w:sz w:val="26"/>
                <w:szCs w:val="26"/>
                <w:rtl/>
              </w:rPr>
              <w:t xml:space="preserve"> </w:t>
            </w:r>
          </w:p>
          <w:p w14:paraId="4EE9CC03" w14:textId="77777777" w:rsidR="0092532A" w:rsidRPr="002313EB" w:rsidRDefault="0092532A" w:rsidP="0092532A">
            <w:pPr>
              <w:jc w:val="right"/>
              <w:rPr>
                <w:b/>
                <w:bCs/>
                <w:sz w:val="26"/>
                <w:szCs w:val="26"/>
                <w:rtl/>
              </w:rPr>
            </w:pPr>
          </w:p>
        </w:tc>
      </w:tr>
    </w:tbl>
    <w:p w14:paraId="2DDBFFBD" w14:textId="77777777" w:rsidR="0092532A" w:rsidRPr="002313EB" w:rsidRDefault="0092532A" w:rsidP="0092532A">
      <w:pPr>
        <w:rPr>
          <w:vanish/>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A7EA5" w14:paraId="3E8255B3" w14:textId="77777777" w:rsidTr="0092532A">
        <w:trPr>
          <w:trHeight w:val="355"/>
          <w:jc w:val="center"/>
        </w:trPr>
        <w:tc>
          <w:tcPr>
            <w:tcW w:w="8820" w:type="dxa"/>
            <w:tcBorders>
              <w:top w:val="nil"/>
              <w:left w:val="nil"/>
              <w:bottom w:val="nil"/>
              <w:right w:val="nil"/>
            </w:tcBorders>
            <w:shd w:val="clear" w:color="auto" w:fill="auto"/>
          </w:tcPr>
          <w:p w14:paraId="6BEEB605" w14:textId="77777777" w:rsidR="002313EB" w:rsidRPr="002313EB" w:rsidRDefault="002313EB" w:rsidP="002313EB">
            <w:pPr>
              <w:jc w:val="center"/>
              <w:rPr>
                <w:rFonts w:ascii="Arial" w:hAnsi="Arial" w:cs="FrankRuehl"/>
                <w:b/>
                <w:bCs/>
                <w:sz w:val="32"/>
                <w:szCs w:val="32"/>
                <w:u w:val="single"/>
                <w:rtl/>
              </w:rPr>
            </w:pPr>
            <w:bookmarkStart w:id="5" w:name="PsakDin" w:colFirst="0" w:colLast="0"/>
            <w:bookmarkEnd w:id="0"/>
            <w:bookmarkEnd w:id="1"/>
            <w:r w:rsidRPr="002313EB">
              <w:rPr>
                <w:rFonts w:ascii="Arial" w:hAnsi="Arial" w:cs="FrankRuehl"/>
                <w:b/>
                <w:bCs/>
                <w:sz w:val="32"/>
                <w:szCs w:val="32"/>
                <w:u w:val="single"/>
                <w:rtl/>
              </w:rPr>
              <w:t>גזר דין</w:t>
            </w:r>
          </w:p>
          <w:p w14:paraId="3FC9DF25" w14:textId="77777777" w:rsidR="0092532A" w:rsidRPr="002313EB" w:rsidRDefault="0092532A" w:rsidP="002313EB">
            <w:pPr>
              <w:jc w:val="center"/>
              <w:rPr>
                <w:rFonts w:ascii="Arial" w:hAnsi="Arial" w:cs="FrankRuehl"/>
                <w:bCs/>
                <w:sz w:val="32"/>
                <w:szCs w:val="32"/>
                <w:u w:val="single"/>
                <w:rtl/>
              </w:rPr>
            </w:pPr>
          </w:p>
        </w:tc>
      </w:tr>
      <w:bookmarkEnd w:id="5"/>
    </w:tbl>
    <w:p w14:paraId="291E83E7" w14:textId="77777777" w:rsidR="0092532A" w:rsidRPr="00B05847" w:rsidRDefault="0092532A" w:rsidP="0092532A">
      <w:pPr>
        <w:rPr>
          <w:rFonts w:ascii="Arial" w:hAnsi="Arial"/>
          <w:rtl/>
        </w:rPr>
      </w:pPr>
    </w:p>
    <w:p w14:paraId="12B70086" w14:textId="77777777" w:rsidR="0092532A" w:rsidRPr="00B05847" w:rsidRDefault="0092532A" w:rsidP="0092532A">
      <w:pPr>
        <w:rPr>
          <w:rFonts w:ascii="Arial" w:hAnsi="Arial"/>
          <w:rtl/>
        </w:rPr>
      </w:pPr>
    </w:p>
    <w:p w14:paraId="119BD2B9" w14:textId="77777777" w:rsidR="0092532A" w:rsidRDefault="0092532A" w:rsidP="0092532A">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הודה במסגרת הסדר טיעון חלקי ללא הסדר אודות העונש בביצוע עבירות נשק לפי סעיף </w:t>
      </w:r>
      <w:hyperlink r:id="rId14" w:history="1">
        <w:r w:rsidR="00766028" w:rsidRPr="00766028">
          <w:rPr>
            <w:color w:val="0000FF"/>
            <w:u w:val="single"/>
            <w:rtl/>
          </w:rPr>
          <w:t>144(ב)רישא + 144(ג)(1) + סעיף 29</w:t>
        </w:r>
      </w:hyperlink>
      <w:r>
        <w:rPr>
          <w:rFonts w:hint="cs"/>
          <w:rtl/>
        </w:rPr>
        <w:t xml:space="preserve"> ל</w:t>
      </w:r>
      <w:hyperlink r:id="rId15" w:history="1">
        <w:r w:rsidR="002313EB" w:rsidRPr="002313EB">
          <w:rPr>
            <w:rStyle w:val="Hyperlink"/>
            <w:rFonts w:hint="eastAsia"/>
            <w:rtl/>
          </w:rPr>
          <w:t>חוק</w:t>
        </w:r>
        <w:r w:rsidR="002313EB" w:rsidRPr="002313EB">
          <w:rPr>
            <w:rStyle w:val="Hyperlink"/>
            <w:rtl/>
          </w:rPr>
          <w:t xml:space="preserve"> העונשין</w:t>
        </w:r>
      </w:hyperlink>
      <w:r>
        <w:rPr>
          <w:rFonts w:hint="cs"/>
          <w:rtl/>
        </w:rPr>
        <w:t xml:space="preserve">, ובניסיון לחבלה חמורה בנסיבות מחמירות לפי סעיפים </w:t>
      </w:r>
      <w:hyperlink r:id="rId16" w:history="1">
        <w:r w:rsidR="00766028" w:rsidRPr="00766028">
          <w:rPr>
            <w:color w:val="0000FF"/>
            <w:u w:val="single"/>
            <w:rtl/>
          </w:rPr>
          <w:t>25+ 333+ 335(א)(1)+ 335(א)(22)</w:t>
        </w:r>
      </w:hyperlink>
      <w:r>
        <w:rPr>
          <w:rFonts w:hint="cs"/>
          <w:rtl/>
        </w:rPr>
        <w:t xml:space="preserve"> </w:t>
      </w:r>
      <w:hyperlink r:id="rId17" w:history="1">
        <w:r w:rsidR="00766028" w:rsidRPr="00766028">
          <w:rPr>
            <w:color w:val="0000FF"/>
            <w:u w:val="single"/>
            <w:rtl/>
          </w:rPr>
          <w:t>וסעיף 29</w:t>
        </w:r>
      </w:hyperlink>
      <w:r>
        <w:rPr>
          <w:rFonts w:hint="cs"/>
          <w:rtl/>
        </w:rPr>
        <w:t xml:space="preserve"> לחוק.</w:t>
      </w:r>
    </w:p>
    <w:p w14:paraId="21EFC5F8" w14:textId="77777777" w:rsidR="0092532A" w:rsidRDefault="0092532A" w:rsidP="0092532A">
      <w:pPr>
        <w:spacing w:line="360" w:lineRule="auto"/>
        <w:ind w:left="720" w:hanging="720"/>
        <w:jc w:val="both"/>
        <w:rPr>
          <w:rtl/>
        </w:rPr>
      </w:pPr>
      <w:bookmarkStart w:id="7" w:name="ABSTRACT_END"/>
      <w:bookmarkEnd w:id="7"/>
    </w:p>
    <w:p w14:paraId="068A8EDE" w14:textId="77777777" w:rsidR="0092532A" w:rsidRDefault="0092532A" w:rsidP="0092532A">
      <w:pPr>
        <w:spacing w:line="360" w:lineRule="auto"/>
        <w:ind w:left="720" w:hanging="720"/>
        <w:jc w:val="both"/>
        <w:rPr>
          <w:rtl/>
        </w:rPr>
      </w:pPr>
      <w:r>
        <w:rPr>
          <w:rtl/>
        </w:rPr>
        <w:tab/>
      </w:r>
      <w:r>
        <w:rPr>
          <w:rFonts w:hint="cs"/>
          <w:rtl/>
        </w:rPr>
        <w:t xml:space="preserve">כמתואר בכתב האישום המתוקן המתלוננת מתגוררת בקומה שניה בבניין בן ארבע קומות עם שני ילדיה הקטינים. בין לנאשם לבין המתלוננת התקיימה היכרות מוקדמת. ביום 28.1.2018 עובר לשעה 01:00 נסע הנאשם בצוותא חדא עם אחר ברכב עם לוחית רישוי שאינה שייכת לו כשהוא נושא ומוביל אקדח </w:t>
      </w:r>
      <w:r>
        <w:rPr>
          <w:rFonts w:hint="cs"/>
        </w:rPr>
        <w:t>FN</w:t>
      </w:r>
      <w:r>
        <w:rPr>
          <w:rFonts w:hint="cs"/>
          <w:rtl/>
        </w:rPr>
        <w:t xml:space="preserve"> כשהוא טעון במחסנית ובכדורים. בהגיעו סמוך לבניינה של המתלוננת ירה הנאשם בצוותא חדא עם האחר מספר יריות לדירת המתלוננת בניסיון לחבול בה חבלה חמורה. הירי פגע בדירה כאשר באותה עת שהו שם בני אדם. כתוצאה מהירי ניזוקה שמשת חלון הסלון, התקרה מעל החלון בסלון, הקיר מעל ארונות המטבח וחלקה הפנימי של דלת הכניסה. הנאשם והאחר נמלטו ברכב מזירת האירוע בנסיעה מהירה כשהאחר נוהג. כעבור זמן קצר שוטרים בניידת הורו לנוסעי הרכב </w:t>
      </w:r>
      <w:r>
        <w:rPr>
          <w:rFonts w:hint="cs"/>
          <w:rtl/>
        </w:rPr>
        <w:lastRenderedPageBreak/>
        <w:t>לעצור אך אלה המשיכו בנסיעה מהירה ופרועה ופגעו במעקה בטיחות באזור צומת עכו מזרח. נהג הרכב נמלט והנאשם נעצר במקום. האקדח נתפס בתוך הרכב.</w:t>
      </w:r>
    </w:p>
    <w:p w14:paraId="0C9790FA" w14:textId="77777777" w:rsidR="0092532A" w:rsidRDefault="0092532A" w:rsidP="0092532A">
      <w:pPr>
        <w:spacing w:line="360" w:lineRule="auto"/>
        <w:ind w:left="720" w:hanging="720"/>
        <w:jc w:val="both"/>
        <w:rPr>
          <w:rtl/>
        </w:rPr>
      </w:pPr>
    </w:p>
    <w:p w14:paraId="2DA16E62" w14:textId="77777777" w:rsidR="0092532A" w:rsidRDefault="0092532A" w:rsidP="0092532A">
      <w:pPr>
        <w:spacing w:line="360" w:lineRule="auto"/>
        <w:ind w:left="720" w:hanging="720"/>
        <w:jc w:val="both"/>
        <w:rPr>
          <w:b/>
          <w:bCs/>
          <w:u w:val="single"/>
          <w:rtl/>
        </w:rPr>
      </w:pPr>
      <w:r>
        <w:rPr>
          <w:rFonts w:hint="cs"/>
          <w:b/>
          <w:bCs/>
          <w:u w:val="single"/>
          <w:rtl/>
        </w:rPr>
        <w:t>טיעוני המדינה לעונש</w:t>
      </w:r>
    </w:p>
    <w:p w14:paraId="25147BD9" w14:textId="77777777" w:rsidR="0092532A" w:rsidRDefault="0092532A" w:rsidP="0092532A">
      <w:pPr>
        <w:spacing w:line="360" w:lineRule="auto"/>
        <w:ind w:left="720" w:hanging="720"/>
        <w:jc w:val="both"/>
        <w:rPr>
          <w:rtl/>
        </w:rPr>
      </w:pPr>
    </w:p>
    <w:p w14:paraId="1DDFE9EF" w14:textId="77777777" w:rsidR="0092532A" w:rsidRDefault="0092532A" w:rsidP="0092532A">
      <w:pPr>
        <w:spacing w:line="360" w:lineRule="auto"/>
        <w:ind w:left="720" w:hanging="720"/>
        <w:jc w:val="both"/>
        <w:rPr>
          <w:rtl/>
        </w:rPr>
      </w:pPr>
      <w:r>
        <w:rPr>
          <w:rFonts w:hint="cs"/>
          <w:rtl/>
        </w:rPr>
        <w:t>2.</w:t>
      </w:r>
      <w:r>
        <w:rPr>
          <w:rFonts w:hint="cs"/>
          <w:rtl/>
        </w:rPr>
        <w:tab/>
        <w:t xml:space="preserve">המדינה הזכירה שמדובר בנאשם בן 20, ללא הרשעות קודמות, ששוהה במעצר מאז יום 28.1.18. נטען שתקרת העונש שקבע המחוקק בכלל העבירות בהן הורשע הנאשם- 24 שנות מאסר בפועל צריכה להוות את נקודת המוצא לקביעת העונש. הודגש שעל בית המשפט מוטלת החובה להילחם בתופעות הבזויות של שימוש בנשק לביצוע עבירות באמצעות ענישה מחמירה. </w:t>
      </w:r>
    </w:p>
    <w:p w14:paraId="321E2ED9" w14:textId="77777777" w:rsidR="0092532A" w:rsidRDefault="0092532A" w:rsidP="0092532A">
      <w:pPr>
        <w:spacing w:line="360" w:lineRule="auto"/>
        <w:ind w:left="720" w:hanging="720"/>
        <w:jc w:val="both"/>
        <w:rPr>
          <w:rtl/>
        </w:rPr>
      </w:pPr>
    </w:p>
    <w:p w14:paraId="4AF7F713" w14:textId="77777777" w:rsidR="0092532A" w:rsidRDefault="0092532A" w:rsidP="0092532A">
      <w:pPr>
        <w:spacing w:line="360" w:lineRule="auto"/>
        <w:ind w:left="720"/>
        <w:jc w:val="both"/>
        <w:rPr>
          <w:rtl/>
        </w:rPr>
      </w:pPr>
      <w:r>
        <w:rPr>
          <w:rFonts w:hint="cs"/>
          <w:rtl/>
        </w:rPr>
        <w:t xml:space="preserve">נטען ששאיפתו של הנאשם לפגוע במתלוננת הכתיבה את דרכו ללא שום שיקול מוסרי ומבלי שחשב בכל אותה תקופה על תוצאות מעשיו. נטען שאמנם העבירה לא הושלמה ובדרך נס המתלוננת לא נפגעה אך נטען שעצם הירי מצביע על התנהגות ברוטלית ואכזרית. </w:t>
      </w:r>
    </w:p>
    <w:p w14:paraId="25CE6F3E" w14:textId="77777777" w:rsidR="0092532A" w:rsidRDefault="0092532A" w:rsidP="0092532A">
      <w:pPr>
        <w:spacing w:line="360" w:lineRule="auto"/>
        <w:ind w:left="720"/>
        <w:jc w:val="both"/>
        <w:rPr>
          <w:rtl/>
        </w:rPr>
      </w:pPr>
    </w:p>
    <w:p w14:paraId="7B8E611B" w14:textId="77777777" w:rsidR="0092532A" w:rsidRDefault="0092532A" w:rsidP="0092532A">
      <w:pPr>
        <w:spacing w:line="360" w:lineRule="auto"/>
        <w:ind w:left="720" w:hanging="720"/>
        <w:jc w:val="both"/>
        <w:rPr>
          <w:rtl/>
        </w:rPr>
      </w:pPr>
      <w:r>
        <w:rPr>
          <w:rtl/>
        </w:rPr>
        <w:tab/>
      </w:r>
      <w:r>
        <w:rPr>
          <w:rFonts w:hint="cs"/>
          <w:rtl/>
        </w:rPr>
        <w:t>אוזכרה פסיקה באשר לחובתו של בית המשפט להילחם בתופעת האלימות בחברה (</w:t>
      </w:r>
      <w:hyperlink r:id="rId18" w:history="1">
        <w:r w:rsidR="002313EB" w:rsidRPr="002313EB">
          <w:rPr>
            <w:rStyle w:val="Hyperlink"/>
            <w:rFonts w:hint="eastAsia"/>
            <w:rtl/>
          </w:rPr>
          <w:t>ע</w:t>
        </w:r>
        <w:r w:rsidR="002313EB" w:rsidRPr="002313EB">
          <w:rPr>
            <w:rStyle w:val="Hyperlink"/>
            <w:rtl/>
          </w:rPr>
          <w:t>"פ 8314/03</w:t>
        </w:r>
      </w:hyperlink>
      <w:r>
        <w:rPr>
          <w:rFonts w:hint="cs"/>
          <w:rtl/>
        </w:rPr>
        <w:t xml:space="preserve"> </w:t>
      </w:r>
      <w:r>
        <w:rPr>
          <w:rFonts w:hint="cs"/>
          <w:b/>
          <w:bCs/>
          <w:rtl/>
        </w:rPr>
        <w:t>בן עווד נ' מדינת ישראל</w:t>
      </w:r>
      <w:r>
        <w:rPr>
          <w:rFonts w:hint="cs"/>
          <w:rtl/>
        </w:rPr>
        <w:t xml:space="preserve">, (07.06.2005); </w:t>
      </w:r>
      <w:hyperlink r:id="rId19" w:history="1">
        <w:r w:rsidR="002313EB" w:rsidRPr="002313EB">
          <w:rPr>
            <w:rStyle w:val="Hyperlink"/>
            <w:rFonts w:hint="eastAsia"/>
            <w:rtl/>
          </w:rPr>
          <w:t>ע</w:t>
        </w:r>
        <w:r w:rsidR="002313EB" w:rsidRPr="002313EB">
          <w:rPr>
            <w:rStyle w:val="Hyperlink"/>
            <w:rtl/>
          </w:rPr>
          <w:t>"פ 5860/14</w:t>
        </w:r>
      </w:hyperlink>
      <w:r>
        <w:rPr>
          <w:rFonts w:hint="cs"/>
          <w:rtl/>
        </w:rPr>
        <w:t xml:space="preserve"> </w:t>
      </w:r>
      <w:r>
        <w:rPr>
          <w:rFonts w:hint="cs"/>
          <w:b/>
          <w:bCs/>
          <w:rtl/>
        </w:rPr>
        <w:t>אסף לביא נ' מדינת ישראל</w:t>
      </w:r>
      <w:r>
        <w:rPr>
          <w:rFonts w:hint="cs"/>
          <w:rtl/>
        </w:rPr>
        <w:t xml:space="preserve"> (06.03.2016)).</w:t>
      </w:r>
    </w:p>
    <w:p w14:paraId="203042DE" w14:textId="77777777" w:rsidR="0092532A" w:rsidRDefault="0092532A" w:rsidP="0092532A">
      <w:pPr>
        <w:spacing w:line="360" w:lineRule="auto"/>
        <w:ind w:left="720" w:hanging="720"/>
        <w:jc w:val="both"/>
        <w:rPr>
          <w:rtl/>
        </w:rPr>
      </w:pPr>
    </w:p>
    <w:p w14:paraId="76821470" w14:textId="77777777" w:rsidR="0092532A" w:rsidRDefault="0092532A" w:rsidP="0092532A">
      <w:pPr>
        <w:spacing w:line="360" w:lineRule="auto"/>
        <w:ind w:left="720" w:hanging="720"/>
        <w:jc w:val="both"/>
        <w:rPr>
          <w:rtl/>
        </w:rPr>
      </w:pPr>
      <w:r>
        <w:rPr>
          <w:rtl/>
        </w:rPr>
        <w:tab/>
      </w:r>
      <w:r>
        <w:rPr>
          <w:rFonts w:hint="cs"/>
          <w:rtl/>
        </w:rPr>
        <w:t>נטען שהתקיים תכנון מוקדם לביצוע העבירות, ושלנאשם יש אחריות מלאה בגין ביצוע העבירה, שנגרמו נזקים רבים לביתה של המתלוננת ושהתקיים סיכון לגרימת נזק פוטנציאלי גדול עוד יותר.</w:t>
      </w:r>
    </w:p>
    <w:p w14:paraId="77570C10" w14:textId="77777777" w:rsidR="0092532A" w:rsidRDefault="0092532A" w:rsidP="0092532A">
      <w:pPr>
        <w:spacing w:line="360" w:lineRule="auto"/>
        <w:ind w:left="720" w:hanging="720"/>
        <w:jc w:val="both"/>
        <w:rPr>
          <w:rtl/>
        </w:rPr>
      </w:pPr>
    </w:p>
    <w:p w14:paraId="6176B9EC" w14:textId="77777777" w:rsidR="0092532A" w:rsidRDefault="0092532A" w:rsidP="0092532A">
      <w:pPr>
        <w:spacing w:line="360" w:lineRule="auto"/>
        <w:ind w:left="720" w:hanging="720"/>
        <w:jc w:val="both"/>
        <w:rPr>
          <w:rtl/>
        </w:rPr>
      </w:pPr>
      <w:r>
        <w:rPr>
          <w:rtl/>
        </w:rPr>
        <w:tab/>
      </w:r>
      <w:r>
        <w:rPr>
          <w:rFonts w:hint="cs"/>
          <w:rtl/>
        </w:rPr>
        <w:t xml:space="preserve">נטען שהנאשם יכול היה להימנע ממעשיו והוא היה צריך להבין את הפסול במעשיו. </w:t>
      </w:r>
    </w:p>
    <w:p w14:paraId="22C7732B" w14:textId="77777777" w:rsidR="0092532A" w:rsidRDefault="0092532A" w:rsidP="0092532A">
      <w:pPr>
        <w:spacing w:line="360" w:lineRule="auto"/>
        <w:ind w:left="720" w:hanging="720"/>
        <w:jc w:val="both"/>
        <w:rPr>
          <w:rtl/>
        </w:rPr>
      </w:pPr>
    </w:p>
    <w:p w14:paraId="589A09B1" w14:textId="77777777" w:rsidR="0092532A" w:rsidRPr="00070066" w:rsidRDefault="0092532A" w:rsidP="0092532A">
      <w:pPr>
        <w:spacing w:line="360" w:lineRule="auto"/>
        <w:ind w:left="720" w:hanging="720"/>
        <w:jc w:val="both"/>
        <w:rPr>
          <w:rtl/>
        </w:rPr>
      </w:pPr>
      <w:r>
        <w:rPr>
          <w:rFonts w:hint="cs"/>
          <w:rtl/>
        </w:rPr>
        <w:t>3.</w:t>
      </w:r>
      <w:r>
        <w:rPr>
          <w:rtl/>
        </w:rPr>
        <w:tab/>
      </w:r>
      <w:r>
        <w:rPr>
          <w:rFonts w:hint="cs"/>
          <w:rtl/>
        </w:rPr>
        <w:t>באשר למדיניות הענישה אוזכרו המקרים הבאים:</w:t>
      </w:r>
    </w:p>
    <w:p w14:paraId="2872B9AC" w14:textId="77777777" w:rsidR="0092532A" w:rsidRDefault="0092532A" w:rsidP="0092532A">
      <w:pPr>
        <w:spacing w:line="360" w:lineRule="auto"/>
        <w:ind w:left="720" w:hanging="720"/>
        <w:jc w:val="both"/>
        <w:rPr>
          <w:rtl/>
        </w:rPr>
      </w:pPr>
    </w:p>
    <w:p w14:paraId="5449C450" w14:textId="77777777" w:rsidR="0092532A" w:rsidRDefault="0092532A" w:rsidP="0092532A">
      <w:pPr>
        <w:spacing w:line="360" w:lineRule="auto"/>
        <w:ind w:left="720" w:hanging="720"/>
        <w:jc w:val="both"/>
        <w:rPr>
          <w:rtl/>
        </w:rPr>
      </w:pPr>
      <w:r>
        <w:rPr>
          <w:rtl/>
        </w:rPr>
        <w:tab/>
      </w:r>
      <w:hyperlink r:id="rId20" w:history="1">
        <w:r w:rsidR="002313EB" w:rsidRPr="002313EB">
          <w:rPr>
            <w:rStyle w:val="Hyperlink"/>
            <w:rFonts w:hint="eastAsia"/>
            <w:rtl/>
          </w:rPr>
          <w:t>ת</w:t>
        </w:r>
        <w:r w:rsidR="002313EB" w:rsidRPr="002313EB">
          <w:rPr>
            <w:rStyle w:val="Hyperlink"/>
            <w:rtl/>
          </w:rPr>
          <w:t>"פ 3639-11-14</w:t>
        </w:r>
      </w:hyperlink>
      <w:r>
        <w:rPr>
          <w:rFonts w:hint="cs"/>
          <w:rtl/>
        </w:rPr>
        <w:t xml:space="preserve"> </w:t>
      </w:r>
      <w:r>
        <w:rPr>
          <w:rFonts w:hint="cs"/>
          <w:b/>
          <w:bCs/>
          <w:rtl/>
        </w:rPr>
        <w:t>מדינת ישראל נ' חסארמה</w:t>
      </w:r>
      <w:r>
        <w:rPr>
          <w:rFonts w:hint="cs"/>
          <w:rtl/>
        </w:rPr>
        <w:t>, (19.05.2015), שם ירה נאשם מספר יריות לעבר המתלוננים ונגרמו פגיעות בקיר. הנאשם היה צעיר ונעדר עבר פלילי. נקבע מתחם ענישה בין 2-5 שנות מאסר ונגזרו על הנאשם 3 שלוש מאסר בפועל.</w:t>
      </w:r>
    </w:p>
    <w:p w14:paraId="2CFD202F" w14:textId="77777777" w:rsidR="0092532A" w:rsidRDefault="0092532A" w:rsidP="0092532A">
      <w:pPr>
        <w:spacing w:line="360" w:lineRule="auto"/>
        <w:ind w:left="720" w:hanging="720"/>
        <w:jc w:val="both"/>
        <w:rPr>
          <w:rtl/>
        </w:rPr>
      </w:pPr>
    </w:p>
    <w:p w14:paraId="05C86CDD" w14:textId="77777777" w:rsidR="0092532A" w:rsidRDefault="0092532A" w:rsidP="0092532A">
      <w:pPr>
        <w:spacing w:line="360" w:lineRule="auto"/>
        <w:ind w:left="720"/>
        <w:jc w:val="both"/>
        <w:rPr>
          <w:rtl/>
        </w:rPr>
      </w:pPr>
      <w:r>
        <w:rPr>
          <w:rFonts w:hint="cs"/>
          <w:rtl/>
        </w:rPr>
        <w:t>ב</w:t>
      </w:r>
      <w:hyperlink r:id="rId21" w:history="1">
        <w:r w:rsidR="002313EB" w:rsidRPr="002313EB">
          <w:rPr>
            <w:rStyle w:val="Hyperlink"/>
            <w:rFonts w:hint="eastAsia"/>
            <w:rtl/>
          </w:rPr>
          <w:t>ע</w:t>
        </w:r>
        <w:r w:rsidR="002313EB" w:rsidRPr="002313EB">
          <w:rPr>
            <w:rStyle w:val="Hyperlink"/>
            <w:rtl/>
          </w:rPr>
          <w:t>"פ 1244/15</w:t>
        </w:r>
      </w:hyperlink>
      <w:r>
        <w:rPr>
          <w:rFonts w:hint="cs"/>
          <w:rtl/>
        </w:rPr>
        <w:t xml:space="preserve"> </w:t>
      </w:r>
      <w:r>
        <w:rPr>
          <w:rFonts w:hint="cs"/>
          <w:b/>
          <w:bCs/>
          <w:rtl/>
        </w:rPr>
        <w:t>באסל אבו עאמר נ' מדינת ישראל</w:t>
      </w:r>
      <w:r>
        <w:rPr>
          <w:rFonts w:hint="cs"/>
          <w:rtl/>
        </w:rPr>
        <w:t xml:space="preserve"> (18.04.2016), הורשע נאשם בניסיון לחבלה חמורה בנסיבות מחמירות ועבירות נשק כאשר הוא ירה באקדח לעבר רכבו של המתלונן. נקבע מתחם ענישה שבין 3-6 שנות מאסר והוטלו על הנאשם שהיה צעיר ללא עבר פלילי 4 שנות מאסר בפועל. בערעור הופחת העונש ל-44 חודשי מאסר.</w:t>
      </w:r>
    </w:p>
    <w:p w14:paraId="75052031" w14:textId="77777777" w:rsidR="0092532A" w:rsidRDefault="0092532A" w:rsidP="0092532A">
      <w:pPr>
        <w:spacing w:line="360" w:lineRule="auto"/>
        <w:ind w:left="720"/>
        <w:jc w:val="both"/>
        <w:rPr>
          <w:rtl/>
        </w:rPr>
      </w:pPr>
    </w:p>
    <w:p w14:paraId="60B0E3B2" w14:textId="77777777" w:rsidR="0092532A" w:rsidRDefault="0092532A" w:rsidP="0092532A">
      <w:pPr>
        <w:spacing w:line="360" w:lineRule="auto"/>
        <w:ind w:left="720"/>
        <w:jc w:val="both"/>
        <w:rPr>
          <w:rtl/>
        </w:rPr>
      </w:pPr>
      <w:r>
        <w:rPr>
          <w:rFonts w:hint="cs"/>
          <w:rtl/>
        </w:rPr>
        <w:t>ב</w:t>
      </w:r>
      <w:hyperlink r:id="rId22" w:history="1">
        <w:r w:rsidR="002313EB" w:rsidRPr="002313EB">
          <w:rPr>
            <w:rStyle w:val="Hyperlink"/>
            <w:rFonts w:hint="eastAsia"/>
            <w:rtl/>
          </w:rPr>
          <w:t>ע</w:t>
        </w:r>
        <w:r w:rsidR="002313EB" w:rsidRPr="002313EB">
          <w:rPr>
            <w:rStyle w:val="Hyperlink"/>
            <w:rtl/>
          </w:rPr>
          <w:t>"פ 10837/08</w:t>
        </w:r>
      </w:hyperlink>
      <w:r>
        <w:rPr>
          <w:rFonts w:hint="cs"/>
          <w:rtl/>
        </w:rPr>
        <w:t xml:space="preserve"> </w:t>
      </w:r>
      <w:r>
        <w:rPr>
          <w:rFonts w:hint="cs"/>
          <w:b/>
          <w:bCs/>
          <w:rtl/>
        </w:rPr>
        <w:t xml:space="preserve">מחמוד יאסין נ' מדינת ישראל </w:t>
      </w:r>
      <w:r>
        <w:rPr>
          <w:rFonts w:hint="cs"/>
          <w:rtl/>
        </w:rPr>
        <w:t>(28.6.2009), הורשע המערער בניסיון לחבלה חמורה בנסיבות מחמירות ואחזקת נשק כאשר ירה לעבר המתלונן שהצליח לברוח. המערער היה צעיר אך בעל שלוש הרשעות קודמות. נגזרו עליו 3 שנות מאסר בערכאה הדיונית והערעור נדחה.</w:t>
      </w:r>
    </w:p>
    <w:p w14:paraId="7D1C1314" w14:textId="77777777" w:rsidR="0092532A" w:rsidRPr="0078760E" w:rsidRDefault="0092532A" w:rsidP="0092532A">
      <w:pPr>
        <w:spacing w:line="360" w:lineRule="auto"/>
        <w:ind w:left="720"/>
        <w:jc w:val="both"/>
        <w:rPr>
          <w:rtl/>
        </w:rPr>
      </w:pPr>
    </w:p>
    <w:p w14:paraId="3914EA4A" w14:textId="77777777" w:rsidR="0092532A" w:rsidRDefault="0092532A" w:rsidP="0092532A">
      <w:pPr>
        <w:spacing w:line="360" w:lineRule="auto"/>
        <w:ind w:left="720"/>
        <w:jc w:val="both"/>
        <w:rPr>
          <w:rtl/>
        </w:rPr>
      </w:pPr>
      <w:r>
        <w:rPr>
          <w:rFonts w:hint="cs"/>
          <w:rtl/>
        </w:rPr>
        <w:t>ב</w:t>
      </w:r>
      <w:hyperlink r:id="rId23" w:history="1">
        <w:r w:rsidR="002313EB" w:rsidRPr="002313EB">
          <w:rPr>
            <w:rStyle w:val="Hyperlink"/>
            <w:rFonts w:hint="eastAsia"/>
            <w:rtl/>
          </w:rPr>
          <w:t>ע</w:t>
        </w:r>
        <w:r w:rsidR="002313EB" w:rsidRPr="002313EB">
          <w:rPr>
            <w:rStyle w:val="Hyperlink"/>
            <w:rtl/>
          </w:rPr>
          <w:t>"פ 2557/11</w:t>
        </w:r>
      </w:hyperlink>
      <w:r>
        <w:rPr>
          <w:rFonts w:hint="cs"/>
          <w:rtl/>
        </w:rPr>
        <w:t xml:space="preserve"> </w:t>
      </w:r>
      <w:r>
        <w:rPr>
          <w:rFonts w:hint="cs"/>
          <w:b/>
          <w:bCs/>
          <w:rtl/>
        </w:rPr>
        <w:t>צדיק סרחאן נ' מדינת ישראל</w:t>
      </w:r>
      <w:r>
        <w:rPr>
          <w:rFonts w:hint="cs"/>
          <w:rtl/>
        </w:rPr>
        <w:t xml:space="preserve"> (20.09.2011), הורשע המערער בקשירת קשר וניסיון לחבלה חמורה בנסיבות מחמירות כאשר הוא ירה לעבר המתלוננים מספר יריות שהחטיאו. הוטלו עליו 30 חודשי מאסר בפועל וערעורו נדחה.</w:t>
      </w:r>
    </w:p>
    <w:p w14:paraId="726CF4D1" w14:textId="77777777" w:rsidR="0092532A" w:rsidRDefault="0092532A" w:rsidP="0092532A">
      <w:pPr>
        <w:spacing w:line="360" w:lineRule="auto"/>
        <w:ind w:left="720"/>
        <w:jc w:val="both"/>
        <w:rPr>
          <w:rtl/>
        </w:rPr>
      </w:pPr>
    </w:p>
    <w:p w14:paraId="58F8F142" w14:textId="77777777" w:rsidR="0092532A" w:rsidRDefault="0092532A" w:rsidP="0092532A">
      <w:pPr>
        <w:spacing w:line="360" w:lineRule="auto"/>
        <w:ind w:left="720"/>
        <w:jc w:val="both"/>
        <w:rPr>
          <w:rtl/>
        </w:rPr>
      </w:pPr>
      <w:r>
        <w:rPr>
          <w:rFonts w:hint="cs"/>
          <w:rtl/>
        </w:rPr>
        <w:t>ב</w:t>
      </w:r>
      <w:hyperlink r:id="rId24" w:history="1">
        <w:r w:rsidR="002313EB" w:rsidRPr="002313EB">
          <w:rPr>
            <w:rStyle w:val="Hyperlink"/>
            <w:rFonts w:hint="eastAsia"/>
            <w:rtl/>
          </w:rPr>
          <w:t>ע</w:t>
        </w:r>
        <w:r w:rsidR="002313EB" w:rsidRPr="002313EB">
          <w:rPr>
            <w:rStyle w:val="Hyperlink"/>
            <w:rtl/>
          </w:rPr>
          <w:t>"פ 3156/11</w:t>
        </w:r>
      </w:hyperlink>
      <w:r>
        <w:rPr>
          <w:rFonts w:hint="cs"/>
          <w:rtl/>
        </w:rPr>
        <w:t xml:space="preserve"> </w:t>
      </w:r>
      <w:r>
        <w:rPr>
          <w:rFonts w:hint="cs"/>
          <w:b/>
          <w:bCs/>
          <w:rtl/>
        </w:rPr>
        <w:t>ג'אמיל זראיעה נ' מדינת ישראל</w:t>
      </w:r>
      <w:r>
        <w:rPr>
          <w:rFonts w:hint="cs"/>
          <w:rtl/>
        </w:rPr>
        <w:t xml:space="preserve"> (21.2.2012), מערער נעדר עבר פלילי הורשע על פי הודאתו בעבירות של נשיאה והובלת נשק והסתייעות ברכב לביצוע פשע. הושתו עליו 24 חודשי מאסר בפועל. הערעור לבית המשפט העליון נדחה ברוב דעות. </w:t>
      </w:r>
    </w:p>
    <w:p w14:paraId="614C4A37" w14:textId="77777777" w:rsidR="0092532A" w:rsidRDefault="0092532A" w:rsidP="0092532A">
      <w:pPr>
        <w:spacing w:line="360" w:lineRule="auto"/>
        <w:ind w:left="720"/>
        <w:jc w:val="both"/>
        <w:rPr>
          <w:rtl/>
        </w:rPr>
      </w:pPr>
    </w:p>
    <w:p w14:paraId="46C806A2" w14:textId="77777777" w:rsidR="0092532A" w:rsidRDefault="0092532A" w:rsidP="0092532A">
      <w:pPr>
        <w:spacing w:line="360" w:lineRule="auto"/>
        <w:ind w:left="720"/>
        <w:jc w:val="both"/>
        <w:rPr>
          <w:rtl/>
        </w:rPr>
      </w:pPr>
      <w:r>
        <w:rPr>
          <w:rFonts w:hint="cs"/>
          <w:rtl/>
        </w:rPr>
        <w:t xml:space="preserve">באשר לנסיבות שאינן קשורות לביצוע העבירה הודגש שהנאשם הודה בכתב אישום מתוקן בהזדמנות הראשונה אך מאידך הבין היטב את מעשיו והשלכותיהם. הוזכר ששירות המבחן קבע רמת מסוכנות גבוהה ולא המליץ על ענישה שיקומית. נטען שאין לסטות ממתחם הענישה בשל שיקולי שיקום. </w:t>
      </w:r>
    </w:p>
    <w:p w14:paraId="02B348DA" w14:textId="77777777" w:rsidR="0092532A" w:rsidRDefault="0092532A" w:rsidP="0092532A">
      <w:pPr>
        <w:spacing w:line="360" w:lineRule="auto"/>
        <w:ind w:left="720"/>
        <w:jc w:val="both"/>
        <w:rPr>
          <w:rtl/>
        </w:rPr>
      </w:pPr>
    </w:p>
    <w:p w14:paraId="32FE7810" w14:textId="77777777" w:rsidR="0092532A" w:rsidRPr="0078760E" w:rsidRDefault="0092532A" w:rsidP="0092532A">
      <w:pPr>
        <w:spacing w:line="360" w:lineRule="auto"/>
        <w:ind w:left="720"/>
        <w:jc w:val="both"/>
        <w:rPr>
          <w:rtl/>
        </w:rPr>
      </w:pPr>
      <w:r>
        <w:rPr>
          <w:rFonts w:hint="cs"/>
          <w:rtl/>
        </w:rPr>
        <w:t xml:space="preserve">בסופו של עניין ביקשה המדינה לקבוע מתחם ענישה בין 3-6 שנות מאסר בפועל יחד עם מאסר מותנה וקנס כספי ופיצוי למתלוננת. </w:t>
      </w:r>
    </w:p>
    <w:p w14:paraId="6750BF60" w14:textId="77777777" w:rsidR="0092532A" w:rsidRDefault="0092532A" w:rsidP="0092532A">
      <w:pPr>
        <w:spacing w:line="360" w:lineRule="auto"/>
        <w:ind w:left="720" w:hanging="720"/>
        <w:jc w:val="both"/>
        <w:rPr>
          <w:rtl/>
        </w:rPr>
      </w:pPr>
      <w:r>
        <w:rPr>
          <w:rtl/>
        </w:rPr>
        <w:tab/>
      </w:r>
    </w:p>
    <w:p w14:paraId="1FCAB43F" w14:textId="77777777" w:rsidR="0092532A" w:rsidRDefault="0092532A" w:rsidP="0092532A">
      <w:pPr>
        <w:spacing w:line="360" w:lineRule="auto"/>
        <w:ind w:left="720" w:hanging="720"/>
        <w:jc w:val="both"/>
        <w:rPr>
          <w:rtl/>
        </w:rPr>
      </w:pPr>
      <w:r>
        <w:rPr>
          <w:rFonts w:hint="cs"/>
          <w:b/>
          <w:bCs/>
          <w:u w:val="single"/>
          <w:rtl/>
        </w:rPr>
        <w:t>טיעוני ההגנה לעונש</w:t>
      </w:r>
    </w:p>
    <w:p w14:paraId="3E719DB8" w14:textId="77777777" w:rsidR="0092532A" w:rsidRDefault="0092532A" w:rsidP="0092532A">
      <w:pPr>
        <w:spacing w:line="360" w:lineRule="auto"/>
        <w:ind w:left="720" w:hanging="720"/>
        <w:jc w:val="both"/>
        <w:rPr>
          <w:rtl/>
        </w:rPr>
      </w:pPr>
    </w:p>
    <w:p w14:paraId="27BC649A" w14:textId="77777777" w:rsidR="0092532A" w:rsidRDefault="0092532A" w:rsidP="0092532A">
      <w:pPr>
        <w:spacing w:line="360" w:lineRule="auto"/>
        <w:ind w:left="720" w:hanging="720"/>
        <w:jc w:val="both"/>
        <w:rPr>
          <w:rtl/>
        </w:rPr>
      </w:pPr>
      <w:r>
        <w:rPr>
          <w:rFonts w:hint="cs"/>
          <w:rtl/>
        </w:rPr>
        <w:t>4.</w:t>
      </w:r>
      <w:r>
        <w:rPr>
          <w:rFonts w:hint="cs"/>
          <w:rtl/>
        </w:rPr>
        <w:tab/>
        <w:t xml:space="preserve">הסנגור טען שהנאשם היה רק בן 19.5 בעת ביצוע העבירות ומדובר במעצרו הראשון. נטען שהוא נותר במעצר כיוון שלא נמצאה חלופה הולמת והודגש שהשהות בתנאי מעצר קשה מהשהות  בתנאי מאסר. הוזכר שהוא הודה בהזדמנות הראשונה ושהוא הביע אף בפני שירות המבחן חרטה אמיתית והודה שפעל בחוסר שיקול דעת ובאופן אימפולסיבי. </w:t>
      </w:r>
    </w:p>
    <w:p w14:paraId="016C29BD" w14:textId="77777777" w:rsidR="0092532A" w:rsidRDefault="0092532A" w:rsidP="0092532A">
      <w:pPr>
        <w:spacing w:line="360" w:lineRule="auto"/>
        <w:ind w:left="720" w:hanging="720"/>
        <w:jc w:val="both"/>
        <w:rPr>
          <w:rtl/>
        </w:rPr>
      </w:pPr>
    </w:p>
    <w:p w14:paraId="2D89D735" w14:textId="77777777" w:rsidR="0092532A" w:rsidRDefault="0092532A" w:rsidP="0092532A">
      <w:pPr>
        <w:spacing w:line="360" w:lineRule="auto"/>
        <w:ind w:left="720" w:hanging="720"/>
        <w:jc w:val="both"/>
        <w:rPr>
          <w:rtl/>
        </w:rPr>
      </w:pPr>
      <w:r>
        <w:rPr>
          <w:rtl/>
        </w:rPr>
        <w:tab/>
      </w:r>
      <w:r>
        <w:rPr>
          <w:rFonts w:hint="cs"/>
          <w:rtl/>
        </w:rPr>
        <w:t>נטען שהנאשם גילה פתיחות בפני שירות המבחן ולא ניסה להמעיט בחומרת המעשה. הסנגור ביקש לראות בכך נקודת אור לקראת שיקומו.</w:t>
      </w:r>
    </w:p>
    <w:p w14:paraId="1C11D1CB" w14:textId="77777777" w:rsidR="0092532A" w:rsidRDefault="0092532A" w:rsidP="0092532A">
      <w:pPr>
        <w:spacing w:line="360" w:lineRule="auto"/>
        <w:ind w:left="720" w:hanging="720"/>
        <w:jc w:val="both"/>
        <w:rPr>
          <w:rtl/>
        </w:rPr>
      </w:pPr>
    </w:p>
    <w:p w14:paraId="72AA06F0" w14:textId="77777777" w:rsidR="0092532A" w:rsidRDefault="0092532A" w:rsidP="0092532A">
      <w:pPr>
        <w:spacing w:line="360" w:lineRule="auto"/>
        <w:ind w:left="720" w:hanging="720"/>
        <w:jc w:val="both"/>
        <w:rPr>
          <w:rtl/>
        </w:rPr>
      </w:pPr>
      <w:r>
        <w:rPr>
          <w:rtl/>
        </w:rPr>
        <w:tab/>
      </w:r>
      <w:r>
        <w:rPr>
          <w:rFonts w:hint="cs"/>
          <w:rtl/>
        </w:rPr>
        <w:t xml:space="preserve">הודגש כי נסיבות חייו של הנאשם קשות כאשר אמו נפטרה בגיל צעיר והוא הפסיק את לימודיו וחיפש תעסוקה על מנת לסייע לאביו ואז התחבר לחברה שולית. </w:t>
      </w:r>
    </w:p>
    <w:p w14:paraId="7FD9117E" w14:textId="77777777" w:rsidR="0092532A" w:rsidRDefault="0092532A" w:rsidP="0092532A">
      <w:pPr>
        <w:spacing w:line="360" w:lineRule="auto"/>
        <w:ind w:left="720" w:hanging="720"/>
        <w:jc w:val="both"/>
        <w:rPr>
          <w:rtl/>
        </w:rPr>
      </w:pPr>
    </w:p>
    <w:p w14:paraId="45811160" w14:textId="77777777" w:rsidR="0092532A" w:rsidRDefault="0092532A" w:rsidP="0092532A">
      <w:pPr>
        <w:spacing w:line="360" w:lineRule="auto"/>
        <w:ind w:left="720"/>
        <w:jc w:val="both"/>
        <w:rPr>
          <w:rtl/>
        </w:rPr>
      </w:pPr>
      <w:r>
        <w:rPr>
          <w:rFonts w:hint="cs"/>
          <w:rtl/>
        </w:rPr>
        <w:t xml:space="preserve">נטען שנחסך זמן רב על ידי מתן ההודאה. כמו כן נטען שטרם הוגש כתב אישום נגד השותף. </w:t>
      </w:r>
    </w:p>
    <w:p w14:paraId="03845A6F" w14:textId="77777777" w:rsidR="0092532A" w:rsidRDefault="0092532A" w:rsidP="0092532A">
      <w:pPr>
        <w:spacing w:line="360" w:lineRule="auto"/>
        <w:ind w:left="720"/>
        <w:jc w:val="both"/>
        <w:rPr>
          <w:rtl/>
        </w:rPr>
      </w:pPr>
    </w:p>
    <w:p w14:paraId="078DFD8A" w14:textId="77777777" w:rsidR="0092532A" w:rsidRDefault="0092532A" w:rsidP="0092532A">
      <w:pPr>
        <w:spacing w:line="360" w:lineRule="auto"/>
        <w:ind w:left="720"/>
        <w:jc w:val="both"/>
        <w:rPr>
          <w:rtl/>
        </w:rPr>
      </w:pPr>
      <w:r>
        <w:rPr>
          <w:rFonts w:hint="cs"/>
          <w:rtl/>
        </w:rPr>
        <w:t xml:space="preserve">הסנגור טען שמתחם הענישה ההולם נע בין 1-3 שנות מאסר בהסתמך על הפסיקה שהוגשה על ידי המדינה. נטען שנסיבות עובדתיות באותם מקרים שהוסברו היו חמורות יותר מאשר במקרה דנן. </w:t>
      </w:r>
    </w:p>
    <w:p w14:paraId="6D4446DC" w14:textId="77777777" w:rsidR="0092532A" w:rsidRDefault="0092532A" w:rsidP="0092532A">
      <w:pPr>
        <w:spacing w:line="360" w:lineRule="auto"/>
        <w:ind w:left="720"/>
        <w:jc w:val="both"/>
        <w:rPr>
          <w:rtl/>
        </w:rPr>
      </w:pPr>
    </w:p>
    <w:p w14:paraId="6F5F5ACF" w14:textId="77777777" w:rsidR="0092532A" w:rsidRDefault="0092532A" w:rsidP="0092532A">
      <w:pPr>
        <w:spacing w:line="360" w:lineRule="auto"/>
        <w:ind w:left="720"/>
        <w:jc w:val="both"/>
        <w:rPr>
          <w:rtl/>
        </w:rPr>
      </w:pPr>
      <w:r>
        <w:rPr>
          <w:rFonts w:hint="cs"/>
          <w:rtl/>
        </w:rPr>
        <w:t xml:space="preserve">נטען שניתן תסקיר חיובי ושהנאשם לא שלל צורך בטיפול. </w:t>
      </w:r>
    </w:p>
    <w:p w14:paraId="382B9ED3" w14:textId="77777777" w:rsidR="0092532A" w:rsidRDefault="0092532A" w:rsidP="0092532A">
      <w:pPr>
        <w:spacing w:line="360" w:lineRule="auto"/>
        <w:ind w:left="720"/>
        <w:jc w:val="both"/>
        <w:rPr>
          <w:rtl/>
        </w:rPr>
      </w:pPr>
    </w:p>
    <w:p w14:paraId="7C78E695" w14:textId="77777777" w:rsidR="0092532A" w:rsidRPr="00D06D52" w:rsidRDefault="0092532A" w:rsidP="0092532A">
      <w:pPr>
        <w:spacing w:line="360" w:lineRule="auto"/>
        <w:ind w:left="720"/>
        <w:jc w:val="both"/>
        <w:rPr>
          <w:rtl/>
        </w:rPr>
      </w:pPr>
      <w:r>
        <w:rPr>
          <w:rFonts w:hint="cs"/>
          <w:rtl/>
        </w:rPr>
        <w:t>הסנגור טען כי מתחם הענישה על פי פסיקה נע בין עבודות שירות ועד ל-12 חודשי מאסר.</w:t>
      </w:r>
    </w:p>
    <w:p w14:paraId="4532CB7A" w14:textId="77777777" w:rsidR="0092532A" w:rsidRPr="00B05847" w:rsidRDefault="0092532A" w:rsidP="0092532A">
      <w:pPr>
        <w:rPr>
          <w:rtl/>
        </w:rPr>
      </w:pPr>
    </w:p>
    <w:p w14:paraId="48B4F025" w14:textId="77777777" w:rsidR="0092532A" w:rsidRPr="00B05847" w:rsidRDefault="0092532A" w:rsidP="0092532A">
      <w:pPr>
        <w:rPr>
          <w:rtl/>
        </w:rPr>
      </w:pPr>
    </w:p>
    <w:p w14:paraId="606D99B3" w14:textId="77777777" w:rsidR="0092532A" w:rsidRDefault="0092532A" w:rsidP="0092532A">
      <w:pPr>
        <w:rPr>
          <w:rtl/>
        </w:rPr>
      </w:pPr>
      <w:r>
        <w:rPr>
          <w:rFonts w:hint="cs"/>
          <w:rtl/>
        </w:rPr>
        <w:t xml:space="preserve"> 5.</w:t>
      </w:r>
      <w:r>
        <w:rPr>
          <w:rFonts w:hint="cs"/>
          <w:rtl/>
        </w:rPr>
        <w:tab/>
        <w:t>אוזכרה הפסיקה הבאה:</w:t>
      </w:r>
    </w:p>
    <w:p w14:paraId="67AE5532" w14:textId="77777777" w:rsidR="0092532A" w:rsidRDefault="0092532A" w:rsidP="0092532A">
      <w:pPr>
        <w:rPr>
          <w:rtl/>
        </w:rPr>
      </w:pPr>
    </w:p>
    <w:p w14:paraId="260751F5" w14:textId="77777777" w:rsidR="0092532A" w:rsidRDefault="0092532A" w:rsidP="0092532A">
      <w:pPr>
        <w:rPr>
          <w:rtl/>
        </w:rPr>
      </w:pPr>
    </w:p>
    <w:p w14:paraId="01DFE1F9" w14:textId="77777777" w:rsidR="0092532A" w:rsidRDefault="002313EB" w:rsidP="0092532A">
      <w:pPr>
        <w:spacing w:line="360" w:lineRule="auto"/>
        <w:ind w:left="720"/>
        <w:jc w:val="both"/>
        <w:rPr>
          <w:rtl/>
        </w:rPr>
      </w:pPr>
      <w:hyperlink r:id="rId25" w:history="1">
        <w:r w:rsidRPr="002313EB">
          <w:rPr>
            <w:rStyle w:val="Hyperlink"/>
            <w:rFonts w:hint="eastAsia"/>
            <w:rtl/>
          </w:rPr>
          <w:t>ת</w:t>
        </w:r>
        <w:r w:rsidRPr="002313EB">
          <w:rPr>
            <w:rStyle w:val="Hyperlink"/>
            <w:rtl/>
          </w:rPr>
          <w:t>"פ 37065-10-15</w:t>
        </w:r>
      </w:hyperlink>
      <w:r w:rsidR="0092532A">
        <w:rPr>
          <w:rFonts w:hint="cs"/>
          <w:rtl/>
        </w:rPr>
        <w:t xml:space="preserve"> </w:t>
      </w:r>
      <w:r w:rsidR="0092532A">
        <w:rPr>
          <w:rFonts w:hint="cs"/>
          <w:b/>
          <w:bCs/>
          <w:rtl/>
        </w:rPr>
        <w:t>מדינת ישראל נ' שחאדה ואח'</w:t>
      </w:r>
      <w:r w:rsidR="0092532A">
        <w:rPr>
          <w:rFonts w:hint="cs"/>
          <w:rtl/>
        </w:rPr>
        <w:t xml:space="preserve"> (17.11.2016), באותו מקרה קשרו הנאשמים קשר לזרוק רימון הלם לעבר מתחם מגורים, הצטיידו בנשק חם ורימון הלם. הנאשם 1 ירה לעבר כלי רכב השייכים למתלוננים והנאשם 2 זרק את רימון ההלם סמוך לכלי רכב. על הנאשם 1 הוטלו 15 חודשי מאסר בפועל ועל הנאשם 2 הוטלו 24 חודשי מאסר. </w:t>
      </w:r>
    </w:p>
    <w:p w14:paraId="04ECC941" w14:textId="77777777" w:rsidR="0092532A" w:rsidRDefault="0092532A" w:rsidP="0092532A">
      <w:pPr>
        <w:spacing w:line="360" w:lineRule="auto"/>
        <w:ind w:left="720"/>
        <w:jc w:val="both"/>
        <w:rPr>
          <w:rtl/>
        </w:rPr>
      </w:pPr>
    </w:p>
    <w:p w14:paraId="0AF17426" w14:textId="77777777" w:rsidR="0092532A" w:rsidRDefault="0092532A" w:rsidP="0092532A">
      <w:pPr>
        <w:spacing w:line="360" w:lineRule="auto"/>
        <w:ind w:left="720"/>
        <w:jc w:val="both"/>
        <w:rPr>
          <w:rtl/>
        </w:rPr>
      </w:pPr>
      <w:r>
        <w:rPr>
          <w:rFonts w:hint="cs"/>
          <w:rtl/>
        </w:rPr>
        <w:t>ב</w:t>
      </w:r>
      <w:hyperlink r:id="rId26" w:history="1">
        <w:r w:rsidR="002313EB" w:rsidRPr="002313EB">
          <w:rPr>
            <w:rStyle w:val="Hyperlink"/>
            <w:rFonts w:hint="eastAsia"/>
            <w:rtl/>
          </w:rPr>
          <w:t>ת</w:t>
        </w:r>
        <w:r w:rsidR="002313EB" w:rsidRPr="002313EB">
          <w:rPr>
            <w:rStyle w:val="Hyperlink"/>
            <w:rtl/>
          </w:rPr>
          <w:t>"פ 50321-03-16</w:t>
        </w:r>
      </w:hyperlink>
      <w:r>
        <w:rPr>
          <w:rFonts w:hint="cs"/>
          <w:rtl/>
        </w:rPr>
        <w:t xml:space="preserve"> </w:t>
      </w:r>
      <w:r>
        <w:rPr>
          <w:rFonts w:hint="cs"/>
          <w:b/>
          <w:bCs/>
          <w:rtl/>
        </w:rPr>
        <w:t>מדינת ישראל נ' מואסי ואח'</w:t>
      </w:r>
      <w:r>
        <w:rPr>
          <w:rFonts w:hint="cs"/>
          <w:rtl/>
        </w:rPr>
        <w:t xml:space="preserve"> (07.12.2016), הודו הנאשמים במסגרת הסדר טיעון בייצור נשק, נשיאת נשק וסיכון חיי אנשים במזיד בנתיב תחבורה כאשר הם זרקו בקבוקי תבערה על כביש בלילה. הוטלו עליהם תקופות מאסר קצרות של 4-6 חודשי מאסר לריצוי בעבודות שירות. </w:t>
      </w:r>
    </w:p>
    <w:p w14:paraId="6C017C62" w14:textId="77777777" w:rsidR="0092532A" w:rsidRDefault="0092532A" w:rsidP="0092532A">
      <w:pPr>
        <w:spacing w:line="360" w:lineRule="auto"/>
        <w:ind w:left="720"/>
        <w:jc w:val="both"/>
        <w:rPr>
          <w:rtl/>
        </w:rPr>
      </w:pPr>
    </w:p>
    <w:p w14:paraId="100D9B17" w14:textId="77777777" w:rsidR="0092532A" w:rsidRDefault="0092532A" w:rsidP="0092532A">
      <w:pPr>
        <w:spacing w:line="360" w:lineRule="auto"/>
        <w:ind w:left="720"/>
        <w:jc w:val="both"/>
        <w:rPr>
          <w:rtl/>
        </w:rPr>
      </w:pPr>
      <w:r>
        <w:rPr>
          <w:rFonts w:hint="cs"/>
          <w:rtl/>
        </w:rPr>
        <w:t>ב</w:t>
      </w:r>
      <w:hyperlink r:id="rId27" w:history="1">
        <w:r w:rsidR="002313EB" w:rsidRPr="002313EB">
          <w:rPr>
            <w:rStyle w:val="Hyperlink"/>
            <w:rFonts w:hint="eastAsia"/>
            <w:rtl/>
          </w:rPr>
          <w:t>ת</w:t>
        </w:r>
        <w:r w:rsidR="002313EB" w:rsidRPr="002313EB">
          <w:rPr>
            <w:rStyle w:val="Hyperlink"/>
            <w:rtl/>
          </w:rPr>
          <w:t>"פ 47161-08-17</w:t>
        </w:r>
      </w:hyperlink>
      <w:r>
        <w:rPr>
          <w:rFonts w:hint="cs"/>
          <w:rtl/>
        </w:rPr>
        <w:t xml:space="preserve"> </w:t>
      </w:r>
      <w:r>
        <w:rPr>
          <w:rFonts w:hint="cs"/>
          <w:b/>
          <w:bCs/>
          <w:rtl/>
        </w:rPr>
        <w:t>מדינת ישראל נ' עלסלה</w:t>
      </w:r>
      <w:r>
        <w:rPr>
          <w:rFonts w:hint="cs"/>
          <w:rtl/>
        </w:rPr>
        <w:t xml:space="preserve"> (21.2.2018), בגין עבירות של החזקת נשק והובלה ונשיאה של נשק במסגרתו רכש הנאשם נשק עם אחר וכדורים רבים והוביל אותם בתוך רכבו עד לביתו, הוטלו עליו 12 חודשי מאסר בפועל. </w:t>
      </w:r>
    </w:p>
    <w:p w14:paraId="75038C0E" w14:textId="77777777" w:rsidR="0092532A" w:rsidRDefault="0092532A" w:rsidP="0092532A">
      <w:pPr>
        <w:spacing w:line="360" w:lineRule="auto"/>
        <w:ind w:left="720"/>
        <w:jc w:val="both"/>
        <w:rPr>
          <w:rtl/>
        </w:rPr>
      </w:pPr>
    </w:p>
    <w:p w14:paraId="2420F8F6" w14:textId="77777777" w:rsidR="0092532A" w:rsidRDefault="0092532A" w:rsidP="0092532A">
      <w:pPr>
        <w:spacing w:line="360" w:lineRule="auto"/>
        <w:rPr>
          <w:b/>
          <w:bCs/>
          <w:u w:val="single"/>
          <w:rtl/>
        </w:rPr>
      </w:pPr>
      <w:r w:rsidRPr="00560BA6">
        <w:rPr>
          <w:rFonts w:hint="cs"/>
          <w:b/>
          <w:bCs/>
          <w:u w:val="single"/>
          <w:rtl/>
        </w:rPr>
        <w:t>עמדת הנאשם</w:t>
      </w:r>
    </w:p>
    <w:p w14:paraId="1FFBC338" w14:textId="77777777" w:rsidR="0092532A" w:rsidRPr="00560BA6" w:rsidRDefault="0092532A" w:rsidP="0092532A">
      <w:pPr>
        <w:spacing w:line="360" w:lineRule="auto"/>
        <w:rPr>
          <w:b/>
          <w:bCs/>
          <w:u w:val="single"/>
          <w:rtl/>
        </w:rPr>
      </w:pPr>
    </w:p>
    <w:p w14:paraId="187D0A9F" w14:textId="77777777" w:rsidR="0092532A" w:rsidRDefault="0092532A" w:rsidP="0092532A">
      <w:pPr>
        <w:spacing w:line="360" w:lineRule="auto"/>
        <w:ind w:left="720" w:hanging="720"/>
        <w:rPr>
          <w:rtl/>
        </w:rPr>
      </w:pPr>
      <w:r>
        <w:rPr>
          <w:rFonts w:hint="cs"/>
          <w:rtl/>
        </w:rPr>
        <w:t>6.</w:t>
      </w:r>
      <w:r>
        <w:rPr>
          <w:rFonts w:hint="cs"/>
          <w:rtl/>
        </w:rPr>
        <w:tab/>
      </w:r>
      <w:r w:rsidRPr="006D63E2">
        <w:rPr>
          <w:rFonts w:hint="cs"/>
          <w:rtl/>
        </w:rPr>
        <w:t xml:space="preserve">הנאשם הביע חרטה על מעשיו, קיבל אחריות </w:t>
      </w:r>
      <w:r>
        <w:rPr>
          <w:rFonts w:hint="cs"/>
          <w:rtl/>
        </w:rPr>
        <w:t xml:space="preserve">בגינם </w:t>
      </w:r>
      <w:r w:rsidRPr="006D63E2">
        <w:rPr>
          <w:rFonts w:hint="cs"/>
          <w:rtl/>
        </w:rPr>
        <w:t xml:space="preserve">פעם נוספת </w:t>
      </w:r>
      <w:r>
        <w:rPr>
          <w:rFonts w:hint="cs"/>
          <w:rtl/>
        </w:rPr>
        <w:t xml:space="preserve">באולם בית המשפט, </w:t>
      </w:r>
      <w:r w:rsidRPr="006D63E2">
        <w:rPr>
          <w:rFonts w:hint="cs"/>
          <w:rtl/>
        </w:rPr>
        <w:t>והבטיח שלא לחזור על המעשים.</w:t>
      </w:r>
    </w:p>
    <w:p w14:paraId="100D2FFC" w14:textId="77777777" w:rsidR="0092532A" w:rsidRPr="006D63E2" w:rsidRDefault="0092532A" w:rsidP="0092532A">
      <w:pPr>
        <w:ind w:left="720"/>
        <w:rPr>
          <w:rtl/>
        </w:rPr>
      </w:pPr>
    </w:p>
    <w:p w14:paraId="64F68F31" w14:textId="77777777" w:rsidR="0092532A" w:rsidRDefault="0092532A" w:rsidP="0092532A">
      <w:pPr>
        <w:rPr>
          <w:rtl/>
        </w:rPr>
      </w:pPr>
    </w:p>
    <w:p w14:paraId="61E030ED" w14:textId="77777777" w:rsidR="0092532A" w:rsidRDefault="0092532A" w:rsidP="0092532A">
      <w:pPr>
        <w:rPr>
          <w:b/>
          <w:bCs/>
          <w:u w:val="single"/>
          <w:rtl/>
        </w:rPr>
      </w:pPr>
      <w:r>
        <w:rPr>
          <w:rFonts w:hint="cs"/>
          <w:b/>
          <w:bCs/>
          <w:u w:val="single"/>
          <w:rtl/>
        </w:rPr>
        <w:t>תסקיר שירות המבחן</w:t>
      </w:r>
    </w:p>
    <w:p w14:paraId="70C1E40A" w14:textId="77777777" w:rsidR="0092532A" w:rsidRDefault="0092532A" w:rsidP="0092532A">
      <w:pPr>
        <w:rPr>
          <w:b/>
          <w:bCs/>
          <w:u w:val="single"/>
          <w:rtl/>
        </w:rPr>
      </w:pPr>
    </w:p>
    <w:p w14:paraId="59563BB5" w14:textId="77777777" w:rsidR="0092532A" w:rsidRDefault="0092532A" w:rsidP="0092532A">
      <w:pPr>
        <w:rPr>
          <w:rtl/>
        </w:rPr>
      </w:pPr>
    </w:p>
    <w:p w14:paraId="5C3D7421" w14:textId="77777777" w:rsidR="0092532A" w:rsidRDefault="0092532A" w:rsidP="0092532A">
      <w:pPr>
        <w:spacing w:line="360" w:lineRule="auto"/>
        <w:ind w:left="720" w:hanging="720"/>
        <w:jc w:val="both"/>
        <w:rPr>
          <w:rtl/>
        </w:rPr>
      </w:pPr>
      <w:r>
        <w:rPr>
          <w:rFonts w:hint="cs"/>
          <w:rtl/>
        </w:rPr>
        <w:t>7.</w:t>
      </w:r>
      <w:r>
        <w:rPr>
          <w:rtl/>
        </w:rPr>
        <w:tab/>
      </w:r>
      <w:r>
        <w:rPr>
          <w:rFonts w:hint="cs"/>
          <w:rtl/>
        </w:rPr>
        <w:t xml:space="preserve">בתסקיר שירות המבחן תואר שהנאשם בן 20, רווק, וטרם מעצרו התגורר בבית סבתו בטמרה ובבית אביו בכפר מכר ועבד בעבודות עפר בטמרה. אמו נפטרה לפני כארבע שנים ובעקבות כך החלה הדרדרות בתפקוד המשפחה והנאשם התחבר לחברה שולית. הנאשם החל לעבוד בגיל 17 בעבודות מזדמנות. </w:t>
      </w:r>
    </w:p>
    <w:p w14:paraId="3C9D0CFA" w14:textId="77777777" w:rsidR="0092532A" w:rsidRDefault="0092532A" w:rsidP="0092532A">
      <w:pPr>
        <w:spacing w:line="360" w:lineRule="auto"/>
        <w:ind w:left="720" w:hanging="720"/>
        <w:jc w:val="both"/>
        <w:rPr>
          <w:rtl/>
        </w:rPr>
      </w:pPr>
      <w:r>
        <w:rPr>
          <w:rtl/>
        </w:rPr>
        <w:tab/>
      </w:r>
    </w:p>
    <w:p w14:paraId="70079761" w14:textId="77777777" w:rsidR="0092532A" w:rsidRDefault="0092532A" w:rsidP="0092532A">
      <w:pPr>
        <w:spacing w:line="360" w:lineRule="auto"/>
        <w:ind w:left="720" w:hanging="720"/>
        <w:jc w:val="both"/>
        <w:rPr>
          <w:rtl/>
        </w:rPr>
      </w:pPr>
      <w:r>
        <w:rPr>
          <w:rtl/>
        </w:rPr>
        <w:tab/>
      </w:r>
      <w:r>
        <w:rPr>
          <w:rFonts w:hint="cs"/>
          <w:rtl/>
        </w:rPr>
        <w:t xml:space="preserve">באשר להיסטוריה עבריינית, תואר שאין לחובתו הרשעות אם כי התנהל נגדו תיק במסגרת ביהמ"ש לנוער בגין פריצה לבניין שאינו דירה ותקיפה הגורמת חבלה עוד שנת 2016, שאז שולב בקבוצה טיפולית אך הופסקה השתתפותו כיוון שמיעט להגיע למפגשים. </w:t>
      </w:r>
    </w:p>
    <w:p w14:paraId="6E4745CB" w14:textId="77777777" w:rsidR="0092532A" w:rsidRDefault="0092532A" w:rsidP="0092532A">
      <w:pPr>
        <w:spacing w:line="360" w:lineRule="auto"/>
        <w:ind w:left="720" w:hanging="720"/>
        <w:jc w:val="both"/>
        <w:rPr>
          <w:rtl/>
        </w:rPr>
      </w:pPr>
    </w:p>
    <w:p w14:paraId="3F4D69C4" w14:textId="77777777" w:rsidR="0092532A" w:rsidRDefault="0092532A" w:rsidP="0092532A">
      <w:pPr>
        <w:spacing w:line="360" w:lineRule="auto"/>
        <w:ind w:left="720" w:hanging="720"/>
        <w:jc w:val="both"/>
        <w:rPr>
          <w:rtl/>
        </w:rPr>
      </w:pPr>
      <w:r>
        <w:rPr>
          <w:rtl/>
        </w:rPr>
        <w:tab/>
      </w:r>
      <w:r>
        <w:rPr>
          <w:rFonts w:hint="cs"/>
          <w:rtl/>
        </w:rPr>
        <w:t xml:space="preserve">באשר להליך דנן, הוא תיאר את הסכסוך שקיים בין המתלוננת לבין אחת המשפחות בכפר שיש לו קשר עמן ותיאר שביצע את העבירות על רקע פגיעה רגשית באותה משפחה. </w:t>
      </w:r>
    </w:p>
    <w:p w14:paraId="17DF6922" w14:textId="77777777" w:rsidR="0092532A" w:rsidRDefault="0092532A" w:rsidP="0092532A">
      <w:pPr>
        <w:spacing w:line="360" w:lineRule="auto"/>
        <w:ind w:left="720" w:hanging="720"/>
        <w:jc w:val="both"/>
        <w:rPr>
          <w:rtl/>
        </w:rPr>
      </w:pPr>
    </w:p>
    <w:p w14:paraId="70D10A86" w14:textId="77777777" w:rsidR="0092532A" w:rsidRPr="00D06D52" w:rsidRDefault="0092532A" w:rsidP="0092532A">
      <w:pPr>
        <w:spacing w:line="360" w:lineRule="auto"/>
        <w:ind w:left="720" w:hanging="720"/>
        <w:jc w:val="both"/>
        <w:rPr>
          <w:rtl/>
        </w:rPr>
      </w:pPr>
      <w:r>
        <w:rPr>
          <w:rtl/>
        </w:rPr>
        <w:tab/>
      </w:r>
      <w:r>
        <w:rPr>
          <w:rFonts w:hint="cs"/>
          <w:rtl/>
        </w:rPr>
        <w:t xml:space="preserve">הנאשם הביע חרטה בפני שירות המבחן ותיאר את ההליך הפלילי כמרתיע, אך מאידך שלל בעייתיות בהתייחסותו להתנהגות אלימה מצדו ושלל נזקקות טיפולית. שירות המבחן העריך את הסיכוי להישנות התנהגות אלימה ברמה גבוהה וציין שעל אף ההודאה הוא ממליץ על ענישה מוחשית ומציבת גבולות של ריצוי מאסר בפועל, ולא ניתנה המלצה טיפולית. </w:t>
      </w:r>
    </w:p>
    <w:p w14:paraId="1E8DBA55" w14:textId="77777777" w:rsidR="0092532A" w:rsidRDefault="0092532A" w:rsidP="0092532A">
      <w:pPr>
        <w:rPr>
          <w:rtl/>
        </w:rPr>
      </w:pPr>
    </w:p>
    <w:p w14:paraId="3E3207E6" w14:textId="77777777" w:rsidR="0092532A" w:rsidRDefault="0092532A" w:rsidP="0092532A">
      <w:pPr>
        <w:spacing w:line="360" w:lineRule="auto"/>
        <w:jc w:val="both"/>
        <w:rPr>
          <w:b/>
          <w:bCs/>
          <w:u w:val="single"/>
          <w:rtl/>
        </w:rPr>
      </w:pPr>
      <w:r w:rsidRPr="00D51D8E">
        <w:rPr>
          <w:rFonts w:hint="cs"/>
          <w:b/>
          <w:bCs/>
          <w:u w:val="single"/>
          <w:rtl/>
        </w:rPr>
        <w:t>דיון והכרעה</w:t>
      </w:r>
    </w:p>
    <w:p w14:paraId="2065E52A" w14:textId="77777777" w:rsidR="0092532A" w:rsidRPr="00D51D8E" w:rsidRDefault="0092532A" w:rsidP="0092532A">
      <w:pPr>
        <w:spacing w:line="360" w:lineRule="auto"/>
        <w:jc w:val="both"/>
        <w:rPr>
          <w:b/>
          <w:bCs/>
          <w:u w:val="single"/>
          <w:rtl/>
        </w:rPr>
      </w:pPr>
    </w:p>
    <w:p w14:paraId="0015313D" w14:textId="77777777" w:rsidR="0092532A" w:rsidRPr="00B05847" w:rsidRDefault="0092532A" w:rsidP="0092532A">
      <w:pPr>
        <w:spacing w:line="360" w:lineRule="auto"/>
        <w:ind w:left="720"/>
        <w:jc w:val="both"/>
        <w:rPr>
          <w:rtl/>
        </w:rPr>
      </w:pPr>
      <w:r>
        <w:rPr>
          <w:rFonts w:hint="cs"/>
          <w:rtl/>
        </w:rPr>
        <w:t xml:space="preserve">מובהר שמדובר במעשים המהווים אירוע אחד. הערכים המוגנים שנפגעו היו שמירה על שלום הציבור והסדר הציבורי כמו גם שמירה על הרכוש. באשר למתחם הענישה, בהסתמך על טענות הצדדים ומדיניות הענישה ובנוסף בעובדה שהתקיים תכנון מוקדם על פי נסיבות המקרה, שחלקו של הנאשם היה דומיננטי, שנגרם נזק מביצוע הירי והתקיים פוטנציאל נזק גדול אף יותר וכי הנאשם היה צריך להבין את הפסול במעשיו- מכל אלה הנני קובע את המתחם בין 18-40 חודשי מאסר בפועל. </w:t>
      </w:r>
    </w:p>
    <w:p w14:paraId="480E8E62" w14:textId="77777777" w:rsidR="0092532A" w:rsidRDefault="0092532A" w:rsidP="0092532A">
      <w:pPr>
        <w:rPr>
          <w:rtl/>
        </w:rPr>
      </w:pPr>
    </w:p>
    <w:p w14:paraId="7179194C" w14:textId="77777777" w:rsidR="0092532A" w:rsidRDefault="0092532A" w:rsidP="0092532A">
      <w:pPr>
        <w:spacing w:line="360" w:lineRule="auto"/>
        <w:ind w:left="720"/>
        <w:jc w:val="both"/>
        <w:rPr>
          <w:rtl/>
        </w:rPr>
      </w:pPr>
      <w:r>
        <w:rPr>
          <w:rFonts w:hint="cs"/>
          <w:rtl/>
        </w:rPr>
        <w:t xml:space="preserve">הנאשם הודה בהזדמנות הראשונה, הוא אדם צעיר בתחילת דרכו ובא מרקע משפחתי מורכב וללא הרשעות קודמות. כל אלה מהווים שיקולים לקולא. </w:t>
      </w:r>
    </w:p>
    <w:p w14:paraId="4DCC5BF7" w14:textId="77777777" w:rsidR="0092532A" w:rsidRDefault="0092532A" w:rsidP="0092532A">
      <w:pPr>
        <w:spacing w:line="360" w:lineRule="auto"/>
        <w:ind w:left="720"/>
        <w:jc w:val="both"/>
        <w:rPr>
          <w:rtl/>
        </w:rPr>
      </w:pPr>
    </w:p>
    <w:p w14:paraId="33F0E72D" w14:textId="77777777" w:rsidR="0092532A" w:rsidRDefault="0092532A" w:rsidP="0092532A">
      <w:pPr>
        <w:spacing w:line="360" w:lineRule="auto"/>
        <w:ind w:left="720"/>
        <w:jc w:val="both"/>
        <w:rPr>
          <w:rtl/>
        </w:rPr>
      </w:pPr>
      <w:r>
        <w:rPr>
          <w:rFonts w:hint="cs"/>
          <w:rtl/>
        </w:rPr>
        <w:t xml:space="preserve">לחומרא יש לציין שוב שלא ניתנה המלצה טיפולית. </w:t>
      </w:r>
    </w:p>
    <w:p w14:paraId="3BE17806" w14:textId="77777777" w:rsidR="0092532A" w:rsidRDefault="0092532A" w:rsidP="0092532A">
      <w:pPr>
        <w:rPr>
          <w:rtl/>
        </w:rPr>
      </w:pPr>
    </w:p>
    <w:p w14:paraId="53C64D61" w14:textId="77777777" w:rsidR="0092532A" w:rsidRDefault="0092532A" w:rsidP="0092532A">
      <w:pPr>
        <w:spacing w:line="360" w:lineRule="auto"/>
        <w:jc w:val="both"/>
        <w:rPr>
          <w:b/>
          <w:bCs/>
          <w:u w:val="single"/>
          <w:rtl/>
        </w:rPr>
      </w:pPr>
      <w:r>
        <w:rPr>
          <w:rFonts w:hint="cs"/>
          <w:b/>
          <w:bCs/>
          <w:u w:val="single"/>
          <w:rtl/>
        </w:rPr>
        <w:t>8. אשר על כן אני מטיל על הנאשם את העונשים הבאים:</w:t>
      </w:r>
    </w:p>
    <w:p w14:paraId="79935BD9" w14:textId="77777777" w:rsidR="0092532A" w:rsidRDefault="0092532A" w:rsidP="0092532A">
      <w:pPr>
        <w:spacing w:line="360" w:lineRule="auto"/>
        <w:jc w:val="both"/>
        <w:rPr>
          <w:b/>
          <w:bCs/>
          <w:u w:val="single"/>
          <w:rtl/>
        </w:rPr>
      </w:pPr>
    </w:p>
    <w:p w14:paraId="25379D54" w14:textId="77777777" w:rsidR="0092532A" w:rsidRDefault="0092532A" w:rsidP="0092532A">
      <w:pPr>
        <w:spacing w:line="360" w:lineRule="auto"/>
        <w:jc w:val="both"/>
        <w:rPr>
          <w:rtl/>
        </w:rPr>
      </w:pPr>
      <w:r>
        <w:rPr>
          <w:rFonts w:hint="cs"/>
          <w:rtl/>
        </w:rPr>
        <w:t>א.</w:t>
      </w:r>
      <w:r>
        <w:rPr>
          <w:rtl/>
        </w:rPr>
        <w:tab/>
      </w:r>
      <w:r>
        <w:rPr>
          <w:rFonts w:hint="cs"/>
          <w:rtl/>
        </w:rPr>
        <w:t>26 חודשי מאסר בפועל מהם תנוכה תקופת מעצרו של הנאשם מיום 28.1.18.</w:t>
      </w:r>
    </w:p>
    <w:p w14:paraId="619B5EFA" w14:textId="77777777" w:rsidR="0092532A" w:rsidRDefault="0092532A" w:rsidP="0092532A">
      <w:pPr>
        <w:spacing w:line="360" w:lineRule="auto"/>
        <w:jc w:val="both"/>
        <w:rPr>
          <w:rtl/>
        </w:rPr>
      </w:pPr>
    </w:p>
    <w:p w14:paraId="20979741" w14:textId="77777777" w:rsidR="0092532A" w:rsidRDefault="0092532A" w:rsidP="0092532A">
      <w:pPr>
        <w:spacing w:line="360" w:lineRule="auto"/>
        <w:ind w:left="720" w:hanging="720"/>
        <w:jc w:val="both"/>
        <w:rPr>
          <w:rtl/>
        </w:rPr>
      </w:pPr>
      <w:r>
        <w:rPr>
          <w:rFonts w:hint="cs"/>
          <w:rtl/>
        </w:rPr>
        <w:t>ב.</w:t>
      </w:r>
      <w:r>
        <w:rPr>
          <w:rFonts w:hint="cs"/>
          <w:rtl/>
        </w:rPr>
        <w:tab/>
        <w:t xml:space="preserve">9 חודשי מאסר על תנאי למשך שלוש שנים מיום שחרורו שיופעלו במידה ויעבור עבירות נשק או עבירות אלימות מסוג פשע. </w:t>
      </w:r>
    </w:p>
    <w:p w14:paraId="72926ACF" w14:textId="77777777" w:rsidR="0092532A" w:rsidRDefault="0092532A" w:rsidP="0092532A">
      <w:pPr>
        <w:spacing w:line="360" w:lineRule="auto"/>
        <w:jc w:val="both"/>
        <w:rPr>
          <w:rtl/>
        </w:rPr>
      </w:pPr>
    </w:p>
    <w:p w14:paraId="76186B00" w14:textId="77777777" w:rsidR="0092532A" w:rsidRDefault="0092532A" w:rsidP="0092532A">
      <w:pPr>
        <w:spacing w:line="360" w:lineRule="auto"/>
        <w:jc w:val="both"/>
        <w:rPr>
          <w:rtl/>
        </w:rPr>
      </w:pPr>
      <w:r>
        <w:rPr>
          <w:rFonts w:hint="cs"/>
          <w:rtl/>
        </w:rPr>
        <w:t>ג.</w:t>
      </w:r>
      <w:r>
        <w:rPr>
          <w:rFonts w:hint="cs"/>
          <w:rtl/>
        </w:rPr>
        <w:tab/>
        <w:t>פיצוי למתלוננת בסך 2,500 ₪ לתשלום עד ליום 31.12.18.</w:t>
      </w:r>
    </w:p>
    <w:p w14:paraId="21CDDD1B" w14:textId="77777777" w:rsidR="0092532A" w:rsidRPr="002313EB" w:rsidRDefault="002313EB" w:rsidP="0092532A">
      <w:pPr>
        <w:rPr>
          <w:color w:val="FFFFFF"/>
          <w:sz w:val="2"/>
          <w:szCs w:val="2"/>
          <w:rtl/>
        </w:rPr>
      </w:pPr>
      <w:r w:rsidRPr="002313EB">
        <w:rPr>
          <w:color w:val="FFFFFF"/>
          <w:sz w:val="2"/>
          <w:szCs w:val="2"/>
          <w:rtl/>
        </w:rPr>
        <w:t>5129371</w:t>
      </w:r>
    </w:p>
    <w:p w14:paraId="71A82341" w14:textId="77777777" w:rsidR="0092532A" w:rsidRPr="002313EB" w:rsidRDefault="002313EB" w:rsidP="0092532A">
      <w:pPr>
        <w:rPr>
          <w:color w:val="FFFFFF"/>
          <w:sz w:val="2"/>
          <w:szCs w:val="2"/>
          <w:rtl/>
        </w:rPr>
      </w:pPr>
      <w:r w:rsidRPr="002313EB">
        <w:rPr>
          <w:color w:val="FFFFFF"/>
          <w:sz w:val="2"/>
          <w:szCs w:val="2"/>
          <w:rtl/>
        </w:rPr>
        <w:t>54678313</w:t>
      </w:r>
    </w:p>
    <w:p w14:paraId="5A5D7BA2" w14:textId="77777777" w:rsidR="0092532A" w:rsidRDefault="002313EB" w:rsidP="0092532A">
      <w:pPr>
        <w:jc w:val="center"/>
      </w:pPr>
      <w:r>
        <w:rPr>
          <w:rFonts w:ascii="Arial" w:hAnsi="Arial"/>
          <w:rtl/>
        </w:rPr>
        <w:t xml:space="preserve">ניתן היום,  ב' חשוון תשע"ט, 11 אוקטובר 2018, בהעדר הצדדים. </w:t>
      </w:r>
      <w:r w:rsidR="0092532A">
        <w:rPr>
          <w:rFonts w:hint="cs"/>
          <w:rtl/>
        </w:rPr>
        <w:t xml:space="preserve">   </w:t>
      </w:r>
      <w:r w:rsidR="0092532A">
        <w:rPr>
          <w:rFonts w:hint="cs"/>
          <w:rtl/>
        </w:rPr>
        <w:tab/>
      </w:r>
      <w:r w:rsidR="0092532A">
        <w:rPr>
          <w:rFonts w:hint="cs"/>
          <w:rtl/>
        </w:rPr>
        <w:tab/>
      </w:r>
      <w:r w:rsidR="0092532A">
        <w:rPr>
          <w:rFonts w:hint="cs"/>
          <w:rtl/>
        </w:rPr>
        <w:tab/>
      </w:r>
      <w:r w:rsidR="0092532A">
        <w:rPr>
          <w:rFonts w:hint="cs"/>
          <w:rtl/>
        </w:rPr>
        <w:tab/>
      </w:r>
      <w:r w:rsidR="0092532A">
        <w:rPr>
          <w:rFonts w:hint="cs"/>
          <w:rtl/>
        </w:rPr>
        <w:tab/>
      </w:r>
      <w:r w:rsidR="0092532A">
        <w:rPr>
          <w:rtl/>
        </w:rPr>
        <w:t xml:space="preserve">     </w:t>
      </w:r>
    </w:p>
    <w:p w14:paraId="4F5CDBFA" w14:textId="77777777" w:rsidR="0092532A" w:rsidRDefault="0092532A" w:rsidP="0092532A">
      <w:pPr>
        <w:jc w:val="center"/>
        <w:rPr>
          <w:rFonts w:ascii="Arial" w:hAnsi="Arial" w:cs="FrankRuehl"/>
          <w:sz w:val="28"/>
          <w:szCs w:val="28"/>
          <w:rtl/>
        </w:rPr>
      </w:pPr>
    </w:p>
    <w:p w14:paraId="386FF5C4" w14:textId="77777777" w:rsidR="0092532A" w:rsidRDefault="0092532A" w:rsidP="0092532A">
      <w:pPr>
        <w:rPr>
          <w:rFonts w:cs="FrankRuehl"/>
          <w:sz w:val="28"/>
          <w:szCs w:val="28"/>
          <w:rtl/>
        </w:rPr>
      </w:pPr>
    </w:p>
    <w:p w14:paraId="3A3421EA" w14:textId="77777777" w:rsidR="0092532A" w:rsidRPr="00766028" w:rsidRDefault="00766028" w:rsidP="0092532A">
      <w:pPr>
        <w:pStyle w:val="a3"/>
        <w:jc w:val="center"/>
        <w:rPr>
          <w:color w:val="FFFFFF"/>
          <w:sz w:val="2"/>
          <w:szCs w:val="2"/>
          <w:rtl/>
        </w:rPr>
      </w:pPr>
      <w:r w:rsidRPr="00766028">
        <w:rPr>
          <w:color w:val="FFFFFF"/>
          <w:sz w:val="2"/>
          <w:szCs w:val="2"/>
          <w:rtl/>
        </w:rPr>
        <w:t>5129371</w:t>
      </w:r>
    </w:p>
    <w:p w14:paraId="7D05F34F" w14:textId="77777777" w:rsidR="00B22372" w:rsidRPr="00766028" w:rsidRDefault="00766028" w:rsidP="002313EB">
      <w:pPr>
        <w:keepNext/>
        <w:rPr>
          <w:rFonts w:ascii="David" w:hAnsi="David"/>
          <w:color w:val="FFFFFF"/>
          <w:sz w:val="2"/>
          <w:szCs w:val="2"/>
          <w:rtl/>
        </w:rPr>
      </w:pPr>
      <w:r w:rsidRPr="00766028">
        <w:rPr>
          <w:rFonts w:ascii="David" w:hAnsi="David"/>
          <w:color w:val="FFFFFF"/>
          <w:sz w:val="2"/>
          <w:szCs w:val="2"/>
          <w:rtl/>
        </w:rPr>
        <w:t>54678313</w:t>
      </w:r>
    </w:p>
    <w:p w14:paraId="68540DB7" w14:textId="77777777" w:rsidR="002313EB" w:rsidRPr="002313EB" w:rsidRDefault="002313EB" w:rsidP="002313EB">
      <w:pPr>
        <w:keepNext/>
        <w:rPr>
          <w:rFonts w:ascii="David" w:hAnsi="David"/>
          <w:color w:val="000000"/>
          <w:sz w:val="22"/>
          <w:szCs w:val="22"/>
          <w:rtl/>
        </w:rPr>
      </w:pPr>
      <w:r w:rsidRPr="002313EB">
        <w:rPr>
          <w:rFonts w:ascii="David" w:hAnsi="David"/>
          <w:color w:val="000000"/>
          <w:sz w:val="22"/>
          <w:szCs w:val="22"/>
          <w:rtl/>
        </w:rPr>
        <w:t>דניאל פיש 54678313</w:t>
      </w:r>
    </w:p>
    <w:p w14:paraId="7B9F1499" w14:textId="77777777" w:rsidR="002313EB" w:rsidRDefault="002313EB" w:rsidP="002313EB">
      <w:r w:rsidRPr="002313EB">
        <w:rPr>
          <w:color w:val="000000"/>
          <w:rtl/>
        </w:rPr>
        <w:t>נוסח מסמך זה כפוף לשינויי ניסוח ועריכה</w:t>
      </w:r>
    </w:p>
    <w:p w14:paraId="20E619BC" w14:textId="77777777" w:rsidR="002313EB" w:rsidRDefault="002313EB" w:rsidP="002313EB">
      <w:pPr>
        <w:rPr>
          <w:rtl/>
        </w:rPr>
      </w:pPr>
    </w:p>
    <w:p w14:paraId="3676075B" w14:textId="77777777" w:rsidR="002313EB" w:rsidRDefault="002313EB" w:rsidP="002313EB">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69050187" w14:textId="77777777" w:rsidR="002313EB" w:rsidRPr="002313EB" w:rsidRDefault="002313EB" w:rsidP="00766028">
      <w:pPr>
        <w:rPr>
          <w:color w:val="0000FF"/>
          <w:u w:val="single"/>
        </w:rPr>
      </w:pPr>
    </w:p>
    <w:sectPr w:rsidR="002313EB" w:rsidRPr="002313EB" w:rsidSect="00766028">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528AD" w14:textId="77777777" w:rsidR="00DA5F8A" w:rsidRDefault="00DA5F8A" w:rsidP="00E02E1F">
      <w:r>
        <w:separator/>
      </w:r>
    </w:p>
  </w:endnote>
  <w:endnote w:type="continuationSeparator" w:id="0">
    <w:p w14:paraId="71559C7D" w14:textId="77777777" w:rsidR="00DA5F8A" w:rsidRDefault="00DA5F8A" w:rsidP="00E0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19E98" w14:textId="77777777" w:rsidR="00766028" w:rsidRDefault="00766028" w:rsidP="0076602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64DF5BF" w14:textId="77777777" w:rsidR="00FA7EA5" w:rsidRPr="00766028" w:rsidRDefault="00766028" w:rsidP="00766028">
    <w:pPr>
      <w:pStyle w:val="a5"/>
      <w:pBdr>
        <w:top w:val="single" w:sz="4" w:space="1" w:color="auto"/>
        <w:between w:val="single" w:sz="4" w:space="0" w:color="auto"/>
      </w:pBdr>
      <w:spacing w:after="60"/>
      <w:jc w:val="center"/>
      <w:rPr>
        <w:rFonts w:ascii="FrankRuehl" w:hAnsi="FrankRuehl" w:cs="FrankRuehl"/>
        <w:color w:val="000000"/>
      </w:rPr>
    </w:pPr>
    <w:r w:rsidRPr="0076602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59DE8" w14:textId="77777777" w:rsidR="00766028" w:rsidRDefault="00766028" w:rsidP="0076602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461F8">
      <w:rPr>
        <w:rFonts w:ascii="FrankRuehl" w:hAnsi="FrankRuehl" w:cs="FrankRuehl"/>
        <w:noProof/>
        <w:rtl/>
      </w:rPr>
      <w:t>1</w:t>
    </w:r>
    <w:r>
      <w:rPr>
        <w:rFonts w:ascii="FrankRuehl" w:hAnsi="FrankRuehl" w:cs="FrankRuehl"/>
        <w:rtl/>
      </w:rPr>
      <w:fldChar w:fldCharType="end"/>
    </w:r>
  </w:p>
  <w:p w14:paraId="56B7B80E" w14:textId="77777777" w:rsidR="00FA7EA5" w:rsidRPr="00766028" w:rsidRDefault="00766028" w:rsidP="00766028">
    <w:pPr>
      <w:pStyle w:val="a5"/>
      <w:pBdr>
        <w:top w:val="single" w:sz="4" w:space="1" w:color="auto"/>
        <w:between w:val="single" w:sz="4" w:space="0" w:color="auto"/>
      </w:pBdr>
      <w:spacing w:after="60"/>
      <w:jc w:val="center"/>
      <w:rPr>
        <w:rFonts w:ascii="FrankRuehl" w:hAnsi="FrankRuehl" w:cs="FrankRuehl"/>
        <w:color w:val="000000"/>
      </w:rPr>
    </w:pPr>
    <w:r w:rsidRPr="00766028">
      <w:rPr>
        <w:rFonts w:ascii="FrankRuehl" w:hAnsi="FrankRuehl" w:cs="FrankRuehl"/>
        <w:color w:val="000000"/>
      </w:rPr>
      <w:pict w14:anchorId="1E3F8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565C1" w14:textId="77777777" w:rsidR="00DA5F8A" w:rsidRDefault="00DA5F8A" w:rsidP="00E02E1F">
      <w:r>
        <w:separator/>
      </w:r>
    </w:p>
  </w:footnote>
  <w:footnote w:type="continuationSeparator" w:id="0">
    <w:p w14:paraId="2FF5D6BF" w14:textId="77777777" w:rsidR="00DA5F8A" w:rsidRDefault="00DA5F8A" w:rsidP="00E0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D52A7" w14:textId="77777777" w:rsidR="002313EB" w:rsidRPr="00766028" w:rsidRDefault="00766028" w:rsidP="007660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24047-02-18</w:t>
    </w:r>
    <w:r>
      <w:rPr>
        <w:rFonts w:ascii="David" w:hAnsi="David"/>
        <w:color w:val="000000"/>
        <w:sz w:val="22"/>
        <w:szCs w:val="22"/>
        <w:rtl/>
      </w:rPr>
      <w:tab/>
      <w:t xml:space="preserve"> מדינת ישראל נ' מוחמד כורדי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B0FEE" w14:textId="77777777" w:rsidR="002313EB" w:rsidRPr="00766028" w:rsidRDefault="00766028" w:rsidP="007660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24047-02-18</w:t>
    </w:r>
    <w:r>
      <w:rPr>
        <w:rFonts w:ascii="David" w:hAnsi="David"/>
        <w:color w:val="000000"/>
        <w:sz w:val="22"/>
        <w:szCs w:val="22"/>
        <w:rtl/>
      </w:rPr>
      <w:tab/>
      <w:t xml:space="preserve"> מדינת ישראל נ' מוחמד כורדי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532A"/>
    <w:rsid w:val="00052CA0"/>
    <w:rsid w:val="000E4127"/>
    <w:rsid w:val="002313EB"/>
    <w:rsid w:val="0044208B"/>
    <w:rsid w:val="005E0DF4"/>
    <w:rsid w:val="00766028"/>
    <w:rsid w:val="0092532A"/>
    <w:rsid w:val="00B22372"/>
    <w:rsid w:val="00DA5F8A"/>
    <w:rsid w:val="00E02E1F"/>
    <w:rsid w:val="00E461F8"/>
    <w:rsid w:val="00ED3B44"/>
    <w:rsid w:val="00FA7E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475818F"/>
  <w15:chartTrackingRefBased/>
  <w15:docId w15:val="{354D4E1D-C29D-44DE-9C92-D6230B38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532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2532A"/>
    <w:pPr>
      <w:tabs>
        <w:tab w:val="center" w:pos="4153"/>
        <w:tab w:val="right" w:pos="8306"/>
      </w:tabs>
    </w:pPr>
  </w:style>
  <w:style w:type="character" w:customStyle="1" w:styleId="a4">
    <w:name w:val="כותרת עליונה תו"/>
    <w:link w:val="a3"/>
    <w:rsid w:val="0092532A"/>
    <w:rPr>
      <w:rFonts w:ascii="Times New Roman" w:eastAsia="Times New Roman" w:hAnsi="Times New Roman" w:cs="David"/>
      <w:sz w:val="24"/>
      <w:szCs w:val="24"/>
    </w:rPr>
  </w:style>
  <w:style w:type="paragraph" w:styleId="a5">
    <w:name w:val="footer"/>
    <w:basedOn w:val="a"/>
    <w:link w:val="a6"/>
    <w:rsid w:val="0092532A"/>
    <w:pPr>
      <w:tabs>
        <w:tab w:val="center" w:pos="4153"/>
        <w:tab w:val="right" w:pos="8306"/>
      </w:tabs>
    </w:pPr>
  </w:style>
  <w:style w:type="character" w:customStyle="1" w:styleId="a6">
    <w:name w:val="כותרת תחתונה תו"/>
    <w:link w:val="a5"/>
    <w:rsid w:val="0092532A"/>
    <w:rPr>
      <w:rFonts w:ascii="Times New Roman" w:eastAsia="Times New Roman" w:hAnsi="Times New Roman" w:cs="David"/>
      <w:sz w:val="24"/>
      <w:szCs w:val="24"/>
    </w:rPr>
  </w:style>
  <w:style w:type="table" w:styleId="a7">
    <w:name w:val="Table Grid"/>
    <w:basedOn w:val="a1"/>
    <w:rsid w:val="009253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2532A"/>
  </w:style>
  <w:style w:type="character" w:customStyle="1" w:styleId="TimesNewRomanTimesNewRoman">
    <w:name w:val="סגנון (לטיני) Times New Roman (עברית ושפות אחרות) Times New Roman..."/>
    <w:rsid w:val="0092532A"/>
    <w:rPr>
      <w:rFonts w:ascii="Times New Roman" w:hAnsi="Times New Roman" w:cs="David" w:hint="default"/>
      <w:b/>
      <w:bCs/>
      <w:sz w:val="26"/>
      <w:szCs w:val="26"/>
    </w:rPr>
  </w:style>
  <w:style w:type="table" w:customStyle="1" w:styleId="1">
    <w:name w:val="רשת טבלה1"/>
    <w:basedOn w:val="a1"/>
    <w:next w:val="a7"/>
    <w:rsid w:val="0092532A"/>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rsid w:val="0092532A"/>
    <w:rPr>
      <w:rFonts w:ascii="Tahoma" w:hAnsi="Tahoma" w:cs="Tahoma"/>
      <w:sz w:val="16"/>
      <w:szCs w:val="16"/>
    </w:rPr>
  </w:style>
  <w:style w:type="character" w:customStyle="1" w:styleId="aa">
    <w:name w:val="טקסט בלונים תו"/>
    <w:link w:val="a9"/>
    <w:rsid w:val="0092532A"/>
    <w:rPr>
      <w:rFonts w:ascii="Tahoma" w:eastAsia="Times New Roman" w:hAnsi="Tahoma" w:cs="Tahoma"/>
      <w:sz w:val="16"/>
      <w:szCs w:val="16"/>
    </w:rPr>
  </w:style>
  <w:style w:type="character" w:styleId="Hyperlink">
    <w:name w:val="Hyperlink"/>
    <w:rsid w:val="002313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5.a.22" TargetMode="External"/><Relationship Id="rId18" Type="http://schemas.openxmlformats.org/officeDocument/2006/relationships/hyperlink" Target="http://www.nevo.co.il/case/5731188" TargetMode="External"/><Relationship Id="rId26" Type="http://schemas.openxmlformats.org/officeDocument/2006/relationships/hyperlink" Target="http://www.nevo.co.il/case/21050659" TargetMode="External"/><Relationship Id="rId3" Type="http://schemas.openxmlformats.org/officeDocument/2006/relationships/webSettings" Target="webSettings.xml"/><Relationship Id="rId21" Type="http://schemas.openxmlformats.org/officeDocument/2006/relationships/hyperlink" Target="http://www.nevo.co.il/case/20033653" TargetMode="External"/><Relationship Id="rId34" Type="http://schemas.openxmlformats.org/officeDocument/2006/relationships/theme" Target="theme/theme1.xml"/><Relationship Id="rId7" Type="http://schemas.openxmlformats.org/officeDocument/2006/relationships/hyperlink" Target="http://www.nevo.co.il/law/70301/25" TargetMode="External"/><Relationship Id="rId12" Type="http://schemas.openxmlformats.org/officeDocument/2006/relationships/hyperlink" Target="http://www.nevo.co.il/law/70301/335.a.1." TargetMode="External"/><Relationship Id="rId17" Type="http://schemas.openxmlformats.org/officeDocument/2006/relationships/hyperlink" Target="http://www.nevo.co.il/law/70301/29" TargetMode="External"/><Relationship Id="rId25" Type="http://schemas.openxmlformats.org/officeDocument/2006/relationships/hyperlink" Target="http://www.nevo.co.il/case/20643207"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25;333;335.a.1.;335.a.22" TargetMode="External"/><Relationship Id="rId20" Type="http://schemas.openxmlformats.org/officeDocument/2006/relationships/hyperlink" Target="http://www.nevo.co.il/case/18124293"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33" TargetMode="External"/><Relationship Id="rId24" Type="http://schemas.openxmlformats.org/officeDocument/2006/relationships/hyperlink" Target="http://www.nevo.co.il/case/5878682"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840396"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144.c.1." TargetMode="External"/><Relationship Id="rId19" Type="http://schemas.openxmlformats.org/officeDocument/2006/relationships/hyperlink" Target="http://www.nevo.co.il/case/17948122"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b.;144.c.1.;29" TargetMode="External"/><Relationship Id="rId22" Type="http://schemas.openxmlformats.org/officeDocument/2006/relationships/hyperlink" Target="http://www.nevo.co.il/case/6175447" TargetMode="External"/><Relationship Id="rId27" Type="http://schemas.openxmlformats.org/officeDocument/2006/relationships/hyperlink" Target="http://www.nevo.co.il/case/22935043" TargetMode="External"/><Relationship Id="rId30" Type="http://schemas.openxmlformats.org/officeDocument/2006/relationships/header" Target="header2.xml"/><Relationship Id="rId8" Type="http://schemas.openxmlformats.org/officeDocument/2006/relationships/hyperlink" Target="http://www.nevo.co.il/law/70301/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1528</Words>
  <Characters>7640</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9150</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3801205</vt:i4>
      </vt:variant>
      <vt:variant>
        <vt:i4>63</vt:i4>
      </vt:variant>
      <vt:variant>
        <vt:i4>0</vt:i4>
      </vt:variant>
      <vt:variant>
        <vt:i4>5</vt:i4>
      </vt:variant>
      <vt:variant>
        <vt:lpwstr>http://www.nevo.co.il/case/22935043</vt:lpwstr>
      </vt:variant>
      <vt:variant>
        <vt:lpwstr/>
      </vt:variant>
      <vt:variant>
        <vt:i4>3604598</vt:i4>
      </vt:variant>
      <vt:variant>
        <vt:i4>60</vt:i4>
      </vt:variant>
      <vt:variant>
        <vt:i4>0</vt:i4>
      </vt:variant>
      <vt:variant>
        <vt:i4>5</vt:i4>
      </vt:variant>
      <vt:variant>
        <vt:lpwstr>http://www.nevo.co.il/case/21050659</vt:lpwstr>
      </vt:variant>
      <vt:variant>
        <vt:lpwstr/>
      </vt:variant>
      <vt:variant>
        <vt:i4>3604594</vt:i4>
      </vt:variant>
      <vt:variant>
        <vt:i4>57</vt:i4>
      </vt:variant>
      <vt:variant>
        <vt:i4>0</vt:i4>
      </vt:variant>
      <vt:variant>
        <vt:i4>5</vt:i4>
      </vt:variant>
      <vt:variant>
        <vt:lpwstr>http://www.nevo.co.il/case/20643207</vt:lpwstr>
      </vt:variant>
      <vt:variant>
        <vt:lpwstr/>
      </vt:variant>
      <vt:variant>
        <vt:i4>3539068</vt:i4>
      </vt:variant>
      <vt:variant>
        <vt:i4>54</vt:i4>
      </vt:variant>
      <vt:variant>
        <vt:i4>0</vt:i4>
      </vt:variant>
      <vt:variant>
        <vt:i4>5</vt:i4>
      </vt:variant>
      <vt:variant>
        <vt:lpwstr>http://www.nevo.co.il/case/5878682</vt:lpwstr>
      </vt:variant>
      <vt:variant>
        <vt:lpwstr/>
      </vt:variant>
      <vt:variant>
        <vt:i4>3407989</vt:i4>
      </vt:variant>
      <vt:variant>
        <vt:i4>51</vt:i4>
      </vt:variant>
      <vt:variant>
        <vt:i4>0</vt:i4>
      </vt:variant>
      <vt:variant>
        <vt:i4>5</vt:i4>
      </vt:variant>
      <vt:variant>
        <vt:lpwstr>http://www.nevo.co.il/case/5840396</vt:lpwstr>
      </vt:variant>
      <vt:variant>
        <vt:lpwstr/>
      </vt:variant>
      <vt:variant>
        <vt:i4>3276916</vt:i4>
      </vt:variant>
      <vt:variant>
        <vt:i4>48</vt:i4>
      </vt:variant>
      <vt:variant>
        <vt:i4>0</vt:i4>
      </vt:variant>
      <vt:variant>
        <vt:i4>5</vt:i4>
      </vt:variant>
      <vt:variant>
        <vt:lpwstr>http://www.nevo.co.il/case/6175447</vt:lpwstr>
      </vt:variant>
      <vt:variant>
        <vt:lpwstr/>
      </vt:variant>
      <vt:variant>
        <vt:i4>3407985</vt:i4>
      </vt:variant>
      <vt:variant>
        <vt:i4>45</vt:i4>
      </vt:variant>
      <vt:variant>
        <vt:i4>0</vt:i4>
      </vt:variant>
      <vt:variant>
        <vt:i4>5</vt:i4>
      </vt:variant>
      <vt:variant>
        <vt:lpwstr>http://www.nevo.co.il/case/20033653</vt:lpwstr>
      </vt:variant>
      <vt:variant>
        <vt:lpwstr/>
      </vt:variant>
      <vt:variant>
        <vt:i4>3997820</vt:i4>
      </vt:variant>
      <vt:variant>
        <vt:i4>42</vt:i4>
      </vt:variant>
      <vt:variant>
        <vt:i4>0</vt:i4>
      </vt:variant>
      <vt:variant>
        <vt:i4>5</vt:i4>
      </vt:variant>
      <vt:variant>
        <vt:lpwstr>http://www.nevo.co.il/case/18124293</vt:lpwstr>
      </vt:variant>
      <vt:variant>
        <vt:lpwstr/>
      </vt:variant>
      <vt:variant>
        <vt:i4>3276918</vt:i4>
      </vt:variant>
      <vt:variant>
        <vt:i4>39</vt:i4>
      </vt:variant>
      <vt:variant>
        <vt:i4>0</vt:i4>
      </vt:variant>
      <vt:variant>
        <vt:i4>5</vt:i4>
      </vt:variant>
      <vt:variant>
        <vt:lpwstr>http://www.nevo.co.il/case/17948122</vt:lpwstr>
      </vt:variant>
      <vt:variant>
        <vt:lpwstr/>
      </vt:variant>
      <vt:variant>
        <vt:i4>4128890</vt:i4>
      </vt:variant>
      <vt:variant>
        <vt:i4>36</vt:i4>
      </vt:variant>
      <vt:variant>
        <vt:i4>0</vt:i4>
      </vt:variant>
      <vt:variant>
        <vt:i4>5</vt:i4>
      </vt:variant>
      <vt:variant>
        <vt:lpwstr>http://www.nevo.co.il/case/5731188</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786460</vt:i4>
      </vt:variant>
      <vt:variant>
        <vt:i4>30</vt:i4>
      </vt:variant>
      <vt:variant>
        <vt:i4>0</vt:i4>
      </vt:variant>
      <vt:variant>
        <vt:i4>5</vt:i4>
      </vt:variant>
      <vt:variant>
        <vt:lpwstr>http://www.nevo.co.il/law/70301/25;333;335.a.1.;335.a.22</vt:lpwstr>
      </vt:variant>
      <vt:variant>
        <vt:lpwstr/>
      </vt:variant>
      <vt:variant>
        <vt:i4>7995492</vt:i4>
      </vt:variant>
      <vt:variant>
        <vt:i4>27</vt:i4>
      </vt:variant>
      <vt:variant>
        <vt:i4>0</vt:i4>
      </vt:variant>
      <vt:variant>
        <vt:i4>5</vt:i4>
      </vt:variant>
      <vt:variant>
        <vt:lpwstr>http://www.nevo.co.il/law/70301</vt:lpwstr>
      </vt:variant>
      <vt:variant>
        <vt:lpwstr/>
      </vt:variant>
      <vt:variant>
        <vt:i4>3407905</vt:i4>
      </vt:variant>
      <vt:variant>
        <vt:i4>24</vt:i4>
      </vt:variant>
      <vt:variant>
        <vt:i4>0</vt:i4>
      </vt:variant>
      <vt:variant>
        <vt:i4>5</vt:i4>
      </vt:variant>
      <vt:variant>
        <vt:lpwstr>http://www.nevo.co.il/law/70301/144.b.;144.c.1.;29</vt:lpwstr>
      </vt:variant>
      <vt:variant>
        <vt:lpwstr/>
      </vt:variant>
      <vt:variant>
        <vt:i4>5505024</vt:i4>
      </vt:variant>
      <vt:variant>
        <vt:i4>21</vt:i4>
      </vt:variant>
      <vt:variant>
        <vt:i4>0</vt:i4>
      </vt:variant>
      <vt:variant>
        <vt:i4>5</vt:i4>
      </vt:variant>
      <vt:variant>
        <vt:lpwstr>http://www.nevo.co.il/law/70301/335.a.22</vt:lpwstr>
      </vt:variant>
      <vt:variant>
        <vt:lpwstr/>
      </vt:variant>
      <vt:variant>
        <vt:i4>4718595</vt:i4>
      </vt:variant>
      <vt:variant>
        <vt:i4>18</vt:i4>
      </vt:variant>
      <vt:variant>
        <vt:i4>0</vt:i4>
      </vt:variant>
      <vt:variant>
        <vt:i4>5</vt:i4>
      </vt:variant>
      <vt:variant>
        <vt:lpwstr>http://www.nevo.co.il/law/70301/335.a.1.</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5177346</vt:i4>
      </vt:variant>
      <vt:variant>
        <vt:i4>12</vt:i4>
      </vt:variant>
      <vt:variant>
        <vt:i4>0</vt:i4>
      </vt:variant>
      <vt:variant>
        <vt:i4>5</vt:i4>
      </vt:variant>
      <vt:variant>
        <vt:lpwstr>http://www.nevo.co.il/law/70301/144.c.1.</vt:lpwstr>
      </vt:variant>
      <vt:variant>
        <vt:lpwstr/>
      </vt:variant>
      <vt:variant>
        <vt:i4>6357042</vt:i4>
      </vt:variant>
      <vt:variant>
        <vt:i4>9</vt:i4>
      </vt:variant>
      <vt:variant>
        <vt:i4>0</vt:i4>
      </vt:variant>
      <vt:variant>
        <vt:i4>5</vt:i4>
      </vt:variant>
      <vt:variant>
        <vt:lpwstr>http://www.nevo.co.il/law/70301/144.b.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2025-01-19T16:20:00Z</dcterms:created>
  <dcterms:modified xsi:type="dcterms:W3CDTF">2025-01-19T16:20:00Z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24047</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מוחמד כורדי</vt:lpwstr>
  </property>
  <property fmtid="{D5CDD505-2E9C-101B-9397-08002B2CF9AE}" pid="10" name="LAWYER">
    <vt:lpwstr>אמיר אוליאל;מאהר תלחמי</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20181011</vt:lpwstr>
  </property>
  <property fmtid="{D5CDD505-2E9C-101B-9397-08002B2CF9AE}" pid="14" name="TYPE_N_DATE">
    <vt:lpwstr>39020181011</vt:lpwstr>
  </property>
  <property fmtid="{D5CDD505-2E9C-101B-9397-08002B2CF9AE}" pid="15" name="CASESLISTTMP1">
    <vt:lpwstr>5731188;17948122;18124293;20033653;6175447;5840396;5878682;20643207;21050659;22935043</vt:lpwstr>
  </property>
  <property fmtid="{D5CDD505-2E9C-101B-9397-08002B2CF9AE}" pid="16" name="WORDNUMPAGES">
    <vt:lpwstr>6</vt:lpwstr>
  </property>
  <property fmtid="{D5CDD505-2E9C-101B-9397-08002B2CF9AE}" pid="17" name="TYPE_ABS_DATE">
    <vt:lpwstr>390020181011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70301/144.b;144.c.1;029:2;025;333;335.a.1;335.a.22</vt:lpwstr>
  </property>
</Properties>
</file>