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E31FD" w14:textId="77777777" w:rsidR="00DB5C92" w:rsidRPr="00DB5C92" w:rsidRDefault="00DB5C92" w:rsidP="00DB5C92">
      <w:pPr>
        <w:pStyle w:val="a3"/>
        <w:rPr>
          <w:rtl/>
        </w:rPr>
      </w:pPr>
      <w:bookmarkStart w:id="0" w:name="LastJudge"/>
    </w:p>
    <w:p w14:paraId="7C90AC52" w14:textId="77777777" w:rsidR="003C5509" w:rsidRPr="00DB5C92" w:rsidRDefault="0071487D" w:rsidP="003C5509">
      <w:pPr>
        <w:pStyle w:val="a3"/>
        <w:jc w:val="center"/>
        <w:rPr>
          <w:rFonts w:cs="FrankRuehl"/>
          <w:sz w:val="28"/>
          <w:szCs w:val="28"/>
          <w:rtl/>
        </w:rPr>
      </w:pPr>
      <w:r w:rsidRPr="00DB5C92">
        <w:rPr>
          <w:rFonts w:cs="FrankRuehl"/>
          <w:noProof/>
          <w:sz w:val="28"/>
          <w:szCs w:val="28"/>
        </w:rPr>
        <w:pict w14:anchorId="644C6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ישראל - המנורה - 2" style="width:29.4pt;height:36.6pt;visibility:visible">
            <v:imagedata r:id="rId6" o:title="ישראל - המנורה - 2"/>
          </v:shape>
        </w:pict>
      </w:r>
    </w:p>
    <w:tbl>
      <w:tblPr>
        <w:bidiVisual/>
        <w:tblW w:w="0" w:type="auto"/>
        <w:jc w:val="center"/>
        <w:tblLook w:val="0000" w:firstRow="0" w:lastRow="0" w:firstColumn="0" w:lastColumn="0" w:noHBand="0" w:noVBand="0"/>
      </w:tblPr>
      <w:tblGrid>
        <w:gridCol w:w="5058"/>
        <w:gridCol w:w="3663"/>
      </w:tblGrid>
      <w:tr w:rsidR="003C5509" w:rsidRPr="00DB5C92" w14:paraId="22AC2B8A" w14:textId="77777777" w:rsidTr="00176281">
        <w:trPr>
          <w:trHeight w:hRule="exact" w:val="418"/>
          <w:jc w:val="center"/>
        </w:trPr>
        <w:tc>
          <w:tcPr>
            <w:tcW w:w="8861" w:type="dxa"/>
            <w:gridSpan w:val="2"/>
          </w:tcPr>
          <w:p w14:paraId="552FB7D4" w14:textId="77777777" w:rsidR="003C5509" w:rsidRPr="00DB5C92" w:rsidRDefault="003C5509" w:rsidP="00176281">
            <w:pPr>
              <w:pStyle w:val="a3"/>
              <w:jc w:val="center"/>
              <w:rPr>
                <w:rFonts w:ascii="Tahoma" w:hAnsi="Tahoma" w:cs="Tahoma"/>
                <w:color w:val="000080"/>
                <w:rtl/>
              </w:rPr>
            </w:pPr>
            <w:r w:rsidRPr="00DB5C92">
              <w:rPr>
                <w:rFonts w:ascii="Tahoma" w:hAnsi="Tahoma" w:cs="Tahoma"/>
                <w:b/>
                <w:bCs/>
                <w:color w:val="000080"/>
                <w:rtl/>
              </w:rPr>
              <w:t>בית המשפט המחוזי בחיפה</w:t>
            </w:r>
          </w:p>
        </w:tc>
      </w:tr>
      <w:tr w:rsidR="003C5509" w:rsidRPr="00DB5C92" w14:paraId="7A631292" w14:textId="77777777" w:rsidTr="00176281">
        <w:trPr>
          <w:trHeight w:val="337"/>
          <w:jc w:val="center"/>
        </w:trPr>
        <w:tc>
          <w:tcPr>
            <w:tcW w:w="5131" w:type="dxa"/>
          </w:tcPr>
          <w:p w14:paraId="420F19B6" w14:textId="77777777" w:rsidR="003C5509" w:rsidRPr="00DB5C92" w:rsidRDefault="003C5509" w:rsidP="00176281">
            <w:pPr>
              <w:rPr>
                <w:rFonts w:cs="FrankRuehl"/>
                <w:sz w:val="28"/>
                <w:szCs w:val="28"/>
                <w:rtl/>
              </w:rPr>
            </w:pPr>
            <w:r w:rsidRPr="00DB5C92">
              <w:rPr>
                <w:rFonts w:cs="FrankRuehl"/>
                <w:sz w:val="28"/>
                <w:szCs w:val="28"/>
                <w:rtl/>
              </w:rPr>
              <w:t>ת"פ</w:t>
            </w:r>
            <w:r w:rsidRPr="00DB5C92">
              <w:rPr>
                <w:rFonts w:cs="FrankRuehl" w:hint="cs"/>
                <w:sz w:val="28"/>
                <w:szCs w:val="28"/>
                <w:rtl/>
              </w:rPr>
              <w:t xml:space="preserve"> </w:t>
            </w:r>
            <w:r w:rsidRPr="00DB5C92">
              <w:rPr>
                <w:rFonts w:cs="FrankRuehl"/>
                <w:sz w:val="28"/>
                <w:szCs w:val="28"/>
                <w:rtl/>
              </w:rPr>
              <w:t>20044-03-18</w:t>
            </w:r>
            <w:r w:rsidRPr="00DB5C92">
              <w:rPr>
                <w:rFonts w:cs="FrankRuehl" w:hint="cs"/>
                <w:sz w:val="28"/>
                <w:szCs w:val="28"/>
                <w:rtl/>
              </w:rPr>
              <w:t xml:space="preserve"> </w:t>
            </w:r>
            <w:r w:rsidRPr="00DB5C92">
              <w:rPr>
                <w:rFonts w:cs="FrankRuehl"/>
                <w:sz w:val="28"/>
                <w:szCs w:val="28"/>
                <w:rtl/>
              </w:rPr>
              <w:t>מדינת ישראל נ' בודנה(עציר) ואח'</w:t>
            </w:r>
          </w:p>
          <w:p w14:paraId="585A2705" w14:textId="77777777" w:rsidR="003C5509" w:rsidRPr="00DB5C92" w:rsidRDefault="003C5509" w:rsidP="00176281">
            <w:pPr>
              <w:pStyle w:val="a3"/>
              <w:rPr>
                <w:rFonts w:cs="FrankRuehl"/>
                <w:sz w:val="28"/>
                <w:szCs w:val="28"/>
                <w:rtl/>
              </w:rPr>
            </w:pPr>
          </w:p>
        </w:tc>
        <w:tc>
          <w:tcPr>
            <w:tcW w:w="3730" w:type="dxa"/>
          </w:tcPr>
          <w:p w14:paraId="1597C4BC" w14:textId="77777777" w:rsidR="003C5509" w:rsidRPr="00DB5C92" w:rsidRDefault="003C5509" w:rsidP="00176281">
            <w:pPr>
              <w:pStyle w:val="a3"/>
              <w:jc w:val="right"/>
              <w:rPr>
                <w:rFonts w:cs="FrankRuehl"/>
                <w:sz w:val="28"/>
                <w:szCs w:val="28"/>
                <w:rtl/>
              </w:rPr>
            </w:pPr>
          </w:p>
        </w:tc>
      </w:tr>
    </w:tbl>
    <w:p w14:paraId="45CC66AC" w14:textId="77777777" w:rsidR="003C5509" w:rsidRPr="00DB5C92" w:rsidRDefault="003C5509" w:rsidP="003C5509">
      <w:pPr>
        <w:pStyle w:val="a3"/>
        <w:rPr>
          <w:rtl/>
        </w:rPr>
      </w:pPr>
      <w:r w:rsidRPr="00DB5C92">
        <w:rPr>
          <w:rFonts w:hint="cs"/>
          <w:rtl/>
        </w:rPr>
        <w:t xml:space="preserve"> </w:t>
      </w:r>
    </w:p>
    <w:p w14:paraId="4D8BA33C" w14:textId="77777777" w:rsidR="003C5509" w:rsidRPr="00DB5C92" w:rsidRDefault="003C5509" w:rsidP="003C5509">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176281" w:rsidRPr="00DB5C92" w14:paraId="466B7B39" w14:textId="77777777" w:rsidTr="003C5509">
        <w:trPr>
          <w:gridAfter w:val="1"/>
          <w:wAfter w:w="56" w:type="dxa"/>
        </w:trPr>
        <w:tc>
          <w:tcPr>
            <w:tcW w:w="8718" w:type="dxa"/>
            <w:gridSpan w:val="2"/>
            <w:shd w:val="clear" w:color="auto" w:fill="auto"/>
          </w:tcPr>
          <w:p w14:paraId="01020AF8" w14:textId="77777777" w:rsidR="003C5509" w:rsidRPr="00DB5C92" w:rsidRDefault="003C5509" w:rsidP="00176281">
            <w:pPr>
              <w:rPr>
                <w:b/>
                <w:bCs/>
                <w:sz w:val="26"/>
                <w:szCs w:val="26"/>
                <w:rtl/>
              </w:rPr>
            </w:pPr>
            <w:r w:rsidRPr="00DB5C92">
              <w:rPr>
                <w:rFonts w:hint="cs"/>
                <w:b/>
                <w:bCs/>
                <w:sz w:val="26"/>
                <w:szCs w:val="26"/>
                <w:rtl/>
              </w:rPr>
              <w:t>לפני כבוד השופט אמיר טובי</w:t>
            </w:r>
            <w:r w:rsidRPr="00DB5C92">
              <w:rPr>
                <w:rStyle w:val="TimesNewRomanTimesNewRoman"/>
                <w:rFonts w:hint="cs"/>
                <w:rtl/>
              </w:rPr>
              <w:t xml:space="preserve"> </w:t>
            </w:r>
          </w:p>
        </w:tc>
      </w:tr>
      <w:tr w:rsidR="00176281" w:rsidRPr="00DB5C92" w14:paraId="16460BBF" w14:textId="77777777" w:rsidTr="003C5509">
        <w:trPr>
          <w:cantSplit/>
          <w:trHeight w:val="724"/>
        </w:trPr>
        <w:tc>
          <w:tcPr>
            <w:tcW w:w="2880" w:type="dxa"/>
            <w:shd w:val="clear" w:color="auto" w:fill="auto"/>
          </w:tcPr>
          <w:p w14:paraId="24631D37" w14:textId="77777777" w:rsidR="003C5509" w:rsidRPr="00DB5C92" w:rsidRDefault="003C5509" w:rsidP="003C5509">
            <w:pPr>
              <w:ind w:left="26"/>
              <w:rPr>
                <w:b/>
                <w:bCs/>
                <w:sz w:val="26"/>
                <w:szCs w:val="26"/>
                <w:rtl/>
              </w:rPr>
            </w:pPr>
            <w:bookmarkStart w:id="1" w:name="FirstAppellant"/>
          </w:p>
          <w:p w14:paraId="09648E51" w14:textId="77777777" w:rsidR="003C5509" w:rsidRPr="00DB5C92" w:rsidRDefault="003C5509" w:rsidP="003C5509">
            <w:pPr>
              <w:ind w:left="26"/>
              <w:rPr>
                <w:b/>
                <w:bCs/>
                <w:sz w:val="26"/>
                <w:szCs w:val="26"/>
                <w:rtl/>
              </w:rPr>
            </w:pPr>
            <w:r w:rsidRPr="00DB5C92">
              <w:rPr>
                <w:rFonts w:hint="cs"/>
                <w:b/>
                <w:bCs/>
                <w:sz w:val="26"/>
                <w:szCs w:val="26"/>
                <w:rtl/>
              </w:rPr>
              <w:t>המאשימה</w:t>
            </w:r>
          </w:p>
        </w:tc>
        <w:tc>
          <w:tcPr>
            <w:tcW w:w="5922" w:type="dxa"/>
            <w:gridSpan w:val="2"/>
            <w:shd w:val="clear" w:color="auto" w:fill="auto"/>
          </w:tcPr>
          <w:p w14:paraId="71B469E7" w14:textId="77777777" w:rsidR="003C5509" w:rsidRPr="00DB5C92" w:rsidRDefault="003C5509" w:rsidP="00176281">
            <w:pPr>
              <w:rPr>
                <w:rtl/>
              </w:rPr>
            </w:pPr>
          </w:p>
          <w:p w14:paraId="314FB0C4" w14:textId="77777777" w:rsidR="003C5509" w:rsidRPr="00DB5C92" w:rsidRDefault="003C5509" w:rsidP="00176281">
            <w:pPr>
              <w:rPr>
                <w:b/>
                <w:bCs/>
                <w:sz w:val="26"/>
                <w:szCs w:val="26"/>
                <w:rtl/>
              </w:rPr>
            </w:pPr>
            <w:r w:rsidRPr="00DB5C92">
              <w:rPr>
                <w:rtl/>
              </w:rPr>
              <w:t xml:space="preserve"> </w:t>
            </w:r>
            <w:r w:rsidRPr="00DB5C92">
              <w:rPr>
                <w:rFonts w:hint="cs"/>
                <w:b/>
                <w:bCs/>
                <w:sz w:val="26"/>
                <w:szCs w:val="26"/>
                <w:rtl/>
              </w:rPr>
              <w:t>מדינת ישראל</w:t>
            </w:r>
          </w:p>
          <w:p w14:paraId="593D0DC4" w14:textId="77777777" w:rsidR="003C5509" w:rsidRPr="00DB5C92" w:rsidRDefault="003C5509" w:rsidP="00176281">
            <w:pPr>
              <w:rPr>
                <w:b/>
                <w:bCs/>
                <w:sz w:val="26"/>
                <w:szCs w:val="26"/>
                <w:rtl/>
              </w:rPr>
            </w:pPr>
          </w:p>
        </w:tc>
      </w:tr>
      <w:bookmarkEnd w:id="1"/>
      <w:tr w:rsidR="00176281" w:rsidRPr="00DB5C92" w14:paraId="2431E63F" w14:textId="77777777" w:rsidTr="003C5509">
        <w:tc>
          <w:tcPr>
            <w:tcW w:w="8802" w:type="dxa"/>
            <w:gridSpan w:val="3"/>
            <w:shd w:val="clear" w:color="auto" w:fill="auto"/>
            <w:vAlign w:val="center"/>
          </w:tcPr>
          <w:p w14:paraId="183D5550" w14:textId="77777777" w:rsidR="003C5509" w:rsidRPr="00DB5C92" w:rsidRDefault="003C5509" w:rsidP="003C5509">
            <w:pPr>
              <w:jc w:val="center"/>
              <w:rPr>
                <w:rFonts w:ascii="Arial" w:hAnsi="Arial"/>
                <w:b/>
                <w:bCs/>
                <w:sz w:val="26"/>
                <w:szCs w:val="26"/>
                <w:rtl/>
              </w:rPr>
            </w:pPr>
          </w:p>
          <w:p w14:paraId="03FE9703" w14:textId="77777777" w:rsidR="003C5509" w:rsidRPr="00DB5C92" w:rsidRDefault="003C5509" w:rsidP="003C5509">
            <w:pPr>
              <w:jc w:val="center"/>
              <w:rPr>
                <w:rFonts w:ascii="Arial" w:hAnsi="Arial"/>
                <w:b/>
                <w:bCs/>
                <w:sz w:val="26"/>
                <w:szCs w:val="26"/>
                <w:rtl/>
              </w:rPr>
            </w:pPr>
            <w:r w:rsidRPr="00DB5C92">
              <w:rPr>
                <w:rFonts w:ascii="Arial" w:hAnsi="Arial" w:hint="cs"/>
                <w:b/>
                <w:bCs/>
                <w:sz w:val="26"/>
                <w:szCs w:val="26"/>
                <w:rtl/>
              </w:rPr>
              <w:t>נגד</w:t>
            </w:r>
          </w:p>
          <w:p w14:paraId="58F4035D" w14:textId="77777777" w:rsidR="003C5509" w:rsidRPr="00DB5C92" w:rsidRDefault="003C5509" w:rsidP="00176281">
            <w:pPr>
              <w:rPr>
                <w:rFonts w:ascii="Arial" w:hAnsi="Arial"/>
                <w:b/>
                <w:bCs/>
                <w:sz w:val="26"/>
                <w:szCs w:val="26"/>
                <w:rtl/>
              </w:rPr>
            </w:pPr>
          </w:p>
        </w:tc>
      </w:tr>
      <w:tr w:rsidR="00176281" w:rsidRPr="00DB5C92" w14:paraId="0334031E" w14:textId="77777777" w:rsidTr="003C5509">
        <w:tc>
          <w:tcPr>
            <w:tcW w:w="2880" w:type="dxa"/>
            <w:shd w:val="clear" w:color="auto" w:fill="auto"/>
          </w:tcPr>
          <w:p w14:paraId="295AC219" w14:textId="77777777" w:rsidR="003C5509" w:rsidRPr="00DB5C92" w:rsidRDefault="003C5509" w:rsidP="003C5509">
            <w:pPr>
              <w:ind w:left="26"/>
              <w:rPr>
                <w:b/>
                <w:bCs/>
                <w:sz w:val="26"/>
                <w:szCs w:val="26"/>
              </w:rPr>
            </w:pPr>
            <w:r w:rsidRPr="00DB5C92">
              <w:rPr>
                <w:rFonts w:hint="cs"/>
                <w:b/>
                <w:bCs/>
                <w:sz w:val="26"/>
                <w:szCs w:val="26"/>
                <w:rtl/>
              </w:rPr>
              <w:t>הנאשמים</w:t>
            </w:r>
          </w:p>
        </w:tc>
        <w:tc>
          <w:tcPr>
            <w:tcW w:w="5922" w:type="dxa"/>
            <w:gridSpan w:val="2"/>
            <w:shd w:val="clear" w:color="auto" w:fill="auto"/>
          </w:tcPr>
          <w:p w14:paraId="19D5104D" w14:textId="77777777" w:rsidR="003C5509" w:rsidRPr="00DB5C92" w:rsidRDefault="003C5509" w:rsidP="00176281">
            <w:pPr>
              <w:rPr>
                <w:b/>
                <w:bCs/>
                <w:sz w:val="26"/>
                <w:szCs w:val="26"/>
                <w:rtl/>
              </w:rPr>
            </w:pPr>
            <w:r w:rsidRPr="00DB5C92">
              <w:rPr>
                <w:b/>
                <w:bCs/>
                <w:sz w:val="26"/>
                <w:szCs w:val="26"/>
              </w:rPr>
              <w:t>.1</w:t>
            </w:r>
            <w:r w:rsidRPr="00DB5C92">
              <w:rPr>
                <w:rtl/>
              </w:rPr>
              <w:t xml:space="preserve"> </w:t>
            </w:r>
            <w:r w:rsidRPr="00DB5C92">
              <w:rPr>
                <w:rFonts w:hint="cs"/>
                <w:b/>
                <w:bCs/>
                <w:sz w:val="26"/>
                <w:szCs w:val="26"/>
                <w:rtl/>
              </w:rPr>
              <w:t>מתן בודנה (עציר)</w:t>
            </w:r>
            <w:r w:rsidRPr="00DB5C92">
              <w:rPr>
                <w:rtl/>
              </w:rPr>
              <w:t xml:space="preserve"> </w:t>
            </w:r>
            <w:r w:rsidRPr="00DB5C92">
              <w:rPr>
                <w:rFonts w:hint="cs"/>
                <w:b/>
                <w:bCs/>
                <w:sz w:val="26"/>
                <w:szCs w:val="26"/>
                <w:rtl/>
              </w:rPr>
              <w:t xml:space="preserve">ת.ז.  </w:t>
            </w:r>
            <w:r w:rsidR="00DB5C92">
              <w:rPr>
                <w:b/>
                <w:bCs/>
                <w:sz w:val="26"/>
                <w:szCs w:val="26"/>
              </w:rPr>
              <w:t>xxxxxxxxxx</w:t>
            </w:r>
          </w:p>
          <w:p w14:paraId="1DDF1DEF" w14:textId="77777777" w:rsidR="003C5509" w:rsidRPr="00DB5C92" w:rsidRDefault="003C5509" w:rsidP="00176281">
            <w:pPr>
              <w:rPr>
                <w:b/>
                <w:bCs/>
                <w:sz w:val="26"/>
                <w:szCs w:val="26"/>
                <w:rtl/>
              </w:rPr>
            </w:pPr>
            <w:r w:rsidRPr="00DB5C92">
              <w:rPr>
                <w:b/>
                <w:bCs/>
                <w:sz w:val="26"/>
                <w:szCs w:val="26"/>
              </w:rPr>
              <w:t>.2</w:t>
            </w:r>
            <w:r w:rsidRPr="00DB5C92">
              <w:rPr>
                <w:rtl/>
              </w:rPr>
              <w:t xml:space="preserve"> </w:t>
            </w:r>
            <w:r w:rsidRPr="00DB5C92">
              <w:rPr>
                <w:rFonts w:hint="cs"/>
                <w:b/>
                <w:bCs/>
                <w:sz w:val="26"/>
                <w:szCs w:val="26"/>
                <w:rtl/>
              </w:rPr>
              <w:t>שרין דוידוב (עצור בפיקוח)</w:t>
            </w:r>
            <w:r w:rsidRPr="00DB5C92">
              <w:rPr>
                <w:rtl/>
              </w:rPr>
              <w:t xml:space="preserve"> </w:t>
            </w:r>
            <w:r w:rsidRPr="00DB5C92">
              <w:rPr>
                <w:rFonts w:hint="cs"/>
                <w:b/>
                <w:bCs/>
                <w:sz w:val="26"/>
                <w:szCs w:val="26"/>
                <w:rtl/>
              </w:rPr>
              <w:t xml:space="preserve">ת.ז.  </w:t>
            </w:r>
            <w:r w:rsidR="00DB5C92">
              <w:rPr>
                <w:b/>
                <w:bCs/>
                <w:sz w:val="26"/>
                <w:szCs w:val="26"/>
              </w:rPr>
              <w:t>xxxxxxxxxx</w:t>
            </w:r>
          </w:p>
          <w:p w14:paraId="138C2A00" w14:textId="77777777" w:rsidR="003C5509" w:rsidRPr="00DB5C92" w:rsidRDefault="003C5509" w:rsidP="00176281">
            <w:pPr>
              <w:rPr>
                <w:b/>
                <w:bCs/>
                <w:sz w:val="26"/>
                <w:szCs w:val="26"/>
                <w:rtl/>
              </w:rPr>
            </w:pPr>
            <w:r w:rsidRPr="00DB5C92">
              <w:rPr>
                <w:b/>
                <w:bCs/>
                <w:sz w:val="26"/>
                <w:szCs w:val="26"/>
              </w:rPr>
              <w:t>.3</w:t>
            </w:r>
            <w:r w:rsidRPr="00DB5C92">
              <w:rPr>
                <w:rtl/>
              </w:rPr>
              <w:t xml:space="preserve"> </w:t>
            </w:r>
            <w:r w:rsidRPr="00DB5C92">
              <w:rPr>
                <w:rFonts w:hint="cs"/>
                <w:b/>
                <w:bCs/>
                <w:sz w:val="26"/>
                <w:szCs w:val="26"/>
                <w:rtl/>
              </w:rPr>
              <w:t>בלאל סח'ניני (עציר)</w:t>
            </w:r>
            <w:r w:rsidRPr="00DB5C92">
              <w:rPr>
                <w:rtl/>
              </w:rPr>
              <w:t xml:space="preserve"> </w:t>
            </w:r>
            <w:r w:rsidRPr="00DB5C92">
              <w:rPr>
                <w:rFonts w:hint="cs"/>
                <w:b/>
                <w:bCs/>
                <w:sz w:val="26"/>
                <w:szCs w:val="26"/>
                <w:rtl/>
              </w:rPr>
              <w:t xml:space="preserve">ת.ז.  </w:t>
            </w:r>
            <w:r w:rsidR="00DB5C92">
              <w:rPr>
                <w:b/>
                <w:bCs/>
                <w:sz w:val="26"/>
                <w:szCs w:val="26"/>
              </w:rPr>
              <w:t>xxxxxxxxxx</w:t>
            </w:r>
          </w:p>
        </w:tc>
      </w:tr>
    </w:tbl>
    <w:p w14:paraId="7D684374" w14:textId="77777777" w:rsidR="003C5509" w:rsidRPr="00DB5C92" w:rsidRDefault="003C5509" w:rsidP="003C5509">
      <w:pPr>
        <w:spacing w:line="360" w:lineRule="auto"/>
        <w:jc w:val="both"/>
        <w:rPr>
          <w:rFonts w:ascii="David" w:hAnsi="David"/>
          <w:rtl/>
        </w:rPr>
      </w:pPr>
    </w:p>
    <w:p w14:paraId="23F0A3C5" w14:textId="77777777" w:rsidR="003C5509" w:rsidRPr="00DB5C92" w:rsidRDefault="003C5509" w:rsidP="003C5509">
      <w:pPr>
        <w:jc w:val="both"/>
        <w:rPr>
          <w:b/>
          <w:bCs/>
          <w:rtl/>
        </w:rPr>
      </w:pPr>
      <w:r w:rsidRPr="00DB5C92">
        <w:rPr>
          <w:rFonts w:hint="cs"/>
          <w:b/>
          <w:bCs/>
          <w:rtl/>
        </w:rPr>
        <w:t>נוכחים:</w:t>
      </w:r>
    </w:p>
    <w:p w14:paraId="61C772E3" w14:textId="77777777" w:rsidR="003C5509" w:rsidRPr="00DB5C92" w:rsidRDefault="003C5509" w:rsidP="003C5509">
      <w:pPr>
        <w:jc w:val="both"/>
        <w:rPr>
          <w:rtl/>
        </w:rPr>
      </w:pPr>
      <w:bookmarkStart w:id="2" w:name="FirstLawyer"/>
      <w:r w:rsidRPr="00DB5C92">
        <w:rPr>
          <w:rFonts w:hint="cs"/>
          <w:rtl/>
        </w:rPr>
        <w:t>ב"כ</w:t>
      </w:r>
      <w:bookmarkEnd w:id="2"/>
      <w:r w:rsidRPr="00DB5C92">
        <w:rPr>
          <w:rFonts w:hint="cs"/>
          <w:rtl/>
        </w:rPr>
        <w:t xml:space="preserve"> המאשימה: עו"ד בני פסקל</w:t>
      </w:r>
    </w:p>
    <w:p w14:paraId="3B8F62C1" w14:textId="77777777" w:rsidR="003C5509" w:rsidRPr="00DB5C92" w:rsidRDefault="003C5509" w:rsidP="003C5509">
      <w:pPr>
        <w:jc w:val="both"/>
        <w:rPr>
          <w:rtl/>
        </w:rPr>
      </w:pPr>
      <w:r w:rsidRPr="00DB5C92">
        <w:rPr>
          <w:rFonts w:hint="cs"/>
          <w:rtl/>
        </w:rPr>
        <w:t>ב"כ הנאשמים 1 ו-2: עו"ד יוני דדון</w:t>
      </w:r>
    </w:p>
    <w:p w14:paraId="06CC5C5C" w14:textId="77777777" w:rsidR="003C5509" w:rsidRPr="00DB5C92" w:rsidRDefault="003C5509" w:rsidP="003C5509">
      <w:pPr>
        <w:jc w:val="both"/>
        <w:rPr>
          <w:rtl/>
        </w:rPr>
      </w:pPr>
      <w:r w:rsidRPr="00DB5C92">
        <w:rPr>
          <w:rFonts w:hint="cs"/>
          <w:rtl/>
        </w:rPr>
        <w:t xml:space="preserve">ב"כ הנאשם 3: עו"ד גב' ראניה סרוג'י </w:t>
      </w:r>
    </w:p>
    <w:p w14:paraId="68FFEB85" w14:textId="77777777" w:rsidR="003C5509" w:rsidRPr="00DB5C92" w:rsidRDefault="003C5509" w:rsidP="003C5509">
      <w:pPr>
        <w:jc w:val="both"/>
        <w:rPr>
          <w:rtl/>
        </w:rPr>
      </w:pPr>
      <w:r w:rsidRPr="00DB5C92">
        <w:rPr>
          <w:rFonts w:hint="cs"/>
          <w:rtl/>
        </w:rPr>
        <w:t xml:space="preserve">הנאשמים 1 ו-3 באמצעות הליווי </w:t>
      </w:r>
    </w:p>
    <w:p w14:paraId="3CFB2CB3" w14:textId="77777777" w:rsidR="00C47880" w:rsidRDefault="003C5509" w:rsidP="003C5509">
      <w:pPr>
        <w:jc w:val="both"/>
        <w:rPr>
          <w:rtl/>
        </w:rPr>
      </w:pPr>
      <w:r w:rsidRPr="00DB5C92">
        <w:rPr>
          <w:rFonts w:hint="cs"/>
          <w:rtl/>
        </w:rPr>
        <w:t xml:space="preserve">הנאשם 2 בעצמו </w:t>
      </w:r>
      <w:bookmarkStart w:id="3" w:name="LawTable"/>
      <w:bookmarkEnd w:id="3"/>
    </w:p>
    <w:p w14:paraId="0AEEB1A3" w14:textId="77777777" w:rsidR="00C47880" w:rsidRPr="00C47880" w:rsidRDefault="00C47880" w:rsidP="00C47880">
      <w:pPr>
        <w:spacing w:after="120" w:line="240" w:lineRule="exact"/>
        <w:ind w:left="283" w:hanging="283"/>
        <w:jc w:val="both"/>
        <w:rPr>
          <w:rFonts w:ascii="FrankRuehl" w:hAnsi="FrankRuehl" w:cs="FrankRuehl"/>
          <w:rtl/>
        </w:rPr>
      </w:pPr>
    </w:p>
    <w:p w14:paraId="02216F31" w14:textId="77777777" w:rsidR="00C47880" w:rsidRPr="00C47880" w:rsidRDefault="00C47880" w:rsidP="00C47880">
      <w:pPr>
        <w:spacing w:after="120" w:line="240" w:lineRule="exact"/>
        <w:ind w:left="283" w:hanging="283"/>
        <w:jc w:val="both"/>
        <w:rPr>
          <w:rFonts w:ascii="FrankRuehl" w:hAnsi="FrankRuehl" w:cs="FrankRuehl"/>
          <w:rtl/>
        </w:rPr>
      </w:pPr>
      <w:r w:rsidRPr="00C47880">
        <w:rPr>
          <w:rFonts w:ascii="FrankRuehl" w:hAnsi="FrankRuehl" w:cs="FrankRuehl"/>
          <w:rtl/>
        </w:rPr>
        <w:t xml:space="preserve">חקיקה שאוזכרה: </w:t>
      </w:r>
    </w:p>
    <w:p w14:paraId="57B36E63" w14:textId="77777777" w:rsidR="00C47880" w:rsidRPr="00C47880" w:rsidRDefault="00C47880" w:rsidP="00C47880">
      <w:pPr>
        <w:spacing w:after="120" w:line="240" w:lineRule="exact"/>
        <w:ind w:left="283" w:hanging="283"/>
        <w:jc w:val="both"/>
        <w:rPr>
          <w:rFonts w:ascii="FrankRuehl" w:hAnsi="FrankRuehl" w:cs="FrankRuehl"/>
          <w:rtl/>
        </w:rPr>
      </w:pPr>
      <w:hyperlink r:id="rId7" w:history="1">
        <w:r w:rsidRPr="00C47880">
          <w:rPr>
            <w:rFonts w:ascii="FrankRuehl" w:hAnsi="FrankRuehl" w:cs="FrankRuehl"/>
            <w:color w:val="0000FF"/>
            <w:u w:val="single"/>
            <w:rtl/>
          </w:rPr>
          <w:t>חוק העונשין, תשל"ז-1977</w:t>
        </w:r>
      </w:hyperlink>
      <w:r w:rsidRPr="00C47880">
        <w:rPr>
          <w:rFonts w:ascii="FrankRuehl" w:hAnsi="FrankRuehl" w:cs="FrankRuehl"/>
          <w:rtl/>
        </w:rPr>
        <w:t xml:space="preserve">: סע'  </w:t>
      </w:r>
      <w:hyperlink r:id="rId8" w:history="1">
        <w:r w:rsidRPr="00C47880">
          <w:rPr>
            <w:rFonts w:ascii="FrankRuehl" w:hAnsi="FrankRuehl" w:cs="FrankRuehl"/>
            <w:color w:val="0000FF"/>
            <w:u w:val="single"/>
            <w:rtl/>
          </w:rPr>
          <w:t>2)</w:t>
        </w:r>
      </w:hyperlink>
      <w:r w:rsidRPr="00C47880">
        <w:rPr>
          <w:rFonts w:ascii="FrankRuehl" w:hAnsi="FrankRuehl" w:cs="FrankRuehl"/>
          <w:rtl/>
        </w:rPr>
        <w:t xml:space="preserve">, </w:t>
      </w:r>
      <w:hyperlink r:id="rId9" w:history="1">
        <w:r w:rsidRPr="00C47880">
          <w:rPr>
            <w:rFonts w:ascii="FrankRuehl" w:hAnsi="FrankRuehl" w:cs="FrankRuehl"/>
            <w:color w:val="0000FF"/>
            <w:u w:val="single"/>
            <w:rtl/>
          </w:rPr>
          <w:t>31</w:t>
        </w:r>
      </w:hyperlink>
      <w:r w:rsidRPr="00C47880">
        <w:rPr>
          <w:rFonts w:ascii="FrankRuehl" w:hAnsi="FrankRuehl" w:cs="FrankRuehl"/>
          <w:rtl/>
        </w:rPr>
        <w:t xml:space="preserve">, </w:t>
      </w:r>
      <w:hyperlink r:id="rId10" w:history="1">
        <w:r w:rsidRPr="00C47880">
          <w:rPr>
            <w:rFonts w:ascii="FrankRuehl" w:hAnsi="FrankRuehl" w:cs="FrankRuehl"/>
            <w:color w:val="0000FF"/>
            <w:u w:val="single"/>
            <w:rtl/>
          </w:rPr>
          <w:t>144(א)</w:t>
        </w:r>
      </w:hyperlink>
      <w:r w:rsidRPr="00C47880">
        <w:rPr>
          <w:rFonts w:ascii="FrankRuehl" w:hAnsi="FrankRuehl" w:cs="FrankRuehl"/>
          <w:rtl/>
        </w:rPr>
        <w:t xml:space="preserve">, </w:t>
      </w:r>
      <w:hyperlink r:id="rId11" w:history="1">
        <w:r w:rsidRPr="00C47880">
          <w:rPr>
            <w:rFonts w:ascii="FrankRuehl" w:hAnsi="FrankRuehl" w:cs="FrankRuehl"/>
            <w:color w:val="0000FF"/>
            <w:u w:val="single"/>
            <w:rtl/>
          </w:rPr>
          <w:t>144(ב2)</w:t>
        </w:r>
      </w:hyperlink>
      <w:r w:rsidRPr="00C47880">
        <w:rPr>
          <w:rFonts w:ascii="FrankRuehl" w:hAnsi="FrankRuehl" w:cs="FrankRuehl"/>
          <w:rtl/>
        </w:rPr>
        <w:t xml:space="preserve">, </w:t>
      </w:r>
      <w:hyperlink r:id="rId12" w:history="1">
        <w:r w:rsidRPr="00C47880">
          <w:rPr>
            <w:rFonts w:ascii="FrankRuehl" w:hAnsi="FrankRuehl" w:cs="FrankRuehl"/>
            <w:color w:val="0000FF"/>
            <w:u w:val="single"/>
            <w:rtl/>
          </w:rPr>
          <w:t>+ (ג)</w:t>
        </w:r>
      </w:hyperlink>
      <w:r w:rsidRPr="00C47880">
        <w:rPr>
          <w:rFonts w:ascii="FrankRuehl" w:hAnsi="FrankRuehl" w:cs="FrankRuehl"/>
          <w:rtl/>
        </w:rPr>
        <w:t xml:space="preserve">, </w:t>
      </w:r>
      <w:hyperlink r:id="rId13" w:history="1">
        <w:r w:rsidRPr="00C47880">
          <w:rPr>
            <w:rFonts w:ascii="FrankRuehl" w:hAnsi="FrankRuehl" w:cs="FrankRuehl"/>
            <w:color w:val="0000FF"/>
            <w:u w:val="single"/>
            <w:rtl/>
          </w:rPr>
          <w:t>ג'</w:t>
        </w:r>
      </w:hyperlink>
    </w:p>
    <w:p w14:paraId="199E9FAA" w14:textId="77777777" w:rsidR="00C47880" w:rsidRPr="00C47880" w:rsidRDefault="00C47880" w:rsidP="00C47880">
      <w:pPr>
        <w:spacing w:after="120" w:line="240" w:lineRule="exact"/>
        <w:ind w:left="283" w:hanging="283"/>
        <w:jc w:val="both"/>
        <w:rPr>
          <w:rFonts w:ascii="FrankRuehl" w:hAnsi="FrankRuehl" w:cs="FrankRuehl"/>
          <w:rtl/>
        </w:rPr>
      </w:pPr>
      <w:hyperlink r:id="rId14" w:history="1">
        <w:r w:rsidRPr="00C47880">
          <w:rPr>
            <w:rFonts w:ascii="FrankRuehl" w:hAnsi="FrankRuehl" w:cs="FrankRuehl"/>
            <w:color w:val="0000FF"/>
            <w:u w:val="single"/>
            <w:rtl/>
          </w:rPr>
          <w:t>פקודת הסמים המסוכנים [נוסח חדש], תשל"ג-1973</w:t>
        </w:r>
      </w:hyperlink>
      <w:r w:rsidRPr="00C47880">
        <w:rPr>
          <w:rFonts w:ascii="FrankRuehl" w:hAnsi="FrankRuehl" w:cs="FrankRuehl"/>
          <w:rtl/>
        </w:rPr>
        <w:t xml:space="preserve">: סע'  </w:t>
      </w:r>
      <w:hyperlink r:id="rId15" w:history="1">
        <w:r w:rsidRPr="00C47880">
          <w:rPr>
            <w:rFonts w:ascii="FrankRuehl" w:hAnsi="FrankRuehl" w:cs="FrankRuehl"/>
            <w:color w:val="0000FF"/>
            <w:u w:val="single"/>
            <w:rtl/>
          </w:rPr>
          <w:t>13</w:t>
        </w:r>
      </w:hyperlink>
      <w:r w:rsidRPr="00C47880">
        <w:rPr>
          <w:rFonts w:ascii="FrankRuehl" w:hAnsi="FrankRuehl" w:cs="FrankRuehl"/>
          <w:rtl/>
        </w:rPr>
        <w:t xml:space="preserve">, </w:t>
      </w:r>
      <w:hyperlink r:id="rId16" w:history="1">
        <w:r w:rsidRPr="00C47880">
          <w:rPr>
            <w:rFonts w:ascii="FrankRuehl" w:hAnsi="FrankRuehl" w:cs="FrankRuehl"/>
            <w:color w:val="0000FF"/>
            <w:u w:val="single"/>
            <w:rtl/>
          </w:rPr>
          <w:t>19א'</w:t>
        </w:r>
      </w:hyperlink>
    </w:p>
    <w:p w14:paraId="7560031D" w14:textId="77777777" w:rsidR="00C47880" w:rsidRPr="00C47880" w:rsidRDefault="00C47880" w:rsidP="00C47880">
      <w:pPr>
        <w:spacing w:after="120" w:line="240" w:lineRule="exact"/>
        <w:ind w:left="283" w:hanging="283"/>
        <w:jc w:val="both"/>
        <w:rPr>
          <w:rFonts w:ascii="FrankRuehl" w:hAnsi="FrankRuehl" w:cs="FrankRuehl"/>
          <w:rtl/>
        </w:rPr>
      </w:pPr>
    </w:p>
    <w:p w14:paraId="7F645EE0" w14:textId="77777777" w:rsidR="00C47880" w:rsidRPr="00C47880" w:rsidRDefault="00C47880" w:rsidP="003C5509">
      <w:pPr>
        <w:jc w:val="both"/>
        <w:rPr>
          <w:rtl/>
        </w:rPr>
      </w:pPr>
      <w:bookmarkStart w:id="4" w:name="LawTable_End"/>
      <w:bookmarkEnd w:id="4"/>
    </w:p>
    <w:p w14:paraId="4898B494" w14:textId="77777777" w:rsidR="00C47880" w:rsidRPr="00C47880" w:rsidRDefault="00C47880" w:rsidP="003C5509">
      <w:pPr>
        <w:jc w:val="both"/>
        <w:rPr>
          <w:rtl/>
        </w:rPr>
      </w:pPr>
    </w:p>
    <w:p w14:paraId="25547FB0" w14:textId="77777777" w:rsidR="003C5509" w:rsidRPr="00C47880" w:rsidRDefault="003C5509" w:rsidP="003C5509">
      <w:pPr>
        <w:jc w:val="both"/>
        <w:rPr>
          <w:rtl/>
        </w:rPr>
      </w:pPr>
    </w:p>
    <w:p w14:paraId="35B34852" w14:textId="77777777" w:rsidR="00C47880" w:rsidRPr="00C47880" w:rsidRDefault="00C47880" w:rsidP="003C5509">
      <w:pPr>
        <w:rPr>
          <w:rtl/>
        </w:rPr>
      </w:pPr>
    </w:p>
    <w:p w14:paraId="39EA5345" w14:textId="77777777" w:rsidR="00C47880" w:rsidRPr="00C47880" w:rsidRDefault="00C47880" w:rsidP="003C5509">
      <w:pPr>
        <w:rPr>
          <w:rtl/>
        </w:rPr>
      </w:pPr>
    </w:p>
    <w:p w14:paraId="6D8963F7" w14:textId="77777777" w:rsidR="003C5509" w:rsidRPr="00C47880" w:rsidRDefault="003C5509" w:rsidP="003C5509"/>
    <w:p w14:paraId="4ACCFC22" w14:textId="77777777" w:rsidR="00DB5C92" w:rsidRPr="00DB5C92" w:rsidRDefault="00DB5C92" w:rsidP="003C5509">
      <w:pPr>
        <w:rPr>
          <w:rFonts w:ascii="Arial" w:hAnsi="Arial"/>
          <w:rtl/>
        </w:rPr>
      </w:pPr>
    </w:p>
    <w:p w14:paraId="34F17281" w14:textId="77777777" w:rsidR="00DB5C92" w:rsidRPr="00DB5C92" w:rsidRDefault="00DB5C92" w:rsidP="003C5509">
      <w:pPr>
        <w:rPr>
          <w:rFonts w:ascii="Arial" w:hAnsi="Arial"/>
          <w:rtl/>
        </w:rPr>
      </w:pPr>
    </w:p>
    <w:p w14:paraId="2DC283A6" w14:textId="77777777" w:rsidR="003C5509" w:rsidRPr="00DB5C92" w:rsidRDefault="003C5509" w:rsidP="003C5509">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76281" w14:paraId="6FDECE23" w14:textId="77777777" w:rsidTr="003C5509">
        <w:trPr>
          <w:trHeight w:val="355"/>
          <w:jc w:val="center"/>
        </w:trPr>
        <w:tc>
          <w:tcPr>
            <w:tcW w:w="8820" w:type="dxa"/>
            <w:tcBorders>
              <w:top w:val="nil"/>
              <w:left w:val="nil"/>
              <w:bottom w:val="nil"/>
              <w:right w:val="nil"/>
            </w:tcBorders>
            <w:shd w:val="clear" w:color="auto" w:fill="auto"/>
          </w:tcPr>
          <w:p w14:paraId="1A414768" w14:textId="77777777" w:rsidR="00DB5C92" w:rsidRPr="00DB5C92" w:rsidRDefault="00DB5C92" w:rsidP="00DB5C92">
            <w:pPr>
              <w:jc w:val="center"/>
              <w:rPr>
                <w:rFonts w:ascii="Arial" w:hAnsi="Arial" w:cs="FrankRuehl"/>
                <w:b/>
                <w:bCs/>
                <w:sz w:val="32"/>
                <w:szCs w:val="32"/>
                <w:u w:val="single"/>
                <w:rtl/>
              </w:rPr>
            </w:pPr>
            <w:bookmarkStart w:id="5" w:name="PsakDin" w:colFirst="0" w:colLast="0"/>
            <w:bookmarkEnd w:id="0"/>
            <w:r w:rsidRPr="00DB5C92">
              <w:rPr>
                <w:rFonts w:ascii="Arial" w:hAnsi="Arial" w:cs="FrankRuehl"/>
                <w:b/>
                <w:bCs/>
                <w:sz w:val="32"/>
                <w:szCs w:val="32"/>
                <w:u w:val="single"/>
                <w:rtl/>
              </w:rPr>
              <w:t>גזר דין</w:t>
            </w:r>
          </w:p>
          <w:p w14:paraId="555D1AED" w14:textId="77777777" w:rsidR="003C5509" w:rsidRPr="00DB5C92" w:rsidRDefault="003C5509" w:rsidP="00DB5C92">
            <w:pPr>
              <w:jc w:val="center"/>
              <w:rPr>
                <w:rFonts w:ascii="Arial" w:hAnsi="Arial" w:cs="FrankRuehl"/>
                <w:bCs/>
                <w:sz w:val="32"/>
                <w:szCs w:val="32"/>
                <w:u w:val="single"/>
                <w:rtl/>
              </w:rPr>
            </w:pPr>
          </w:p>
        </w:tc>
      </w:tr>
      <w:bookmarkEnd w:id="5"/>
    </w:tbl>
    <w:p w14:paraId="5196FEF6" w14:textId="77777777" w:rsidR="003C5509" w:rsidRPr="00B05847" w:rsidRDefault="003C5509" w:rsidP="003C5509">
      <w:pPr>
        <w:rPr>
          <w:rFonts w:ascii="Arial" w:hAnsi="Arial"/>
          <w:rtl/>
        </w:rPr>
      </w:pPr>
    </w:p>
    <w:p w14:paraId="28C01316" w14:textId="77777777" w:rsidR="003C5509" w:rsidRPr="00B05847" w:rsidRDefault="003C5509" w:rsidP="003C5509">
      <w:pPr>
        <w:rPr>
          <w:rFonts w:ascii="Arial" w:hAnsi="Arial"/>
          <w:rtl/>
        </w:rPr>
      </w:pPr>
    </w:p>
    <w:p w14:paraId="6BA90629" w14:textId="77777777" w:rsidR="003C5509" w:rsidRPr="00B05847" w:rsidRDefault="003C5509" w:rsidP="003C5509">
      <w:pPr>
        <w:rPr>
          <w:rtl/>
        </w:rPr>
      </w:pPr>
    </w:p>
    <w:p w14:paraId="4E5E448F" w14:textId="77777777" w:rsidR="003C5509" w:rsidRDefault="003C5509" w:rsidP="003C5509">
      <w:pPr>
        <w:spacing w:line="360" w:lineRule="auto"/>
        <w:ind w:left="720" w:hanging="720"/>
        <w:jc w:val="both"/>
      </w:pPr>
      <w:r>
        <w:rPr>
          <w:rFonts w:hint="cs"/>
          <w:rtl/>
        </w:rPr>
        <w:lastRenderedPageBreak/>
        <w:t>1.</w:t>
      </w:r>
      <w:r>
        <w:rPr>
          <w:rFonts w:hint="cs"/>
          <w:rtl/>
        </w:rPr>
        <w:tab/>
        <w:t>הנאשמים הורשעו על סמך הודאתם בעבירות שיוחסו להם בכתב אישום אשר תוקן במסגרת הסדר טיעון. הסדר הטיעון כלל הסכמה עונשית וכן הסכמה להכריז על נאשם 1 כסוחר סמים.</w:t>
      </w:r>
    </w:p>
    <w:p w14:paraId="117910EC" w14:textId="77777777" w:rsidR="003C5509" w:rsidRDefault="003C5509" w:rsidP="003C5509">
      <w:pPr>
        <w:spacing w:line="360" w:lineRule="auto"/>
        <w:ind w:left="720" w:hanging="720"/>
        <w:jc w:val="both"/>
        <w:rPr>
          <w:rtl/>
        </w:rPr>
      </w:pPr>
    </w:p>
    <w:p w14:paraId="6C8AE195" w14:textId="77777777" w:rsidR="003C5509" w:rsidRDefault="003C5509" w:rsidP="003C5509">
      <w:pPr>
        <w:spacing w:line="360" w:lineRule="auto"/>
        <w:ind w:left="720" w:hanging="720"/>
        <w:jc w:val="both"/>
        <w:rPr>
          <w:u w:val="single"/>
          <w:rtl/>
        </w:rPr>
      </w:pPr>
      <w:r>
        <w:rPr>
          <w:rFonts w:hint="cs"/>
          <w:u w:val="single"/>
          <w:rtl/>
        </w:rPr>
        <w:t>כתב האישום המתוקן</w:t>
      </w:r>
    </w:p>
    <w:p w14:paraId="26FD05A5" w14:textId="77777777" w:rsidR="003C5509" w:rsidRDefault="003C5509" w:rsidP="003C5509">
      <w:pPr>
        <w:spacing w:line="360" w:lineRule="auto"/>
        <w:ind w:left="720" w:hanging="720"/>
        <w:jc w:val="both"/>
        <w:rPr>
          <w:u w:val="single"/>
          <w:rtl/>
        </w:rPr>
      </w:pPr>
    </w:p>
    <w:p w14:paraId="53CE4FCD" w14:textId="77777777" w:rsidR="003C5509" w:rsidRDefault="003C5509" w:rsidP="003C5509">
      <w:pPr>
        <w:spacing w:line="360" w:lineRule="auto"/>
        <w:ind w:left="720" w:hanging="720"/>
        <w:jc w:val="both"/>
        <w:rPr>
          <w:rtl/>
        </w:rPr>
      </w:pPr>
      <w:r>
        <w:rPr>
          <w:rFonts w:hint="cs"/>
          <w:rtl/>
        </w:rPr>
        <w:t>2.</w:t>
      </w:r>
      <w:r>
        <w:rPr>
          <w:rFonts w:hint="cs"/>
          <w:rtl/>
        </w:rPr>
        <w:tab/>
        <w:t xml:space="preserve">בחלקו הכללי של כתב האישום המתוקן (להלן: "כתב האישום") נאמר כי במועדים הרלבנטיים הופעל נ.פ (להלן: "הסוכן") בשליחות המשטרה ורכש בהוראתה, באישורה ובכספה, כלי נשק, תחמושת וסמים. עוד נאמר כי בין הנאשמים לבין הסוכן היתה היכרות מוקדמת וכן היתה היכרות בין הנאשמים לבין עצמם. </w:t>
      </w:r>
    </w:p>
    <w:p w14:paraId="2CD8428A" w14:textId="77777777" w:rsidR="003C5509" w:rsidRDefault="003C5509" w:rsidP="003C5509">
      <w:pPr>
        <w:spacing w:line="360" w:lineRule="auto"/>
        <w:ind w:left="720" w:hanging="720"/>
        <w:jc w:val="both"/>
        <w:rPr>
          <w:rtl/>
        </w:rPr>
      </w:pPr>
    </w:p>
    <w:p w14:paraId="7F7D8484" w14:textId="77777777" w:rsidR="003C5509" w:rsidRDefault="003C5509" w:rsidP="003C5509">
      <w:pPr>
        <w:spacing w:line="360" w:lineRule="auto"/>
        <w:ind w:left="720" w:hanging="720"/>
        <w:jc w:val="both"/>
        <w:rPr>
          <w:rtl/>
        </w:rPr>
      </w:pPr>
      <w:r>
        <w:rPr>
          <w:rFonts w:hint="cs"/>
          <w:rtl/>
        </w:rPr>
        <w:t>3.</w:t>
      </w:r>
      <w:r>
        <w:rPr>
          <w:rFonts w:hint="cs"/>
          <w:rtl/>
        </w:rPr>
        <w:tab/>
        <w:t>באישום הראשון נאמר כי בתאריך 24.9.17 הציע הנאשם 1 בשיחת טלפון שניהל עם הסוכן, למכור לו חמישה "עטי אקדח" תמורת 1,800 ₪ ליחידה. בתאריך 26.9.17 שוחחו השניים וקבעו להיפגש על מנת לבצע את העסקה. בהמשך, הגיע הסוכן לנקודת המפגש, פגש את הנאשם 1 ושילם לידו 9,000 ₪ במזומן תמורת עטי האקדח. בהמשך, שוחח הנאשם 1 בטלפון עם נאשם 2, שהחזיק את עטי האקדח ללא רשות ולאחר שספר את הכסף, הנחה את הסוכן לנסוע בעקבותיו למקום ממנו יאסוף את עטי האקדח.</w:t>
      </w:r>
    </w:p>
    <w:p w14:paraId="0D51BABC" w14:textId="77777777" w:rsidR="003C5509" w:rsidRDefault="003C5509" w:rsidP="003C5509">
      <w:pPr>
        <w:spacing w:line="360" w:lineRule="auto"/>
        <w:ind w:left="720" w:hanging="720"/>
        <w:jc w:val="both"/>
        <w:rPr>
          <w:rtl/>
        </w:rPr>
      </w:pPr>
    </w:p>
    <w:p w14:paraId="13757EAA" w14:textId="77777777" w:rsidR="003C5509" w:rsidRDefault="003C5509" w:rsidP="003C5509">
      <w:pPr>
        <w:spacing w:line="360" w:lineRule="auto"/>
        <w:ind w:left="720" w:hanging="720"/>
        <w:jc w:val="both"/>
        <w:rPr>
          <w:rtl/>
        </w:rPr>
      </w:pPr>
      <w:r>
        <w:rPr>
          <w:rFonts w:hint="cs"/>
          <w:rtl/>
        </w:rPr>
        <w:tab/>
        <w:t xml:space="preserve">בהמשך נסע הסוכן אחרי נאשם 1 עד שהגיעו למרכז ניצן בקרית ים, שם ביקש הנאשם 1 מהסוכן להמתין לו בזמן שהוא מביא את עטי האקדח. הנאשם 1 נטל, בהסכמת הנאשם 2,  את חמשת עטי האקדח בעלי קליבר </w:t>
      </w:r>
      <w:r>
        <w:t xml:space="preserve">LR </w:t>
      </w:r>
      <w:r>
        <w:rPr>
          <w:rFonts w:hint="cs"/>
          <w:rtl/>
        </w:rPr>
        <w:t xml:space="preserve">  22, 22 ארוך, 22 קצר שסוגל לירות כדור שבכוחו להמית אדם, בהם החזיק הנאשם 2 וכעבור מספר דקות מסר אותם לסוכן.</w:t>
      </w:r>
      <w:r>
        <w:rPr>
          <w:rFonts w:hint="cs"/>
        </w:rPr>
        <w:t xml:space="preserve"> </w:t>
      </w:r>
      <w:r>
        <w:rPr>
          <w:rFonts w:hint="cs"/>
          <w:rtl/>
        </w:rPr>
        <w:t xml:space="preserve"> </w:t>
      </w:r>
    </w:p>
    <w:p w14:paraId="1D88F45C" w14:textId="77777777" w:rsidR="003C5509" w:rsidRDefault="003C5509" w:rsidP="003C5509">
      <w:pPr>
        <w:spacing w:line="360" w:lineRule="auto"/>
        <w:ind w:left="720" w:hanging="720"/>
        <w:jc w:val="both"/>
        <w:rPr>
          <w:rtl/>
        </w:rPr>
      </w:pPr>
    </w:p>
    <w:p w14:paraId="2A133488" w14:textId="77777777" w:rsidR="003C5509" w:rsidRDefault="003C5509" w:rsidP="003C5509">
      <w:pPr>
        <w:spacing w:line="360" w:lineRule="auto"/>
        <w:ind w:left="720" w:hanging="720"/>
        <w:jc w:val="both"/>
        <w:rPr>
          <w:rtl/>
        </w:rPr>
      </w:pPr>
      <w:r>
        <w:rPr>
          <w:rFonts w:hint="cs"/>
          <w:rtl/>
        </w:rPr>
        <w:tab/>
        <w:t xml:space="preserve">בגין המעשים המתוארים באישום זה יוחסה לנאשם 1 עבירת סחר בנשק שלא כדין לפי </w:t>
      </w:r>
      <w:hyperlink r:id="rId17" w:history="1">
        <w:r w:rsidR="00C47880" w:rsidRPr="00C47880">
          <w:rPr>
            <w:color w:val="0000FF"/>
            <w:u w:val="single"/>
            <w:rtl/>
          </w:rPr>
          <w:t>סעיף 144(ב2)</w:t>
        </w:r>
      </w:hyperlink>
      <w:r>
        <w:rPr>
          <w:rFonts w:hint="cs"/>
          <w:rtl/>
        </w:rPr>
        <w:t xml:space="preserve"> + </w:t>
      </w:r>
      <w:hyperlink r:id="rId18" w:history="1">
        <w:r w:rsidR="00C47880" w:rsidRPr="00C47880">
          <w:rPr>
            <w:color w:val="0000FF"/>
            <w:u w:val="single"/>
            <w:rtl/>
          </w:rPr>
          <w:t>ג'</w:t>
        </w:r>
      </w:hyperlink>
      <w:r>
        <w:rPr>
          <w:rFonts w:hint="cs"/>
          <w:rtl/>
        </w:rPr>
        <w:t xml:space="preserve"> ל</w:t>
      </w:r>
      <w:hyperlink r:id="rId19" w:history="1">
        <w:r w:rsidR="00DB5C92" w:rsidRPr="00DB5C92">
          <w:rPr>
            <w:color w:val="0000FF"/>
            <w:u w:val="single"/>
            <w:rtl/>
          </w:rPr>
          <w:t>חוק העונשין</w:t>
        </w:r>
      </w:hyperlink>
      <w:r>
        <w:rPr>
          <w:rFonts w:hint="cs"/>
          <w:rtl/>
        </w:rPr>
        <w:t xml:space="preserve"> התשל"ז-1977 (להלן: "חוק העונשין"). לנאשם 2 יוחסה עבירה של החזקת נשק לפי </w:t>
      </w:r>
      <w:hyperlink r:id="rId20" w:history="1">
        <w:r w:rsidR="00C47880" w:rsidRPr="00C47880">
          <w:rPr>
            <w:color w:val="0000FF"/>
            <w:u w:val="single"/>
            <w:rtl/>
          </w:rPr>
          <w:t>סעיף 144(א)</w:t>
        </w:r>
      </w:hyperlink>
      <w:r>
        <w:rPr>
          <w:rFonts w:hint="cs"/>
          <w:rtl/>
        </w:rPr>
        <w:t xml:space="preserve"> רישא ל</w:t>
      </w:r>
      <w:hyperlink r:id="rId21" w:history="1">
        <w:r w:rsidR="00DB5C92" w:rsidRPr="00DB5C92">
          <w:rPr>
            <w:color w:val="0000FF"/>
            <w:u w:val="single"/>
            <w:rtl/>
          </w:rPr>
          <w:t>חוק העונשין</w:t>
        </w:r>
      </w:hyperlink>
      <w:r>
        <w:rPr>
          <w:rFonts w:hint="cs"/>
          <w:rtl/>
        </w:rPr>
        <w:t>.</w:t>
      </w:r>
    </w:p>
    <w:p w14:paraId="3DD30758" w14:textId="77777777" w:rsidR="003C5509" w:rsidRDefault="003C5509" w:rsidP="003C5509">
      <w:pPr>
        <w:spacing w:line="360" w:lineRule="auto"/>
        <w:ind w:left="720" w:hanging="720"/>
        <w:jc w:val="both"/>
        <w:rPr>
          <w:rtl/>
        </w:rPr>
      </w:pPr>
    </w:p>
    <w:p w14:paraId="63CD8ED0" w14:textId="77777777" w:rsidR="003C5509" w:rsidRDefault="003C5509" w:rsidP="003C5509">
      <w:pPr>
        <w:spacing w:line="360" w:lineRule="auto"/>
        <w:ind w:left="720" w:hanging="720"/>
        <w:jc w:val="both"/>
        <w:rPr>
          <w:rtl/>
        </w:rPr>
      </w:pPr>
      <w:r>
        <w:rPr>
          <w:rFonts w:hint="cs"/>
          <w:rtl/>
        </w:rPr>
        <w:t>4.</w:t>
      </w:r>
      <w:r>
        <w:rPr>
          <w:rFonts w:hint="cs"/>
          <w:rtl/>
        </w:rPr>
        <w:tab/>
        <w:t xml:space="preserve">באישום השני נאמר כי בתאריך 25.12.17, במהלך שיחת טלפון שקיים הנאשם 1 עם הסוכן, הציע הנאשם הנ"ל למכור לסוכן תת מקלע מאולתר מסוג קרלו. הנאשם 1 אמר לסוכן כי עלות הנשק היא 8,000 עד 9,000 ₪ וביקש תשלום בסך 13,000 ₪ תמורתו. בהמשך, בשיחת טלפון נוספת שקיימו השניים, סוכם כי הנאשם 1 ימכור לסוכן את הנשק תמורת 12,000 ₪. למחרת היום, בשעות הצהריים, שוחחו הסוכן והנאשם 1 מספר פעמים וקבעו להפגש על מנת לבצע את עסקת הנשק. הסוכן הגיע למקום המפגש, פגש בנאשם 1 וזה עדכן אותו שחל עיכוב בביצוע העסקה וכי יש להמתין. בהמשך, הגיעו למקום המפגש זוהר בילטון ואשרף ג'בארין (להלן:"אשרף") ולאחר חילופי דברים עם הנאשם 1, מכר הלה לאשרף סם מסוכן </w:t>
      </w:r>
      <w:r>
        <w:rPr>
          <w:rFonts w:hint="cs"/>
          <w:rtl/>
        </w:rPr>
        <w:lastRenderedPageBreak/>
        <w:t>מסוג חשיש בכמות שאינה ידועה למאשימה במדוייק תמורת 700 ₪. עוד בזמן ההמתנה, השתמש הנאשם 1 בסם מסוכן מסוג קנביס אותו החזיק לצריכתו העצמית ואף נתן לאשרף להשתמש גם הוא בסם המסוכן.</w:t>
      </w:r>
    </w:p>
    <w:p w14:paraId="5FECA537" w14:textId="77777777" w:rsidR="003C5509" w:rsidRDefault="003C5509" w:rsidP="003C5509">
      <w:pPr>
        <w:spacing w:line="360" w:lineRule="auto"/>
        <w:ind w:left="720" w:hanging="720"/>
        <w:jc w:val="both"/>
        <w:rPr>
          <w:rtl/>
        </w:rPr>
      </w:pPr>
    </w:p>
    <w:p w14:paraId="148B1F27" w14:textId="77777777" w:rsidR="003C5509" w:rsidRDefault="003C5509" w:rsidP="003C5509">
      <w:pPr>
        <w:spacing w:line="360" w:lineRule="auto"/>
        <w:ind w:left="720" w:hanging="720"/>
        <w:jc w:val="both"/>
        <w:rPr>
          <w:rtl/>
        </w:rPr>
      </w:pPr>
      <w:r>
        <w:rPr>
          <w:rFonts w:hint="cs"/>
          <w:rtl/>
        </w:rPr>
        <w:tab/>
        <w:t>בהמשך למתואר לעיל, ובזמן ההמתנה, קיימו הנאשם 1 והנאשם 3 שיחות טלפון בנוגע לעסקת הנשק, בהן ביקש הנאשם 1 מהנאשם 3 לסייע להשיג עבורו נשק על מנת שימכור אותו לסוכן. סמוך לשעה 16:00 עזב הסוכן את מקום המפגש וביקש מהנאשם 1 לעדכן אותו בנוגע לעסקת הנשק.</w:t>
      </w:r>
    </w:p>
    <w:p w14:paraId="3836CB6C" w14:textId="77777777" w:rsidR="003C5509" w:rsidRDefault="003C5509" w:rsidP="003C5509">
      <w:pPr>
        <w:spacing w:line="360" w:lineRule="auto"/>
        <w:ind w:left="720" w:hanging="720"/>
        <w:jc w:val="both"/>
        <w:rPr>
          <w:rtl/>
        </w:rPr>
      </w:pPr>
    </w:p>
    <w:p w14:paraId="2926C72D" w14:textId="77777777" w:rsidR="003C5509" w:rsidRDefault="003C5509" w:rsidP="003C5509">
      <w:pPr>
        <w:spacing w:line="360" w:lineRule="auto"/>
        <w:ind w:left="720" w:hanging="720"/>
        <w:jc w:val="both"/>
        <w:rPr>
          <w:rtl/>
        </w:rPr>
      </w:pPr>
      <w:r>
        <w:rPr>
          <w:rFonts w:hint="cs"/>
          <w:rtl/>
        </w:rPr>
        <w:t>5.</w:t>
      </w:r>
      <w:r>
        <w:rPr>
          <w:rFonts w:hint="cs"/>
          <w:rtl/>
        </w:rPr>
        <w:tab/>
        <w:t xml:space="preserve"> ביום 27.12.17 ניהלו הנאשם 1 והסוכן מספר שיחות טלפון, כאשר באחת מהן עדכן הנאשם 1 את הסוכן כי הוא ממתין לתשובה מהנאשם 3. </w:t>
      </w:r>
    </w:p>
    <w:p w14:paraId="4FB3D420" w14:textId="77777777" w:rsidR="003C5509" w:rsidRDefault="003C5509" w:rsidP="003C5509">
      <w:pPr>
        <w:spacing w:line="360" w:lineRule="auto"/>
        <w:ind w:left="720" w:hanging="720"/>
        <w:jc w:val="both"/>
        <w:rPr>
          <w:rtl/>
        </w:rPr>
      </w:pPr>
    </w:p>
    <w:p w14:paraId="40DDB41B" w14:textId="77777777" w:rsidR="003C5509" w:rsidRDefault="003C5509" w:rsidP="003C5509">
      <w:pPr>
        <w:spacing w:line="360" w:lineRule="auto"/>
        <w:ind w:left="720" w:hanging="720"/>
        <w:jc w:val="both"/>
        <w:rPr>
          <w:rtl/>
        </w:rPr>
      </w:pPr>
      <w:r>
        <w:rPr>
          <w:rFonts w:hint="cs"/>
          <w:rtl/>
        </w:rPr>
        <w:tab/>
        <w:t xml:space="preserve">ביום 28.12.17 שוחחו הסוכן והנאשם 1 מספר פעמים בטלפון ובאחת השיחות הסביר הנאשם הנ"ל לסוכן לאן עליו להגיע. בשיחה נוספת שקיימו השניים, ביקש הנאשם 1 מהסוכן לחלק את הכסף המזומן לשני צרורות, האחד בסך 9,000 ₪ עבור נאשם 3 והשני בסך 3,000 ₪ עבור הנאשם 1.  </w:t>
      </w:r>
    </w:p>
    <w:p w14:paraId="1453398B" w14:textId="77777777" w:rsidR="003C5509" w:rsidRDefault="003C5509" w:rsidP="003C5509">
      <w:pPr>
        <w:spacing w:line="360" w:lineRule="auto"/>
        <w:ind w:left="720" w:hanging="720"/>
        <w:jc w:val="both"/>
        <w:rPr>
          <w:rtl/>
        </w:rPr>
      </w:pPr>
    </w:p>
    <w:p w14:paraId="57D332C8" w14:textId="77777777" w:rsidR="003C5509" w:rsidRDefault="003C5509" w:rsidP="003C5509">
      <w:pPr>
        <w:spacing w:line="360" w:lineRule="auto"/>
        <w:ind w:left="720" w:hanging="720"/>
        <w:jc w:val="both"/>
        <w:rPr>
          <w:rtl/>
        </w:rPr>
      </w:pPr>
      <w:r>
        <w:rPr>
          <w:rFonts w:hint="cs"/>
          <w:rtl/>
        </w:rPr>
        <w:tab/>
        <w:t xml:space="preserve">סמוך לשעה 23:25 הגיע הסוכן למקום המפגש שסוכם וכעבור זמן קצר הגיע גם הנאשם 1.  הסוכן מסר לנאשם הנ"ל את צרורות הכסף וזה הורה לו להתקדם לעבר רכב שהמתין בשול הדרך. בהתאם להנחיית הנאשם 1, התקדם הסוכן ועצר סמוך לרכב בו נהג נאשם 3, כשלצידו אחר שזהותו אינה ידועה למאשימה. הנאשם 3 מסר לסוכן תיק ובו תת מקלע מאולתר בקליבר 9 מ"מ פאראבלום ומחסנית תואמת ובתוכה 7 כדורי תחמושת בקוטר 9 מ"מ, ואמר לסוכן לנסוע מהר מהמקום. </w:t>
      </w:r>
    </w:p>
    <w:p w14:paraId="5C4FFFB7" w14:textId="77777777" w:rsidR="003C5509" w:rsidRDefault="003C5509" w:rsidP="003C5509">
      <w:pPr>
        <w:spacing w:line="360" w:lineRule="auto"/>
        <w:ind w:left="720" w:hanging="720"/>
        <w:jc w:val="both"/>
        <w:rPr>
          <w:rtl/>
        </w:rPr>
      </w:pPr>
    </w:p>
    <w:p w14:paraId="04120040" w14:textId="77777777" w:rsidR="003C5509" w:rsidRDefault="003C5509" w:rsidP="003C5509">
      <w:pPr>
        <w:spacing w:line="360" w:lineRule="auto"/>
        <w:ind w:left="720" w:hanging="720"/>
        <w:jc w:val="both"/>
        <w:rPr>
          <w:rtl/>
        </w:rPr>
      </w:pPr>
      <w:r>
        <w:rPr>
          <w:rFonts w:hint="cs"/>
          <w:rtl/>
        </w:rPr>
        <w:t>6.</w:t>
      </w:r>
      <w:r>
        <w:rPr>
          <w:rFonts w:hint="cs"/>
          <w:rtl/>
        </w:rPr>
        <w:tab/>
        <w:t xml:space="preserve">בגין המעשים המתוארים באישום זה, יוחסו לנאשם 1 עבירות של סחר בנשק שלא כדין, לפי סעיפים </w:t>
      </w:r>
      <w:hyperlink r:id="rId22" w:history="1">
        <w:r w:rsidR="00C47880" w:rsidRPr="00C47880">
          <w:rPr>
            <w:color w:val="0000FF"/>
            <w:u w:val="single"/>
            <w:rtl/>
          </w:rPr>
          <w:t>144 (ב2)</w:t>
        </w:r>
      </w:hyperlink>
      <w:r>
        <w:rPr>
          <w:rFonts w:hint="cs"/>
          <w:rtl/>
        </w:rPr>
        <w:t xml:space="preserve"> </w:t>
      </w:r>
      <w:hyperlink r:id="rId23" w:history="1">
        <w:r w:rsidR="00C47880" w:rsidRPr="00C47880">
          <w:rPr>
            <w:color w:val="0000FF"/>
            <w:u w:val="single"/>
            <w:rtl/>
          </w:rPr>
          <w:t>+ (ג)</w:t>
        </w:r>
      </w:hyperlink>
      <w:r>
        <w:rPr>
          <w:rFonts w:hint="cs"/>
          <w:rtl/>
        </w:rPr>
        <w:t xml:space="preserve"> ל</w:t>
      </w:r>
      <w:hyperlink r:id="rId24" w:history="1">
        <w:r w:rsidR="00DB5C92" w:rsidRPr="00DB5C92">
          <w:rPr>
            <w:color w:val="0000FF"/>
            <w:u w:val="single"/>
            <w:rtl/>
          </w:rPr>
          <w:t>חוק העונשין</w:t>
        </w:r>
      </w:hyperlink>
      <w:r>
        <w:rPr>
          <w:rFonts w:hint="cs"/>
          <w:rtl/>
        </w:rPr>
        <w:t xml:space="preserve"> וסחר בסם מסוכן עבירות לפי </w:t>
      </w:r>
      <w:hyperlink r:id="rId25" w:history="1">
        <w:r w:rsidR="00C47880" w:rsidRPr="00C47880">
          <w:rPr>
            <w:color w:val="0000FF"/>
            <w:u w:val="single"/>
            <w:rtl/>
          </w:rPr>
          <w:t>סעיפים  13</w:t>
        </w:r>
      </w:hyperlink>
      <w:r>
        <w:rPr>
          <w:rFonts w:hint="cs"/>
          <w:rtl/>
        </w:rPr>
        <w:t xml:space="preserve"> + </w:t>
      </w:r>
      <w:hyperlink r:id="rId26" w:history="1">
        <w:r w:rsidR="00C47880" w:rsidRPr="00C47880">
          <w:rPr>
            <w:color w:val="0000FF"/>
            <w:u w:val="single"/>
            <w:rtl/>
          </w:rPr>
          <w:t>19א'</w:t>
        </w:r>
      </w:hyperlink>
      <w:r>
        <w:rPr>
          <w:rFonts w:hint="cs"/>
          <w:rtl/>
        </w:rPr>
        <w:t xml:space="preserve"> ל</w:t>
      </w:r>
      <w:hyperlink r:id="rId27" w:history="1">
        <w:r w:rsidR="00DB5C92" w:rsidRPr="00DB5C92">
          <w:rPr>
            <w:color w:val="0000FF"/>
            <w:u w:val="single"/>
            <w:rtl/>
          </w:rPr>
          <w:t>פקודת הסמים המסוכנים</w:t>
        </w:r>
      </w:hyperlink>
      <w:r>
        <w:rPr>
          <w:rFonts w:hint="cs"/>
          <w:rtl/>
        </w:rPr>
        <w:t xml:space="preserve"> [נוסח חדש], תשל"ג-1973.  לנאשם 3 יוחסה עבירה של סיוע לסחר בנשק שלא כדין לפי </w:t>
      </w:r>
      <w:hyperlink r:id="rId28" w:history="1">
        <w:r w:rsidR="00C47880" w:rsidRPr="00C47880">
          <w:rPr>
            <w:color w:val="0000FF"/>
            <w:u w:val="single"/>
            <w:rtl/>
          </w:rPr>
          <w:t>סעיפים 144(ב2)</w:t>
        </w:r>
      </w:hyperlink>
      <w:r>
        <w:rPr>
          <w:rFonts w:hint="cs"/>
          <w:rtl/>
        </w:rPr>
        <w:t xml:space="preserve"> + (</w:t>
      </w:r>
      <w:hyperlink r:id="rId29" w:history="1">
        <w:r w:rsidR="00C47880" w:rsidRPr="00C47880">
          <w:rPr>
            <w:color w:val="0000FF"/>
            <w:u w:val="single"/>
            <w:rtl/>
          </w:rPr>
          <w:t>2)</w:t>
        </w:r>
      </w:hyperlink>
      <w:r>
        <w:rPr>
          <w:rFonts w:hint="cs"/>
          <w:rtl/>
        </w:rPr>
        <w:t xml:space="preserve"> + </w:t>
      </w:r>
      <w:hyperlink r:id="rId30" w:history="1">
        <w:r w:rsidR="00C47880" w:rsidRPr="00C47880">
          <w:rPr>
            <w:color w:val="0000FF"/>
            <w:u w:val="single"/>
            <w:rtl/>
          </w:rPr>
          <w:t>31</w:t>
        </w:r>
      </w:hyperlink>
      <w:r>
        <w:rPr>
          <w:rFonts w:hint="cs"/>
          <w:rtl/>
        </w:rPr>
        <w:t xml:space="preserve"> ל</w:t>
      </w:r>
      <w:hyperlink r:id="rId31" w:history="1">
        <w:r w:rsidR="00DB5C92" w:rsidRPr="00DB5C92">
          <w:rPr>
            <w:color w:val="0000FF"/>
            <w:u w:val="single"/>
            <w:rtl/>
          </w:rPr>
          <w:t>חוק העונשין</w:t>
        </w:r>
      </w:hyperlink>
      <w:r>
        <w:rPr>
          <w:rFonts w:hint="cs"/>
          <w:rtl/>
        </w:rPr>
        <w:t xml:space="preserve">. </w:t>
      </w:r>
    </w:p>
    <w:p w14:paraId="41A058E3" w14:textId="77777777" w:rsidR="003C5509" w:rsidRDefault="003C5509" w:rsidP="003C5509">
      <w:pPr>
        <w:spacing w:line="360" w:lineRule="auto"/>
        <w:ind w:left="720" w:hanging="720"/>
        <w:jc w:val="both"/>
        <w:rPr>
          <w:rtl/>
        </w:rPr>
      </w:pPr>
    </w:p>
    <w:p w14:paraId="3F7EDACD" w14:textId="77777777" w:rsidR="003C5509" w:rsidRDefault="003C5509" w:rsidP="003C5509">
      <w:pPr>
        <w:spacing w:line="360" w:lineRule="auto"/>
        <w:ind w:left="720" w:hanging="720"/>
        <w:jc w:val="both"/>
        <w:rPr>
          <w:u w:val="single"/>
          <w:rtl/>
        </w:rPr>
      </w:pPr>
      <w:r>
        <w:rPr>
          <w:rFonts w:hint="cs"/>
          <w:u w:val="single"/>
          <w:rtl/>
        </w:rPr>
        <w:t>הסדר הטיעון</w:t>
      </w:r>
    </w:p>
    <w:p w14:paraId="009CB841" w14:textId="77777777" w:rsidR="003C5509" w:rsidRDefault="003C5509" w:rsidP="003C5509">
      <w:pPr>
        <w:spacing w:line="360" w:lineRule="auto"/>
        <w:ind w:left="720" w:hanging="720"/>
        <w:jc w:val="both"/>
        <w:rPr>
          <w:rtl/>
        </w:rPr>
      </w:pPr>
    </w:p>
    <w:p w14:paraId="1755378F" w14:textId="77777777" w:rsidR="003C5509" w:rsidRDefault="003C5509" w:rsidP="003C5509">
      <w:pPr>
        <w:spacing w:line="360" w:lineRule="auto"/>
        <w:ind w:left="720" w:hanging="720"/>
        <w:jc w:val="both"/>
        <w:rPr>
          <w:rtl/>
        </w:rPr>
      </w:pPr>
      <w:r>
        <w:rPr>
          <w:rFonts w:hint="cs"/>
          <w:rtl/>
        </w:rPr>
        <w:t>7.</w:t>
      </w:r>
      <w:r>
        <w:rPr>
          <w:rFonts w:hint="cs"/>
          <w:rtl/>
        </w:rPr>
        <w:tab/>
        <w:t xml:space="preserve">ביום 22.10.18 הוצג הסדר הטיעון שנחתם על ידי הצדדים (פ/1), שכלל את ההסכמות העונשיות הבאות: </w:t>
      </w:r>
    </w:p>
    <w:p w14:paraId="3B41274B" w14:textId="77777777" w:rsidR="003C5509" w:rsidRDefault="003C5509" w:rsidP="003C5509">
      <w:pPr>
        <w:spacing w:line="360" w:lineRule="auto"/>
        <w:ind w:left="720" w:hanging="720"/>
        <w:jc w:val="both"/>
        <w:rPr>
          <w:rtl/>
        </w:rPr>
      </w:pPr>
    </w:p>
    <w:p w14:paraId="4D8D2C05" w14:textId="77777777" w:rsidR="003C5509" w:rsidRDefault="003C5509" w:rsidP="003C5509">
      <w:pPr>
        <w:spacing w:line="360" w:lineRule="auto"/>
        <w:ind w:left="720"/>
        <w:jc w:val="both"/>
        <w:rPr>
          <w:rtl/>
        </w:rPr>
      </w:pPr>
      <w:r>
        <w:rPr>
          <w:rFonts w:hint="cs"/>
          <w:rtl/>
        </w:rPr>
        <w:t>על הנאשם 1 יושת עונש בן 27 חודשי מאסר בפועל ובנוסף מאסר מותנה, קנס ופסילה מלהחזיק או לקבל רישיון נהיגה בהתאם לשיקול דעת בית המשפט. בנוסף, התבקש בית המשפט להכריז על הנאשם 1 סוחר סמים ולהורות על חילוט סך של 3,400 ₪ שנתפסו במזומן, וזאת לטובת קרן חילוט סמים.</w:t>
      </w:r>
    </w:p>
    <w:p w14:paraId="3BDE8DCA" w14:textId="77777777" w:rsidR="003C5509" w:rsidRDefault="003C5509" w:rsidP="003C5509">
      <w:pPr>
        <w:spacing w:line="360" w:lineRule="auto"/>
        <w:ind w:left="720" w:hanging="720"/>
        <w:jc w:val="both"/>
        <w:rPr>
          <w:rtl/>
        </w:rPr>
      </w:pPr>
    </w:p>
    <w:p w14:paraId="63F24D48" w14:textId="77777777" w:rsidR="003C5509" w:rsidRDefault="003C5509" w:rsidP="003C5509">
      <w:pPr>
        <w:spacing w:line="360" w:lineRule="auto"/>
        <w:ind w:left="720" w:hanging="720"/>
        <w:jc w:val="both"/>
        <w:rPr>
          <w:rtl/>
        </w:rPr>
      </w:pPr>
      <w:r>
        <w:rPr>
          <w:rFonts w:hint="cs"/>
          <w:rtl/>
        </w:rPr>
        <w:tab/>
        <w:t>לגבי הנאשם 2 הוסכם כי יוטל עליו עונש בן 6 חודשי מאסר בפועל ללא ניכוי ימי המעצר, אשר בכפוף לחוות דעת חיובית של הממונה על עבודות השירות, ירוצה בעבודות שירות. בנוסף, יוטל על נאשם זה מאסר מותנה וקנס בהתאם לשיקול דעת בית המשפט.</w:t>
      </w:r>
    </w:p>
    <w:p w14:paraId="618BA742" w14:textId="77777777" w:rsidR="003C5509" w:rsidRDefault="003C5509" w:rsidP="003C5509">
      <w:pPr>
        <w:spacing w:line="360" w:lineRule="auto"/>
        <w:ind w:left="720" w:hanging="720"/>
        <w:jc w:val="both"/>
        <w:rPr>
          <w:rtl/>
        </w:rPr>
      </w:pPr>
    </w:p>
    <w:p w14:paraId="459C8297" w14:textId="77777777" w:rsidR="003C5509" w:rsidRDefault="003C5509" w:rsidP="003C5509">
      <w:pPr>
        <w:spacing w:line="360" w:lineRule="auto"/>
        <w:ind w:left="720" w:hanging="720"/>
        <w:jc w:val="both"/>
        <w:rPr>
          <w:rtl/>
        </w:rPr>
      </w:pPr>
      <w:r>
        <w:rPr>
          <w:rFonts w:hint="cs"/>
          <w:rtl/>
        </w:rPr>
        <w:tab/>
        <w:t xml:space="preserve">הוסכם כי על הנאשם 3 יוטל עונש בן 20 חודשי מאסר בפועל, מאסר על תנאי וקנס בהתאם לשיקול דעת בית המשפט. </w:t>
      </w:r>
    </w:p>
    <w:p w14:paraId="204ABF1D" w14:textId="77777777" w:rsidR="003C5509" w:rsidRDefault="003C5509" w:rsidP="003C5509">
      <w:pPr>
        <w:spacing w:line="360" w:lineRule="auto"/>
        <w:ind w:left="720" w:hanging="720"/>
        <w:jc w:val="both"/>
        <w:rPr>
          <w:rtl/>
        </w:rPr>
      </w:pPr>
    </w:p>
    <w:p w14:paraId="6E92705B" w14:textId="77777777" w:rsidR="003C5509" w:rsidRDefault="003C5509" w:rsidP="003C5509">
      <w:pPr>
        <w:spacing w:line="360" w:lineRule="auto"/>
        <w:ind w:left="720" w:hanging="720"/>
        <w:jc w:val="both"/>
        <w:rPr>
          <w:rtl/>
        </w:rPr>
      </w:pPr>
    </w:p>
    <w:p w14:paraId="02ED5570" w14:textId="77777777" w:rsidR="003C5509" w:rsidRDefault="003C5509" w:rsidP="003C5509">
      <w:pPr>
        <w:spacing w:line="360" w:lineRule="auto"/>
        <w:ind w:left="720" w:hanging="720"/>
        <w:jc w:val="both"/>
        <w:rPr>
          <w:rtl/>
        </w:rPr>
      </w:pPr>
    </w:p>
    <w:p w14:paraId="65F35F42" w14:textId="77777777" w:rsidR="003C5509" w:rsidRDefault="003C5509" w:rsidP="003C5509">
      <w:pPr>
        <w:spacing w:line="360" w:lineRule="auto"/>
        <w:ind w:left="720" w:hanging="720"/>
        <w:jc w:val="both"/>
        <w:rPr>
          <w:rtl/>
        </w:rPr>
      </w:pPr>
    </w:p>
    <w:p w14:paraId="449A6250" w14:textId="77777777" w:rsidR="003C5509" w:rsidRDefault="003C5509" w:rsidP="003C5509">
      <w:pPr>
        <w:spacing w:line="360" w:lineRule="auto"/>
        <w:ind w:left="720" w:hanging="720"/>
        <w:jc w:val="both"/>
        <w:rPr>
          <w:rtl/>
        </w:rPr>
      </w:pPr>
    </w:p>
    <w:p w14:paraId="71BA60CA" w14:textId="77777777" w:rsidR="003C5509" w:rsidRDefault="003C5509" w:rsidP="003C5509">
      <w:pPr>
        <w:spacing w:line="360" w:lineRule="auto"/>
        <w:ind w:left="720" w:hanging="720"/>
        <w:jc w:val="both"/>
        <w:rPr>
          <w:u w:val="single"/>
          <w:rtl/>
        </w:rPr>
      </w:pPr>
      <w:r>
        <w:rPr>
          <w:rFonts w:hint="cs"/>
          <w:u w:val="single"/>
          <w:rtl/>
        </w:rPr>
        <w:t>טענות הצדדים</w:t>
      </w:r>
    </w:p>
    <w:p w14:paraId="16201B66" w14:textId="77777777" w:rsidR="003C5509" w:rsidRDefault="003C5509" w:rsidP="003C5509">
      <w:pPr>
        <w:ind w:left="720" w:hanging="720"/>
        <w:rPr>
          <w:rtl/>
        </w:rPr>
      </w:pPr>
    </w:p>
    <w:p w14:paraId="68C7CED3" w14:textId="77777777" w:rsidR="003C5509" w:rsidRDefault="003C5509" w:rsidP="003C5509">
      <w:pPr>
        <w:spacing w:line="360" w:lineRule="auto"/>
        <w:ind w:left="720" w:hanging="720"/>
        <w:jc w:val="both"/>
        <w:rPr>
          <w:rtl/>
        </w:rPr>
      </w:pPr>
      <w:r>
        <w:rPr>
          <w:rFonts w:hint="cs"/>
          <w:rtl/>
        </w:rPr>
        <w:t>8.</w:t>
      </w:r>
      <w:r>
        <w:rPr>
          <w:rFonts w:hint="cs"/>
          <w:rtl/>
        </w:rPr>
        <w:tab/>
        <w:t>המאשימה ביקשה לאמץ את ההסדר שהושג בין הצדדים בציינה כי מדובר בתיק שהוא חלק מפרשת סוכן במסגרתה הוגשו על ידי הפרקליטות 14 כתבי אישום כנגד 28 נאשמים. בנוסף, הוגשו כתבי אישום על ידי התביעות. נאמר כי לאחר הגשת כתב האישום, הועלו בפני המאשימה טענות על ידי ב"כ הנאשם 1 בנוגע לקשריו עם הסוכן לפני ובזמן ביצוע העבירות שיוחסו לו ובנוגע להתנהלות שבין הסוכן לבין הנאשם 1.  המאשימה ציינה כי לאחר ששמעה את הטענות ובדקה אותן, ועל אף שלא מצאה כי יש בהן כדי לפגוע בסיכוי להרשעת הנאשמים, שבה ושקלה את כלל השיקולים ובכללם הטענות שהושמעו בפניה והגיעה למסקנה כי ההסדר הולם את נסיבות המקרה.</w:t>
      </w:r>
    </w:p>
    <w:p w14:paraId="54566C63" w14:textId="77777777" w:rsidR="003C5509" w:rsidRDefault="003C5509" w:rsidP="003C5509">
      <w:pPr>
        <w:spacing w:line="360" w:lineRule="auto"/>
        <w:ind w:left="720" w:hanging="720"/>
        <w:jc w:val="both"/>
        <w:rPr>
          <w:rtl/>
        </w:rPr>
      </w:pPr>
    </w:p>
    <w:p w14:paraId="1288F5D9" w14:textId="77777777" w:rsidR="003C5509" w:rsidRDefault="003C5509" w:rsidP="003C5509">
      <w:pPr>
        <w:spacing w:line="360" w:lineRule="auto"/>
        <w:ind w:left="720" w:hanging="720"/>
        <w:jc w:val="both"/>
        <w:rPr>
          <w:rtl/>
        </w:rPr>
      </w:pPr>
      <w:r>
        <w:rPr>
          <w:rFonts w:hint="cs"/>
          <w:rtl/>
        </w:rPr>
        <w:tab/>
        <w:t>בהתייחס לאישום הראשון שנמחק כליל מכתב האישום, הודגש כי מדובר בחומר שלא נכלל בפקודת הסמים. המאשימה גם לקחה בחשבון את העובדה כי אין תיעוד מלא בחומר הראיות לקשר בין הסוכן לבין נאשם 1 במועדים הרלבנטיים לביצוע העסקאות באישומים הראשון והשני של כתב האישום המקורי. כמו כן, התייחסה המאשימה לסוג ואופי הנשק ובמכלול הנסיבות סבורה היא כי העונש וההסדר משקפים באופן הולם את נסיבות התיק.</w:t>
      </w:r>
    </w:p>
    <w:p w14:paraId="2B4C3E2E" w14:textId="77777777" w:rsidR="003C5509" w:rsidRDefault="003C5509" w:rsidP="003C5509">
      <w:pPr>
        <w:spacing w:line="360" w:lineRule="auto"/>
        <w:ind w:left="720" w:hanging="720"/>
        <w:jc w:val="both"/>
        <w:rPr>
          <w:rtl/>
        </w:rPr>
      </w:pPr>
    </w:p>
    <w:p w14:paraId="26FA34F7" w14:textId="77777777" w:rsidR="003C5509" w:rsidRDefault="003C5509" w:rsidP="003C5509">
      <w:pPr>
        <w:spacing w:line="360" w:lineRule="auto"/>
        <w:ind w:left="720" w:hanging="720"/>
        <w:jc w:val="both"/>
        <w:rPr>
          <w:rtl/>
        </w:rPr>
      </w:pPr>
      <w:r>
        <w:rPr>
          <w:rFonts w:hint="cs"/>
          <w:rtl/>
        </w:rPr>
        <w:tab/>
        <w:t>בהתייחס לנאשם 1, ציינה המאשימה כי מעשיו פגעו בערכים חברתיים מוגנים ובהם שלום הציבור והגנה על חיי אדם. הענישה לה טוענת המדינה בעבירות מסוג זה היא ענישה חמורה יותר אולם, כפי שצוין, לאור הנסיבות המיוחדות בתיק זה, סבורה המדינה כי העונש שהצדדים עותרים לו הולם וראוי. המאשימה הפנתה לכך שלחובת הנאשם 1 עבר פלילי הכולל 10 הרשעות, כמפורט ברישום הפלילי מע/1.</w:t>
      </w:r>
    </w:p>
    <w:p w14:paraId="67CEC1CB" w14:textId="77777777" w:rsidR="003C5509" w:rsidRDefault="003C5509" w:rsidP="003C5509">
      <w:pPr>
        <w:spacing w:line="360" w:lineRule="auto"/>
        <w:ind w:left="720" w:hanging="720"/>
        <w:jc w:val="both"/>
        <w:rPr>
          <w:rtl/>
        </w:rPr>
      </w:pPr>
    </w:p>
    <w:p w14:paraId="01ED6F54" w14:textId="77777777" w:rsidR="003C5509" w:rsidRDefault="003C5509" w:rsidP="003C5509">
      <w:pPr>
        <w:spacing w:line="360" w:lineRule="auto"/>
        <w:ind w:left="720" w:hanging="720"/>
        <w:jc w:val="both"/>
        <w:rPr>
          <w:rtl/>
        </w:rPr>
      </w:pPr>
      <w:r>
        <w:rPr>
          <w:rFonts w:hint="cs"/>
          <w:rtl/>
        </w:rPr>
        <w:tab/>
        <w:t>באשר לנאשם 2, ציינה המאשימה כי מדובר באדם נעדר עבר פלילי, המצוי כיום במעצר באיזוק אלקטרוני. סוכם כי בגין הרשעתו בעבירה של החזקת חמשת עטי האקדח, נשוא האישום הראשון, ירצה הנאשם 2 ששה חודשי מאסר בפועל שירוצו בעבודות שירות, מבלי לנכות את ימי מעצרו. בהקשר זה, ציינה המאשימה כי נאשם זה היה נתון במעצר משך כחודשיים.</w:t>
      </w:r>
    </w:p>
    <w:p w14:paraId="0CD4902F" w14:textId="77777777" w:rsidR="003C5509" w:rsidRDefault="003C5509" w:rsidP="003C5509">
      <w:pPr>
        <w:spacing w:line="360" w:lineRule="auto"/>
        <w:ind w:left="720" w:hanging="720"/>
        <w:jc w:val="both"/>
        <w:rPr>
          <w:rtl/>
        </w:rPr>
      </w:pPr>
    </w:p>
    <w:p w14:paraId="51AC0410" w14:textId="77777777" w:rsidR="003C5509" w:rsidRDefault="003C5509" w:rsidP="003C5509">
      <w:pPr>
        <w:spacing w:line="360" w:lineRule="auto"/>
        <w:ind w:left="720" w:hanging="720"/>
        <w:jc w:val="both"/>
        <w:rPr>
          <w:rtl/>
        </w:rPr>
      </w:pPr>
      <w:r>
        <w:rPr>
          <w:rFonts w:hint="cs"/>
          <w:rtl/>
        </w:rPr>
        <w:tab/>
        <w:t xml:space="preserve">בכל הנוגע לנאשם 3, טענה המאשימה כי העונש שסוכם בין הצדדים - 20 חודשי מאסר בפועל, ראוי והולם את נסיבות המקרה. לטענתה, מדובר בהסדר שהצדדים הגיעו אליו לאחר בדיקות שנעשו בעקבות הגשת כתב האישום ובשים לב לטענות שהועלו מפי ההגנה. לחובתו של הנאשם 3 הרשעות קודמות הכוללות עבירות סמים, שיבוש מהלכי משפט ועבירות נוספות, כמפורט ברישום הפלילי המתייחס אליו מע/2. </w:t>
      </w:r>
    </w:p>
    <w:p w14:paraId="4F24B1FE" w14:textId="77777777" w:rsidR="003C5509" w:rsidRDefault="003C5509" w:rsidP="003C5509">
      <w:pPr>
        <w:spacing w:line="360" w:lineRule="auto"/>
        <w:ind w:left="720" w:hanging="720"/>
        <w:jc w:val="both"/>
        <w:rPr>
          <w:rtl/>
        </w:rPr>
      </w:pPr>
    </w:p>
    <w:p w14:paraId="4DCD462C" w14:textId="77777777" w:rsidR="003C5509" w:rsidRDefault="003C5509" w:rsidP="003C5509">
      <w:pPr>
        <w:spacing w:line="360" w:lineRule="auto"/>
        <w:ind w:left="720" w:hanging="720"/>
        <w:jc w:val="both"/>
        <w:rPr>
          <w:rtl/>
        </w:rPr>
      </w:pPr>
      <w:r>
        <w:rPr>
          <w:rFonts w:hint="cs"/>
          <w:rtl/>
        </w:rPr>
        <w:t>9.</w:t>
      </w:r>
      <w:r>
        <w:rPr>
          <w:rFonts w:hint="cs"/>
          <w:rtl/>
        </w:rPr>
        <w:tab/>
        <w:t>ב"כ הנאשמים 1 ו-2 ביקש אף הוא להצטרף לדברי המאשימה ולאשר את הסדר הטיעון שהושג, תוך שציין כי על בית המשפט לסמוך על המדינה ועל הצדדים ששקללו את מכלול השיקולים הרלבנטיים והגיעו להסדר הולם. לדבריו, מדובר בהסדר ראוי בנסיבות תיק זה, אשר הושג לאחר שנערכו בדיקות והשלמות חקירה שבוצעו לאחר הגשת כתב האישום. נטען  כי הענישה שהוסכמה מבטאת את העונש ההולם את נסיבותיו של תיק זה.</w:t>
      </w:r>
    </w:p>
    <w:p w14:paraId="5709EB36" w14:textId="77777777" w:rsidR="003C5509" w:rsidRDefault="003C5509" w:rsidP="003C5509">
      <w:pPr>
        <w:spacing w:line="360" w:lineRule="auto"/>
        <w:ind w:left="720" w:hanging="720"/>
        <w:jc w:val="both"/>
        <w:rPr>
          <w:rtl/>
        </w:rPr>
      </w:pPr>
    </w:p>
    <w:p w14:paraId="32915FAB" w14:textId="77777777" w:rsidR="003C5509" w:rsidRDefault="003C5509" w:rsidP="003C5509">
      <w:pPr>
        <w:spacing w:line="360" w:lineRule="auto"/>
        <w:ind w:left="720" w:hanging="720"/>
        <w:jc w:val="both"/>
        <w:rPr>
          <w:rtl/>
        </w:rPr>
      </w:pPr>
      <w:r>
        <w:rPr>
          <w:rFonts w:hint="cs"/>
          <w:rtl/>
        </w:rPr>
        <w:tab/>
        <w:t xml:space="preserve">בהתייחס לנאשם 1, נאמר כי על אף שלחובתו הרשעות קודמות, הרי שזו הסתבכותו הראשונה בעבירת נשק. צוין כי נאשם זה נעצר בדיוק כשנולדה בתו. </w:t>
      </w:r>
    </w:p>
    <w:p w14:paraId="0E0FEFED" w14:textId="77777777" w:rsidR="003C5509" w:rsidRDefault="003C5509" w:rsidP="003C5509">
      <w:pPr>
        <w:spacing w:line="360" w:lineRule="auto"/>
        <w:ind w:left="720" w:hanging="720"/>
        <w:jc w:val="both"/>
        <w:rPr>
          <w:rtl/>
        </w:rPr>
      </w:pPr>
    </w:p>
    <w:p w14:paraId="1474118B" w14:textId="77777777" w:rsidR="003C5509" w:rsidRDefault="003C5509" w:rsidP="003C5509">
      <w:pPr>
        <w:spacing w:line="360" w:lineRule="auto"/>
        <w:ind w:left="720"/>
        <w:jc w:val="both"/>
        <w:rPr>
          <w:rtl/>
        </w:rPr>
      </w:pPr>
      <w:r>
        <w:rPr>
          <w:rFonts w:hint="cs"/>
          <w:rtl/>
        </w:rPr>
        <w:t>אשר לנאשם 2, ציין סנגורו כי מדובר במי שאין לחובתו כל הרשעות קודמות והעונש שנקבע לגביו נמצא בתוך מתחם הענישה בעבירות של החזקת נשק.</w:t>
      </w:r>
    </w:p>
    <w:p w14:paraId="43D1CF0C" w14:textId="77777777" w:rsidR="003C5509" w:rsidRDefault="003C5509" w:rsidP="003C5509">
      <w:pPr>
        <w:spacing w:line="360" w:lineRule="auto"/>
        <w:ind w:left="720" w:hanging="720"/>
        <w:jc w:val="both"/>
        <w:rPr>
          <w:rtl/>
        </w:rPr>
      </w:pPr>
    </w:p>
    <w:p w14:paraId="6300D91F" w14:textId="77777777" w:rsidR="003C5509" w:rsidRDefault="003C5509" w:rsidP="003C5509">
      <w:pPr>
        <w:spacing w:line="360" w:lineRule="auto"/>
        <w:ind w:left="720" w:hanging="720"/>
        <w:jc w:val="both"/>
        <w:rPr>
          <w:rtl/>
        </w:rPr>
      </w:pPr>
      <w:r>
        <w:rPr>
          <w:rFonts w:hint="cs"/>
          <w:rtl/>
        </w:rPr>
        <w:tab/>
        <w:t xml:space="preserve">לעניין הקנס, ביקש ב"כ הנאשם 1 להתחשב בשולחו כמי שצפוי לרצות עונש מאסר יחסית ארוך ומי שאין לו מקורות פרנסה אחרים. באשר לעונש הפסילה, ציין הסנגור כי הנאשם 1 אינו מחזיק ברישיון נהיגה וכי בקשת המדינה נובעת רק מהעובדה שמדובר בעסקת סמים, על אף שאין שימוש ברכב או נהיגה בהשפעת סמים. משכך, סבור ב"כ הנאשם 1 כי ניתן להסתפק בפסילה מותנית. </w:t>
      </w:r>
    </w:p>
    <w:p w14:paraId="32966B54" w14:textId="77777777" w:rsidR="003C5509" w:rsidRDefault="003C5509" w:rsidP="003C5509">
      <w:pPr>
        <w:spacing w:line="360" w:lineRule="auto"/>
        <w:ind w:left="720" w:hanging="720"/>
        <w:jc w:val="both"/>
        <w:rPr>
          <w:rtl/>
        </w:rPr>
      </w:pPr>
    </w:p>
    <w:p w14:paraId="4FA05307" w14:textId="77777777" w:rsidR="003C5509" w:rsidRDefault="003C5509" w:rsidP="003C5509">
      <w:pPr>
        <w:spacing w:line="360" w:lineRule="auto"/>
        <w:ind w:left="720" w:hanging="720"/>
        <w:jc w:val="both"/>
        <w:rPr>
          <w:rtl/>
        </w:rPr>
      </w:pPr>
      <w:r>
        <w:rPr>
          <w:rFonts w:hint="cs"/>
          <w:rtl/>
        </w:rPr>
        <w:tab/>
        <w:t xml:space="preserve">לגבי הנאשם 2 טען הסנגור כי מדובר במפרנס יחיד אשר משך תקופה של כ-8 חודשים אינו מפרנס את משפחתו, נוכח מעצרו. על כן, התבקש בית המשפט להשית עליו קנס בסכום מתון. </w:t>
      </w:r>
    </w:p>
    <w:p w14:paraId="549E0164" w14:textId="77777777" w:rsidR="003C5509" w:rsidRDefault="003C5509" w:rsidP="003C5509">
      <w:pPr>
        <w:spacing w:line="360" w:lineRule="auto"/>
        <w:ind w:left="720" w:hanging="720"/>
        <w:jc w:val="both"/>
        <w:rPr>
          <w:rtl/>
        </w:rPr>
      </w:pPr>
    </w:p>
    <w:p w14:paraId="4CA84EF7" w14:textId="77777777" w:rsidR="003C5509" w:rsidRDefault="003C5509" w:rsidP="003C5509">
      <w:pPr>
        <w:spacing w:line="360" w:lineRule="auto"/>
        <w:ind w:left="720" w:hanging="720"/>
        <w:jc w:val="both"/>
        <w:rPr>
          <w:rtl/>
        </w:rPr>
      </w:pPr>
      <w:r>
        <w:rPr>
          <w:rFonts w:hint="cs"/>
          <w:rtl/>
        </w:rPr>
        <w:t>10.</w:t>
      </w:r>
      <w:r>
        <w:rPr>
          <w:rFonts w:hint="cs"/>
          <w:rtl/>
        </w:rPr>
        <w:tab/>
        <w:t xml:space="preserve">ב"כ הנאשם 3 ביקשה להצטרף לדברי ב"כ המאשימה וב"כ הנאשמים 1 ו-2 בכל הנוגע לאישור הסדר הטיעון אליו הגיעו הצדדים. נטען כי גם אם הדעה  נוטה לחשוב שמדובר בהסדר מקל, הרי שמדובר בהסדר שהתגבש לאחר משא ומתן אינטנסיבי ובדיקות מעמיקות שהעלו ממצאים שיכלו להשפיע אף על ניהול ההליך עצמו. </w:t>
      </w:r>
    </w:p>
    <w:p w14:paraId="6FEA3A4F" w14:textId="77777777" w:rsidR="003C5509" w:rsidRDefault="003C5509" w:rsidP="003C5509">
      <w:pPr>
        <w:spacing w:line="360" w:lineRule="auto"/>
        <w:ind w:left="720" w:hanging="720"/>
        <w:jc w:val="both"/>
        <w:rPr>
          <w:rtl/>
        </w:rPr>
      </w:pPr>
    </w:p>
    <w:p w14:paraId="07CBEE13" w14:textId="77777777" w:rsidR="003C5509" w:rsidRDefault="003C5509" w:rsidP="003C5509">
      <w:pPr>
        <w:spacing w:line="360" w:lineRule="auto"/>
        <w:ind w:left="720" w:hanging="720"/>
        <w:jc w:val="both"/>
        <w:rPr>
          <w:rtl/>
        </w:rPr>
      </w:pPr>
      <w:r>
        <w:rPr>
          <w:rFonts w:hint="cs"/>
          <w:rtl/>
        </w:rPr>
        <w:tab/>
        <w:t xml:space="preserve">הסנגורית ציינה כי בהודאתם, חסכו הנאשמים שמיעת עדותם של כ-74 עדי תביעה והזמן השיפוטי שנחסך הינו רב ביותר. עוד הפנתה לטענות המשפטיות שהיה מקום להעלותן במידה והתיק היה מתנהל עד תומו, שגם אותן צריך לקחת בחשבון בעת בחינת ההסדר. בסופו של יום, כל צד עשה ויתור מסוים וקנה סיכון שהוביל לעריכת ההסדר. </w:t>
      </w:r>
    </w:p>
    <w:p w14:paraId="35790EAB" w14:textId="77777777" w:rsidR="003C5509" w:rsidRDefault="003C5509" w:rsidP="003C5509">
      <w:pPr>
        <w:spacing w:line="360" w:lineRule="auto"/>
        <w:ind w:left="720" w:hanging="720"/>
        <w:jc w:val="both"/>
        <w:rPr>
          <w:rtl/>
        </w:rPr>
      </w:pPr>
    </w:p>
    <w:p w14:paraId="00347FB4" w14:textId="77777777" w:rsidR="003C5509" w:rsidRDefault="003C5509" w:rsidP="003C5509">
      <w:pPr>
        <w:spacing w:line="360" w:lineRule="auto"/>
        <w:ind w:left="720" w:hanging="720"/>
        <w:jc w:val="both"/>
        <w:rPr>
          <w:rtl/>
        </w:rPr>
      </w:pPr>
      <w:r>
        <w:rPr>
          <w:rFonts w:hint="cs"/>
          <w:rtl/>
        </w:rPr>
        <w:tab/>
        <w:t>בהתייחס לקנס שיושת על הנאשם 3 ציינה הסנגורית כי מדובר באב לשלושה ילדים קטינים וכי מאז מעצרו מתקיימת משפחתו מקצבה של ביטוח לאומי. בכל מקרה, התבקש בית המשפט לחלק את הקנס לתשלומים שתחילתם תהיה לאחר שחרורו של הנאשם 3 ממאסר.</w:t>
      </w:r>
    </w:p>
    <w:p w14:paraId="7913DE19" w14:textId="77777777" w:rsidR="003C5509" w:rsidRDefault="003C5509" w:rsidP="003C5509">
      <w:pPr>
        <w:spacing w:line="360" w:lineRule="auto"/>
        <w:ind w:left="720" w:hanging="720"/>
        <w:jc w:val="both"/>
        <w:rPr>
          <w:rtl/>
        </w:rPr>
      </w:pPr>
    </w:p>
    <w:p w14:paraId="0A3C70C1" w14:textId="77777777" w:rsidR="003C5509" w:rsidRDefault="003C5509" w:rsidP="003C5509">
      <w:pPr>
        <w:spacing w:line="360" w:lineRule="auto"/>
        <w:ind w:left="720" w:hanging="720"/>
        <w:jc w:val="both"/>
        <w:rPr>
          <w:u w:val="single"/>
          <w:rtl/>
        </w:rPr>
      </w:pPr>
      <w:r>
        <w:rPr>
          <w:rFonts w:hint="cs"/>
          <w:u w:val="single"/>
          <w:rtl/>
        </w:rPr>
        <w:t>דברם האחרון של הנאשמים</w:t>
      </w:r>
    </w:p>
    <w:p w14:paraId="4BBE4DCA" w14:textId="77777777" w:rsidR="003C5509" w:rsidRDefault="003C5509" w:rsidP="003C5509">
      <w:pPr>
        <w:spacing w:line="360" w:lineRule="auto"/>
        <w:ind w:left="720" w:hanging="720"/>
        <w:jc w:val="both"/>
        <w:rPr>
          <w:rtl/>
        </w:rPr>
      </w:pPr>
    </w:p>
    <w:p w14:paraId="5EBB28A1" w14:textId="77777777" w:rsidR="003C5509" w:rsidRDefault="003C5509" w:rsidP="003C5509">
      <w:pPr>
        <w:spacing w:line="360" w:lineRule="auto"/>
        <w:ind w:left="720" w:hanging="720"/>
        <w:jc w:val="both"/>
        <w:rPr>
          <w:rtl/>
        </w:rPr>
      </w:pPr>
      <w:r>
        <w:rPr>
          <w:rFonts w:hint="cs"/>
          <w:rtl/>
        </w:rPr>
        <w:t>11.</w:t>
      </w:r>
      <w:r>
        <w:rPr>
          <w:rFonts w:hint="cs"/>
          <w:rtl/>
        </w:rPr>
        <w:tab/>
        <w:t>בדברם האחרון הביעו הנאשמים צער על מעשיהם והבטיחו לא לחזור על הטעות שעשו.</w:t>
      </w:r>
    </w:p>
    <w:p w14:paraId="4D12980E" w14:textId="77777777" w:rsidR="003C5509" w:rsidRDefault="003C5509" w:rsidP="003C5509">
      <w:pPr>
        <w:spacing w:line="360" w:lineRule="auto"/>
        <w:ind w:left="720" w:hanging="720"/>
        <w:jc w:val="both"/>
        <w:rPr>
          <w:rtl/>
        </w:rPr>
      </w:pPr>
    </w:p>
    <w:p w14:paraId="5D603CAE" w14:textId="77777777" w:rsidR="003C5509" w:rsidRDefault="003C5509" w:rsidP="003C5509">
      <w:pPr>
        <w:spacing w:line="360" w:lineRule="auto"/>
        <w:ind w:left="720" w:hanging="720"/>
        <w:jc w:val="both"/>
        <w:rPr>
          <w:u w:val="single"/>
          <w:rtl/>
        </w:rPr>
      </w:pPr>
      <w:r>
        <w:rPr>
          <w:rFonts w:hint="cs"/>
          <w:u w:val="single"/>
          <w:rtl/>
        </w:rPr>
        <w:t>דיון והכרעה</w:t>
      </w:r>
    </w:p>
    <w:p w14:paraId="5004D91E" w14:textId="77777777" w:rsidR="003C5509" w:rsidRDefault="003C5509" w:rsidP="003C5509">
      <w:pPr>
        <w:spacing w:line="360" w:lineRule="auto"/>
        <w:ind w:left="720" w:hanging="720"/>
        <w:jc w:val="both"/>
        <w:rPr>
          <w:rtl/>
        </w:rPr>
      </w:pPr>
    </w:p>
    <w:p w14:paraId="650A420B" w14:textId="77777777" w:rsidR="003C5509" w:rsidRDefault="003C5509" w:rsidP="003C5509">
      <w:pPr>
        <w:spacing w:line="360" w:lineRule="auto"/>
        <w:ind w:left="720" w:hanging="720"/>
        <w:jc w:val="both"/>
        <w:rPr>
          <w:rtl/>
        </w:rPr>
      </w:pPr>
      <w:r>
        <w:rPr>
          <w:rFonts w:hint="cs"/>
          <w:rtl/>
        </w:rPr>
        <w:t>12.</w:t>
      </w:r>
      <w:r>
        <w:rPr>
          <w:rFonts w:hint="cs"/>
          <w:rtl/>
        </w:rPr>
        <w:tab/>
        <w:t>ההלכה הפסוקה מורה כי קיומו של הסדר טיעון אינו מבטל את תחולתו של תיקון 113 ל</w:t>
      </w:r>
      <w:hyperlink r:id="rId32" w:history="1">
        <w:r w:rsidR="00DB5C92" w:rsidRPr="00DB5C92">
          <w:rPr>
            <w:color w:val="0000FF"/>
            <w:u w:val="single"/>
            <w:rtl/>
          </w:rPr>
          <w:t>חוק העונשין</w:t>
        </w:r>
      </w:hyperlink>
      <w:r>
        <w:rPr>
          <w:rFonts w:hint="cs"/>
          <w:rtl/>
        </w:rPr>
        <w:t>, ועל בית המשפט לבחון את הסדר הטיעון, על פי אמות המידה המקובלות ובהתאם לנסיבות המקרה ונסיבותיו האישיות של הנאשם (</w:t>
      </w:r>
      <w:hyperlink r:id="rId33" w:history="1">
        <w:r w:rsidR="00DB5C92" w:rsidRPr="00DB5C92">
          <w:rPr>
            <w:color w:val="0000FF"/>
            <w:u w:val="single"/>
            <w:rtl/>
          </w:rPr>
          <w:t>ע"פ 512/13</w:t>
        </w:r>
      </w:hyperlink>
      <w:r>
        <w:rPr>
          <w:rFonts w:hint="cs"/>
          <w:rtl/>
        </w:rPr>
        <w:t xml:space="preserve"> </w:t>
      </w:r>
      <w:r>
        <w:rPr>
          <w:rFonts w:hint="cs"/>
          <w:b/>
          <w:bCs/>
          <w:rtl/>
        </w:rPr>
        <w:t>פלוני נ' מדינת ישראל</w:t>
      </w:r>
      <w:r>
        <w:rPr>
          <w:rFonts w:hint="cs"/>
          <w:rtl/>
        </w:rPr>
        <w:t xml:space="preserve"> (4.12.2013)). </w:t>
      </w:r>
    </w:p>
    <w:p w14:paraId="55947A49" w14:textId="77777777" w:rsidR="003C5509" w:rsidRDefault="003C5509" w:rsidP="003C5509">
      <w:pPr>
        <w:spacing w:line="360" w:lineRule="auto"/>
        <w:ind w:left="720" w:hanging="720"/>
        <w:jc w:val="both"/>
        <w:rPr>
          <w:rtl/>
        </w:rPr>
      </w:pPr>
    </w:p>
    <w:p w14:paraId="3C2417A3" w14:textId="77777777" w:rsidR="003C5509" w:rsidRDefault="003C5509" w:rsidP="003C5509">
      <w:pPr>
        <w:spacing w:line="360" w:lineRule="auto"/>
        <w:ind w:left="720" w:hanging="720"/>
        <w:jc w:val="both"/>
        <w:rPr>
          <w:rtl/>
        </w:rPr>
      </w:pPr>
      <w:r>
        <w:rPr>
          <w:rFonts w:hint="cs"/>
          <w:rtl/>
        </w:rPr>
        <w:t>13.</w:t>
      </w:r>
      <w:r>
        <w:rPr>
          <w:rFonts w:hint="cs"/>
          <w:rtl/>
        </w:rPr>
        <w:tab/>
        <w:t xml:space="preserve">העבירות בהן הורשעו הנאשמים הן חמורות ומחייבות התייחסות עונשית מחמירה. בית המשפט העליון עמד לא אחת על כך שעבירות בנשק הפכו זה מכבר למכת מדינה של ממש, שיש צורך  להילחם בה, בין היתר  על ידי הטלת עונשים חמורים. זאת, מן הטעם שעבירות אלו מקימות פוטנציאל להסלמה עבריינית ויוצרות סיכון ממשי לשלום הציבור (ראו: </w:t>
      </w:r>
      <w:hyperlink r:id="rId34" w:history="1">
        <w:r w:rsidR="00DB5C92" w:rsidRPr="00DB5C92">
          <w:rPr>
            <w:color w:val="0000FF"/>
            <w:u w:val="single"/>
            <w:rtl/>
          </w:rPr>
          <w:t>ע"פ 9373/10</w:t>
        </w:r>
      </w:hyperlink>
      <w:r>
        <w:rPr>
          <w:rFonts w:hint="cs"/>
          <w:rtl/>
        </w:rPr>
        <w:t xml:space="preserve"> </w:t>
      </w:r>
      <w:r>
        <w:rPr>
          <w:rFonts w:hint="cs"/>
          <w:b/>
          <w:bCs/>
          <w:rtl/>
        </w:rPr>
        <w:t>חמד ותד נ' מדינת ישראל</w:t>
      </w:r>
      <w:r>
        <w:rPr>
          <w:rFonts w:hint="cs"/>
          <w:rtl/>
        </w:rPr>
        <w:t xml:space="preserve"> (14.9.2011); </w:t>
      </w:r>
      <w:hyperlink r:id="rId35" w:history="1">
        <w:r w:rsidR="00DB5C92" w:rsidRPr="00DB5C92">
          <w:rPr>
            <w:color w:val="0000FF"/>
            <w:u w:val="single"/>
            <w:rtl/>
          </w:rPr>
          <w:t>ע"פ 2251/11</w:t>
        </w:r>
      </w:hyperlink>
      <w:r>
        <w:rPr>
          <w:rFonts w:hint="cs"/>
          <w:rtl/>
        </w:rPr>
        <w:t xml:space="preserve"> ו</w:t>
      </w:r>
      <w:hyperlink r:id="rId36" w:history="1">
        <w:r w:rsidR="00DB5C92" w:rsidRPr="00DB5C92">
          <w:rPr>
            <w:color w:val="0000FF"/>
            <w:u w:val="single"/>
            <w:rtl/>
          </w:rPr>
          <w:t>ע"פ 2368/11</w:t>
        </w:r>
      </w:hyperlink>
      <w:r>
        <w:rPr>
          <w:rFonts w:hint="cs"/>
          <w:rtl/>
        </w:rPr>
        <w:t xml:space="preserve"> </w:t>
      </w:r>
      <w:r>
        <w:rPr>
          <w:rFonts w:hint="cs"/>
          <w:b/>
          <w:bCs/>
          <w:rtl/>
        </w:rPr>
        <w:t xml:space="preserve">מדינת ישראל נ' ג'מאל נפע </w:t>
      </w:r>
      <w:r>
        <w:rPr>
          <w:rFonts w:hint="cs"/>
          <w:rtl/>
        </w:rPr>
        <w:t xml:space="preserve">(4.12.2011); </w:t>
      </w:r>
      <w:hyperlink r:id="rId37" w:history="1">
        <w:r w:rsidR="00DB5C92" w:rsidRPr="00DB5C92">
          <w:rPr>
            <w:color w:val="0000FF"/>
            <w:u w:val="single"/>
            <w:rtl/>
          </w:rPr>
          <w:t>ע"פ 3156/11</w:t>
        </w:r>
      </w:hyperlink>
      <w:r>
        <w:rPr>
          <w:rFonts w:hint="cs"/>
          <w:rtl/>
        </w:rPr>
        <w:t xml:space="preserve"> </w:t>
      </w:r>
      <w:r>
        <w:rPr>
          <w:rFonts w:hint="cs"/>
          <w:b/>
          <w:bCs/>
          <w:rtl/>
        </w:rPr>
        <w:t xml:space="preserve">זראיעה נ' מדינת ישראל </w:t>
      </w:r>
      <w:r>
        <w:rPr>
          <w:rFonts w:hint="cs"/>
          <w:rtl/>
        </w:rPr>
        <w:t>(21.2.2012) ו</w:t>
      </w:r>
      <w:hyperlink r:id="rId38" w:history="1">
        <w:r w:rsidR="00DB5C92" w:rsidRPr="00DB5C92">
          <w:rPr>
            <w:color w:val="0000FF"/>
            <w:u w:val="single"/>
            <w:rtl/>
          </w:rPr>
          <w:t>ע"פ 5900/15</w:t>
        </w:r>
      </w:hyperlink>
      <w:r>
        <w:rPr>
          <w:rFonts w:hint="cs"/>
          <w:rtl/>
        </w:rPr>
        <w:t xml:space="preserve"> </w:t>
      </w:r>
      <w:r>
        <w:rPr>
          <w:rFonts w:hint="cs"/>
          <w:b/>
          <w:bCs/>
          <w:rtl/>
        </w:rPr>
        <w:t xml:space="preserve">אייל מעוז נ' מדינת ישראל </w:t>
      </w:r>
      <w:r>
        <w:rPr>
          <w:rFonts w:hint="cs"/>
          <w:rtl/>
        </w:rPr>
        <w:t>(10.5.2016)).  ב</w:t>
      </w:r>
      <w:hyperlink r:id="rId39" w:history="1">
        <w:r w:rsidR="00DB5C92" w:rsidRPr="00DB5C92">
          <w:rPr>
            <w:color w:val="0000FF"/>
            <w:u w:val="single"/>
            <w:rtl/>
          </w:rPr>
          <w:t>ע"פ 135/17</w:t>
        </w:r>
      </w:hyperlink>
      <w:r>
        <w:rPr>
          <w:rFonts w:hint="cs"/>
          <w:rtl/>
        </w:rPr>
        <w:t xml:space="preserve"> </w:t>
      </w:r>
      <w:r>
        <w:rPr>
          <w:rFonts w:hint="cs"/>
          <w:b/>
          <w:bCs/>
          <w:rtl/>
        </w:rPr>
        <w:t>מדינת ישראל נ' סמיר באסל</w:t>
      </w:r>
      <w:r>
        <w:rPr>
          <w:rFonts w:hint="cs"/>
          <w:rtl/>
        </w:rPr>
        <w:t xml:space="preserve"> (8.3.2017) נאמר:</w:t>
      </w:r>
    </w:p>
    <w:p w14:paraId="4FABAF3E" w14:textId="77777777" w:rsidR="003C5509" w:rsidRDefault="003C5509" w:rsidP="003C5509">
      <w:pPr>
        <w:spacing w:line="360" w:lineRule="auto"/>
        <w:ind w:left="720" w:hanging="720"/>
        <w:jc w:val="both"/>
        <w:rPr>
          <w:rtl/>
        </w:rPr>
      </w:pPr>
    </w:p>
    <w:p w14:paraId="086EAE00" w14:textId="77777777" w:rsidR="003C5509" w:rsidRDefault="003C5509" w:rsidP="003C5509">
      <w:pPr>
        <w:pStyle w:val="a9"/>
        <w:ind w:hanging="131"/>
        <w:rPr>
          <w:rtl/>
        </w:rPr>
      </w:pPr>
      <w:r>
        <w:rPr>
          <w:rFonts w:hint="cs"/>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עבריינים או לפעילות ביטחונית, פגיעתו הרעה מורגשת ומהווה איום על שלום הציבור כולו; כתוצאה מכך גדל ההכרח להרתיע את היחיד והרבים מפני עיסוק בכך". </w:t>
      </w:r>
    </w:p>
    <w:p w14:paraId="1915ECA0" w14:textId="77777777" w:rsidR="003C5509" w:rsidRDefault="003C5509" w:rsidP="003C5509">
      <w:pPr>
        <w:spacing w:line="360" w:lineRule="auto"/>
        <w:ind w:left="720" w:hanging="720"/>
        <w:jc w:val="both"/>
        <w:rPr>
          <w:rtl/>
        </w:rPr>
      </w:pPr>
    </w:p>
    <w:p w14:paraId="7923798F" w14:textId="77777777" w:rsidR="003C5509" w:rsidRDefault="003C5509" w:rsidP="003C5509">
      <w:pPr>
        <w:spacing w:line="360" w:lineRule="auto"/>
        <w:ind w:left="720" w:hanging="720"/>
        <w:jc w:val="both"/>
        <w:rPr>
          <w:rtl/>
        </w:rPr>
      </w:pPr>
      <w:r>
        <w:rPr>
          <w:rFonts w:hint="cs"/>
          <w:rtl/>
        </w:rPr>
        <w:tab/>
        <w:t xml:space="preserve">דברים אלה שנאמרו לגבי עבירות של החזקה ונשיאת נשק, נכונים ביתר שאת, שעה שמדובר בעבירות שעניינן סחר בנשק, שהן חמורות בהרבה. </w:t>
      </w:r>
    </w:p>
    <w:p w14:paraId="60FB4F12" w14:textId="77777777" w:rsidR="003C5509" w:rsidRDefault="003C5509" w:rsidP="003C5509">
      <w:pPr>
        <w:spacing w:line="360" w:lineRule="auto"/>
        <w:ind w:left="720" w:hanging="720"/>
        <w:jc w:val="both"/>
        <w:rPr>
          <w:rtl/>
        </w:rPr>
      </w:pPr>
    </w:p>
    <w:p w14:paraId="24154393" w14:textId="77777777" w:rsidR="003C5509" w:rsidRDefault="003C5509" w:rsidP="003C5509">
      <w:pPr>
        <w:spacing w:line="360" w:lineRule="auto"/>
        <w:ind w:left="720" w:hanging="720"/>
        <w:jc w:val="both"/>
        <w:rPr>
          <w:rtl/>
        </w:rPr>
      </w:pPr>
      <w:r>
        <w:rPr>
          <w:rFonts w:hint="cs"/>
          <w:rtl/>
        </w:rPr>
        <w:t>14.</w:t>
      </w:r>
      <w:r>
        <w:rPr>
          <w:rFonts w:hint="cs"/>
          <w:rtl/>
        </w:rPr>
        <w:tab/>
        <w:t xml:space="preserve">הערכים החברתיים המוגנים אשר נפגעו מביצוע העבירות בענייננו הם בראש ובראשונה הערך העליון של שמירה על חיי אדם ושלמות גופו ושלום הציבור וביטחונו. מדובר בעבירות שעלולות להוביל לפגיעה אנושה בערך קדושת החיים. כאמור,  בפסיקה הודגש, במספר רב של הזדמנויות, תפקידו של בית המשפט שנדרש לתרום את תרומתו למיגור תופעה זו, בדרך של הטלת עונשים מרתיעים. </w:t>
      </w:r>
    </w:p>
    <w:p w14:paraId="5ECE36AB" w14:textId="77777777" w:rsidR="003C5509" w:rsidRDefault="003C5509" w:rsidP="003C5509">
      <w:pPr>
        <w:spacing w:line="360" w:lineRule="auto"/>
        <w:ind w:left="720" w:hanging="720"/>
        <w:jc w:val="both"/>
        <w:rPr>
          <w:rtl/>
        </w:rPr>
      </w:pPr>
    </w:p>
    <w:p w14:paraId="281416EA" w14:textId="77777777" w:rsidR="003C5509" w:rsidRDefault="003C5509" w:rsidP="003C5509">
      <w:pPr>
        <w:spacing w:line="360" w:lineRule="auto"/>
        <w:ind w:left="720" w:hanging="720"/>
        <w:jc w:val="both"/>
        <w:rPr>
          <w:rtl/>
        </w:rPr>
      </w:pPr>
      <w:r>
        <w:rPr>
          <w:rFonts w:hint="cs"/>
          <w:rtl/>
        </w:rPr>
        <w:t>15.</w:t>
      </w:r>
      <w:r>
        <w:rPr>
          <w:rFonts w:hint="cs"/>
          <w:rtl/>
        </w:rPr>
        <w:tab/>
        <w:t>לצד חומרת העבירות בהן הורשעו הנאשמים, בחנתי גם את הקשיים אליהם הפנו באי כח הצדדים ואשר הובילו לעריכת הסדר טיעון. ככלל, נדרש בית המשפט לקיים הסדרי טיעון שהונחו בפניו בשל טעמים הקשורים בחשיבותם ובמעמדם של הסדרים אלה. זאת, לצד החובה המוטלת על בית המשפט לבחון אם הסדר הטיעון שהונח בפניו, לרבות העונש שהוצג במסגרתו, מאזן בין טובת ההנאה שמעניק ההסדר לנאשם לבין האינטרס הציבורי. יפים לעניין זה דברי בית המשפט ב</w:t>
      </w:r>
      <w:hyperlink r:id="rId40" w:history="1">
        <w:r w:rsidR="00DB5C92" w:rsidRPr="00DB5C92">
          <w:rPr>
            <w:color w:val="0000FF"/>
            <w:u w:val="single"/>
            <w:rtl/>
          </w:rPr>
          <w:t>ע"פ 1958/98 פלוני נ' מדינת ישראל, פ"ד נז</w:t>
        </w:r>
      </w:hyperlink>
      <w:r>
        <w:rPr>
          <w:rFonts w:hint="cs"/>
          <w:rtl/>
        </w:rPr>
        <w:t>(1), 577 בקבעו:</w:t>
      </w:r>
    </w:p>
    <w:p w14:paraId="25BFCBDA" w14:textId="77777777" w:rsidR="003C5509" w:rsidRDefault="003C5509" w:rsidP="003C5509">
      <w:pPr>
        <w:spacing w:line="360" w:lineRule="auto"/>
        <w:ind w:left="720" w:hanging="720"/>
        <w:jc w:val="both"/>
        <w:rPr>
          <w:rtl/>
        </w:rPr>
      </w:pPr>
    </w:p>
    <w:p w14:paraId="49FC308D" w14:textId="77777777" w:rsidR="003C5509" w:rsidRDefault="003C5509" w:rsidP="003C5509">
      <w:pPr>
        <w:pStyle w:val="a9"/>
        <w:ind w:firstLine="0"/>
        <w:rPr>
          <w:rtl/>
        </w:rPr>
      </w:pPr>
      <w:r>
        <w:rPr>
          <w:rFonts w:hint="cs"/>
          <w:rtl/>
        </w:rPr>
        <w:t>"הנה-כי-כן, לפי השקפתי, קיומו של הסדר טיעון הוא שיקול מרכזי בשיקוליו של בית-המשפט הגוזר את העונש. ככלל, בית-המשפט יראה לקיים את הסדר הטיעון בשל הטעמים הקשורים בחשיבותם ובמעמדם של הסדרי הטיעון. עם זאת תמיד חייב בית-המשפט עצמו לשקול את השיקולים הראויים לעונש, שכן תפקידו ואחריותו אינם מאפשרים לו להסתתר מאחורי גבה של התביעה. במסגרת בחינתו של העונש המוצע ייתן בית-המשפט דעתו על כל שיקולי הענישה הרלוונטיים ויבחן אם העונש המוצע מקיים את האיזון הדרוש ביניהם. לשם כך יבחן בית-המשפט את העונש ההולם בנסיבות העניין וישקיף עליו גם באספקלריה שהעמידה לרשותו התביעה בהסדר הטיעון שערכה. בבחינת הסדר הטיעון נקודת המוצא היא מידת העונש המוצע בשים לב לסוג העבירה, לחומרתה ולנסיבות ביצועה. כמו בכל הליך של גזירת הדין, ייתן בית-המשפט דעתו גם על הנסיבות האישיות של הנאשם ועל שיקולי מדיניות של ענישה ראויה, ויתחשב בכל אלה".</w:t>
      </w:r>
    </w:p>
    <w:p w14:paraId="6ADF8090" w14:textId="77777777" w:rsidR="003C5509" w:rsidRDefault="003C5509" w:rsidP="003C5509">
      <w:pPr>
        <w:spacing w:line="360" w:lineRule="auto"/>
        <w:ind w:left="720" w:hanging="720"/>
        <w:jc w:val="both"/>
        <w:rPr>
          <w:rtl/>
        </w:rPr>
      </w:pPr>
    </w:p>
    <w:p w14:paraId="1B54115F" w14:textId="77777777" w:rsidR="003C5509" w:rsidRDefault="003C5509" w:rsidP="003C5509">
      <w:pPr>
        <w:spacing w:line="360" w:lineRule="auto"/>
        <w:ind w:left="720" w:hanging="720"/>
        <w:rPr>
          <w:rtl/>
        </w:rPr>
      </w:pPr>
      <w:r>
        <w:rPr>
          <w:rFonts w:hint="cs"/>
          <w:rtl/>
        </w:rPr>
        <w:tab/>
        <w:t xml:space="preserve">כאמור, ההלכה הפסוקה מורה כי רק במקרים חריגים יסטה בית המשפט מהסדר טיעון שהוצג בפניו (ראו בנדון: </w:t>
      </w:r>
      <w:hyperlink r:id="rId41" w:history="1">
        <w:r w:rsidR="00DB5C92" w:rsidRPr="00DB5C92">
          <w:rPr>
            <w:color w:val="0000FF"/>
            <w:u w:val="single"/>
            <w:rtl/>
          </w:rPr>
          <w:t>ע"פ 2021/17</w:t>
        </w:r>
      </w:hyperlink>
      <w:r>
        <w:rPr>
          <w:rFonts w:hint="cs"/>
          <w:rtl/>
        </w:rPr>
        <w:t xml:space="preserve"> </w:t>
      </w:r>
      <w:r>
        <w:rPr>
          <w:rFonts w:hint="cs"/>
          <w:b/>
          <w:bCs/>
          <w:rtl/>
        </w:rPr>
        <w:t>מצגר נ' מדינת ישראל</w:t>
      </w:r>
      <w:r>
        <w:rPr>
          <w:rFonts w:hint="cs"/>
          <w:rtl/>
        </w:rPr>
        <w:t xml:space="preserve"> (30.4.2017)).</w:t>
      </w:r>
      <w:r>
        <w:rPr>
          <w:rFonts w:hint="cs"/>
          <w:rtl/>
        </w:rPr>
        <w:tab/>
      </w:r>
      <w:r>
        <w:rPr>
          <w:rFonts w:hint="cs"/>
          <w:rtl/>
        </w:rPr>
        <w:tab/>
      </w:r>
    </w:p>
    <w:p w14:paraId="032B2323" w14:textId="77777777" w:rsidR="003C5509" w:rsidRDefault="003C5509" w:rsidP="003C5509">
      <w:pPr>
        <w:spacing w:line="360" w:lineRule="auto"/>
        <w:ind w:left="720" w:hanging="720"/>
        <w:rPr>
          <w:rtl/>
        </w:rPr>
      </w:pPr>
    </w:p>
    <w:p w14:paraId="28EF9CFB" w14:textId="77777777" w:rsidR="003C5509" w:rsidRDefault="003C5509" w:rsidP="003C5509">
      <w:pPr>
        <w:pStyle w:val="a9"/>
        <w:rPr>
          <w:rtl/>
        </w:rPr>
      </w:pPr>
    </w:p>
    <w:p w14:paraId="0B66038F" w14:textId="77777777" w:rsidR="003C5509" w:rsidRDefault="003C5509" w:rsidP="003C5509">
      <w:pPr>
        <w:spacing w:line="360" w:lineRule="auto"/>
        <w:ind w:left="720" w:hanging="720"/>
        <w:jc w:val="both"/>
        <w:rPr>
          <w:rtl/>
        </w:rPr>
      </w:pPr>
      <w:r>
        <w:rPr>
          <w:rFonts w:hint="cs"/>
          <w:rtl/>
        </w:rPr>
        <w:t>16.</w:t>
      </w:r>
      <w:r>
        <w:rPr>
          <w:rFonts w:hint="cs"/>
          <w:rtl/>
        </w:rPr>
        <w:tab/>
        <w:t>בבחינת הנסיבות שאינן קשורות בביצוע העבירות, הבאתי בחשבון את הודאתם של הנאשמים בשלב מוקדם של הדיון. הודאה זו לא רק שהביאה לחיסכון בזמן שיפוטי יקר, אלא היא מגלמת בחובה נטילת אחריות מצד הנאשמים על מעשיהם. בנוסף, הבאתי בחשבון שעל אף הרשעותיו הקודמות של הנאשם 1, הרי שזו הסתבכותו הראשונה בעבירת נשק. כן הבאתי בחשבון כי הנאשם 2 נעדר כל עבר פלילי וזו הסתבכותו הראשונה עם החוק ואילו הנאשם 3, על אף שלחובתו הרשעות קודמות, הרי שהרשעותיו אינן כוללות עבירות בנשק.</w:t>
      </w:r>
    </w:p>
    <w:p w14:paraId="63A33C2B" w14:textId="77777777" w:rsidR="003C5509" w:rsidRDefault="003C5509" w:rsidP="003C5509">
      <w:pPr>
        <w:spacing w:line="360" w:lineRule="auto"/>
        <w:ind w:left="720" w:hanging="720"/>
        <w:jc w:val="both"/>
        <w:rPr>
          <w:rtl/>
        </w:rPr>
      </w:pPr>
    </w:p>
    <w:p w14:paraId="084838CF" w14:textId="77777777" w:rsidR="003C5509" w:rsidRDefault="003C5509" w:rsidP="003C5509">
      <w:pPr>
        <w:spacing w:line="360" w:lineRule="auto"/>
        <w:ind w:left="720" w:hanging="720"/>
        <w:jc w:val="both"/>
        <w:rPr>
          <w:rtl/>
        </w:rPr>
      </w:pPr>
      <w:r>
        <w:rPr>
          <w:rFonts w:hint="cs"/>
          <w:rtl/>
        </w:rPr>
        <w:t>17.</w:t>
      </w:r>
      <w:r>
        <w:rPr>
          <w:rFonts w:hint="cs"/>
          <w:rtl/>
        </w:rPr>
        <w:tab/>
        <w:t>לאחר שבחנתי את מכלול הנסיבות, את האינטרסים המוגנים שנפגעו כתוצאה מביצוע העבירות נשוא הדיון, את מדיניות הענישה הנוהגת במקרים דומים ונסיבותיהם האישיות של הנאשמים, ולאחר ששקלתי את הקשיים עליהם הצביעו באי כח הצדדים ואשר הובילו, בין היתר, להסדר הטיעון, החלטתי שלא לסטות מהעונשים המוסכמים בגדר הסדר הטיעון שהוצג בפניי.</w:t>
      </w:r>
    </w:p>
    <w:p w14:paraId="55B801FD" w14:textId="77777777" w:rsidR="003C5509" w:rsidRDefault="003C5509" w:rsidP="003C5509">
      <w:pPr>
        <w:spacing w:line="360" w:lineRule="auto"/>
        <w:ind w:left="720" w:hanging="720"/>
        <w:jc w:val="both"/>
        <w:rPr>
          <w:rtl/>
        </w:rPr>
      </w:pPr>
    </w:p>
    <w:p w14:paraId="0F3127DF" w14:textId="77777777" w:rsidR="003C5509" w:rsidRDefault="003C5509" w:rsidP="003C5509">
      <w:pPr>
        <w:spacing w:line="360" w:lineRule="auto"/>
        <w:ind w:left="720" w:hanging="720"/>
        <w:jc w:val="both"/>
        <w:rPr>
          <w:rtl/>
        </w:rPr>
      </w:pPr>
      <w:r>
        <w:rPr>
          <w:rFonts w:hint="cs"/>
          <w:rtl/>
        </w:rPr>
        <w:t>18.</w:t>
      </w:r>
      <w:r>
        <w:rPr>
          <w:rFonts w:hint="cs"/>
          <w:rtl/>
        </w:rPr>
        <w:tab/>
        <w:t>לפיכך, אני גוזר על הנאשמים את העונשים הבאים:</w:t>
      </w:r>
    </w:p>
    <w:p w14:paraId="6BD34B22" w14:textId="77777777" w:rsidR="003C5509" w:rsidRDefault="003C5509" w:rsidP="003C5509">
      <w:pPr>
        <w:spacing w:line="360" w:lineRule="auto"/>
        <w:ind w:left="720" w:hanging="720"/>
        <w:jc w:val="both"/>
        <w:rPr>
          <w:rtl/>
        </w:rPr>
      </w:pPr>
    </w:p>
    <w:p w14:paraId="23F64F3D" w14:textId="77777777" w:rsidR="003C5509" w:rsidRDefault="003C5509" w:rsidP="003C5509">
      <w:pPr>
        <w:spacing w:line="360" w:lineRule="auto"/>
        <w:ind w:left="720"/>
        <w:jc w:val="both"/>
        <w:rPr>
          <w:u w:val="single"/>
          <w:rtl/>
        </w:rPr>
      </w:pPr>
      <w:r>
        <w:rPr>
          <w:rFonts w:hint="cs"/>
          <w:u w:val="single"/>
          <w:rtl/>
        </w:rPr>
        <w:t>הנאשם 1</w:t>
      </w:r>
    </w:p>
    <w:p w14:paraId="3B4AA29D" w14:textId="77777777" w:rsidR="003C5509" w:rsidRDefault="003C5509" w:rsidP="003C5509">
      <w:pPr>
        <w:spacing w:line="360" w:lineRule="auto"/>
        <w:ind w:left="720" w:hanging="720"/>
        <w:jc w:val="both"/>
        <w:rPr>
          <w:rtl/>
        </w:rPr>
      </w:pPr>
    </w:p>
    <w:p w14:paraId="394D3781" w14:textId="77777777" w:rsidR="003C5509" w:rsidRDefault="003C5509" w:rsidP="003C5509">
      <w:pPr>
        <w:spacing w:line="360" w:lineRule="auto"/>
        <w:ind w:left="1440" w:hanging="720"/>
        <w:jc w:val="both"/>
        <w:rPr>
          <w:rtl/>
        </w:rPr>
      </w:pPr>
      <w:r>
        <w:rPr>
          <w:rFonts w:hint="cs"/>
          <w:rtl/>
        </w:rPr>
        <w:t>א.</w:t>
      </w:r>
      <w:r>
        <w:rPr>
          <w:rFonts w:hint="cs"/>
          <w:rtl/>
        </w:rPr>
        <w:tab/>
        <w:t>27 חודשי מאסר בפועל שיימנו החל ממועד מעצרו ביום 26.2.18.</w:t>
      </w:r>
    </w:p>
    <w:p w14:paraId="62571ADD" w14:textId="77777777" w:rsidR="003C5509" w:rsidRDefault="003C5509" w:rsidP="003C5509">
      <w:pPr>
        <w:spacing w:line="360" w:lineRule="auto"/>
        <w:ind w:left="1440" w:hanging="720"/>
        <w:jc w:val="both"/>
        <w:rPr>
          <w:rtl/>
        </w:rPr>
      </w:pPr>
    </w:p>
    <w:p w14:paraId="42AE89AB" w14:textId="77777777" w:rsidR="003C5509" w:rsidRDefault="003C5509" w:rsidP="003C5509">
      <w:pPr>
        <w:spacing w:line="360" w:lineRule="auto"/>
        <w:ind w:left="1440" w:hanging="720"/>
        <w:jc w:val="both"/>
        <w:rPr>
          <w:rtl/>
        </w:rPr>
      </w:pPr>
      <w:r>
        <w:rPr>
          <w:rFonts w:hint="cs"/>
          <w:rtl/>
        </w:rPr>
        <w:t>ב.</w:t>
      </w:r>
      <w:r>
        <w:rPr>
          <w:rFonts w:hint="cs"/>
          <w:rtl/>
        </w:rPr>
        <w:tab/>
        <w:t xml:space="preserve">12 חודשי מאסר על תנאי למשך 3 שנים לבל יורשע באחת העבירות בהן הורשע בתיק זה. </w:t>
      </w:r>
    </w:p>
    <w:p w14:paraId="3CE448DA" w14:textId="77777777" w:rsidR="003C5509" w:rsidRDefault="003C5509" w:rsidP="003C5509">
      <w:pPr>
        <w:spacing w:line="360" w:lineRule="auto"/>
        <w:ind w:left="1440" w:hanging="720"/>
        <w:jc w:val="both"/>
        <w:rPr>
          <w:rtl/>
        </w:rPr>
      </w:pPr>
    </w:p>
    <w:p w14:paraId="1CCBA3F8" w14:textId="77777777" w:rsidR="003C5509" w:rsidRDefault="003C5509" w:rsidP="003C5509">
      <w:pPr>
        <w:spacing w:line="360" w:lineRule="auto"/>
        <w:ind w:left="1440" w:hanging="720"/>
        <w:jc w:val="both"/>
        <w:rPr>
          <w:rtl/>
        </w:rPr>
      </w:pPr>
      <w:r>
        <w:rPr>
          <w:rFonts w:hint="cs"/>
          <w:rtl/>
        </w:rPr>
        <w:t>ג.</w:t>
      </w:r>
      <w:r>
        <w:rPr>
          <w:rFonts w:hint="cs"/>
          <w:rtl/>
        </w:rPr>
        <w:tab/>
        <w:t>קנס בסך 10,000 ₪ או 70 ימי מאסר תמורתו, לתשלום עד ליום 1.5.2019.</w:t>
      </w:r>
    </w:p>
    <w:p w14:paraId="4B5E3397" w14:textId="77777777" w:rsidR="003C5509" w:rsidRDefault="003C5509" w:rsidP="003C5509">
      <w:pPr>
        <w:spacing w:line="360" w:lineRule="auto"/>
        <w:ind w:left="1440" w:hanging="720"/>
        <w:jc w:val="both"/>
        <w:rPr>
          <w:rtl/>
        </w:rPr>
      </w:pPr>
    </w:p>
    <w:p w14:paraId="77EE012B" w14:textId="77777777" w:rsidR="003C5509" w:rsidRDefault="003C5509" w:rsidP="003C5509">
      <w:pPr>
        <w:spacing w:line="360" w:lineRule="auto"/>
        <w:ind w:left="1440" w:hanging="720"/>
        <w:jc w:val="both"/>
        <w:rPr>
          <w:rtl/>
        </w:rPr>
      </w:pPr>
      <w:r>
        <w:rPr>
          <w:rFonts w:hint="cs"/>
          <w:rtl/>
        </w:rPr>
        <w:t>ד.</w:t>
      </w:r>
      <w:r>
        <w:rPr>
          <w:rFonts w:hint="cs"/>
          <w:rtl/>
        </w:rPr>
        <w:tab/>
        <w:t xml:space="preserve">אני מורה על פסילת הנאשם 1 מלהחזיק ו/או להוציא רישיון נהיגה למשך 3 שנים ממועד שחרורו ממאסרו בגין תיק זה. </w:t>
      </w:r>
    </w:p>
    <w:p w14:paraId="00AFBC3F" w14:textId="77777777" w:rsidR="003C5509" w:rsidRDefault="003C5509" w:rsidP="003C5509">
      <w:pPr>
        <w:spacing w:line="360" w:lineRule="auto"/>
        <w:ind w:left="1440" w:hanging="720"/>
        <w:jc w:val="both"/>
        <w:rPr>
          <w:rtl/>
        </w:rPr>
      </w:pPr>
    </w:p>
    <w:p w14:paraId="70D56678" w14:textId="77777777" w:rsidR="003C5509" w:rsidRDefault="003C5509" w:rsidP="003C5509">
      <w:pPr>
        <w:spacing w:line="360" w:lineRule="auto"/>
        <w:ind w:left="1440" w:hanging="720"/>
        <w:jc w:val="both"/>
        <w:rPr>
          <w:rtl/>
        </w:rPr>
      </w:pPr>
      <w:r>
        <w:rPr>
          <w:rFonts w:hint="cs"/>
          <w:rtl/>
        </w:rPr>
        <w:t>ה.</w:t>
      </w:r>
      <w:r>
        <w:rPr>
          <w:rFonts w:hint="cs"/>
          <w:rtl/>
        </w:rPr>
        <w:tab/>
        <w:t>אני מורה על חילוט סך 3,400 ₪ שנתפסו ברשות הנאשם וזאת לטובת קרן חילוט סמים.</w:t>
      </w:r>
    </w:p>
    <w:p w14:paraId="45C90287" w14:textId="77777777" w:rsidR="003C5509" w:rsidRDefault="003C5509" w:rsidP="003C5509">
      <w:pPr>
        <w:spacing w:line="360" w:lineRule="auto"/>
        <w:ind w:left="1440" w:hanging="720"/>
        <w:jc w:val="both"/>
        <w:rPr>
          <w:rtl/>
        </w:rPr>
      </w:pPr>
    </w:p>
    <w:p w14:paraId="4B72E0DD" w14:textId="77777777" w:rsidR="003C5509" w:rsidRDefault="003C5509" w:rsidP="003C5509">
      <w:pPr>
        <w:spacing w:line="360" w:lineRule="auto"/>
        <w:ind w:left="1440" w:hanging="720"/>
        <w:jc w:val="both"/>
        <w:rPr>
          <w:rtl/>
        </w:rPr>
      </w:pPr>
    </w:p>
    <w:p w14:paraId="112966BD" w14:textId="77777777" w:rsidR="003C5509" w:rsidRDefault="003C5509" w:rsidP="003C5509">
      <w:pPr>
        <w:spacing w:line="360" w:lineRule="auto"/>
        <w:ind w:left="1440" w:hanging="720"/>
        <w:jc w:val="both"/>
        <w:rPr>
          <w:rtl/>
        </w:rPr>
      </w:pPr>
    </w:p>
    <w:p w14:paraId="7C571C13" w14:textId="77777777" w:rsidR="003C5509" w:rsidRDefault="003C5509" w:rsidP="003C5509">
      <w:pPr>
        <w:spacing w:line="360" w:lineRule="auto"/>
        <w:ind w:left="1440" w:hanging="720"/>
        <w:jc w:val="both"/>
        <w:rPr>
          <w:rtl/>
        </w:rPr>
      </w:pPr>
    </w:p>
    <w:p w14:paraId="34DD06AE" w14:textId="77777777" w:rsidR="003C5509" w:rsidRDefault="003C5509" w:rsidP="003C5509">
      <w:pPr>
        <w:spacing w:line="360" w:lineRule="auto"/>
        <w:ind w:left="1440" w:hanging="720"/>
        <w:jc w:val="both"/>
        <w:rPr>
          <w:rtl/>
        </w:rPr>
      </w:pPr>
    </w:p>
    <w:p w14:paraId="1E560BC4" w14:textId="77777777" w:rsidR="003C5509" w:rsidRDefault="003C5509" w:rsidP="003C5509">
      <w:pPr>
        <w:spacing w:line="360" w:lineRule="auto"/>
        <w:ind w:left="720"/>
        <w:jc w:val="both"/>
        <w:rPr>
          <w:u w:val="single"/>
          <w:rtl/>
        </w:rPr>
      </w:pPr>
      <w:r>
        <w:rPr>
          <w:rFonts w:hint="cs"/>
          <w:u w:val="single"/>
          <w:rtl/>
        </w:rPr>
        <w:t>הנאשם 2</w:t>
      </w:r>
    </w:p>
    <w:p w14:paraId="660E2DC6" w14:textId="77777777" w:rsidR="003C5509" w:rsidRDefault="003C5509" w:rsidP="003C5509">
      <w:pPr>
        <w:ind w:left="1440" w:hanging="720"/>
        <w:jc w:val="both"/>
        <w:rPr>
          <w:rtl/>
        </w:rPr>
      </w:pPr>
    </w:p>
    <w:p w14:paraId="48FF0163" w14:textId="77777777" w:rsidR="003C5509" w:rsidRDefault="003C5509" w:rsidP="003C5509">
      <w:pPr>
        <w:spacing w:line="360" w:lineRule="auto"/>
        <w:ind w:left="720"/>
        <w:jc w:val="both"/>
        <w:rPr>
          <w:rtl/>
        </w:rPr>
      </w:pPr>
      <w:r>
        <w:rPr>
          <w:rFonts w:hint="cs"/>
          <w:rtl/>
        </w:rPr>
        <w:t>יש בכוונתי להשית על הנאשם 2 ששה חודשי מאסר בפועל אשר ירוצו בעבודות שירות, בכפוף לחוות דעתו החיובית של הממונה על עבודות השירות. זאת, לצד עונשים נלווים שייקבעו בהמשך לאחר קבלת חוות הדעת.</w:t>
      </w:r>
    </w:p>
    <w:p w14:paraId="79E5017D" w14:textId="77777777" w:rsidR="003C5509" w:rsidRDefault="003C5509" w:rsidP="003C5509">
      <w:pPr>
        <w:ind w:left="720"/>
        <w:rPr>
          <w:rtl/>
        </w:rPr>
      </w:pPr>
    </w:p>
    <w:p w14:paraId="61770009" w14:textId="77777777" w:rsidR="003C5509" w:rsidRDefault="003C5509" w:rsidP="003C5509">
      <w:pPr>
        <w:spacing w:line="360" w:lineRule="auto"/>
        <w:ind w:left="720"/>
        <w:jc w:val="both"/>
        <w:rPr>
          <w:rtl/>
        </w:rPr>
      </w:pPr>
      <w:r>
        <w:rPr>
          <w:rFonts w:hint="cs"/>
          <w:rtl/>
        </w:rPr>
        <w:t>לפיכך, אני מורה כי גזר דין בעניינו של נאשם זה יינתן לאחר קבלת חוות דעתו של הממונה, המתבקש להגיש את חוות דעתו לבית המשפט עד לדיון הבא.</w:t>
      </w:r>
    </w:p>
    <w:p w14:paraId="2D493B34" w14:textId="77777777" w:rsidR="003C5509" w:rsidRDefault="003C5509" w:rsidP="003C5509">
      <w:pPr>
        <w:ind w:left="720" w:hanging="720"/>
        <w:jc w:val="both"/>
        <w:rPr>
          <w:rtl/>
        </w:rPr>
      </w:pPr>
    </w:p>
    <w:p w14:paraId="6D70FCE0" w14:textId="77777777" w:rsidR="003C5509" w:rsidRDefault="003C5509" w:rsidP="003C5509">
      <w:pPr>
        <w:spacing w:line="360" w:lineRule="auto"/>
        <w:ind w:left="720"/>
        <w:jc w:val="both"/>
        <w:rPr>
          <w:u w:val="single"/>
          <w:rtl/>
        </w:rPr>
      </w:pPr>
      <w:r>
        <w:rPr>
          <w:rFonts w:hint="cs"/>
          <w:u w:val="single"/>
          <w:rtl/>
        </w:rPr>
        <w:t>הנאשם 3</w:t>
      </w:r>
    </w:p>
    <w:p w14:paraId="22A2060D" w14:textId="77777777" w:rsidR="003C5509" w:rsidRDefault="003C5509" w:rsidP="003C5509">
      <w:pPr>
        <w:spacing w:line="360" w:lineRule="auto"/>
        <w:ind w:left="720" w:hanging="720"/>
        <w:jc w:val="both"/>
        <w:rPr>
          <w:rtl/>
        </w:rPr>
      </w:pPr>
    </w:p>
    <w:p w14:paraId="3CCEF11F" w14:textId="77777777" w:rsidR="003C5509" w:rsidRDefault="003C5509" w:rsidP="003C5509">
      <w:pPr>
        <w:ind w:left="1440" w:hanging="720"/>
        <w:jc w:val="both"/>
        <w:rPr>
          <w:rtl/>
        </w:rPr>
      </w:pPr>
      <w:r>
        <w:rPr>
          <w:rFonts w:hint="cs"/>
          <w:rtl/>
        </w:rPr>
        <w:t>א.</w:t>
      </w:r>
      <w:r>
        <w:rPr>
          <w:rFonts w:hint="cs"/>
          <w:rtl/>
        </w:rPr>
        <w:tab/>
        <w:t>20 חודשי מאסר בפועל שיימנו ממועד מעצרו ביום 26.2.18.</w:t>
      </w:r>
    </w:p>
    <w:p w14:paraId="6A050847" w14:textId="77777777" w:rsidR="003C5509" w:rsidRDefault="003C5509" w:rsidP="003C5509">
      <w:pPr>
        <w:spacing w:line="360" w:lineRule="auto"/>
        <w:ind w:left="1440" w:hanging="720"/>
        <w:jc w:val="both"/>
        <w:rPr>
          <w:rtl/>
        </w:rPr>
      </w:pPr>
    </w:p>
    <w:p w14:paraId="5E1B79B6" w14:textId="77777777" w:rsidR="003C5509" w:rsidRDefault="003C5509" w:rsidP="003C5509">
      <w:pPr>
        <w:spacing w:line="360" w:lineRule="auto"/>
        <w:ind w:left="1440" w:hanging="720"/>
        <w:jc w:val="both"/>
        <w:rPr>
          <w:rtl/>
        </w:rPr>
      </w:pPr>
      <w:r>
        <w:rPr>
          <w:rFonts w:hint="cs"/>
          <w:rtl/>
        </w:rPr>
        <w:t>ב.</w:t>
      </w:r>
      <w:r>
        <w:rPr>
          <w:rFonts w:hint="cs"/>
          <w:rtl/>
        </w:rPr>
        <w:tab/>
        <w:t xml:space="preserve">10 חודשי מאסר על תנאי למשך 3 שנים לבל יעבור את העבירה  בה הורשע בתיק זה ויורשע בגינה. </w:t>
      </w:r>
    </w:p>
    <w:p w14:paraId="5F1926DD" w14:textId="77777777" w:rsidR="003C5509" w:rsidRDefault="003C5509" w:rsidP="003C5509">
      <w:pPr>
        <w:spacing w:line="360" w:lineRule="auto"/>
        <w:ind w:left="1440" w:hanging="720"/>
        <w:jc w:val="both"/>
        <w:rPr>
          <w:rtl/>
        </w:rPr>
      </w:pPr>
    </w:p>
    <w:p w14:paraId="62F4CDC4" w14:textId="77777777" w:rsidR="003C5509" w:rsidRDefault="003C5509" w:rsidP="003C5509">
      <w:pPr>
        <w:spacing w:line="360" w:lineRule="auto"/>
        <w:ind w:left="1440" w:hanging="720"/>
        <w:jc w:val="both"/>
        <w:rPr>
          <w:rtl/>
        </w:rPr>
      </w:pPr>
      <w:r>
        <w:rPr>
          <w:rFonts w:hint="cs"/>
          <w:rtl/>
        </w:rPr>
        <w:t>ג.</w:t>
      </w:r>
      <w:r>
        <w:rPr>
          <w:rFonts w:hint="cs"/>
          <w:rtl/>
        </w:rPr>
        <w:tab/>
        <w:t xml:space="preserve">קנס בסך 10,000 ₪ או 70 ימי מאסר תמורתו, לתשלום עד ליום 1.5.2019. </w:t>
      </w:r>
    </w:p>
    <w:p w14:paraId="6486BE1B" w14:textId="77777777" w:rsidR="003C5509" w:rsidRDefault="003C5509" w:rsidP="003C5509">
      <w:pPr>
        <w:spacing w:line="360" w:lineRule="auto"/>
        <w:ind w:left="1440" w:hanging="720"/>
        <w:jc w:val="both"/>
        <w:rPr>
          <w:rtl/>
        </w:rPr>
      </w:pPr>
    </w:p>
    <w:p w14:paraId="2037ECD9" w14:textId="77777777" w:rsidR="003C5509" w:rsidRDefault="003C5509" w:rsidP="003C5509">
      <w:pPr>
        <w:spacing w:line="360" w:lineRule="auto"/>
        <w:jc w:val="both"/>
        <w:rPr>
          <w:rtl/>
        </w:rPr>
      </w:pPr>
      <w:r>
        <w:rPr>
          <w:rFonts w:hint="cs"/>
          <w:rtl/>
        </w:rPr>
        <w:t>הדיון בעניינו של נאשם 2 בלבד יתקיים בפניי ביום 28.11.18 שעה 09:00, שעד אז תוגש חוות דעתו של הממונה על עבודות השירות.</w:t>
      </w:r>
    </w:p>
    <w:p w14:paraId="1C860EE9" w14:textId="77777777" w:rsidR="003C5509" w:rsidRDefault="003C5509" w:rsidP="003C5509">
      <w:pPr>
        <w:spacing w:line="360" w:lineRule="auto"/>
        <w:jc w:val="both"/>
        <w:rPr>
          <w:rtl/>
        </w:rPr>
      </w:pPr>
    </w:p>
    <w:p w14:paraId="5DF6BE75" w14:textId="77777777" w:rsidR="003C5509" w:rsidRDefault="003C5509" w:rsidP="003C5509">
      <w:pPr>
        <w:spacing w:line="360" w:lineRule="auto"/>
        <w:jc w:val="both"/>
        <w:rPr>
          <w:u w:val="single"/>
          <w:rtl/>
        </w:rPr>
      </w:pPr>
      <w:r>
        <w:rPr>
          <w:rFonts w:hint="cs"/>
          <w:u w:val="single"/>
          <w:rtl/>
        </w:rPr>
        <w:t>המזכירות תמציא גזר דין זה לממונה על עבודות השירות.</w:t>
      </w:r>
    </w:p>
    <w:p w14:paraId="5DF58916" w14:textId="77777777" w:rsidR="003C5509" w:rsidRDefault="003C5509" w:rsidP="003C5509">
      <w:pPr>
        <w:spacing w:line="360" w:lineRule="auto"/>
        <w:ind w:left="720" w:hanging="720"/>
        <w:jc w:val="both"/>
        <w:rPr>
          <w:rtl/>
        </w:rPr>
      </w:pPr>
    </w:p>
    <w:p w14:paraId="2F98F120" w14:textId="77777777" w:rsidR="003C5509" w:rsidRDefault="003C5509" w:rsidP="003C5509">
      <w:pPr>
        <w:spacing w:line="360" w:lineRule="auto"/>
        <w:ind w:left="720" w:hanging="720"/>
        <w:jc w:val="both"/>
        <w:rPr>
          <w:rtl/>
        </w:rPr>
      </w:pPr>
      <w:r>
        <w:rPr>
          <w:rFonts w:hint="cs"/>
          <w:rtl/>
        </w:rPr>
        <w:t xml:space="preserve">זכות ערעור לבית המשפט העליון תוך 45 ימים. </w:t>
      </w:r>
    </w:p>
    <w:p w14:paraId="19673431" w14:textId="77777777" w:rsidR="003C5509" w:rsidRDefault="003C5509" w:rsidP="003C5509">
      <w:pPr>
        <w:spacing w:line="360" w:lineRule="auto"/>
        <w:ind w:left="720" w:hanging="720"/>
        <w:jc w:val="both"/>
        <w:rPr>
          <w:rtl/>
        </w:rPr>
      </w:pPr>
    </w:p>
    <w:p w14:paraId="2749EDEE" w14:textId="77777777" w:rsidR="003C5509" w:rsidRDefault="003C5509" w:rsidP="003C5509">
      <w:pPr>
        <w:spacing w:line="360" w:lineRule="auto"/>
        <w:ind w:left="720" w:hanging="720"/>
        <w:jc w:val="both"/>
        <w:rPr>
          <w:b/>
          <w:bCs/>
          <w:u w:val="single"/>
          <w:rtl/>
        </w:rPr>
      </w:pPr>
      <w:r w:rsidRPr="001D67D5">
        <w:rPr>
          <w:rFonts w:hint="cs"/>
          <w:b/>
          <w:bCs/>
          <w:u w:val="single"/>
          <w:rtl/>
        </w:rPr>
        <w:t>הובהרה לנאשם 2 חובת התייצבותו לדיון הבא.</w:t>
      </w:r>
    </w:p>
    <w:p w14:paraId="5A398ACB" w14:textId="77777777" w:rsidR="003C5509" w:rsidRDefault="003C5509" w:rsidP="003C5509">
      <w:pPr>
        <w:spacing w:line="360" w:lineRule="auto"/>
        <w:ind w:left="720" w:hanging="720"/>
        <w:jc w:val="both"/>
        <w:rPr>
          <w:b/>
          <w:bCs/>
          <w:u w:val="single"/>
          <w:rtl/>
        </w:rPr>
      </w:pPr>
    </w:p>
    <w:p w14:paraId="6C8E6496" w14:textId="77777777" w:rsidR="003C5509" w:rsidRPr="001D67D5" w:rsidRDefault="003C5509" w:rsidP="003C5509">
      <w:pPr>
        <w:spacing w:line="360" w:lineRule="auto"/>
        <w:ind w:left="720" w:hanging="720"/>
        <w:jc w:val="both"/>
        <w:rPr>
          <w:b/>
          <w:bCs/>
          <w:u w:val="single"/>
          <w:rtl/>
        </w:rPr>
      </w:pPr>
      <w:r>
        <w:rPr>
          <w:rFonts w:hint="cs"/>
          <w:b/>
          <w:bCs/>
          <w:u w:val="single"/>
          <w:rtl/>
        </w:rPr>
        <w:t>אני מתיר לבתו הקטינה של הנאשם 3 לחבק אותו.</w:t>
      </w:r>
    </w:p>
    <w:p w14:paraId="2DB5BC57" w14:textId="77777777" w:rsidR="003C5509" w:rsidRPr="00DB5C92" w:rsidRDefault="00DB5C92" w:rsidP="003C5509">
      <w:pPr>
        <w:spacing w:line="360" w:lineRule="auto"/>
        <w:ind w:left="720" w:hanging="720"/>
        <w:jc w:val="both"/>
        <w:rPr>
          <w:color w:val="FFFFFF"/>
          <w:sz w:val="2"/>
          <w:szCs w:val="2"/>
          <w:rtl/>
        </w:rPr>
      </w:pPr>
      <w:r w:rsidRPr="00DB5C92">
        <w:rPr>
          <w:color w:val="FFFFFF"/>
          <w:sz w:val="2"/>
          <w:szCs w:val="2"/>
          <w:rtl/>
        </w:rPr>
        <w:t>5129371</w:t>
      </w:r>
    </w:p>
    <w:p w14:paraId="3007142C" w14:textId="77777777" w:rsidR="003C5509" w:rsidRPr="00D4533F" w:rsidRDefault="00DB5C92" w:rsidP="003C5509">
      <w:pPr>
        <w:rPr>
          <w:rFonts w:cs="FrankRuehl"/>
          <w:sz w:val="28"/>
          <w:szCs w:val="28"/>
          <w:rtl/>
        </w:rPr>
      </w:pPr>
      <w:r w:rsidRPr="00DB5C92">
        <w:rPr>
          <w:rFonts w:ascii="Arial" w:hAnsi="Arial"/>
          <w:color w:val="FFFFFF"/>
          <w:sz w:val="2"/>
          <w:szCs w:val="2"/>
          <w:rtl/>
        </w:rPr>
        <w:t>54678313</w:t>
      </w:r>
      <w:r>
        <w:rPr>
          <w:rFonts w:ascii="Arial" w:hAnsi="Arial"/>
          <w:rtl/>
        </w:rPr>
        <w:t xml:space="preserve">ניתן היום,  כ"ב חשוון תשע"ט, 31 אוקטובר 2018, בנוכחות הצדדים . </w:t>
      </w:r>
    </w:p>
    <w:p w14:paraId="1A9DA92A" w14:textId="77777777" w:rsidR="003C5509" w:rsidRDefault="003C5509" w:rsidP="003C550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D6F672F" w14:textId="77777777" w:rsidR="003C5509" w:rsidRDefault="003C5509" w:rsidP="003C5509">
      <w:pPr>
        <w:jc w:val="center"/>
        <w:rPr>
          <w:rFonts w:ascii="Arial" w:hAnsi="Arial" w:cs="FrankRuehl"/>
          <w:sz w:val="28"/>
          <w:szCs w:val="28"/>
          <w:rtl/>
        </w:rPr>
      </w:pPr>
    </w:p>
    <w:p w14:paraId="25D62F06" w14:textId="77777777" w:rsidR="003C5509" w:rsidRDefault="003C5509" w:rsidP="003C5509">
      <w:pPr>
        <w:rPr>
          <w:rFonts w:cs="FrankRuehl"/>
          <w:sz w:val="28"/>
          <w:szCs w:val="28"/>
          <w:rtl/>
        </w:rPr>
      </w:pPr>
    </w:p>
    <w:p w14:paraId="24D6AE75" w14:textId="77777777" w:rsidR="003C5509" w:rsidRDefault="003C5509" w:rsidP="003C5509">
      <w:pPr>
        <w:pStyle w:val="a3"/>
        <w:jc w:val="center"/>
        <w:rPr>
          <w:rtl/>
        </w:rPr>
      </w:pPr>
    </w:p>
    <w:p w14:paraId="5AEF7799" w14:textId="77777777" w:rsidR="00F8019D" w:rsidRPr="00DB5C92" w:rsidRDefault="00F8019D" w:rsidP="00DB5C92">
      <w:pPr>
        <w:keepNext/>
        <w:rPr>
          <w:rFonts w:ascii="David" w:hAnsi="David"/>
          <w:color w:val="000000"/>
          <w:sz w:val="22"/>
          <w:szCs w:val="22"/>
          <w:rtl/>
        </w:rPr>
      </w:pPr>
    </w:p>
    <w:p w14:paraId="2FCC1228" w14:textId="77777777" w:rsidR="00DB5C92" w:rsidRPr="00DB5C92" w:rsidRDefault="00DB5C92" w:rsidP="00DB5C92">
      <w:pPr>
        <w:keepNext/>
        <w:rPr>
          <w:rFonts w:ascii="David" w:hAnsi="David"/>
          <w:color w:val="000000"/>
          <w:sz w:val="22"/>
          <w:szCs w:val="22"/>
          <w:rtl/>
        </w:rPr>
      </w:pPr>
      <w:r w:rsidRPr="00DB5C92">
        <w:rPr>
          <w:rFonts w:ascii="David" w:hAnsi="David"/>
          <w:color w:val="000000"/>
          <w:sz w:val="22"/>
          <w:szCs w:val="22"/>
          <w:rtl/>
        </w:rPr>
        <w:t>אמיר טובי 54678313</w:t>
      </w:r>
    </w:p>
    <w:p w14:paraId="42E15FBF" w14:textId="77777777" w:rsidR="00DB5C92" w:rsidRDefault="00DB5C92" w:rsidP="00DB5C92">
      <w:r w:rsidRPr="00DB5C92">
        <w:rPr>
          <w:color w:val="000000"/>
          <w:rtl/>
        </w:rPr>
        <w:t>נוסח מסמך זה כפוף לשינויי ניסוח ועריכה</w:t>
      </w:r>
    </w:p>
    <w:p w14:paraId="5B230CB5" w14:textId="77777777" w:rsidR="00DB5C92" w:rsidRDefault="00DB5C92" w:rsidP="00DB5C92">
      <w:pPr>
        <w:rPr>
          <w:rtl/>
        </w:rPr>
      </w:pPr>
    </w:p>
    <w:p w14:paraId="6AAB724A" w14:textId="77777777" w:rsidR="00DB5C92" w:rsidRDefault="00DB5C92" w:rsidP="00DB5C92">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4E4C685C" w14:textId="77777777" w:rsidR="00DB5C92" w:rsidRPr="00DB5C92" w:rsidRDefault="00DB5C92" w:rsidP="00DB5C92">
      <w:pPr>
        <w:jc w:val="center"/>
        <w:rPr>
          <w:color w:val="0000FF"/>
          <w:u w:val="single"/>
        </w:rPr>
      </w:pPr>
    </w:p>
    <w:sectPr w:rsidR="00DB5C92" w:rsidRPr="00DB5C92" w:rsidSect="00DB5C92">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7A596" w14:textId="77777777" w:rsidR="00A761F1" w:rsidRDefault="00A761F1" w:rsidP="0071487D">
      <w:r>
        <w:separator/>
      </w:r>
    </w:p>
  </w:endnote>
  <w:endnote w:type="continuationSeparator" w:id="0">
    <w:p w14:paraId="5F3AD788" w14:textId="77777777" w:rsidR="00A761F1" w:rsidRDefault="00A761F1" w:rsidP="00714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7B104" w14:textId="77777777" w:rsidR="00DB5C92" w:rsidRDefault="00DB5C92" w:rsidP="00DB5C9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C6EE562" w14:textId="77777777" w:rsidR="00176281" w:rsidRPr="00DB5C92" w:rsidRDefault="00DB5C92" w:rsidP="00DB5C9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26662" w14:textId="77777777" w:rsidR="00DB5C92" w:rsidRDefault="00DB5C92" w:rsidP="00DB5C9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167C">
      <w:rPr>
        <w:rFonts w:ascii="FrankRuehl" w:hAnsi="FrankRuehl" w:cs="FrankRuehl"/>
        <w:noProof/>
        <w:rtl/>
      </w:rPr>
      <w:t>1</w:t>
    </w:r>
    <w:r>
      <w:rPr>
        <w:rFonts w:ascii="FrankRuehl" w:hAnsi="FrankRuehl" w:cs="FrankRuehl"/>
        <w:rtl/>
      </w:rPr>
      <w:fldChar w:fldCharType="end"/>
    </w:r>
  </w:p>
  <w:p w14:paraId="297E7D38" w14:textId="77777777" w:rsidR="00176281" w:rsidRPr="00DB5C92" w:rsidRDefault="00DB5C92" w:rsidP="00DB5C9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7C3D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78E1E" w14:textId="77777777" w:rsidR="00A761F1" w:rsidRDefault="00A761F1" w:rsidP="0071487D">
      <w:r>
        <w:separator/>
      </w:r>
    </w:p>
  </w:footnote>
  <w:footnote w:type="continuationSeparator" w:id="0">
    <w:p w14:paraId="081D5F40" w14:textId="77777777" w:rsidR="00A761F1" w:rsidRDefault="00A761F1" w:rsidP="00714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B6AD6" w14:textId="77777777" w:rsidR="00DB5C92" w:rsidRPr="00DB5C92" w:rsidRDefault="00DB5C92" w:rsidP="00DB5C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20044-03-18</w:t>
    </w:r>
    <w:r>
      <w:rPr>
        <w:rFonts w:ascii="David" w:hAnsi="David"/>
        <w:color w:val="000000"/>
        <w:sz w:val="22"/>
        <w:szCs w:val="22"/>
        <w:rtl/>
      </w:rPr>
      <w:tab/>
      <w:t xml:space="preserve"> מדינת ישראל נ' 1 מתן בודנה  </w:t>
    </w:r>
    <w:r>
      <w:rPr>
        <w:rFonts w:ascii="David" w:hAnsi="David"/>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E84A4" w14:textId="77777777" w:rsidR="00DB5C92" w:rsidRPr="00DB5C92" w:rsidRDefault="00DB5C92" w:rsidP="00DB5C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20044-03-18</w:t>
    </w:r>
    <w:r>
      <w:rPr>
        <w:rFonts w:ascii="David" w:hAnsi="David"/>
        <w:color w:val="000000"/>
        <w:sz w:val="22"/>
        <w:szCs w:val="22"/>
        <w:rtl/>
      </w:rPr>
      <w:tab/>
      <w:t xml:space="preserve"> מדינת ישראל נ' 1 מתן בודנה  </w:t>
    </w:r>
    <w:r>
      <w:rPr>
        <w:rFonts w:ascii="David" w:hAnsi="David"/>
        <w:color w:val="000000"/>
        <w:sz w:val="22"/>
        <w:szCs w:val="22"/>
      </w:rPr>
      <w:t>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C5509"/>
    <w:rsid w:val="00176281"/>
    <w:rsid w:val="001C6495"/>
    <w:rsid w:val="0026675B"/>
    <w:rsid w:val="003C5509"/>
    <w:rsid w:val="0044208B"/>
    <w:rsid w:val="004854B7"/>
    <w:rsid w:val="0071487D"/>
    <w:rsid w:val="00A761F1"/>
    <w:rsid w:val="00C47880"/>
    <w:rsid w:val="00DB5C92"/>
    <w:rsid w:val="00E2167C"/>
    <w:rsid w:val="00F80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10A1541"/>
  <w15:chartTrackingRefBased/>
  <w15:docId w15:val="{A09DBD91-902F-4B51-85BA-5D9CB9AC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550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C5509"/>
    <w:pPr>
      <w:tabs>
        <w:tab w:val="center" w:pos="4153"/>
        <w:tab w:val="right" w:pos="8306"/>
      </w:tabs>
    </w:pPr>
  </w:style>
  <w:style w:type="character" w:customStyle="1" w:styleId="a4">
    <w:name w:val="כותרת עליונה תו"/>
    <w:link w:val="a3"/>
    <w:rsid w:val="003C5509"/>
    <w:rPr>
      <w:rFonts w:ascii="Times New Roman" w:eastAsia="Times New Roman" w:hAnsi="Times New Roman" w:cs="David"/>
      <w:sz w:val="24"/>
      <w:szCs w:val="24"/>
    </w:rPr>
  </w:style>
  <w:style w:type="paragraph" w:styleId="a5">
    <w:name w:val="footer"/>
    <w:basedOn w:val="a"/>
    <w:link w:val="a6"/>
    <w:rsid w:val="003C5509"/>
    <w:pPr>
      <w:tabs>
        <w:tab w:val="center" w:pos="4153"/>
        <w:tab w:val="right" w:pos="8306"/>
      </w:tabs>
    </w:pPr>
  </w:style>
  <w:style w:type="character" w:customStyle="1" w:styleId="a6">
    <w:name w:val="כותרת תחתונה תו"/>
    <w:link w:val="a5"/>
    <w:rsid w:val="003C5509"/>
    <w:rPr>
      <w:rFonts w:ascii="Times New Roman" w:eastAsia="Times New Roman" w:hAnsi="Times New Roman" w:cs="David"/>
      <w:sz w:val="24"/>
      <w:szCs w:val="24"/>
    </w:rPr>
  </w:style>
  <w:style w:type="table" w:styleId="a7">
    <w:name w:val="Table Grid"/>
    <w:basedOn w:val="a1"/>
    <w:rsid w:val="003C550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C5509"/>
  </w:style>
  <w:style w:type="character" w:customStyle="1" w:styleId="TimesNewRomanTimesNewRoman">
    <w:name w:val="סגנון (לטיני) Times New Roman (עברית ושפות אחרות) Times New Roman..."/>
    <w:rsid w:val="003C5509"/>
    <w:rPr>
      <w:rFonts w:ascii="Times New Roman" w:hAnsi="Times New Roman" w:cs="David" w:hint="default"/>
      <w:b/>
      <w:bCs/>
      <w:sz w:val="26"/>
      <w:szCs w:val="26"/>
    </w:rPr>
  </w:style>
  <w:style w:type="paragraph" w:styleId="a9">
    <w:name w:val="Quote"/>
    <w:basedOn w:val="a"/>
    <w:link w:val="aa"/>
    <w:autoRedefine/>
    <w:qFormat/>
    <w:rsid w:val="003C5509"/>
    <w:pPr>
      <w:spacing w:line="360" w:lineRule="auto"/>
      <w:ind w:left="1571" w:right="1134" w:hanging="720"/>
      <w:jc w:val="both"/>
    </w:pPr>
    <w:rPr>
      <w:lang w:eastAsia="he-IL"/>
    </w:rPr>
  </w:style>
  <w:style w:type="character" w:customStyle="1" w:styleId="aa">
    <w:name w:val="ציטוט תו"/>
    <w:link w:val="a9"/>
    <w:rsid w:val="003C5509"/>
    <w:rPr>
      <w:rFonts w:ascii="Times New Roman" w:eastAsia="Times New Roman" w:hAnsi="Times New Roman" w:cs="David"/>
      <w:sz w:val="24"/>
      <w:szCs w:val="24"/>
      <w:lang w:eastAsia="he-IL"/>
    </w:rPr>
  </w:style>
  <w:style w:type="paragraph" w:styleId="ab">
    <w:name w:val="Balloon Text"/>
    <w:basedOn w:val="a"/>
    <w:link w:val="ac"/>
    <w:rsid w:val="003C5509"/>
    <w:rPr>
      <w:rFonts w:ascii="Tahoma" w:hAnsi="Tahoma" w:cs="Tahoma"/>
      <w:sz w:val="16"/>
      <w:szCs w:val="16"/>
    </w:rPr>
  </w:style>
  <w:style w:type="character" w:customStyle="1" w:styleId="ac">
    <w:name w:val="טקסט בלונים תו"/>
    <w:link w:val="ab"/>
    <w:rsid w:val="003C5509"/>
    <w:rPr>
      <w:rFonts w:ascii="Tahoma" w:eastAsia="Times New Roman" w:hAnsi="Tahoma" w:cs="Tahoma"/>
      <w:sz w:val="16"/>
      <w:szCs w:val="16"/>
    </w:rPr>
  </w:style>
  <w:style w:type="character" w:styleId="Hyperlink">
    <w:name w:val="Hyperlink"/>
    <w:rsid w:val="00DB5C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c" TargetMode="External"/><Relationship Id="rId18" Type="http://schemas.openxmlformats.org/officeDocument/2006/relationships/hyperlink" Target="http://www.nevo.co.il/law/70301/144c" TargetMode="External"/><Relationship Id="rId26" Type="http://schemas.openxmlformats.org/officeDocument/2006/relationships/hyperlink" Target="http://www.nevo.co.il/law/4216/19a" TargetMode="External"/><Relationship Id="rId39" Type="http://schemas.openxmlformats.org/officeDocument/2006/relationships/hyperlink" Target="http://www.nevo.co.il/case/2200650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151556"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4216/19a" TargetMode="External"/><Relationship Id="rId29" Type="http://schemas.openxmlformats.org/officeDocument/2006/relationships/hyperlink" Target="http://www.nevo.co.il/law/70301/144.2"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nevo.co.il/law/70301/144.b2"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878682" TargetMode="External"/><Relationship Id="rId40" Type="http://schemas.openxmlformats.org/officeDocument/2006/relationships/hyperlink" Target="http://www.nevo.co.il/case/161892"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law/70301/144.c"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case/5821328"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31"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144.b2" TargetMode="External"/><Relationship Id="rId27" Type="http://schemas.openxmlformats.org/officeDocument/2006/relationships/hyperlink" Target="http://www.nevo.co.il/law/4216" TargetMode="External"/><Relationship Id="rId30" Type="http://schemas.openxmlformats.org/officeDocument/2006/relationships/hyperlink" Target="http://www.nevo.co.il/law/70301/144.31" TargetMode="External"/><Relationship Id="rId35" Type="http://schemas.openxmlformats.org/officeDocument/2006/relationships/hyperlink" Target="http://www.nevo.co.il/case/5821327"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144.2" TargetMode="External"/><Relationship Id="rId3" Type="http://schemas.openxmlformats.org/officeDocument/2006/relationships/webSettings" Target="webSettings.xml"/><Relationship Id="rId12" Type="http://schemas.openxmlformats.org/officeDocument/2006/relationships/hyperlink" Target="http://www.nevo.co.il/law/70301/144.c"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4216/13" TargetMode="External"/><Relationship Id="rId33" Type="http://schemas.openxmlformats.org/officeDocument/2006/relationships/hyperlink" Target="http://www.nevo.co.il/case/5569233" TargetMode="External"/><Relationship Id="rId38" Type="http://schemas.openxmlformats.org/officeDocument/2006/relationships/hyperlink" Target="http://www.nevo.co.il/case/21472954" TargetMode="External"/><Relationship Id="rId46" Type="http://schemas.openxmlformats.org/officeDocument/2006/relationships/footer" Target="footer2.xml"/><Relationship Id="rId20" Type="http://schemas.openxmlformats.org/officeDocument/2006/relationships/hyperlink" Target="http://www.nevo.co.il/law/70301/144.a" TargetMode="External"/><Relationship Id="rId41" Type="http://schemas.openxmlformats.org/officeDocument/2006/relationships/hyperlink" Target="http://www.nevo.co.il/case/2229406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2676</Words>
  <Characters>13382</Characters>
  <Application>Microsoft Office Word</Application>
  <DocSecurity>0</DocSecurity>
  <Lines>111</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16026</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3276927</vt:i4>
      </vt:variant>
      <vt:variant>
        <vt:i4>102</vt:i4>
      </vt:variant>
      <vt:variant>
        <vt:i4>0</vt:i4>
      </vt:variant>
      <vt:variant>
        <vt:i4>5</vt:i4>
      </vt:variant>
      <vt:variant>
        <vt:lpwstr>http://www.nevo.co.il/case/22294063</vt:lpwstr>
      </vt:variant>
      <vt:variant>
        <vt:lpwstr/>
      </vt:variant>
      <vt:variant>
        <vt:i4>589898</vt:i4>
      </vt:variant>
      <vt:variant>
        <vt:i4>99</vt:i4>
      </vt:variant>
      <vt:variant>
        <vt:i4>0</vt:i4>
      </vt:variant>
      <vt:variant>
        <vt:i4>5</vt:i4>
      </vt:variant>
      <vt:variant>
        <vt:lpwstr>http://www.nevo.co.il/case/161892</vt:lpwstr>
      </vt:variant>
      <vt:variant>
        <vt:lpwstr/>
      </vt:variant>
      <vt:variant>
        <vt:i4>3407987</vt:i4>
      </vt:variant>
      <vt:variant>
        <vt:i4>96</vt:i4>
      </vt:variant>
      <vt:variant>
        <vt:i4>0</vt:i4>
      </vt:variant>
      <vt:variant>
        <vt:i4>5</vt:i4>
      </vt:variant>
      <vt:variant>
        <vt:lpwstr>http://www.nevo.co.il/case/22006503</vt:lpwstr>
      </vt:variant>
      <vt:variant>
        <vt:lpwstr/>
      </vt:variant>
      <vt:variant>
        <vt:i4>3211387</vt:i4>
      </vt:variant>
      <vt:variant>
        <vt:i4>93</vt:i4>
      </vt:variant>
      <vt:variant>
        <vt:i4>0</vt:i4>
      </vt:variant>
      <vt:variant>
        <vt:i4>5</vt:i4>
      </vt:variant>
      <vt:variant>
        <vt:lpwstr>http://www.nevo.co.il/case/21472954</vt:lpwstr>
      </vt:variant>
      <vt:variant>
        <vt:lpwstr/>
      </vt:variant>
      <vt:variant>
        <vt:i4>3539068</vt:i4>
      </vt:variant>
      <vt:variant>
        <vt:i4>90</vt:i4>
      </vt:variant>
      <vt:variant>
        <vt:i4>0</vt:i4>
      </vt:variant>
      <vt:variant>
        <vt:i4>5</vt:i4>
      </vt:variant>
      <vt:variant>
        <vt:lpwstr>http://www.nevo.co.il/case/5878682</vt:lpwstr>
      </vt:variant>
      <vt:variant>
        <vt:lpwstr/>
      </vt:variant>
      <vt:variant>
        <vt:i4>3932287</vt:i4>
      </vt:variant>
      <vt:variant>
        <vt:i4>87</vt:i4>
      </vt:variant>
      <vt:variant>
        <vt:i4>0</vt:i4>
      </vt:variant>
      <vt:variant>
        <vt:i4>5</vt:i4>
      </vt:variant>
      <vt:variant>
        <vt:lpwstr>http://www.nevo.co.il/case/5821328</vt:lpwstr>
      </vt:variant>
      <vt:variant>
        <vt:lpwstr/>
      </vt:variant>
      <vt:variant>
        <vt:i4>3342463</vt:i4>
      </vt:variant>
      <vt:variant>
        <vt:i4>84</vt:i4>
      </vt:variant>
      <vt:variant>
        <vt:i4>0</vt:i4>
      </vt:variant>
      <vt:variant>
        <vt:i4>5</vt:i4>
      </vt:variant>
      <vt:variant>
        <vt:lpwstr>http://www.nevo.co.il/case/5821327</vt:lpwstr>
      </vt:variant>
      <vt:variant>
        <vt:lpwstr/>
      </vt:variant>
      <vt:variant>
        <vt:i4>3145841</vt:i4>
      </vt:variant>
      <vt:variant>
        <vt:i4>81</vt:i4>
      </vt:variant>
      <vt:variant>
        <vt:i4>0</vt:i4>
      </vt:variant>
      <vt:variant>
        <vt:i4>5</vt:i4>
      </vt:variant>
      <vt:variant>
        <vt:lpwstr>http://www.nevo.co.il/case/6151556</vt:lpwstr>
      </vt:variant>
      <vt:variant>
        <vt:lpwstr/>
      </vt:variant>
      <vt:variant>
        <vt:i4>3276923</vt:i4>
      </vt:variant>
      <vt:variant>
        <vt:i4>78</vt:i4>
      </vt:variant>
      <vt:variant>
        <vt:i4>0</vt:i4>
      </vt:variant>
      <vt:variant>
        <vt:i4>5</vt:i4>
      </vt:variant>
      <vt:variant>
        <vt:lpwstr>http://www.nevo.co.il/case/5569233</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8257635</vt:i4>
      </vt:variant>
      <vt:variant>
        <vt:i4>69</vt:i4>
      </vt:variant>
      <vt:variant>
        <vt:i4>0</vt:i4>
      </vt:variant>
      <vt:variant>
        <vt:i4>5</vt:i4>
      </vt:variant>
      <vt:variant>
        <vt:lpwstr>http://www.nevo.co.il/law/70301/144.31</vt:lpwstr>
      </vt:variant>
      <vt:variant>
        <vt:lpwstr/>
      </vt:variant>
      <vt:variant>
        <vt:i4>5177424</vt:i4>
      </vt:variant>
      <vt:variant>
        <vt:i4>66</vt:i4>
      </vt:variant>
      <vt:variant>
        <vt:i4>0</vt:i4>
      </vt:variant>
      <vt:variant>
        <vt:i4>5</vt:i4>
      </vt:variant>
      <vt:variant>
        <vt:lpwstr>http://www.nevo.co.il/law/70301/144.2</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8257637</vt:i4>
      </vt:variant>
      <vt:variant>
        <vt:i4>60</vt:i4>
      </vt:variant>
      <vt:variant>
        <vt:i4>0</vt:i4>
      </vt:variant>
      <vt:variant>
        <vt:i4>5</vt:i4>
      </vt:variant>
      <vt:variant>
        <vt:lpwstr>http://www.nevo.co.il/law/4216</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http://www.nevo.co.il/law/70301/144.c</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7995492</vt:i4>
      </vt:variant>
      <vt:variant>
        <vt:i4>36</vt:i4>
      </vt:variant>
      <vt:variant>
        <vt:i4>0</vt:i4>
      </vt:variant>
      <vt:variant>
        <vt:i4>5</vt:i4>
      </vt:variant>
      <vt:variant>
        <vt:lpwstr>http://www.nevo.co.il/law/70301</vt:lpwstr>
      </vt:variant>
      <vt:variant>
        <vt:lpwstr/>
      </vt:variant>
      <vt:variant>
        <vt:i4>131152</vt:i4>
      </vt:variant>
      <vt:variant>
        <vt:i4>33</vt:i4>
      </vt:variant>
      <vt:variant>
        <vt:i4>0</vt:i4>
      </vt:variant>
      <vt:variant>
        <vt:i4>5</vt:i4>
      </vt:variant>
      <vt:variant>
        <vt:lpwstr>http://www.nevo.co.il/law/70301/144c</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131152</vt:i4>
      </vt:variant>
      <vt:variant>
        <vt:i4>18</vt:i4>
      </vt:variant>
      <vt:variant>
        <vt:i4>0</vt:i4>
      </vt:variant>
      <vt:variant>
        <vt:i4>5</vt:i4>
      </vt:variant>
      <vt:variant>
        <vt:lpwstr>http://www.nevo.co.il/law/70301/144c</vt:lpwstr>
      </vt:variant>
      <vt:variant>
        <vt:lpwstr/>
      </vt:variant>
      <vt:variant>
        <vt:i4>5177424</vt:i4>
      </vt:variant>
      <vt:variant>
        <vt:i4>15</vt:i4>
      </vt:variant>
      <vt:variant>
        <vt:i4>0</vt:i4>
      </vt:variant>
      <vt:variant>
        <vt:i4>5</vt:i4>
      </vt:variant>
      <vt:variant>
        <vt:lpwstr>http://www.nevo.co.il/law/70301/144.c</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8257635</vt:i4>
      </vt:variant>
      <vt:variant>
        <vt:i4>6</vt:i4>
      </vt:variant>
      <vt:variant>
        <vt:i4>0</vt:i4>
      </vt:variant>
      <vt:variant>
        <vt:i4>5</vt:i4>
      </vt:variant>
      <vt:variant>
        <vt:lpwstr>http://www.nevo.co.il/law/70301/144.31</vt:lpwstr>
      </vt:variant>
      <vt:variant>
        <vt:lpwstr/>
      </vt:variant>
      <vt:variant>
        <vt:i4>5177424</vt:i4>
      </vt:variant>
      <vt:variant>
        <vt:i4>3</vt:i4>
      </vt:variant>
      <vt:variant>
        <vt:i4>0</vt:i4>
      </vt:variant>
      <vt:variant>
        <vt:i4>5</vt:i4>
      </vt:variant>
      <vt:variant>
        <vt:lpwstr>http://www.nevo.co.il/law/70301/144.2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2025-04-25T10:42:00Z</dcterms:created>
  <dcterms:modified xsi:type="dcterms:W3CDTF">2025-04-25T10:42:00Z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20044</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1 מתן בודנה  x;2 שרין דוידוב (עצור בפיקוח) x;3 בלאל סח'ניני  x</vt:lpwstr>
  </property>
  <property fmtid="{D5CDD505-2E9C-101B-9397-08002B2CF9AE}" pid="10" name="LAWYER">
    <vt:lpwstr>בני פסקל;ו 2 יוני דדון;גב' ראניה סרוג'י</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20181031</vt:lpwstr>
  </property>
  <property fmtid="{D5CDD505-2E9C-101B-9397-08002B2CF9AE}" pid="14" name="TYPE_N_DATE">
    <vt:lpwstr>39020181031</vt:lpwstr>
  </property>
  <property fmtid="{D5CDD505-2E9C-101B-9397-08002B2CF9AE}" pid="15" name="WORDNUMPAGES">
    <vt:lpwstr>10</vt:lpwstr>
  </property>
  <property fmtid="{D5CDD505-2E9C-101B-9397-08002B2CF9AE}" pid="16" name="TYPE_ABS_DATE">
    <vt:lpwstr>390020181031</vt:lpwstr>
  </property>
  <property fmtid="{D5CDD505-2E9C-101B-9397-08002B2CF9AE}" pid="17" name="CASESLISTTMP1">
    <vt:lpwstr>5569233;6151556;5821327;5821328;5878682;21472954;22006503;161892;22294063</vt:lpwstr>
  </property>
  <property fmtid="{D5CDD505-2E9C-101B-9397-08002B2CF9AE}" pid="18" name="LAWLISTTMP1">
    <vt:lpwstr>70301/144.b2:3;144c;144.a;144.c;144.2;144.31</vt:lpwstr>
  </property>
  <property fmtid="{D5CDD505-2E9C-101B-9397-08002B2CF9AE}" pid="19" name="LAWLISTTMP2">
    <vt:lpwstr>4216/013;019a</vt:lpwstr>
  </property>
</Properties>
</file>