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345FBC" w:rsidRPr="00AC6B4E" w14:paraId="1D8BF788" w14:textId="77777777" w:rsidTr="00271731">
        <w:trPr>
          <w:trHeight w:hRule="exact" w:val="567"/>
          <w:jc w:val="center"/>
        </w:trPr>
        <w:tc>
          <w:tcPr>
            <w:tcW w:w="8721" w:type="dxa"/>
            <w:gridSpan w:val="2"/>
          </w:tcPr>
          <w:p w14:paraId="61192ACD" w14:textId="77777777" w:rsidR="00345FBC" w:rsidRPr="00AC6B4E" w:rsidRDefault="00345FBC" w:rsidP="009A46D0">
            <w:pPr>
              <w:pStyle w:val="a3"/>
              <w:jc w:val="center"/>
              <w:rPr>
                <w:rFonts w:ascii="Tahoma" w:hAnsi="Tahoma" w:cs="Tahoma"/>
                <w:color w:val="000080"/>
                <w:sz w:val="28"/>
                <w:szCs w:val="28"/>
                <w:rtl/>
              </w:rPr>
            </w:pPr>
            <w:bookmarkStart w:id="0" w:name="LastJudge"/>
            <w:r w:rsidRPr="00AC6B4E">
              <w:rPr>
                <w:rFonts w:ascii="Tahoma" w:hAnsi="Tahoma" w:cs="Tahoma"/>
                <w:b/>
                <w:bCs/>
                <w:color w:val="000080"/>
                <w:sz w:val="30"/>
                <w:szCs w:val="30"/>
                <w:rtl/>
              </w:rPr>
              <w:t>בית המשפט המחוזי בירושלים</w:t>
            </w:r>
          </w:p>
        </w:tc>
      </w:tr>
      <w:tr w:rsidR="00345FBC" w:rsidRPr="00AC6B4E" w14:paraId="5F343B70" w14:textId="77777777" w:rsidTr="00271731">
        <w:trPr>
          <w:trHeight w:val="337"/>
          <w:jc w:val="center"/>
        </w:trPr>
        <w:tc>
          <w:tcPr>
            <w:tcW w:w="5046" w:type="dxa"/>
          </w:tcPr>
          <w:p w14:paraId="1DA3D5F4" w14:textId="77777777" w:rsidR="00345FBC" w:rsidRPr="00AC6B4E" w:rsidRDefault="00345FBC" w:rsidP="009A46D0">
            <w:pPr>
              <w:rPr>
                <w:rFonts w:cs="FrankRuehl"/>
                <w:b/>
                <w:bCs/>
                <w:sz w:val="34"/>
                <w:szCs w:val="34"/>
                <w:rtl/>
              </w:rPr>
            </w:pPr>
            <w:r w:rsidRPr="00AC6B4E">
              <w:rPr>
                <w:rFonts w:cs="FrankRuehl" w:hint="cs"/>
                <w:b/>
                <w:bCs/>
                <w:sz w:val="34"/>
                <w:szCs w:val="34"/>
                <w:rtl/>
              </w:rPr>
              <w:t>לפני כב' השופט רפי כרמל</w:t>
            </w:r>
          </w:p>
          <w:p w14:paraId="3153B84D" w14:textId="77777777" w:rsidR="00345FBC" w:rsidRPr="00AC6B4E" w:rsidRDefault="00345FBC" w:rsidP="009A46D0">
            <w:pPr>
              <w:rPr>
                <w:rFonts w:cs="FrankRuehl"/>
                <w:b/>
                <w:bCs/>
                <w:sz w:val="34"/>
                <w:szCs w:val="34"/>
                <w:rtl/>
              </w:rPr>
            </w:pPr>
          </w:p>
        </w:tc>
        <w:tc>
          <w:tcPr>
            <w:tcW w:w="3675" w:type="dxa"/>
          </w:tcPr>
          <w:p w14:paraId="73D22076" w14:textId="77777777" w:rsidR="00345FBC" w:rsidRPr="00AC6B4E" w:rsidRDefault="00345FBC" w:rsidP="009A46D0">
            <w:pPr>
              <w:pStyle w:val="a3"/>
              <w:jc w:val="right"/>
              <w:rPr>
                <w:rFonts w:cs="FrankRuehl"/>
                <w:b/>
                <w:bCs/>
                <w:sz w:val="34"/>
                <w:szCs w:val="34"/>
                <w:rtl/>
              </w:rPr>
            </w:pPr>
            <w:r w:rsidRPr="00AC6B4E">
              <w:rPr>
                <w:rFonts w:cs="FrankRuehl" w:hint="cs"/>
                <w:b/>
                <w:bCs/>
                <w:sz w:val="34"/>
                <w:szCs w:val="34"/>
                <w:rtl/>
              </w:rPr>
              <w:t>ת"פ 50551-03-18</w:t>
            </w:r>
          </w:p>
        </w:tc>
      </w:tr>
    </w:tbl>
    <w:p w14:paraId="71D9192B" w14:textId="77777777" w:rsidR="00345FBC" w:rsidRPr="00AC6B4E" w:rsidRDefault="00345FBC" w:rsidP="00345FBC">
      <w:pPr>
        <w:pStyle w:val="a3"/>
        <w:rPr>
          <w:sz w:val="28"/>
          <w:szCs w:val="28"/>
          <w:rtl/>
        </w:rPr>
      </w:pPr>
      <w:r w:rsidRPr="00AC6B4E">
        <w:rPr>
          <w:rFonts w:hint="cs"/>
          <w:sz w:val="28"/>
          <w:szCs w:val="28"/>
          <w:rtl/>
        </w:rPr>
        <w:t xml:space="preserve"> </w:t>
      </w:r>
    </w:p>
    <w:p w14:paraId="30A76C86" w14:textId="77777777" w:rsidR="00345FBC" w:rsidRPr="00AC6B4E" w:rsidRDefault="00345FBC" w:rsidP="00345FBC">
      <w:pPr>
        <w:rPr>
          <w:rtl/>
        </w:rPr>
      </w:pPr>
    </w:p>
    <w:p w14:paraId="21FB2BB8" w14:textId="77777777" w:rsidR="00345FBC" w:rsidRPr="00AC6B4E" w:rsidRDefault="00345FBC" w:rsidP="00345FB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4394"/>
        <w:gridCol w:w="2976"/>
        <w:gridCol w:w="319"/>
      </w:tblGrid>
      <w:tr w:rsidR="00345FBC" w:rsidRPr="00AC6B4E" w14:paraId="61AAFE2F"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3BC8FFEB" w14:textId="77777777" w:rsidR="00345FBC" w:rsidRPr="00AC6B4E" w:rsidRDefault="00345FBC" w:rsidP="00345FBC">
            <w:pPr>
              <w:spacing w:line="480" w:lineRule="auto"/>
              <w:jc w:val="both"/>
              <w:rPr>
                <w:rFonts w:ascii="Arial" w:hAnsi="Arial"/>
                <w:b/>
                <w:bCs/>
                <w:sz w:val="28"/>
                <w:szCs w:val="28"/>
              </w:rPr>
            </w:pPr>
            <w:bookmarkStart w:id="1" w:name="FirstAppellant"/>
            <w:r w:rsidRPr="00AC6B4E">
              <w:rPr>
                <w:rFonts w:ascii="Arial" w:hAnsi="Arial" w:hint="cs"/>
                <w:b/>
                <w:bCs/>
                <w:sz w:val="28"/>
                <w:szCs w:val="28"/>
                <w:rtl/>
              </w:rPr>
              <w:t>בעניין:</w:t>
            </w:r>
          </w:p>
        </w:tc>
        <w:tc>
          <w:tcPr>
            <w:tcW w:w="4394" w:type="dxa"/>
            <w:tcBorders>
              <w:top w:val="nil"/>
              <w:left w:val="nil"/>
              <w:bottom w:val="nil"/>
              <w:right w:val="nil"/>
            </w:tcBorders>
            <w:shd w:val="clear" w:color="auto" w:fill="auto"/>
          </w:tcPr>
          <w:p w14:paraId="290EBE8D" w14:textId="77777777" w:rsidR="00345FBC" w:rsidRPr="00AC6B4E" w:rsidRDefault="00345FBC" w:rsidP="00345FBC">
            <w:pPr>
              <w:spacing w:line="480" w:lineRule="auto"/>
              <w:rPr>
                <w:rFonts w:ascii="Arial" w:hAnsi="Arial"/>
                <w:b/>
                <w:bCs/>
                <w:sz w:val="28"/>
                <w:szCs w:val="28"/>
              </w:rPr>
            </w:pPr>
            <w:r w:rsidRPr="00AC6B4E">
              <w:rPr>
                <w:rFonts w:ascii="Arial" w:hAnsi="Arial"/>
                <w:b/>
                <w:bCs/>
                <w:sz w:val="28"/>
                <w:szCs w:val="28"/>
                <w:rtl/>
              </w:rPr>
              <w:t>מדינת ישראל</w:t>
            </w:r>
          </w:p>
        </w:tc>
        <w:tc>
          <w:tcPr>
            <w:tcW w:w="2976" w:type="dxa"/>
            <w:tcBorders>
              <w:top w:val="nil"/>
              <w:left w:val="nil"/>
              <w:bottom w:val="nil"/>
              <w:right w:val="nil"/>
            </w:tcBorders>
            <w:shd w:val="clear" w:color="auto" w:fill="auto"/>
          </w:tcPr>
          <w:p w14:paraId="35B0FB71" w14:textId="77777777" w:rsidR="00345FBC" w:rsidRPr="00AC6B4E" w:rsidRDefault="00345FBC" w:rsidP="00345FBC">
            <w:pPr>
              <w:spacing w:line="480" w:lineRule="auto"/>
              <w:jc w:val="both"/>
              <w:rPr>
                <w:rFonts w:ascii="Arial" w:hAnsi="Arial"/>
                <w:b/>
                <w:bCs/>
                <w:sz w:val="28"/>
                <w:szCs w:val="28"/>
              </w:rPr>
            </w:pPr>
          </w:p>
        </w:tc>
      </w:tr>
      <w:bookmarkEnd w:id="1"/>
      <w:tr w:rsidR="00345FBC" w:rsidRPr="00AC6B4E" w14:paraId="21EEF6B5"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77E62CA2" w14:textId="77777777" w:rsidR="00345FBC" w:rsidRPr="00AC6B4E" w:rsidRDefault="00345FBC" w:rsidP="00345FBC">
            <w:pPr>
              <w:spacing w:line="480" w:lineRule="auto"/>
              <w:jc w:val="both"/>
              <w:rPr>
                <w:rFonts w:ascii="Arial" w:hAnsi="Arial"/>
                <w:b/>
                <w:bCs/>
                <w:sz w:val="28"/>
                <w:szCs w:val="28"/>
                <w:rtl/>
              </w:rPr>
            </w:pPr>
          </w:p>
        </w:tc>
        <w:tc>
          <w:tcPr>
            <w:tcW w:w="4394" w:type="dxa"/>
            <w:tcBorders>
              <w:top w:val="nil"/>
              <w:left w:val="nil"/>
              <w:bottom w:val="nil"/>
              <w:right w:val="nil"/>
            </w:tcBorders>
            <w:shd w:val="clear" w:color="auto" w:fill="auto"/>
          </w:tcPr>
          <w:p w14:paraId="544B41B4" w14:textId="77777777" w:rsidR="00345FBC" w:rsidRPr="00AC6B4E" w:rsidRDefault="00345FBC" w:rsidP="00345FBC">
            <w:pPr>
              <w:spacing w:line="480" w:lineRule="auto"/>
              <w:jc w:val="both"/>
              <w:rPr>
                <w:rFonts w:ascii="Arial" w:hAnsi="Arial"/>
                <w:b/>
                <w:bCs/>
                <w:sz w:val="28"/>
                <w:szCs w:val="28"/>
                <w:rtl/>
              </w:rPr>
            </w:pPr>
            <w:r w:rsidRPr="00AC6B4E">
              <w:rPr>
                <w:rFonts w:ascii="Arial" w:hAnsi="Arial" w:hint="cs"/>
                <w:b/>
                <w:bCs/>
                <w:sz w:val="28"/>
                <w:szCs w:val="28"/>
                <w:rtl/>
              </w:rPr>
              <w:t>באמצעות פרקליטות מחוז ירושלים</w:t>
            </w:r>
          </w:p>
        </w:tc>
        <w:tc>
          <w:tcPr>
            <w:tcW w:w="2976" w:type="dxa"/>
            <w:tcBorders>
              <w:top w:val="nil"/>
              <w:left w:val="nil"/>
              <w:bottom w:val="nil"/>
              <w:right w:val="nil"/>
            </w:tcBorders>
            <w:shd w:val="clear" w:color="auto" w:fill="auto"/>
          </w:tcPr>
          <w:p w14:paraId="66248429" w14:textId="77777777" w:rsidR="00345FBC" w:rsidRPr="00AC6B4E" w:rsidRDefault="00345FBC" w:rsidP="00345FBC">
            <w:pPr>
              <w:spacing w:line="480" w:lineRule="auto"/>
              <w:jc w:val="right"/>
              <w:rPr>
                <w:rFonts w:ascii="Arial" w:hAnsi="Arial"/>
                <w:b/>
                <w:bCs/>
                <w:sz w:val="28"/>
                <w:szCs w:val="28"/>
                <w:rtl/>
              </w:rPr>
            </w:pPr>
            <w:r w:rsidRPr="00AC6B4E">
              <w:rPr>
                <w:rFonts w:ascii="Arial" w:hAnsi="Arial" w:hint="cs"/>
                <w:b/>
                <w:bCs/>
                <w:sz w:val="28"/>
                <w:szCs w:val="28"/>
                <w:rtl/>
              </w:rPr>
              <w:t>ה</w:t>
            </w:r>
            <w:r w:rsidRPr="00AC6B4E">
              <w:rPr>
                <w:rFonts w:ascii="Arial" w:hAnsi="Arial"/>
                <w:b/>
                <w:bCs/>
                <w:sz w:val="28"/>
                <w:szCs w:val="28"/>
                <w:rtl/>
              </w:rPr>
              <w:t>מאשימה</w:t>
            </w:r>
          </w:p>
        </w:tc>
      </w:tr>
      <w:tr w:rsidR="00345FBC" w:rsidRPr="00AC6B4E" w14:paraId="76CB76F6"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677B411D" w14:textId="77777777" w:rsidR="00345FBC" w:rsidRPr="00AC6B4E" w:rsidRDefault="00345FBC" w:rsidP="00345FBC">
            <w:pPr>
              <w:spacing w:line="480" w:lineRule="auto"/>
              <w:jc w:val="both"/>
              <w:rPr>
                <w:rFonts w:ascii="Arial" w:hAnsi="Arial"/>
                <w:b/>
                <w:bCs/>
                <w:sz w:val="28"/>
                <w:szCs w:val="28"/>
                <w:rtl/>
              </w:rPr>
            </w:pPr>
          </w:p>
        </w:tc>
        <w:tc>
          <w:tcPr>
            <w:tcW w:w="7370" w:type="dxa"/>
            <w:gridSpan w:val="2"/>
            <w:tcBorders>
              <w:top w:val="nil"/>
              <w:left w:val="nil"/>
              <w:bottom w:val="nil"/>
              <w:right w:val="nil"/>
            </w:tcBorders>
            <w:shd w:val="clear" w:color="auto" w:fill="auto"/>
          </w:tcPr>
          <w:p w14:paraId="7E7DDAAF" w14:textId="77777777" w:rsidR="00345FBC" w:rsidRPr="00AC6B4E" w:rsidRDefault="00345FBC" w:rsidP="00345FBC">
            <w:pPr>
              <w:spacing w:line="480" w:lineRule="auto"/>
              <w:jc w:val="center"/>
              <w:rPr>
                <w:rFonts w:ascii="Arial" w:hAnsi="Arial"/>
                <w:b/>
                <w:bCs/>
                <w:sz w:val="28"/>
                <w:szCs w:val="28"/>
                <w:rtl/>
              </w:rPr>
            </w:pPr>
          </w:p>
          <w:p w14:paraId="3D3B7405" w14:textId="77777777" w:rsidR="00345FBC" w:rsidRPr="00AC6B4E" w:rsidRDefault="00345FBC" w:rsidP="00345FBC">
            <w:pPr>
              <w:spacing w:line="480" w:lineRule="auto"/>
              <w:jc w:val="center"/>
              <w:rPr>
                <w:rFonts w:ascii="Arial" w:hAnsi="Arial"/>
                <w:b/>
                <w:bCs/>
                <w:sz w:val="28"/>
                <w:szCs w:val="28"/>
                <w:rtl/>
              </w:rPr>
            </w:pPr>
            <w:r w:rsidRPr="00AC6B4E">
              <w:rPr>
                <w:rFonts w:ascii="Arial" w:hAnsi="Arial"/>
                <w:b/>
                <w:bCs/>
                <w:sz w:val="28"/>
                <w:szCs w:val="28"/>
                <w:rtl/>
              </w:rPr>
              <w:t>נגד</w:t>
            </w:r>
          </w:p>
          <w:p w14:paraId="2CDEB4D1" w14:textId="77777777" w:rsidR="00345FBC" w:rsidRPr="00AC6B4E" w:rsidRDefault="00345FBC" w:rsidP="00345FBC">
            <w:pPr>
              <w:spacing w:line="480" w:lineRule="auto"/>
              <w:jc w:val="both"/>
              <w:rPr>
                <w:rFonts w:ascii="Arial" w:hAnsi="Arial"/>
                <w:b/>
                <w:bCs/>
                <w:sz w:val="28"/>
                <w:szCs w:val="28"/>
              </w:rPr>
            </w:pPr>
          </w:p>
        </w:tc>
      </w:tr>
      <w:tr w:rsidR="00345FBC" w:rsidRPr="00AC6B4E" w14:paraId="1A2F5C57"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769FAEAE" w14:textId="77777777" w:rsidR="00345FBC" w:rsidRPr="00AC6B4E" w:rsidRDefault="00345FBC" w:rsidP="00345FBC">
            <w:pPr>
              <w:spacing w:line="480" w:lineRule="auto"/>
              <w:rPr>
                <w:rFonts w:ascii="Arial" w:hAnsi="Arial"/>
                <w:b/>
                <w:bCs/>
                <w:sz w:val="28"/>
                <w:szCs w:val="28"/>
                <w:rtl/>
              </w:rPr>
            </w:pPr>
          </w:p>
        </w:tc>
        <w:tc>
          <w:tcPr>
            <w:tcW w:w="4394" w:type="dxa"/>
            <w:tcBorders>
              <w:top w:val="nil"/>
              <w:left w:val="nil"/>
              <w:bottom w:val="nil"/>
              <w:right w:val="nil"/>
            </w:tcBorders>
            <w:shd w:val="clear" w:color="auto" w:fill="auto"/>
          </w:tcPr>
          <w:p w14:paraId="66FD3807" w14:textId="77777777" w:rsidR="00345FBC" w:rsidRPr="00AC6B4E" w:rsidRDefault="00345FBC" w:rsidP="00345FBC">
            <w:pPr>
              <w:spacing w:line="480" w:lineRule="auto"/>
              <w:rPr>
                <w:rFonts w:ascii="Arial" w:hAnsi="Arial"/>
                <w:b/>
                <w:bCs/>
                <w:sz w:val="28"/>
                <w:szCs w:val="28"/>
                <w:rtl/>
              </w:rPr>
            </w:pPr>
            <w:r w:rsidRPr="00AC6B4E">
              <w:rPr>
                <w:rFonts w:ascii="Arial" w:hAnsi="Arial"/>
                <w:b/>
                <w:bCs/>
                <w:sz w:val="28"/>
                <w:szCs w:val="28"/>
                <w:rtl/>
              </w:rPr>
              <w:t>אחמד עטיה (עציר)</w:t>
            </w:r>
          </w:p>
        </w:tc>
        <w:tc>
          <w:tcPr>
            <w:tcW w:w="2976" w:type="dxa"/>
            <w:tcBorders>
              <w:top w:val="nil"/>
              <w:left w:val="nil"/>
              <w:bottom w:val="nil"/>
              <w:right w:val="nil"/>
            </w:tcBorders>
            <w:shd w:val="clear" w:color="auto" w:fill="auto"/>
          </w:tcPr>
          <w:p w14:paraId="1B5B5743" w14:textId="77777777" w:rsidR="00345FBC" w:rsidRPr="00AC6B4E" w:rsidRDefault="00345FBC" w:rsidP="00345FBC">
            <w:pPr>
              <w:spacing w:line="480" w:lineRule="auto"/>
              <w:jc w:val="right"/>
              <w:rPr>
                <w:rFonts w:ascii="Arial" w:hAnsi="Arial"/>
                <w:b/>
                <w:bCs/>
                <w:sz w:val="28"/>
                <w:szCs w:val="28"/>
              </w:rPr>
            </w:pPr>
          </w:p>
        </w:tc>
      </w:tr>
      <w:tr w:rsidR="00345FBC" w:rsidRPr="00AC6B4E" w14:paraId="5FDF72BE"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25F63585" w14:textId="77777777" w:rsidR="00345FBC" w:rsidRPr="00AC6B4E" w:rsidRDefault="00345FBC" w:rsidP="00345FBC">
            <w:pPr>
              <w:spacing w:line="480" w:lineRule="auto"/>
              <w:jc w:val="both"/>
              <w:rPr>
                <w:rFonts w:ascii="Arial" w:hAnsi="Arial"/>
                <w:b/>
                <w:bCs/>
                <w:sz w:val="28"/>
                <w:szCs w:val="28"/>
                <w:rtl/>
              </w:rPr>
            </w:pPr>
            <w:bookmarkStart w:id="2" w:name="FirstLawyer"/>
          </w:p>
        </w:tc>
        <w:tc>
          <w:tcPr>
            <w:tcW w:w="4394" w:type="dxa"/>
            <w:tcBorders>
              <w:top w:val="nil"/>
              <w:left w:val="nil"/>
              <w:bottom w:val="nil"/>
              <w:right w:val="nil"/>
            </w:tcBorders>
            <w:shd w:val="clear" w:color="auto" w:fill="auto"/>
          </w:tcPr>
          <w:p w14:paraId="717006D4" w14:textId="77777777" w:rsidR="00345FBC" w:rsidRPr="00AC6B4E" w:rsidRDefault="00345FBC" w:rsidP="00345FBC">
            <w:pPr>
              <w:spacing w:line="480" w:lineRule="auto"/>
              <w:jc w:val="both"/>
              <w:rPr>
                <w:rFonts w:ascii="Arial" w:hAnsi="Arial"/>
                <w:b/>
                <w:bCs/>
                <w:sz w:val="28"/>
                <w:szCs w:val="28"/>
                <w:rtl/>
              </w:rPr>
            </w:pPr>
            <w:r w:rsidRPr="00AC6B4E">
              <w:rPr>
                <w:rFonts w:ascii="Arial" w:hAnsi="Arial" w:hint="cs"/>
                <w:b/>
                <w:bCs/>
                <w:sz w:val="28"/>
                <w:szCs w:val="28"/>
                <w:rtl/>
              </w:rPr>
              <w:t>ע"י ב"כ עו"ד מוסטפא יחיא</w:t>
            </w:r>
          </w:p>
        </w:tc>
        <w:tc>
          <w:tcPr>
            <w:tcW w:w="2976" w:type="dxa"/>
            <w:tcBorders>
              <w:top w:val="nil"/>
              <w:left w:val="nil"/>
              <w:bottom w:val="nil"/>
              <w:right w:val="nil"/>
            </w:tcBorders>
            <w:shd w:val="clear" w:color="auto" w:fill="auto"/>
          </w:tcPr>
          <w:p w14:paraId="71C2F936" w14:textId="77777777" w:rsidR="00345FBC" w:rsidRPr="00AC6B4E" w:rsidRDefault="00345FBC" w:rsidP="00345FBC">
            <w:pPr>
              <w:spacing w:line="480" w:lineRule="auto"/>
              <w:jc w:val="right"/>
              <w:rPr>
                <w:rFonts w:ascii="Arial" w:hAnsi="Arial"/>
                <w:b/>
                <w:bCs/>
                <w:sz w:val="28"/>
                <w:szCs w:val="28"/>
              </w:rPr>
            </w:pPr>
            <w:r w:rsidRPr="00AC6B4E">
              <w:rPr>
                <w:rFonts w:ascii="Arial" w:hAnsi="Arial" w:hint="cs"/>
                <w:b/>
                <w:bCs/>
                <w:sz w:val="28"/>
                <w:szCs w:val="28"/>
                <w:rtl/>
              </w:rPr>
              <w:t>ה</w:t>
            </w:r>
            <w:r w:rsidRPr="00AC6B4E">
              <w:rPr>
                <w:rFonts w:ascii="Arial" w:hAnsi="Arial"/>
                <w:b/>
                <w:bCs/>
                <w:sz w:val="28"/>
                <w:szCs w:val="28"/>
                <w:rtl/>
              </w:rPr>
              <w:t>נאשם</w:t>
            </w:r>
          </w:p>
        </w:tc>
      </w:tr>
      <w:tr w:rsidR="00345FBC" w14:paraId="7D56D1B6" w14:textId="77777777" w:rsidTr="00720E27">
        <w:trPr>
          <w:trHeight w:val="355"/>
          <w:jc w:val="center"/>
        </w:trPr>
        <w:tc>
          <w:tcPr>
            <w:tcW w:w="8820" w:type="dxa"/>
            <w:gridSpan w:val="4"/>
            <w:tcBorders>
              <w:top w:val="nil"/>
              <w:left w:val="nil"/>
              <w:bottom w:val="nil"/>
              <w:right w:val="nil"/>
            </w:tcBorders>
            <w:shd w:val="clear" w:color="auto" w:fill="auto"/>
          </w:tcPr>
          <w:p w14:paraId="1A41D30B" w14:textId="77777777" w:rsidR="00720E27" w:rsidRDefault="00720E27" w:rsidP="00AC6B4E">
            <w:pPr>
              <w:jc w:val="center"/>
              <w:rPr>
                <w:rFonts w:ascii="Arial" w:hAnsi="Arial" w:cs="FrankRuehl"/>
                <w:sz w:val="32"/>
                <w:szCs w:val="32"/>
                <w:rtl/>
              </w:rPr>
            </w:pPr>
            <w:bookmarkStart w:id="3" w:name="PsakDin" w:colFirst="0" w:colLast="0"/>
            <w:bookmarkStart w:id="4" w:name="LawTable"/>
            <w:bookmarkEnd w:id="0"/>
            <w:bookmarkEnd w:id="2"/>
            <w:bookmarkEnd w:id="4"/>
          </w:p>
          <w:p w14:paraId="6A4A15AD" w14:textId="77777777" w:rsidR="00720E27" w:rsidRPr="00720E27" w:rsidRDefault="00720E27" w:rsidP="00720E27">
            <w:pPr>
              <w:spacing w:after="120" w:line="240" w:lineRule="exact"/>
              <w:ind w:left="283" w:hanging="283"/>
              <w:jc w:val="both"/>
              <w:rPr>
                <w:rFonts w:ascii="FrankRuehl" w:hAnsi="FrankRuehl" w:cs="FrankRuehl"/>
                <w:rtl/>
              </w:rPr>
            </w:pPr>
          </w:p>
          <w:p w14:paraId="372E6F08" w14:textId="77777777" w:rsidR="00720E27" w:rsidRPr="00720E27" w:rsidRDefault="00720E27" w:rsidP="00720E27">
            <w:pPr>
              <w:spacing w:after="120" w:line="240" w:lineRule="exact"/>
              <w:ind w:left="283" w:hanging="283"/>
              <w:jc w:val="both"/>
              <w:rPr>
                <w:rFonts w:ascii="FrankRuehl" w:hAnsi="FrankRuehl" w:cs="FrankRuehl"/>
                <w:rtl/>
              </w:rPr>
            </w:pPr>
            <w:r w:rsidRPr="00720E27">
              <w:rPr>
                <w:rFonts w:ascii="FrankRuehl" w:hAnsi="FrankRuehl" w:cs="FrankRuehl"/>
                <w:rtl/>
              </w:rPr>
              <w:t xml:space="preserve">חקיקה שאוזכרה: </w:t>
            </w:r>
          </w:p>
          <w:p w14:paraId="0B664FF0" w14:textId="77777777" w:rsidR="00720E27" w:rsidRPr="00720E27" w:rsidRDefault="00720E27" w:rsidP="00720E27">
            <w:pPr>
              <w:spacing w:after="120" w:line="240" w:lineRule="exact"/>
              <w:ind w:left="283" w:hanging="283"/>
              <w:jc w:val="both"/>
              <w:rPr>
                <w:rFonts w:ascii="FrankRuehl" w:hAnsi="FrankRuehl" w:cs="FrankRuehl"/>
                <w:rtl/>
              </w:rPr>
            </w:pPr>
            <w:hyperlink r:id="rId6" w:history="1">
              <w:r w:rsidRPr="00720E27">
                <w:rPr>
                  <w:rFonts w:ascii="FrankRuehl" w:hAnsi="FrankRuehl" w:cs="FrankRuehl"/>
                  <w:color w:val="0000FF"/>
                  <w:u w:val="single"/>
                  <w:rtl/>
                </w:rPr>
                <w:t>חוק העונשין, תשל"ז-1977</w:t>
              </w:r>
            </w:hyperlink>
            <w:r w:rsidRPr="00720E27">
              <w:rPr>
                <w:rFonts w:ascii="FrankRuehl" w:hAnsi="FrankRuehl" w:cs="FrankRuehl"/>
                <w:rtl/>
              </w:rPr>
              <w:t xml:space="preserve">: סע'  </w:t>
            </w:r>
            <w:hyperlink r:id="rId7" w:history="1">
              <w:r w:rsidRPr="00720E27">
                <w:rPr>
                  <w:rFonts w:ascii="FrankRuehl" w:hAnsi="FrankRuehl" w:cs="FrankRuehl"/>
                  <w:color w:val="0000FF"/>
                  <w:u w:val="single"/>
                  <w:rtl/>
                </w:rPr>
                <w:t>144(ב2)</w:t>
              </w:r>
            </w:hyperlink>
          </w:p>
          <w:p w14:paraId="6F156F58" w14:textId="77777777" w:rsidR="00720E27" w:rsidRPr="00720E27" w:rsidRDefault="00720E27" w:rsidP="00720E27">
            <w:pPr>
              <w:spacing w:after="120" w:line="240" w:lineRule="exact"/>
              <w:ind w:left="283" w:hanging="283"/>
              <w:jc w:val="both"/>
              <w:rPr>
                <w:rFonts w:ascii="FrankRuehl" w:hAnsi="FrankRuehl" w:cs="FrankRuehl"/>
                <w:rtl/>
              </w:rPr>
            </w:pPr>
          </w:p>
          <w:p w14:paraId="245D75E9" w14:textId="77777777" w:rsidR="00720E27" w:rsidRPr="00720E27" w:rsidRDefault="00720E27" w:rsidP="00AC6B4E">
            <w:pPr>
              <w:jc w:val="center"/>
              <w:rPr>
                <w:rFonts w:ascii="Arial" w:hAnsi="Arial" w:cs="FrankRuehl"/>
                <w:sz w:val="32"/>
                <w:szCs w:val="32"/>
                <w:rtl/>
              </w:rPr>
            </w:pPr>
            <w:bookmarkStart w:id="5" w:name="LawTable_End"/>
            <w:bookmarkEnd w:id="5"/>
          </w:p>
          <w:p w14:paraId="308137B3" w14:textId="77777777" w:rsidR="00720E27" w:rsidRPr="00720E27" w:rsidRDefault="00720E27" w:rsidP="00AC6B4E">
            <w:pPr>
              <w:jc w:val="center"/>
              <w:rPr>
                <w:rFonts w:ascii="Arial" w:hAnsi="Arial" w:cs="FrankRuehl"/>
                <w:sz w:val="32"/>
                <w:szCs w:val="32"/>
                <w:rtl/>
              </w:rPr>
            </w:pPr>
          </w:p>
          <w:p w14:paraId="68428F83" w14:textId="77777777" w:rsidR="00AC6B4E" w:rsidRPr="00AC6B4E" w:rsidRDefault="00AC6B4E" w:rsidP="00AC6B4E">
            <w:pPr>
              <w:jc w:val="center"/>
              <w:rPr>
                <w:rFonts w:ascii="Arial" w:hAnsi="Arial" w:cs="FrankRuehl"/>
                <w:b/>
                <w:bCs/>
                <w:sz w:val="32"/>
                <w:szCs w:val="32"/>
                <w:u w:val="single"/>
                <w:rtl/>
              </w:rPr>
            </w:pPr>
            <w:r w:rsidRPr="00AC6B4E">
              <w:rPr>
                <w:rFonts w:ascii="Arial" w:hAnsi="Arial" w:cs="FrankRuehl"/>
                <w:b/>
                <w:bCs/>
                <w:sz w:val="32"/>
                <w:szCs w:val="32"/>
                <w:u w:val="single"/>
                <w:rtl/>
              </w:rPr>
              <w:t>גזר דין</w:t>
            </w:r>
          </w:p>
          <w:p w14:paraId="5C888B5A" w14:textId="77777777" w:rsidR="00345FBC" w:rsidRPr="00AC6B4E" w:rsidRDefault="00345FBC" w:rsidP="00AC6B4E">
            <w:pPr>
              <w:jc w:val="center"/>
              <w:rPr>
                <w:rFonts w:ascii="Arial" w:hAnsi="Arial" w:cs="FrankRuehl"/>
                <w:bCs/>
                <w:sz w:val="32"/>
                <w:szCs w:val="32"/>
                <w:u w:val="single"/>
                <w:rtl/>
              </w:rPr>
            </w:pPr>
          </w:p>
        </w:tc>
      </w:tr>
      <w:bookmarkEnd w:id="3"/>
    </w:tbl>
    <w:p w14:paraId="06B8210A" w14:textId="77777777" w:rsidR="00345FBC" w:rsidRPr="00B05847" w:rsidRDefault="00345FBC" w:rsidP="00345FBC">
      <w:pPr>
        <w:rPr>
          <w:rFonts w:ascii="Arial" w:hAnsi="Arial"/>
          <w:rtl/>
        </w:rPr>
      </w:pPr>
    </w:p>
    <w:p w14:paraId="60D84217" w14:textId="77777777" w:rsidR="00345FBC" w:rsidRDefault="00345FBC" w:rsidP="00345FBC">
      <w:pPr>
        <w:rPr>
          <w:rFonts w:ascii="Arial" w:hAnsi="Arial"/>
          <w:rtl/>
        </w:rPr>
      </w:pPr>
    </w:p>
    <w:p w14:paraId="636C54CE" w14:textId="77777777" w:rsidR="00345FBC" w:rsidRPr="00002924" w:rsidRDefault="00345FBC" w:rsidP="00345FBC">
      <w:pPr>
        <w:rPr>
          <w:rFonts w:ascii="Arial" w:hAnsi="Arial"/>
          <w:spacing w:val="22"/>
          <w:rtl/>
        </w:rPr>
      </w:pPr>
    </w:p>
    <w:p w14:paraId="4DFE449E" w14:textId="77777777" w:rsidR="00345FBC" w:rsidRPr="00002924" w:rsidRDefault="00345FBC" w:rsidP="00345FBC">
      <w:pPr>
        <w:rPr>
          <w:spacing w:val="22"/>
          <w:rtl/>
        </w:rPr>
      </w:pPr>
    </w:p>
    <w:p w14:paraId="2E9B3CD0"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sidRPr="00002924">
        <w:rPr>
          <w:rFonts w:ascii="Arial" w:hAnsi="Arial"/>
          <w:spacing w:val="22"/>
          <w:rtl/>
        </w:rPr>
        <w:tab/>
      </w:r>
      <w:bookmarkStart w:id="6" w:name="ABSTRACT_START"/>
      <w:bookmarkEnd w:id="6"/>
      <w:r w:rsidRPr="00002924">
        <w:rPr>
          <w:rFonts w:ascii="Arial" w:hAnsi="Arial"/>
          <w:spacing w:val="22"/>
          <w:rtl/>
        </w:rPr>
        <w:t xml:space="preserve">הנאשם הורשע על יסוד הודאתו בכתב האישום המתוקן בעבירה של סחר בנשק, לפי </w:t>
      </w:r>
      <w:hyperlink r:id="rId8" w:history="1">
        <w:r w:rsidR="00271731" w:rsidRPr="00271731">
          <w:rPr>
            <w:rFonts w:ascii="Arial" w:hAnsi="Arial"/>
            <w:color w:val="0000FF"/>
            <w:spacing w:val="22"/>
            <w:u w:val="single"/>
            <w:rtl/>
          </w:rPr>
          <w:t>סעיף 144(ב2)</w:t>
        </w:r>
      </w:hyperlink>
      <w:r w:rsidRPr="00002924">
        <w:rPr>
          <w:rFonts w:ascii="Arial" w:hAnsi="Arial"/>
          <w:spacing w:val="22"/>
          <w:rtl/>
        </w:rPr>
        <w:t xml:space="preserve"> ל</w:t>
      </w:r>
      <w:hyperlink r:id="rId9" w:history="1">
        <w:r w:rsidR="00AC6B4E" w:rsidRPr="00AC6B4E">
          <w:rPr>
            <w:rFonts w:ascii="Arial" w:hAnsi="Arial"/>
            <w:color w:val="0000FF"/>
            <w:spacing w:val="22"/>
            <w:u w:val="single"/>
            <w:rtl/>
          </w:rPr>
          <w:t>חוק העונשין</w:t>
        </w:r>
      </w:hyperlink>
      <w:r w:rsidRPr="00002924">
        <w:rPr>
          <w:rFonts w:ascii="Arial" w:hAnsi="Arial"/>
          <w:spacing w:val="22"/>
          <w:rtl/>
        </w:rPr>
        <w:t>, התשל"ז-1977 (להלן: "</w:t>
      </w:r>
      <w:r w:rsidRPr="00002924">
        <w:rPr>
          <w:rFonts w:ascii="Arial" w:hAnsi="Arial"/>
          <w:b/>
          <w:bCs/>
          <w:spacing w:val="22"/>
          <w:rtl/>
        </w:rPr>
        <w:t>החוק</w:t>
      </w:r>
      <w:r w:rsidRPr="00002924">
        <w:rPr>
          <w:rFonts w:ascii="Arial" w:hAnsi="Arial"/>
          <w:spacing w:val="22"/>
          <w:rtl/>
        </w:rPr>
        <w:t>"). הסדר הטיעון לא כלל הסכמה לענין העונש.</w:t>
      </w:r>
    </w:p>
    <w:p w14:paraId="1478C21E" w14:textId="77777777" w:rsidR="00345FBC" w:rsidRPr="00002924" w:rsidRDefault="00345FBC" w:rsidP="00345FBC">
      <w:pPr>
        <w:spacing w:line="360" w:lineRule="auto"/>
        <w:jc w:val="both"/>
        <w:rPr>
          <w:rFonts w:ascii="Arial" w:hAnsi="Arial"/>
          <w:spacing w:val="22"/>
          <w:rtl/>
        </w:rPr>
      </w:pPr>
      <w:bookmarkStart w:id="7" w:name="ABSTRACT_END"/>
      <w:bookmarkEnd w:id="7"/>
    </w:p>
    <w:p w14:paraId="77BBC878"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2.</w:t>
      </w:r>
      <w:r w:rsidRPr="00002924">
        <w:rPr>
          <w:rFonts w:ascii="Arial" w:hAnsi="Arial"/>
          <w:spacing w:val="22"/>
          <w:rtl/>
        </w:rPr>
        <w:tab/>
        <w:t xml:space="preserve"> ואלה המעשים על פי עובדות כתב האישום המתוקן: ביום 28.1.17 התקשר סוכן משטרתי לאדם בשם איוב הינדי (להלן: "</w:t>
      </w:r>
      <w:r w:rsidRPr="00002924">
        <w:rPr>
          <w:rFonts w:ascii="Arial" w:hAnsi="Arial"/>
          <w:b/>
          <w:bCs/>
          <w:spacing w:val="22"/>
          <w:rtl/>
        </w:rPr>
        <w:t>הינדי</w:t>
      </w:r>
      <w:r w:rsidRPr="00002924">
        <w:rPr>
          <w:rFonts w:ascii="Arial" w:hAnsi="Arial"/>
          <w:spacing w:val="22"/>
          <w:rtl/>
        </w:rPr>
        <w:t xml:space="preserve">") והתענין ברכישת אקדח. הינדי יצר קשר עם הנאשם לצורך השגת אקח והנאשם השיבו כי ישנו אקדח </w:t>
      </w:r>
      <w:r w:rsidRPr="00002924">
        <w:rPr>
          <w:rFonts w:ascii="Arial" w:hAnsi="Arial"/>
          <w:spacing w:val="22"/>
          <w:rtl/>
        </w:rPr>
        <w:lastRenderedPageBreak/>
        <w:t xml:space="preserve">למכירה במחיר הנע בסביבות 31,000-32,000 ₪. הינדי הודיע לסוכן על מחיר האקדח ודרש סכום נוסף בסך 1,500 ₪ עבור חלקו בביצוע העסקה. הסוכן הסכים ונקבע פגישה להשלמת העסקה בחלוף כשעה בשכונה עיסוויה בירושלים. סמוך לשעה 19:00 אסף הסוכן את הינדי ברכבו ועצר בנקודה בה הורה לו הינדי כדי להמתין לנאשם. בשלב זה מסר הסוכן לידיו של הינדי סך של 32,000 ₪ ו – 1,500 ₪. הינדי התקשר אל הנאשם והלה הגיע למקום תוך זמן קצר בליווי אדם נוסף. השניים עמדו במרחק מה מהרכב, הינדי ניגש אליהם וקיבל מידי הנאשם אקדח חצי אוטומטי מסוג </w:t>
      </w:r>
      <w:r w:rsidRPr="00002924">
        <w:rPr>
          <w:rFonts w:ascii="Arial" w:hAnsi="Arial"/>
          <w:spacing w:val="22"/>
          <w:sz w:val="20"/>
          <w:szCs w:val="20"/>
        </w:rPr>
        <w:t>FN</w:t>
      </w:r>
      <w:r w:rsidRPr="00002924">
        <w:rPr>
          <w:rFonts w:ascii="Arial" w:hAnsi="Arial"/>
          <w:spacing w:val="22"/>
          <w:rtl/>
        </w:rPr>
        <w:t xml:space="preserve"> ומחסנית תואמת. הינדי שב אל הרכב ומסר לסוכן את הנשק, אשר בדק את תקינותו בירי כדור ואישר את השלמת העסקה. בהמשך לאמור, מסר הינדי לנאשם חלק מן הכסף שקיבל מידי הסוכן. </w:t>
      </w:r>
    </w:p>
    <w:p w14:paraId="7A06A00C" w14:textId="77777777" w:rsidR="00345FBC" w:rsidRPr="00002924" w:rsidRDefault="00345FBC" w:rsidP="00345FBC">
      <w:pPr>
        <w:spacing w:line="360" w:lineRule="auto"/>
        <w:jc w:val="both"/>
        <w:rPr>
          <w:rFonts w:ascii="Arial" w:hAnsi="Arial"/>
          <w:spacing w:val="22"/>
          <w:rtl/>
        </w:rPr>
      </w:pPr>
    </w:p>
    <w:p w14:paraId="6B36E152"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3.</w:t>
      </w:r>
      <w:r w:rsidRPr="00002924">
        <w:rPr>
          <w:rFonts w:ascii="Arial" w:hAnsi="Arial"/>
          <w:spacing w:val="22"/>
          <w:rtl/>
        </w:rPr>
        <w:tab/>
        <w:t xml:space="preserve"> הנאשם הינו יליד 12.2.1997</w:t>
      </w:r>
      <w:r w:rsidRPr="00002924">
        <w:rPr>
          <w:rFonts w:ascii="Arial" w:hAnsi="Arial" w:hint="cs"/>
          <w:spacing w:val="22"/>
          <w:rtl/>
        </w:rPr>
        <w:t>, ללא הרשעות קודמות.</w:t>
      </w:r>
    </w:p>
    <w:p w14:paraId="336EF576" w14:textId="77777777" w:rsidR="00345FBC" w:rsidRPr="00002924" w:rsidRDefault="00345FBC" w:rsidP="00345FBC">
      <w:pPr>
        <w:spacing w:line="360" w:lineRule="auto"/>
        <w:jc w:val="both"/>
        <w:rPr>
          <w:rFonts w:ascii="Arial" w:hAnsi="Arial"/>
          <w:spacing w:val="22"/>
          <w:rtl/>
        </w:rPr>
      </w:pPr>
    </w:p>
    <w:p w14:paraId="42CB6E48"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טענות</w:t>
      </w:r>
      <w:r w:rsidRPr="00002924">
        <w:rPr>
          <w:rFonts w:ascii="Miriam" w:hAnsi="Miriam"/>
          <w:b/>
          <w:bCs/>
          <w:spacing w:val="22"/>
          <w:rtl/>
        </w:rPr>
        <w:t xml:space="preserve"> </w:t>
      </w:r>
      <w:r w:rsidRPr="00002924">
        <w:rPr>
          <w:rFonts w:ascii="Miriam" w:hAnsi="Miriam" w:hint="eastAsia"/>
          <w:b/>
          <w:bCs/>
          <w:spacing w:val="22"/>
          <w:rtl/>
        </w:rPr>
        <w:t>הצדדים</w:t>
      </w:r>
      <w:r w:rsidRPr="00002924">
        <w:rPr>
          <w:rFonts w:ascii="Miriam" w:hAnsi="Miriam"/>
          <w:b/>
          <w:bCs/>
          <w:spacing w:val="22"/>
          <w:rtl/>
        </w:rPr>
        <w:tab/>
      </w:r>
    </w:p>
    <w:p w14:paraId="1152A5C3"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טענות</w:t>
      </w:r>
      <w:r w:rsidRPr="00002924">
        <w:rPr>
          <w:rFonts w:ascii="Miriam" w:hAnsi="Miriam"/>
          <w:b/>
          <w:bCs/>
          <w:spacing w:val="22"/>
          <w:rtl/>
        </w:rPr>
        <w:t xml:space="preserve"> </w:t>
      </w:r>
      <w:r w:rsidRPr="00002924">
        <w:rPr>
          <w:rFonts w:ascii="Miriam" w:hAnsi="Miriam" w:hint="eastAsia"/>
          <w:b/>
          <w:bCs/>
          <w:spacing w:val="22"/>
          <w:rtl/>
        </w:rPr>
        <w:t>המאשימה</w:t>
      </w:r>
    </w:p>
    <w:p w14:paraId="2AADE902" w14:textId="77777777" w:rsidR="00345FBC" w:rsidRPr="00002924" w:rsidRDefault="00345FBC" w:rsidP="00345FBC">
      <w:pPr>
        <w:spacing w:after="120" w:line="360" w:lineRule="auto"/>
        <w:jc w:val="both"/>
        <w:rPr>
          <w:rFonts w:ascii="Arial" w:hAnsi="Arial"/>
          <w:spacing w:val="22"/>
          <w:rtl/>
        </w:rPr>
      </w:pPr>
      <w:r w:rsidRPr="00002924">
        <w:rPr>
          <w:rFonts w:ascii="Arial" w:hAnsi="Arial"/>
          <w:spacing w:val="22"/>
          <w:rtl/>
        </w:rPr>
        <w:t>4.</w:t>
      </w:r>
      <w:r w:rsidRPr="00002924">
        <w:rPr>
          <w:rFonts w:ascii="Arial" w:hAnsi="Arial"/>
          <w:spacing w:val="22"/>
          <w:rtl/>
        </w:rPr>
        <w:tab/>
        <w:t xml:space="preserve"> המאשימה טוענת כי עבירת הסחר בנשק פוגעת בערכים המוגנים של בטחון הציבור ושלטון החוק וגלומים בה סיכונים רבים בגינם נדרשת החמרה בענישה. הפסיקה קוראת להעלאת רף הענישה בעבירות אלה, המאשימה הפנתה לפסיקה וביקשה ליישם זאת במקרה שלפנינו. המאשימה הדגישה את חלקו של הנאשם בעסקה, הוא היה החוליה הקרובה ביותר לאקדח, הוא השיג את האקדח, מסר אותו לידי הינדי בתמורה לכסף. מדובר בתפקיד של מוכר הנשק, תפקיד משמעותי ביותר, ומדובר בסחר ברף הגבוה שלו. כמו כן, התכנון המוקדם מתבטא בתיאום עם הינדי, הנאשם הוא שקבע את המחיר ולאחר מכן, כפרי של תכנון זה – התבצעה העסקה. הנזק הפוטנציאלי הוא ברור מאליו. מדובר בנשק לא חוקי, באקדח שיכול להמית, ולא מדובר ברובה סער או רימונים. המניע הוא כספי ולכן יש צורך ליצור הרתעה גם על ידי הטלת קנס ממשי. המאשימה טוענת כי מתחם הענישה נע בין 30 ל – 60 חודשי מאסר בפועל, וכולל מאסר על תנאי וקנס. באשר למיקומו של הנאשם במתחם זה, טענה המאשימה כי בהתחשב בכך שהנאשם הודה, חסך זמן שיפוטי, גילו צעיר והוא נעדר עבר פלילי, התסקיר לא בא בהמלצה שיקומית ותיאר את יחסו של הנאשם לעבירה </w:t>
      </w:r>
      <w:r>
        <w:rPr>
          <w:rFonts w:ascii="Arial" w:hAnsi="Arial" w:hint="cs"/>
          <w:spacing w:val="22"/>
          <w:rtl/>
        </w:rPr>
        <w:t>כ</w:t>
      </w:r>
      <w:r w:rsidRPr="00002924">
        <w:rPr>
          <w:rFonts w:ascii="Arial" w:hAnsi="Arial"/>
          <w:spacing w:val="22"/>
          <w:rtl/>
        </w:rPr>
        <w:t xml:space="preserve">מקים סיכון להישנות העבירה – יש להטיל עליו 30 חודשי מאסר בפועל, מאסר על תנאי וקנס. </w:t>
      </w:r>
    </w:p>
    <w:p w14:paraId="6CD0A9EC"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ab/>
      </w:r>
    </w:p>
    <w:p w14:paraId="1C13A56B" w14:textId="77777777" w:rsidR="00345FBC" w:rsidRPr="00002924" w:rsidRDefault="00345FBC" w:rsidP="00345FBC">
      <w:pPr>
        <w:spacing w:line="360" w:lineRule="auto"/>
        <w:ind w:firstLine="720"/>
        <w:jc w:val="both"/>
        <w:rPr>
          <w:rFonts w:ascii="Arial" w:hAnsi="Arial"/>
          <w:b/>
          <w:bCs/>
          <w:spacing w:val="22"/>
          <w:rtl/>
        </w:rPr>
      </w:pPr>
      <w:r w:rsidRPr="00002924">
        <w:rPr>
          <w:rFonts w:ascii="Arial" w:hAnsi="Arial"/>
          <w:b/>
          <w:bCs/>
          <w:spacing w:val="22"/>
          <w:rtl/>
        </w:rPr>
        <w:t>טענות ההגנה</w:t>
      </w:r>
    </w:p>
    <w:p w14:paraId="38BDB5E4"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5.</w:t>
      </w:r>
      <w:r w:rsidRPr="00002924">
        <w:rPr>
          <w:rFonts w:ascii="Arial" w:hAnsi="Arial"/>
          <w:spacing w:val="22"/>
          <w:rtl/>
        </w:rPr>
        <w:tab/>
        <w:t xml:space="preserve">סנגורו של נאשם טען כי תפקידו של הנאשם לא היה עיקרי, הוא לא היה במעגל הפנימי והחמור של ביצוע העבירה. היעד של הסוכן המשטרתי היה הינדי </w:t>
      </w:r>
      <w:r w:rsidRPr="00002924">
        <w:rPr>
          <w:rFonts w:ascii="Arial" w:hAnsi="Arial"/>
          <w:spacing w:val="22"/>
          <w:rtl/>
        </w:rPr>
        <w:lastRenderedPageBreak/>
        <w:t xml:space="preserve">ולא הנאשם. הנאשם לא היה בקשר עם הסוכן והעסקה התבצעה כפי שתואר בכתב האישום. כמו כן, הינדי מסר לנאשם רק חלק מהתמורה ולא את כולה. עוד נטען כי מדובר באקדח חצי אוטומט, לא הועברו כדורים ולא היה ניסיון לשימוש באקדח. לא  נטען שהאקדח היה בשימוש, אין ראיה לכך שהנאשם יודע להשתמש בו או עשה בו שימוש, והוא נמכר ללא תחמושת. לטענת הסנגור, הנאשם הינו אדם צעיר ואין לו יכולת להביא תחמושת או להשתמש בה. הנאשם הוא בן למשפחה נורמטיבית, הוא הסביר את חלקו בעבירה, אין לו עבר פלילי והוא בוגר 11 שנות לימוד. עזב את לימודיו כדי לעזור בפרנסת המשפחה ועד למעצרו עבד בעבודה חוקית ונורמטיבית באופן יציב. הנאשם הודה במיוחס לו, הביא לחיסכון בזמן שיפוטי, לקח אחריות מלאה על מעשיו והביע חרטה. מתחם הענישה בעבירה הינו 12-36 חודשי מאסר, הסנגור הפנה לפסיקה שהגיש. לטענתו, טענת המאשימה להחמרה בענישה צריכה להיבחן בזהירות, שכן החמרה בענישה צריכה להיעשות באופן הדרגתי ולא באופן דרסטי, והמקרה דנן אינו מתאים לכך. הנאשם עצור מיום 12.3.18 והסנגור ביקש להסתפק בתקופת מעצרו. </w:t>
      </w:r>
    </w:p>
    <w:p w14:paraId="60F7B242" w14:textId="77777777" w:rsidR="00345FBC" w:rsidRPr="00002924" w:rsidRDefault="00345FBC" w:rsidP="00345FBC">
      <w:pPr>
        <w:spacing w:line="360" w:lineRule="auto"/>
        <w:jc w:val="both"/>
        <w:rPr>
          <w:rFonts w:ascii="Arial" w:hAnsi="Arial"/>
          <w:spacing w:val="22"/>
          <w:rtl/>
        </w:rPr>
      </w:pPr>
    </w:p>
    <w:p w14:paraId="197E844A"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6.</w:t>
      </w:r>
      <w:r w:rsidRPr="00002924">
        <w:rPr>
          <w:rFonts w:ascii="Arial" w:hAnsi="Arial"/>
          <w:spacing w:val="22"/>
          <w:rtl/>
        </w:rPr>
        <w:tab/>
        <w:t xml:space="preserve">הנאשם הביע צער וחרטה על מעשיו ואמר כי למד לקח מתקופת המעצר שלו. </w:t>
      </w:r>
    </w:p>
    <w:p w14:paraId="25A5DD75" w14:textId="77777777" w:rsidR="00345FBC" w:rsidRPr="00002924" w:rsidRDefault="00345FBC" w:rsidP="00345FBC">
      <w:pPr>
        <w:spacing w:line="360" w:lineRule="auto"/>
        <w:jc w:val="both"/>
        <w:rPr>
          <w:rFonts w:ascii="Arial" w:hAnsi="Arial"/>
          <w:b/>
          <w:bCs/>
          <w:spacing w:val="22"/>
          <w:rtl/>
        </w:rPr>
      </w:pPr>
    </w:p>
    <w:p w14:paraId="672D8B6C" w14:textId="77777777" w:rsidR="00345FBC" w:rsidRPr="00002924" w:rsidRDefault="00345FBC" w:rsidP="00345FBC">
      <w:pPr>
        <w:spacing w:line="360" w:lineRule="auto"/>
        <w:ind w:firstLine="720"/>
        <w:jc w:val="both"/>
        <w:rPr>
          <w:rFonts w:ascii="Arial" w:hAnsi="Arial"/>
          <w:b/>
          <w:bCs/>
          <w:spacing w:val="22"/>
          <w:rtl/>
        </w:rPr>
      </w:pPr>
      <w:r w:rsidRPr="00002924">
        <w:rPr>
          <w:rFonts w:ascii="Arial" w:hAnsi="Arial"/>
          <w:b/>
          <w:bCs/>
          <w:spacing w:val="22"/>
          <w:rtl/>
        </w:rPr>
        <w:t>תסקיר שירות המבחן</w:t>
      </w:r>
    </w:p>
    <w:p w14:paraId="594A97BB"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7.</w:t>
      </w:r>
      <w:r w:rsidRPr="00002924">
        <w:rPr>
          <w:rFonts w:ascii="Arial" w:hAnsi="Arial"/>
          <w:spacing w:val="22"/>
          <w:rtl/>
        </w:rPr>
        <w:tab/>
        <w:t xml:space="preserve">מתסקיר שירות המבחן שנערך בעניינו של הנאשם עולה כי הינו כבן 21 שנים, רווק, עד למעצרו התגורר בבית הוריו בשכונת עיסוויה בירושלים ולדבריו עבד כחשמלאי, בוגר 11 שנות לימוד, ללא הרשעות קודמות. הנאשם קיבל אחריות חלקית על ביצוע העבירה, אך הביע חרטה ובושה על מעשיו. הוא שלל כל כוונה ותכנון מוקדם במעשיו ואמר כי מצא את הנשק ברחוב והחליט למכרו. שירות המבחן התרשם כי עמדתו נוקשה וקורבנית המקשה עליו לבחון באופן ביקורתי את התנהלותו והוא מתקשה להציב גבולות פנימיים ברורים. יחד עם זאת, הרושם הוא כי לנאשם יכולת לתפקוד תקין. הומלץ על עונש מאסר שייקח בחשבון את ימי מעצרו וכן עונש מאסר על תנאי. </w:t>
      </w:r>
    </w:p>
    <w:p w14:paraId="1DABD78C" w14:textId="77777777" w:rsidR="00345FBC" w:rsidRPr="00002924" w:rsidRDefault="00345FBC" w:rsidP="00345FBC">
      <w:pPr>
        <w:spacing w:line="360" w:lineRule="auto"/>
        <w:jc w:val="both"/>
        <w:rPr>
          <w:rFonts w:ascii="Arial" w:hAnsi="Arial"/>
          <w:spacing w:val="22"/>
          <w:rtl/>
        </w:rPr>
      </w:pPr>
    </w:p>
    <w:p w14:paraId="6478DDF0"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דיון</w:t>
      </w:r>
    </w:p>
    <w:p w14:paraId="0BE7365A"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8.</w:t>
      </w:r>
      <w:r w:rsidRPr="00002924">
        <w:rPr>
          <w:rFonts w:ascii="Arial" w:hAnsi="Arial"/>
          <w:spacing w:val="22"/>
          <w:rtl/>
        </w:rPr>
        <w:tab/>
      </w:r>
      <w:hyperlink r:id="rId10" w:history="1">
        <w:r w:rsidR="00AC6B4E" w:rsidRPr="00AC6B4E">
          <w:rPr>
            <w:rFonts w:ascii="Arial" w:hAnsi="Arial"/>
            <w:color w:val="0000FF"/>
            <w:spacing w:val="22"/>
            <w:u w:val="single"/>
            <w:rtl/>
          </w:rPr>
          <w:t>חוק העונשין</w:t>
        </w:r>
      </w:hyperlink>
      <w:r w:rsidRPr="00002924">
        <w:rPr>
          <w:rFonts w:ascii="Arial" w:hAnsi="Arial"/>
          <w:spacing w:val="22"/>
          <w:rtl/>
        </w:rPr>
        <w:t xml:space="preserve"> (תיקון 113) קבע את עקרון ההלימה שמשמעו אימוץ עקרון הגמול כעקרון מנחה. בחינת העבירה ונסיבותיה מביאה לקביעת מתחם ענישה ולאחר מכן יש לבחון הנסיבות האישיות. העבירה מכתיבה את המתחם ושילוב הנסיבות האישיות במתחם מכתיבים את גזר הדין. </w:t>
      </w:r>
    </w:p>
    <w:p w14:paraId="401CDF54" w14:textId="77777777" w:rsidR="00345FBC" w:rsidRPr="00002924" w:rsidRDefault="00345FBC" w:rsidP="00345FBC">
      <w:pPr>
        <w:spacing w:after="160" w:line="360" w:lineRule="auto"/>
        <w:ind w:left="360"/>
        <w:contextualSpacing/>
        <w:jc w:val="both"/>
        <w:rPr>
          <w:rFonts w:ascii="Calibri" w:hAnsi="Calibri"/>
          <w:spacing w:val="22"/>
          <w:rtl/>
        </w:rPr>
      </w:pPr>
    </w:p>
    <w:p w14:paraId="2EB0820B" w14:textId="77777777" w:rsidR="00345FBC" w:rsidRPr="00002924" w:rsidRDefault="00345FBC" w:rsidP="00345FBC">
      <w:pPr>
        <w:spacing w:line="360" w:lineRule="auto"/>
        <w:jc w:val="both"/>
        <w:rPr>
          <w:rFonts w:ascii="Arial" w:hAnsi="Arial"/>
          <w:spacing w:val="22"/>
          <w:rtl/>
        </w:rPr>
      </w:pPr>
      <w:r>
        <w:rPr>
          <w:rFonts w:ascii="Arial" w:hAnsi="Arial" w:hint="cs"/>
          <w:spacing w:val="22"/>
          <w:rtl/>
        </w:rPr>
        <w:t>9</w:t>
      </w:r>
      <w:r w:rsidRPr="00002924">
        <w:rPr>
          <w:rFonts w:ascii="Arial" w:hAnsi="Arial"/>
          <w:spacing w:val="22"/>
          <w:rtl/>
        </w:rPr>
        <w:t>.</w:t>
      </w:r>
      <w:r w:rsidRPr="00002924">
        <w:rPr>
          <w:rFonts w:ascii="Arial" w:hAnsi="Arial"/>
          <w:spacing w:val="22"/>
          <w:rtl/>
        </w:rPr>
        <w:tab/>
        <w:t>בענייננו</w:t>
      </w:r>
      <w:r>
        <w:rPr>
          <w:rFonts w:ascii="Arial" w:hAnsi="Arial" w:hint="cs"/>
          <w:spacing w:val="22"/>
          <w:rtl/>
        </w:rPr>
        <w:t>,</w:t>
      </w:r>
      <w:r w:rsidRPr="00002924">
        <w:rPr>
          <w:rFonts w:ascii="Arial" w:hAnsi="Arial"/>
          <w:spacing w:val="22"/>
          <w:rtl/>
        </w:rPr>
        <w:t xml:space="preserve"> מדובר באירוע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w:t>
      </w:r>
      <w:r>
        <w:rPr>
          <w:rFonts w:ascii="Arial" w:hAnsi="Arial" w:hint="cs"/>
          <w:spacing w:val="22"/>
          <w:rtl/>
        </w:rPr>
        <w:t>הדברים שנאמרו</w:t>
      </w:r>
      <w:r w:rsidRPr="00002924">
        <w:rPr>
          <w:rFonts w:ascii="Arial" w:hAnsi="Arial"/>
          <w:spacing w:val="22"/>
          <w:rtl/>
        </w:rPr>
        <w:t xml:space="preserve"> ב</w:t>
      </w:r>
      <w:hyperlink r:id="rId11" w:history="1">
        <w:r w:rsidR="00AC6B4E" w:rsidRPr="00AC6B4E">
          <w:rPr>
            <w:rFonts w:ascii="Arial" w:hAnsi="Arial"/>
            <w:color w:val="0000FF"/>
            <w:spacing w:val="22"/>
            <w:u w:val="single"/>
            <w:rtl/>
          </w:rPr>
          <w:t>ע"פ 2251/11</w:t>
        </w:r>
      </w:hyperlink>
      <w:r w:rsidRPr="00002924">
        <w:rPr>
          <w:rFonts w:ascii="Arial" w:hAnsi="Arial"/>
          <w:spacing w:val="22"/>
          <w:rtl/>
        </w:rPr>
        <w:t xml:space="preserve"> ג'מאל נפאע נ' מדינת ישראל (2011): "</w:t>
      </w:r>
      <w:r w:rsidRPr="00002924">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002924">
        <w:rPr>
          <w:rFonts w:ascii="Arial" w:hAnsi="Arial"/>
          <w:spacing w:val="22"/>
          <w:rtl/>
        </w:rPr>
        <w:t>".</w:t>
      </w:r>
    </w:p>
    <w:p w14:paraId="4479A262" w14:textId="77777777" w:rsidR="00345FBC" w:rsidRPr="00002924" w:rsidRDefault="00345FBC" w:rsidP="00345FBC">
      <w:pPr>
        <w:spacing w:line="360" w:lineRule="auto"/>
        <w:jc w:val="both"/>
        <w:rPr>
          <w:rFonts w:ascii="Arial" w:hAnsi="Arial"/>
          <w:spacing w:val="22"/>
          <w:rtl/>
        </w:rPr>
      </w:pPr>
    </w:p>
    <w:p w14:paraId="095760E6" w14:textId="77777777" w:rsidR="00345FBC" w:rsidRPr="00002924" w:rsidRDefault="00345FBC" w:rsidP="00345FBC">
      <w:pPr>
        <w:spacing w:line="360" w:lineRule="auto"/>
        <w:jc w:val="both"/>
        <w:rPr>
          <w:rFonts w:ascii="Arial" w:hAnsi="Arial"/>
          <w:spacing w:val="22"/>
          <w:rtl/>
        </w:rPr>
      </w:pPr>
      <w:r>
        <w:rPr>
          <w:rFonts w:ascii="Arial" w:hAnsi="Arial" w:hint="cs"/>
          <w:spacing w:val="22"/>
          <w:rtl/>
        </w:rPr>
        <w:t>10</w:t>
      </w:r>
      <w:r w:rsidRPr="00002924">
        <w:rPr>
          <w:rFonts w:ascii="Arial" w:hAnsi="Arial"/>
          <w:spacing w:val="22"/>
          <w:rtl/>
        </w:rPr>
        <w:t>.</w:t>
      </w:r>
      <w:r w:rsidRPr="00002924">
        <w:rPr>
          <w:rFonts w:ascii="Arial" w:hAnsi="Arial"/>
          <w:spacing w:val="22"/>
          <w:rtl/>
        </w:rPr>
        <w:tab/>
      </w:r>
      <w:r>
        <w:rPr>
          <w:rFonts w:ascii="Arial" w:hAnsi="Arial" w:hint="cs"/>
          <w:spacing w:val="22"/>
          <w:rtl/>
        </w:rPr>
        <w:t>ה</w:t>
      </w:r>
      <w:r w:rsidRPr="00002924">
        <w:rPr>
          <w:rFonts w:ascii="Arial" w:hAnsi="Arial"/>
          <w:spacing w:val="22"/>
          <w:rtl/>
        </w:rPr>
        <w:t>נסיבות הקשורות בביצוע העבירות דנן מלמדות כי מידת הפגיעה בערכים המוגנים הנה רבה וחמורה. במקרה דנן, כל שנדרש מהינדי היתה שיחת טלפון אחת לנאשם, שהשיבו בו במקום כי יש בידו אקדח למכירה המתאים לדרישותיו ונקב במחיר התמורה. העסקה בוצעה לאחר כשעה בלבד ולאחר תיאום ותכנון מראש והאקדח נמסר ביחד עם מחסנית תואמת. פועלו של הנאשם מלמד על נגישות לנשק בלתי חוקי, על זמינות הנשק ועל היכרותו עם עולם הסחר. והסוכן אף ירה בנשק בעת שבדק אותו בנוכחות הנאשם. הנאשם הבין היטב  את מעשיו ויכול היה לחדול מביצועם בכל רגע אך בחר להמשיך בכך מתוך בצע כסף ורצון להפיק רווח קל ומהיר. הנאשם שימש חוליה מרכזית בסחר זה כמי שסיפק את הנשק ובלעדיו אין. מדובר בנשק חצי אוטומט שמידת פוטנציאל הנזק הטמון בו היא קטלנית ורבה.</w:t>
      </w:r>
    </w:p>
    <w:p w14:paraId="782CFC1E" w14:textId="77777777" w:rsidR="00345FBC" w:rsidRPr="00002924" w:rsidRDefault="00345FBC" w:rsidP="00345FBC">
      <w:pPr>
        <w:spacing w:line="360" w:lineRule="auto"/>
        <w:jc w:val="both"/>
        <w:rPr>
          <w:rFonts w:ascii="Arial" w:hAnsi="Arial"/>
          <w:spacing w:val="22"/>
          <w:rtl/>
        </w:rPr>
      </w:pPr>
    </w:p>
    <w:p w14:paraId="70D0FD50"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Pr>
          <w:rFonts w:ascii="Arial" w:hAnsi="Arial" w:hint="cs"/>
          <w:spacing w:val="22"/>
          <w:rtl/>
        </w:rPr>
        <w:t>1</w:t>
      </w:r>
      <w:r w:rsidRPr="00002924">
        <w:rPr>
          <w:rFonts w:ascii="Arial" w:hAnsi="Arial"/>
          <w:spacing w:val="22"/>
          <w:rtl/>
        </w:rPr>
        <w:t>.</w:t>
      </w:r>
      <w:r w:rsidRPr="00002924">
        <w:rPr>
          <w:rFonts w:ascii="Arial" w:hAnsi="Arial"/>
          <w:spacing w:val="22"/>
          <w:rtl/>
        </w:rPr>
        <w:tab/>
        <w:t xml:space="preserve">פסיקה רבה עוסקת במימדיה המדאיגים של תופעת הסחר הבלתי חוקי בנשק, הסכנות הנשקפות ממנה להסלמה באלימות העבריינית והאידאולוגית כאחד, הקלות היחסית שבה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w:t>
      </w:r>
      <w:hyperlink r:id="rId12" w:history="1">
        <w:r w:rsidR="00720E27" w:rsidRPr="00720E27">
          <w:rPr>
            <w:rFonts w:ascii="Arial" w:hAnsi="Arial"/>
            <w:color w:val="0000FF"/>
            <w:spacing w:val="22"/>
            <w:u w:val="single"/>
            <w:rtl/>
          </w:rPr>
          <w:t xml:space="preserve">1332/04 </w:t>
        </w:r>
      </w:hyperlink>
      <w:r w:rsidRPr="00002924">
        <w:rPr>
          <w:rFonts w:ascii="Arial" w:hAnsi="Arial"/>
          <w:spacing w:val="22"/>
          <w:rtl/>
        </w:rPr>
        <w:t xml:space="preserve"> </w:t>
      </w:r>
      <w:r w:rsidRPr="00002924">
        <w:rPr>
          <w:rFonts w:ascii="Arial" w:hAnsi="Arial"/>
          <w:b/>
          <w:bCs/>
          <w:spacing w:val="22"/>
          <w:rtl/>
        </w:rPr>
        <w:t>מדינת ישראל נ' פס</w:t>
      </w:r>
      <w:r w:rsidRPr="00002924">
        <w:rPr>
          <w:rFonts w:ascii="Arial" w:hAnsi="Arial"/>
          <w:spacing w:val="22"/>
          <w:rtl/>
        </w:rPr>
        <w:t xml:space="preserve">, פ"ד נח (5) 541; </w:t>
      </w:r>
      <w:hyperlink r:id="rId13" w:history="1">
        <w:r w:rsidR="00AC6B4E" w:rsidRPr="00AC6B4E">
          <w:rPr>
            <w:rFonts w:ascii="Arial" w:hAnsi="Arial"/>
            <w:color w:val="0000FF"/>
            <w:spacing w:val="22"/>
            <w:u w:val="single"/>
            <w:rtl/>
          </w:rPr>
          <w:t>ע"פ 4460/11</w:t>
        </w:r>
      </w:hyperlink>
      <w:r w:rsidRPr="00002924">
        <w:rPr>
          <w:rFonts w:ascii="Arial" w:hAnsi="Arial"/>
          <w:spacing w:val="22"/>
          <w:rtl/>
        </w:rPr>
        <w:t xml:space="preserve"> </w:t>
      </w:r>
      <w:r w:rsidRPr="00002924">
        <w:rPr>
          <w:rFonts w:ascii="Arial" w:hAnsi="Arial"/>
          <w:b/>
          <w:bCs/>
          <w:spacing w:val="22"/>
          <w:rtl/>
        </w:rPr>
        <w:t>מדינת ישראל נ' פאיד</w:t>
      </w:r>
      <w:r w:rsidRPr="00002924">
        <w:rPr>
          <w:rFonts w:ascii="Arial" w:hAnsi="Arial"/>
          <w:spacing w:val="22"/>
          <w:rtl/>
        </w:rPr>
        <w:t xml:space="preserve"> (2011); </w:t>
      </w:r>
      <w:hyperlink r:id="rId14" w:history="1">
        <w:r w:rsidR="00AC6B4E" w:rsidRPr="00AC6B4E">
          <w:rPr>
            <w:rFonts w:ascii="Arial" w:hAnsi="Arial"/>
            <w:color w:val="0000FF"/>
            <w:spacing w:val="22"/>
            <w:u w:val="single"/>
            <w:rtl/>
          </w:rPr>
          <w:t>ע"פ 8045/17</w:t>
        </w:r>
      </w:hyperlink>
      <w:r w:rsidRPr="00002924">
        <w:rPr>
          <w:rFonts w:ascii="Arial" w:hAnsi="Arial"/>
          <w:spacing w:val="22"/>
          <w:rtl/>
        </w:rPr>
        <w:t xml:space="preserve"> </w:t>
      </w:r>
      <w:r w:rsidRPr="00002924">
        <w:rPr>
          <w:rFonts w:ascii="Arial" w:hAnsi="Arial"/>
          <w:b/>
          <w:bCs/>
          <w:spacing w:val="22"/>
          <w:rtl/>
        </w:rPr>
        <w:t>בראנסי נ' מדינת ישראל</w:t>
      </w:r>
      <w:r w:rsidRPr="00002924">
        <w:rPr>
          <w:rFonts w:ascii="Arial" w:hAnsi="Arial"/>
          <w:spacing w:val="22"/>
          <w:rtl/>
        </w:rPr>
        <w:t xml:space="preserve"> (2018)). </w:t>
      </w:r>
    </w:p>
    <w:p w14:paraId="1C92CDFE" w14:textId="77777777" w:rsidR="00345FBC" w:rsidRPr="00002924" w:rsidRDefault="00345FBC" w:rsidP="00345FBC">
      <w:pPr>
        <w:spacing w:line="360" w:lineRule="auto"/>
        <w:jc w:val="both"/>
        <w:rPr>
          <w:rFonts w:ascii="Arial" w:hAnsi="Arial"/>
          <w:spacing w:val="22"/>
          <w:rtl/>
        </w:rPr>
      </w:pPr>
    </w:p>
    <w:p w14:paraId="46F53A5A" w14:textId="77777777" w:rsidR="00345FBC" w:rsidRPr="00002924" w:rsidRDefault="00345FBC" w:rsidP="00345FBC">
      <w:pPr>
        <w:spacing w:line="360" w:lineRule="auto"/>
        <w:ind w:firstLine="720"/>
        <w:jc w:val="both"/>
        <w:rPr>
          <w:rFonts w:ascii="Arial" w:hAnsi="Arial"/>
          <w:spacing w:val="22"/>
          <w:rtl/>
        </w:rPr>
      </w:pPr>
      <w:r w:rsidRPr="00002924">
        <w:rPr>
          <w:rFonts w:ascii="Arial" w:hAnsi="Arial"/>
          <w:spacing w:val="22"/>
          <w:rtl/>
        </w:rPr>
        <w:t xml:space="preserve">בחינת מדיניות הענישה הנוהגת בעבירה בה הורשע הנאשם, חומרתה, נסיבות ביצועה ותוצאותיה מובילות למסקנה כי מתחם הענישה ההולם בעניינו של הנאשם נע בין </w:t>
      </w:r>
      <w:r>
        <w:rPr>
          <w:rFonts w:ascii="Arial" w:hAnsi="Arial" w:hint="cs"/>
          <w:spacing w:val="22"/>
          <w:rtl/>
        </w:rPr>
        <w:t>15</w:t>
      </w:r>
      <w:r w:rsidRPr="00002924">
        <w:rPr>
          <w:rFonts w:ascii="Arial" w:hAnsi="Arial"/>
          <w:spacing w:val="22"/>
          <w:rtl/>
        </w:rPr>
        <w:t xml:space="preserve">  ל –  40 חודשי מאסר בפועל. </w:t>
      </w:r>
    </w:p>
    <w:p w14:paraId="48CC678F" w14:textId="77777777" w:rsidR="00345FBC" w:rsidRPr="00002924" w:rsidRDefault="00345FBC" w:rsidP="00345FBC">
      <w:pPr>
        <w:spacing w:line="360" w:lineRule="auto"/>
        <w:jc w:val="both"/>
        <w:rPr>
          <w:rFonts w:ascii="Arial" w:hAnsi="Arial"/>
          <w:spacing w:val="22"/>
          <w:rtl/>
        </w:rPr>
      </w:pPr>
    </w:p>
    <w:p w14:paraId="64ADC31F"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Pr>
          <w:rFonts w:ascii="Arial" w:hAnsi="Arial" w:hint="cs"/>
          <w:spacing w:val="22"/>
          <w:rtl/>
        </w:rPr>
        <w:t>2</w:t>
      </w:r>
      <w:r w:rsidRPr="00002924">
        <w:rPr>
          <w:rFonts w:ascii="Arial" w:hAnsi="Arial"/>
          <w:spacing w:val="22"/>
          <w:rtl/>
        </w:rPr>
        <w:t>.</w:t>
      </w:r>
      <w:r w:rsidRPr="00002924">
        <w:rPr>
          <w:rFonts w:ascii="Arial" w:hAnsi="Arial"/>
          <w:spacing w:val="22"/>
          <w:rtl/>
        </w:rPr>
        <w:tab/>
        <w:t xml:space="preserve">הכלל הבסיסי הנוגע בעבירות בנשק הנו העדפת האינטרס הציבורי על פני האינטרס האישי. סחר בלתי חוקי בנשק עלול לפתוח ציר לפעילות אלימה ובלתי חוקית והשלכותיו רבות ומסוכנות. שיקולי שיקום, ככלל, נסוגים מפני שיקולי הגמול וההרתעה, אם כי, כמובן, יש לשקול ולבחון כל מקרה לגופו. בנסיבות הענין לא מצאתי הצדקה לסטות מהמתחם האמור לקולה או לחומרה. </w:t>
      </w:r>
    </w:p>
    <w:p w14:paraId="792364DC" w14:textId="77777777" w:rsidR="00345FBC" w:rsidRPr="00002924" w:rsidRDefault="00345FBC" w:rsidP="00345FBC">
      <w:pPr>
        <w:spacing w:line="360" w:lineRule="auto"/>
        <w:jc w:val="both"/>
        <w:rPr>
          <w:rFonts w:ascii="Arial" w:hAnsi="Arial"/>
          <w:spacing w:val="22"/>
          <w:rtl/>
        </w:rPr>
      </w:pPr>
    </w:p>
    <w:p w14:paraId="5DE13BA3"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ab/>
        <w:t>בגזירת עונשו של הנאשם בתוך המתחם יש לזקוף לזכותו את גילו הצעיר, הודאתו במיוחס לו שהביאה לחיסון בזמן שיפוטי ולייעול ההליכים, לקיחת אחריות על המעשים, הבעת החרטה, העדר הרשעות קודמות וחוות דעתו של שירות המבחן, לפיה לנאשם יכולת לתפקוד תקין. כמו כן, יש להתחשב בתקופת מעצרו הממושך של הנאשם. יחד עם זאת, מהתסקיר עולה כי האחריות שלקח הנאשם על עצמו הנה חלקית בלבד, עמדתו קורבנית והוא מתקשה בתובנת חומרת מעשיו, וכן נעדרת המלצה טיפולית בעניינו.</w:t>
      </w:r>
    </w:p>
    <w:p w14:paraId="24B9D5D3" w14:textId="77777777" w:rsidR="00345FBC" w:rsidRPr="00002924" w:rsidRDefault="00345FBC" w:rsidP="00345FBC">
      <w:pPr>
        <w:spacing w:line="360" w:lineRule="auto"/>
        <w:jc w:val="both"/>
        <w:rPr>
          <w:rFonts w:ascii="David" w:hAnsi="David"/>
          <w:spacing w:val="22"/>
          <w:rtl/>
        </w:rPr>
      </w:pPr>
    </w:p>
    <w:p w14:paraId="084CD1ED" w14:textId="77777777" w:rsidR="00345FBC" w:rsidRDefault="00345FBC" w:rsidP="00345FBC">
      <w:pPr>
        <w:spacing w:line="360" w:lineRule="auto"/>
        <w:jc w:val="both"/>
        <w:rPr>
          <w:rFonts w:ascii="David" w:hAnsi="David"/>
          <w:spacing w:val="22"/>
          <w:rtl/>
        </w:rPr>
      </w:pPr>
      <w:r w:rsidRPr="00002924">
        <w:rPr>
          <w:rFonts w:ascii="David" w:hAnsi="David"/>
          <w:spacing w:val="22"/>
          <w:rtl/>
        </w:rPr>
        <w:t>1</w:t>
      </w:r>
      <w:r>
        <w:rPr>
          <w:rFonts w:ascii="David" w:hAnsi="David" w:hint="cs"/>
          <w:spacing w:val="22"/>
          <w:rtl/>
        </w:rPr>
        <w:t>3</w:t>
      </w:r>
      <w:r w:rsidRPr="00002924">
        <w:rPr>
          <w:rFonts w:ascii="David" w:hAnsi="David"/>
          <w:spacing w:val="22"/>
          <w:rtl/>
        </w:rPr>
        <w:t>.</w:t>
      </w:r>
      <w:r w:rsidRPr="00002924">
        <w:rPr>
          <w:rFonts w:ascii="David" w:hAnsi="David"/>
          <w:spacing w:val="22"/>
          <w:rtl/>
        </w:rPr>
        <w:tab/>
      </w:r>
      <w:r w:rsidRPr="00002924">
        <w:rPr>
          <w:rFonts w:ascii="David" w:hAnsi="David" w:hint="eastAsia"/>
          <w:spacing w:val="22"/>
          <w:rtl/>
        </w:rPr>
        <w:t>בנסיבות</w:t>
      </w:r>
      <w:r w:rsidRPr="00002924">
        <w:rPr>
          <w:rFonts w:ascii="David" w:hAnsi="David"/>
          <w:spacing w:val="22"/>
          <w:rtl/>
        </w:rPr>
        <w:t xml:space="preserve"> </w:t>
      </w:r>
      <w:r w:rsidRPr="00002924">
        <w:rPr>
          <w:rFonts w:ascii="David" w:hAnsi="David" w:hint="eastAsia"/>
          <w:spacing w:val="22"/>
          <w:rtl/>
        </w:rPr>
        <w:t>אלה</w:t>
      </w:r>
      <w:r w:rsidRPr="00002924">
        <w:rPr>
          <w:rFonts w:ascii="David" w:hAnsi="David"/>
          <w:spacing w:val="22"/>
          <w:rtl/>
        </w:rPr>
        <w:t xml:space="preserve"> </w:t>
      </w:r>
      <w:r w:rsidRPr="00002924">
        <w:rPr>
          <w:rFonts w:ascii="David" w:hAnsi="David" w:hint="eastAsia"/>
          <w:spacing w:val="22"/>
          <w:rtl/>
        </w:rPr>
        <w:t>ולאחר</w:t>
      </w:r>
      <w:r w:rsidRPr="00002924">
        <w:rPr>
          <w:rFonts w:ascii="David" w:hAnsi="David"/>
          <w:spacing w:val="22"/>
          <w:rtl/>
        </w:rPr>
        <w:t xml:space="preserve"> </w:t>
      </w:r>
      <w:r w:rsidRPr="00002924">
        <w:rPr>
          <w:rFonts w:ascii="David" w:hAnsi="David" w:hint="eastAsia"/>
          <w:spacing w:val="22"/>
          <w:rtl/>
        </w:rPr>
        <w:t>שקלול</w:t>
      </w:r>
      <w:r w:rsidRPr="00002924">
        <w:rPr>
          <w:rFonts w:ascii="David" w:hAnsi="David"/>
          <w:spacing w:val="22"/>
          <w:rtl/>
        </w:rPr>
        <w:t xml:space="preserve"> </w:t>
      </w:r>
      <w:r w:rsidRPr="00002924">
        <w:rPr>
          <w:rFonts w:ascii="David" w:hAnsi="David" w:hint="eastAsia"/>
          <w:spacing w:val="22"/>
          <w:rtl/>
        </w:rPr>
        <w:t>כפי</w:t>
      </w:r>
      <w:r w:rsidRPr="00002924">
        <w:rPr>
          <w:rFonts w:ascii="David" w:hAnsi="David"/>
          <w:spacing w:val="22"/>
          <w:rtl/>
        </w:rPr>
        <w:t xml:space="preserve"> </w:t>
      </w:r>
      <w:r w:rsidRPr="00002924">
        <w:rPr>
          <w:rFonts w:ascii="David" w:hAnsi="David" w:hint="eastAsia"/>
          <w:spacing w:val="22"/>
          <w:rtl/>
        </w:rPr>
        <w:t>שתואר</w:t>
      </w:r>
      <w:r w:rsidRPr="00002924">
        <w:rPr>
          <w:rFonts w:ascii="David" w:hAnsi="David"/>
          <w:spacing w:val="22"/>
          <w:rtl/>
        </w:rPr>
        <w:t xml:space="preserve"> </w:t>
      </w:r>
      <w:r w:rsidRPr="00002924">
        <w:rPr>
          <w:rFonts w:ascii="David" w:hAnsi="David" w:hint="eastAsia"/>
          <w:spacing w:val="22"/>
          <w:rtl/>
        </w:rPr>
        <w:t>בהרחבה</w:t>
      </w:r>
      <w:r w:rsidRPr="00002924">
        <w:rPr>
          <w:rFonts w:ascii="David" w:hAnsi="David"/>
          <w:spacing w:val="22"/>
          <w:rtl/>
        </w:rPr>
        <w:t xml:space="preserve"> </w:t>
      </w:r>
      <w:r w:rsidRPr="00002924">
        <w:rPr>
          <w:rFonts w:ascii="David" w:hAnsi="David" w:hint="eastAsia"/>
          <w:spacing w:val="22"/>
          <w:rtl/>
        </w:rPr>
        <w:t>בתסקיר</w:t>
      </w:r>
      <w:r w:rsidRPr="00002924">
        <w:rPr>
          <w:rFonts w:ascii="David" w:hAnsi="David"/>
          <w:spacing w:val="22"/>
          <w:rtl/>
        </w:rPr>
        <w:t xml:space="preserve"> </w:t>
      </w:r>
      <w:r w:rsidRPr="00002924">
        <w:rPr>
          <w:rFonts w:ascii="David" w:hAnsi="David" w:hint="eastAsia"/>
          <w:spacing w:val="22"/>
          <w:rtl/>
        </w:rPr>
        <w:t>שירות</w:t>
      </w:r>
      <w:r w:rsidRPr="00002924">
        <w:rPr>
          <w:rFonts w:ascii="David" w:hAnsi="David"/>
          <w:spacing w:val="22"/>
          <w:rtl/>
        </w:rPr>
        <w:t xml:space="preserve"> </w:t>
      </w:r>
      <w:r w:rsidRPr="00002924">
        <w:rPr>
          <w:rFonts w:ascii="David" w:hAnsi="David" w:hint="eastAsia"/>
          <w:spacing w:val="22"/>
          <w:rtl/>
        </w:rPr>
        <w:t>המבחן</w:t>
      </w:r>
      <w:r w:rsidRPr="00002924">
        <w:rPr>
          <w:rFonts w:ascii="David" w:hAnsi="David"/>
          <w:spacing w:val="22"/>
          <w:rtl/>
        </w:rPr>
        <w:t xml:space="preserve"> </w:t>
      </w:r>
      <w:r w:rsidRPr="00002924">
        <w:rPr>
          <w:rFonts w:ascii="David" w:hAnsi="David" w:hint="eastAsia"/>
          <w:spacing w:val="22"/>
          <w:rtl/>
        </w:rPr>
        <w:t>ופורט</w:t>
      </w:r>
      <w:r w:rsidRPr="00002924">
        <w:rPr>
          <w:rFonts w:ascii="David" w:hAnsi="David"/>
          <w:spacing w:val="22"/>
          <w:rtl/>
        </w:rPr>
        <w:t xml:space="preserve"> </w:t>
      </w:r>
      <w:r w:rsidRPr="00002924">
        <w:rPr>
          <w:rFonts w:ascii="David" w:hAnsi="David" w:hint="eastAsia"/>
          <w:spacing w:val="22"/>
          <w:rtl/>
        </w:rPr>
        <w:t>לעיל</w:t>
      </w:r>
      <w:r w:rsidRPr="00002924">
        <w:rPr>
          <w:rFonts w:ascii="David" w:hAnsi="David"/>
          <w:spacing w:val="22"/>
          <w:rtl/>
        </w:rPr>
        <w:t xml:space="preserve">, </w:t>
      </w:r>
      <w:r w:rsidRPr="00002924">
        <w:rPr>
          <w:rFonts w:ascii="David" w:hAnsi="David" w:hint="eastAsia"/>
          <w:spacing w:val="22"/>
          <w:rtl/>
        </w:rPr>
        <w:t>אני</w:t>
      </w:r>
      <w:r w:rsidRPr="00002924">
        <w:rPr>
          <w:rFonts w:ascii="David" w:hAnsi="David"/>
          <w:spacing w:val="22"/>
          <w:rtl/>
        </w:rPr>
        <w:t xml:space="preserve"> </w:t>
      </w:r>
      <w:r w:rsidRPr="00002924">
        <w:rPr>
          <w:rFonts w:ascii="David" w:hAnsi="David" w:hint="eastAsia"/>
          <w:spacing w:val="22"/>
          <w:rtl/>
        </w:rPr>
        <w:t>גוזר</w:t>
      </w:r>
      <w:r w:rsidRPr="00002924">
        <w:rPr>
          <w:rFonts w:ascii="David" w:hAnsi="David"/>
          <w:spacing w:val="22"/>
          <w:rtl/>
        </w:rPr>
        <w:t xml:space="preserve"> </w:t>
      </w:r>
      <w:r w:rsidRPr="00002924">
        <w:rPr>
          <w:rFonts w:ascii="David" w:hAnsi="David" w:hint="eastAsia"/>
          <w:spacing w:val="22"/>
          <w:rtl/>
        </w:rPr>
        <w:t>על</w:t>
      </w:r>
      <w:r w:rsidRPr="00002924">
        <w:rPr>
          <w:rFonts w:ascii="David" w:hAnsi="David"/>
          <w:spacing w:val="22"/>
          <w:rtl/>
        </w:rPr>
        <w:t xml:space="preserve"> </w:t>
      </w:r>
      <w:r w:rsidRPr="00002924">
        <w:rPr>
          <w:rFonts w:ascii="David" w:hAnsi="David" w:hint="eastAsia"/>
          <w:spacing w:val="22"/>
          <w:rtl/>
        </w:rPr>
        <w:t>הנאשם</w:t>
      </w:r>
      <w:r w:rsidRPr="00002924">
        <w:rPr>
          <w:rFonts w:ascii="David" w:hAnsi="David"/>
          <w:spacing w:val="22"/>
          <w:rtl/>
        </w:rPr>
        <w:t xml:space="preserve">, </w:t>
      </w:r>
      <w:r w:rsidRPr="00002924">
        <w:rPr>
          <w:rFonts w:ascii="David" w:hAnsi="David" w:hint="eastAsia"/>
          <w:spacing w:val="22"/>
          <w:rtl/>
        </w:rPr>
        <w:t>כלהלן</w:t>
      </w:r>
      <w:r w:rsidRPr="00002924">
        <w:rPr>
          <w:rFonts w:ascii="David" w:hAnsi="David"/>
          <w:spacing w:val="22"/>
          <w:rtl/>
        </w:rPr>
        <w:t>:</w:t>
      </w:r>
    </w:p>
    <w:p w14:paraId="061E3583" w14:textId="77777777" w:rsidR="00345FBC" w:rsidRDefault="00345FBC" w:rsidP="00345FBC">
      <w:pPr>
        <w:spacing w:line="360" w:lineRule="auto"/>
        <w:jc w:val="both"/>
        <w:rPr>
          <w:rFonts w:ascii="David" w:hAnsi="David"/>
          <w:spacing w:val="22"/>
          <w:rtl/>
        </w:rPr>
      </w:pPr>
    </w:p>
    <w:p w14:paraId="4FF78FD9" w14:textId="77777777" w:rsidR="00345FBC" w:rsidRDefault="00345FBC" w:rsidP="00345FBC">
      <w:pPr>
        <w:spacing w:line="360" w:lineRule="auto"/>
        <w:jc w:val="both"/>
        <w:rPr>
          <w:rFonts w:ascii="David" w:hAnsi="David"/>
          <w:spacing w:val="22"/>
          <w:rtl/>
        </w:rPr>
      </w:pPr>
      <w:r>
        <w:rPr>
          <w:rFonts w:ascii="David" w:hAnsi="David"/>
          <w:spacing w:val="22"/>
          <w:rtl/>
        </w:rPr>
        <w:tab/>
      </w:r>
      <w:r>
        <w:rPr>
          <w:rFonts w:ascii="David" w:hAnsi="David" w:hint="cs"/>
          <w:spacing w:val="22"/>
          <w:rtl/>
        </w:rPr>
        <w:t>א.</w:t>
      </w:r>
      <w:r>
        <w:rPr>
          <w:rFonts w:ascii="David" w:hAnsi="David" w:hint="cs"/>
          <w:spacing w:val="22"/>
          <w:rtl/>
        </w:rPr>
        <w:tab/>
        <w:t xml:space="preserve">מאסר בפועל לתקופת 18 חודשים. תחילת מאסרו מיום מעצרו. </w:t>
      </w:r>
    </w:p>
    <w:p w14:paraId="67564694" w14:textId="77777777" w:rsidR="00345FBC" w:rsidRDefault="00345FBC" w:rsidP="00345FBC">
      <w:pPr>
        <w:spacing w:line="360" w:lineRule="auto"/>
        <w:jc w:val="both"/>
        <w:rPr>
          <w:rFonts w:ascii="David" w:hAnsi="David"/>
          <w:spacing w:val="22"/>
          <w:rtl/>
        </w:rPr>
      </w:pPr>
    </w:p>
    <w:p w14:paraId="73DE984B" w14:textId="77777777" w:rsidR="00345FBC" w:rsidRPr="00002924" w:rsidRDefault="00345FBC" w:rsidP="00345FBC">
      <w:pPr>
        <w:spacing w:line="360" w:lineRule="auto"/>
        <w:ind w:left="1440" w:hanging="720"/>
        <w:jc w:val="both"/>
        <w:rPr>
          <w:rFonts w:ascii="David" w:hAnsi="David"/>
          <w:spacing w:val="22"/>
          <w:rtl/>
        </w:rPr>
      </w:pPr>
      <w:r>
        <w:rPr>
          <w:rFonts w:ascii="David" w:hAnsi="David" w:hint="cs"/>
          <w:spacing w:val="22"/>
          <w:rtl/>
        </w:rPr>
        <w:t>ב.</w:t>
      </w:r>
      <w:r>
        <w:rPr>
          <w:rFonts w:ascii="David" w:hAnsi="David" w:hint="cs"/>
          <w:spacing w:val="22"/>
          <w:rtl/>
        </w:rPr>
        <w:tab/>
        <w:t xml:space="preserve">מאסר מותנה לתקופת 7 חודשים והתנאי הוא שהנאשם לא יעבור עבירה מסוג פשע בתוך 3 שנים מיום שחרורו ממאסר. </w:t>
      </w:r>
    </w:p>
    <w:p w14:paraId="3D85711A" w14:textId="77777777" w:rsidR="00345FBC" w:rsidRPr="00002924" w:rsidRDefault="00345FBC" w:rsidP="00345FBC">
      <w:pPr>
        <w:spacing w:line="360" w:lineRule="auto"/>
        <w:jc w:val="both"/>
        <w:rPr>
          <w:rFonts w:ascii="Arial" w:hAnsi="Arial"/>
          <w:strike/>
          <w:spacing w:val="22"/>
          <w:rtl/>
        </w:rPr>
      </w:pPr>
    </w:p>
    <w:p w14:paraId="4350D606" w14:textId="77777777" w:rsidR="00345FBC" w:rsidRDefault="00345FBC" w:rsidP="00345FBC">
      <w:pPr>
        <w:rPr>
          <w:spacing w:val="22"/>
          <w:rtl/>
        </w:rPr>
      </w:pPr>
      <w:r>
        <w:rPr>
          <w:spacing w:val="22"/>
          <w:rtl/>
        </w:rPr>
        <w:tab/>
      </w:r>
      <w:r>
        <w:rPr>
          <w:rFonts w:hint="cs"/>
          <w:spacing w:val="22"/>
          <w:rtl/>
        </w:rPr>
        <w:t xml:space="preserve">זכות ערעור לבית משפט העליון בתוך 45 יום מהיום. </w:t>
      </w:r>
    </w:p>
    <w:p w14:paraId="0F2F8D62" w14:textId="77777777" w:rsidR="00345FBC" w:rsidRPr="00002924" w:rsidRDefault="00345FBC" w:rsidP="00345FBC">
      <w:pPr>
        <w:rPr>
          <w:spacing w:val="22"/>
          <w:rtl/>
        </w:rPr>
      </w:pPr>
    </w:p>
    <w:p w14:paraId="2E4F9CFA" w14:textId="77777777" w:rsidR="00345FBC" w:rsidRPr="00002924" w:rsidRDefault="00345FBC" w:rsidP="00345FBC">
      <w:pPr>
        <w:rPr>
          <w:spacing w:val="22"/>
          <w:rtl/>
        </w:rPr>
      </w:pPr>
    </w:p>
    <w:p w14:paraId="3F45FB63" w14:textId="77777777" w:rsidR="00345FBC" w:rsidRDefault="00AC6B4E" w:rsidP="00345FBC">
      <w:pPr>
        <w:spacing w:line="360" w:lineRule="auto"/>
        <w:ind w:firstLine="720"/>
        <w:jc w:val="both"/>
        <w:rPr>
          <w:rFonts w:ascii="Arial" w:hAnsi="Arial"/>
          <w:spacing w:val="22"/>
          <w:rtl/>
        </w:rPr>
      </w:pPr>
      <w:r>
        <w:rPr>
          <w:rFonts w:ascii="Arial" w:hAnsi="Arial"/>
          <w:spacing w:val="22"/>
          <w:rtl/>
        </w:rPr>
        <w:t xml:space="preserve">ניתן היום,  ה' טבת תשע"ט, 13 דצמבר 2018, במעמד ב"כ המאשימה, ב"כ </w:t>
      </w:r>
      <w:r w:rsidR="00345FBC">
        <w:rPr>
          <w:rFonts w:ascii="Arial" w:hAnsi="Arial" w:hint="cs"/>
          <w:spacing w:val="22"/>
          <w:rtl/>
        </w:rPr>
        <w:t xml:space="preserve">הנאשם והנאשם עצמו. </w:t>
      </w:r>
    </w:p>
    <w:p w14:paraId="7AC9D343" w14:textId="77777777" w:rsidR="00345FBC" w:rsidRPr="00AC6B4E" w:rsidRDefault="00AC6B4E" w:rsidP="00345FBC">
      <w:pPr>
        <w:spacing w:line="360" w:lineRule="auto"/>
        <w:ind w:firstLine="720"/>
        <w:jc w:val="both"/>
        <w:rPr>
          <w:rFonts w:ascii="Arial" w:hAnsi="Arial"/>
          <w:color w:val="FFFFFF"/>
          <w:spacing w:val="22"/>
          <w:sz w:val="2"/>
          <w:szCs w:val="2"/>
          <w:rtl/>
        </w:rPr>
      </w:pPr>
      <w:r w:rsidRPr="00AC6B4E">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345FBC" w14:paraId="3328DF74" w14:textId="77777777" w:rsidTr="00345FBC">
        <w:tc>
          <w:tcPr>
            <w:tcW w:w="284" w:type="dxa"/>
            <w:tcBorders>
              <w:top w:val="nil"/>
              <w:left w:val="nil"/>
              <w:bottom w:val="single" w:sz="4" w:space="0" w:color="auto"/>
              <w:right w:val="nil"/>
            </w:tcBorders>
            <w:shd w:val="clear" w:color="auto" w:fill="auto"/>
            <w:vAlign w:val="center"/>
          </w:tcPr>
          <w:p w14:paraId="2BBAAA6D" w14:textId="77777777" w:rsidR="00345FBC" w:rsidRPr="00AC6B4E" w:rsidRDefault="00AC6B4E" w:rsidP="00345FBC">
            <w:pPr>
              <w:jc w:val="center"/>
              <w:rPr>
                <w:rFonts w:ascii="Courier New" w:hAnsi="Courier New"/>
                <w:b/>
                <w:bCs/>
                <w:color w:val="FFFFFF"/>
                <w:sz w:val="2"/>
                <w:szCs w:val="2"/>
              </w:rPr>
            </w:pPr>
            <w:r w:rsidRPr="00AC6B4E">
              <w:rPr>
                <w:rFonts w:ascii="Courier New" w:hAnsi="Courier New"/>
                <w:b/>
                <w:bCs/>
                <w:color w:val="FFFFFF"/>
                <w:sz w:val="2"/>
                <w:szCs w:val="2"/>
                <w:rtl/>
              </w:rPr>
              <w:t>54678313</w:t>
            </w:r>
          </w:p>
        </w:tc>
      </w:tr>
      <w:tr w:rsidR="00345FBC" w14:paraId="2BC6880E" w14:textId="77777777" w:rsidTr="00345FBC">
        <w:tc>
          <w:tcPr>
            <w:tcW w:w="284" w:type="dxa"/>
            <w:tcBorders>
              <w:top w:val="single" w:sz="4" w:space="0" w:color="auto"/>
              <w:left w:val="nil"/>
              <w:bottom w:val="nil"/>
              <w:right w:val="nil"/>
            </w:tcBorders>
            <w:shd w:val="clear" w:color="auto" w:fill="auto"/>
            <w:vAlign w:val="center"/>
          </w:tcPr>
          <w:p w14:paraId="42114666" w14:textId="77777777" w:rsidR="00345FBC" w:rsidRPr="00345FBC" w:rsidRDefault="00345FBC" w:rsidP="00345FBC">
            <w:pPr>
              <w:spacing w:line="360" w:lineRule="auto"/>
              <w:jc w:val="center"/>
              <w:rPr>
                <w:b/>
                <w:bCs/>
                <w:noProof/>
                <w:rtl/>
              </w:rPr>
            </w:pPr>
            <w:r w:rsidRPr="00345FBC">
              <w:rPr>
                <w:rFonts w:hint="cs"/>
                <w:b/>
                <w:bCs/>
                <w:rtl/>
              </w:rPr>
              <w:t>רפי כרמל, שופט</w:t>
            </w:r>
          </w:p>
        </w:tc>
      </w:tr>
    </w:tbl>
    <w:p w14:paraId="7A5E421F" w14:textId="77777777" w:rsidR="00345FBC" w:rsidRDefault="00345FBC" w:rsidP="00345FBC"/>
    <w:p w14:paraId="0D1B9294" w14:textId="77777777" w:rsidR="00345FBC" w:rsidRPr="00271731" w:rsidRDefault="00271731" w:rsidP="00345FBC">
      <w:pPr>
        <w:pStyle w:val="a3"/>
        <w:jc w:val="center"/>
        <w:rPr>
          <w:color w:val="FFFFFF"/>
          <w:spacing w:val="22"/>
          <w:sz w:val="2"/>
          <w:szCs w:val="2"/>
          <w:rtl/>
        </w:rPr>
      </w:pPr>
      <w:r w:rsidRPr="00271731">
        <w:rPr>
          <w:color w:val="FFFFFF"/>
          <w:spacing w:val="22"/>
          <w:sz w:val="2"/>
          <w:szCs w:val="2"/>
          <w:rtl/>
        </w:rPr>
        <w:t>5129371</w:t>
      </w:r>
    </w:p>
    <w:p w14:paraId="75D30038" w14:textId="77777777" w:rsidR="00BE0818" w:rsidRPr="00271731" w:rsidRDefault="00271731" w:rsidP="00AC6B4E">
      <w:pPr>
        <w:keepNext/>
        <w:rPr>
          <w:rFonts w:ascii="David" w:hAnsi="David"/>
          <w:color w:val="FFFFFF"/>
          <w:sz w:val="2"/>
          <w:szCs w:val="2"/>
          <w:rtl/>
        </w:rPr>
      </w:pPr>
      <w:r w:rsidRPr="00271731">
        <w:rPr>
          <w:rFonts w:ascii="David" w:hAnsi="David"/>
          <w:color w:val="FFFFFF"/>
          <w:sz w:val="2"/>
          <w:szCs w:val="2"/>
          <w:rtl/>
        </w:rPr>
        <w:t>54678313</w:t>
      </w:r>
    </w:p>
    <w:p w14:paraId="3ABC56FC" w14:textId="77777777" w:rsidR="00AC6B4E" w:rsidRDefault="00AC6B4E" w:rsidP="00AC6B4E">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6661D816" w14:textId="77777777" w:rsidR="00271731" w:rsidRPr="00271731" w:rsidRDefault="00271731" w:rsidP="00271731">
      <w:pPr>
        <w:keepNext/>
        <w:rPr>
          <w:rFonts w:ascii="David" w:hAnsi="David"/>
          <w:color w:val="000000"/>
          <w:sz w:val="22"/>
          <w:szCs w:val="22"/>
          <w:rtl/>
        </w:rPr>
      </w:pPr>
    </w:p>
    <w:p w14:paraId="52ABBC54" w14:textId="77777777" w:rsidR="00271731" w:rsidRPr="00271731" w:rsidRDefault="00271731" w:rsidP="00271731">
      <w:pPr>
        <w:keepNext/>
        <w:rPr>
          <w:rFonts w:ascii="David" w:hAnsi="David"/>
          <w:color w:val="000000"/>
          <w:sz w:val="22"/>
          <w:szCs w:val="22"/>
          <w:rtl/>
        </w:rPr>
      </w:pPr>
      <w:r w:rsidRPr="00271731">
        <w:rPr>
          <w:rFonts w:ascii="David" w:hAnsi="David"/>
          <w:color w:val="000000"/>
          <w:sz w:val="22"/>
          <w:szCs w:val="22"/>
          <w:rtl/>
        </w:rPr>
        <w:t>רפי כרמל 54678313-/</w:t>
      </w:r>
    </w:p>
    <w:p w14:paraId="2164B16B" w14:textId="77777777" w:rsidR="00AC6B4E" w:rsidRPr="00AC6B4E" w:rsidRDefault="00271731" w:rsidP="00271731">
      <w:pPr>
        <w:rPr>
          <w:color w:val="0000FF"/>
          <w:u w:val="single"/>
        </w:rPr>
      </w:pPr>
      <w:r w:rsidRPr="00271731">
        <w:rPr>
          <w:color w:val="000000"/>
          <w:u w:val="single"/>
          <w:rtl/>
        </w:rPr>
        <w:t>נוסח מסמך זה כפוף לשינויי ניסוח ועריכה</w:t>
      </w:r>
    </w:p>
    <w:sectPr w:rsidR="00AC6B4E" w:rsidRPr="00AC6B4E" w:rsidSect="00271731">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4C694" w14:textId="77777777" w:rsidR="002300D2" w:rsidRDefault="002300D2" w:rsidP="0045764D">
      <w:r>
        <w:separator/>
      </w:r>
    </w:p>
  </w:endnote>
  <w:endnote w:type="continuationSeparator" w:id="0">
    <w:p w14:paraId="08F9F353" w14:textId="77777777" w:rsidR="002300D2" w:rsidRDefault="002300D2" w:rsidP="0045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DE943" w14:textId="77777777" w:rsidR="00271731" w:rsidRDefault="00271731" w:rsidP="002717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DA73C0" w14:textId="77777777" w:rsidR="009A46D0" w:rsidRPr="00271731" w:rsidRDefault="00271731" w:rsidP="00271731">
    <w:pPr>
      <w:pStyle w:val="a5"/>
      <w:pBdr>
        <w:top w:val="single" w:sz="4" w:space="1" w:color="auto"/>
        <w:between w:val="single" w:sz="4" w:space="0" w:color="auto"/>
      </w:pBdr>
      <w:spacing w:after="60"/>
      <w:jc w:val="center"/>
      <w:rPr>
        <w:rFonts w:ascii="FrankRuehl" w:hAnsi="FrankRuehl" w:cs="FrankRuehl"/>
        <w:color w:val="000000"/>
      </w:rPr>
    </w:pPr>
    <w:r w:rsidRPr="002717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8EB43" w14:textId="77777777" w:rsidR="00271731" w:rsidRDefault="00271731" w:rsidP="002717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25D7">
      <w:rPr>
        <w:rFonts w:ascii="FrankRuehl" w:hAnsi="FrankRuehl" w:cs="FrankRuehl"/>
        <w:noProof/>
        <w:rtl/>
      </w:rPr>
      <w:t>1</w:t>
    </w:r>
    <w:r>
      <w:rPr>
        <w:rFonts w:ascii="FrankRuehl" w:hAnsi="FrankRuehl" w:cs="FrankRuehl"/>
        <w:rtl/>
      </w:rPr>
      <w:fldChar w:fldCharType="end"/>
    </w:r>
  </w:p>
  <w:p w14:paraId="67463F81" w14:textId="77777777" w:rsidR="009A46D0" w:rsidRPr="00271731" w:rsidRDefault="00271731" w:rsidP="00271731">
    <w:pPr>
      <w:pStyle w:val="a5"/>
      <w:pBdr>
        <w:top w:val="single" w:sz="4" w:space="1" w:color="auto"/>
        <w:between w:val="single" w:sz="4" w:space="0" w:color="auto"/>
      </w:pBdr>
      <w:spacing w:after="60"/>
      <w:jc w:val="center"/>
      <w:rPr>
        <w:rFonts w:ascii="FrankRuehl" w:hAnsi="FrankRuehl" w:cs="FrankRuehl"/>
        <w:color w:val="000000"/>
      </w:rPr>
    </w:pPr>
    <w:r w:rsidRPr="00271731">
      <w:rPr>
        <w:rFonts w:ascii="FrankRuehl" w:hAnsi="FrankRuehl" w:cs="FrankRuehl"/>
        <w:color w:val="000000"/>
      </w:rPr>
      <w:pict w14:anchorId="2457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83B49" w14:textId="77777777" w:rsidR="002300D2" w:rsidRDefault="002300D2" w:rsidP="0045764D">
      <w:r>
        <w:separator/>
      </w:r>
    </w:p>
  </w:footnote>
  <w:footnote w:type="continuationSeparator" w:id="0">
    <w:p w14:paraId="647FDE1E" w14:textId="77777777" w:rsidR="002300D2" w:rsidRDefault="002300D2" w:rsidP="00457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AFE0C" w14:textId="77777777" w:rsidR="00AC6B4E" w:rsidRPr="00271731" w:rsidRDefault="00271731" w:rsidP="0027173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50551-03-18</w:t>
    </w:r>
    <w:r>
      <w:rPr>
        <w:rFonts w:ascii="David" w:hAnsi="David"/>
        <w:color w:val="000000"/>
        <w:sz w:val="22"/>
        <w:szCs w:val="22"/>
        <w:rtl/>
      </w:rPr>
      <w:tab/>
      <w:t xml:space="preserve"> מדינת ישראל נ' אחמד עטיה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8B49" w14:textId="77777777" w:rsidR="00AC6B4E" w:rsidRPr="00271731" w:rsidRDefault="00271731" w:rsidP="002717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50551-03-18</w:t>
    </w:r>
    <w:r>
      <w:rPr>
        <w:rFonts w:ascii="David" w:hAnsi="David"/>
        <w:color w:val="000000"/>
        <w:sz w:val="22"/>
        <w:szCs w:val="22"/>
        <w:rtl/>
      </w:rPr>
      <w:tab/>
      <w:t xml:space="preserve"> מדינת ישראל נ' אחמד עטיה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5FBC"/>
    <w:rsid w:val="002300D2"/>
    <w:rsid w:val="00271731"/>
    <w:rsid w:val="00345FBC"/>
    <w:rsid w:val="00381020"/>
    <w:rsid w:val="0045764D"/>
    <w:rsid w:val="0071590A"/>
    <w:rsid w:val="00720E27"/>
    <w:rsid w:val="00796B12"/>
    <w:rsid w:val="009A46D0"/>
    <w:rsid w:val="00AC6B4E"/>
    <w:rsid w:val="00B525D7"/>
    <w:rsid w:val="00BA2417"/>
    <w:rsid w:val="00BE0818"/>
    <w:rsid w:val="00EA65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E6F202E"/>
  <w15:chartTrackingRefBased/>
  <w15:docId w15:val="{C0FA2C24-FFA8-4733-9ADD-E7BE6460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5FB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5FBC"/>
    <w:pPr>
      <w:tabs>
        <w:tab w:val="center" w:pos="4153"/>
        <w:tab w:val="right" w:pos="8306"/>
      </w:tabs>
    </w:pPr>
  </w:style>
  <w:style w:type="character" w:customStyle="1" w:styleId="a4">
    <w:name w:val="כותרת עליונה תו"/>
    <w:link w:val="a3"/>
    <w:rsid w:val="00345FBC"/>
    <w:rPr>
      <w:rFonts w:ascii="Times New Roman" w:eastAsia="Times New Roman" w:hAnsi="Times New Roman" w:cs="David"/>
      <w:sz w:val="24"/>
      <w:szCs w:val="24"/>
    </w:rPr>
  </w:style>
  <w:style w:type="paragraph" w:styleId="a5">
    <w:name w:val="footer"/>
    <w:basedOn w:val="a"/>
    <w:link w:val="a6"/>
    <w:rsid w:val="00345FBC"/>
    <w:pPr>
      <w:tabs>
        <w:tab w:val="center" w:pos="4153"/>
        <w:tab w:val="right" w:pos="8306"/>
      </w:tabs>
    </w:pPr>
  </w:style>
  <w:style w:type="character" w:customStyle="1" w:styleId="a6">
    <w:name w:val="כותרת תחתונה תו"/>
    <w:link w:val="a5"/>
    <w:rsid w:val="00345FBC"/>
    <w:rPr>
      <w:rFonts w:ascii="Times New Roman" w:eastAsia="Times New Roman" w:hAnsi="Times New Roman" w:cs="David"/>
      <w:sz w:val="24"/>
      <w:szCs w:val="24"/>
    </w:rPr>
  </w:style>
  <w:style w:type="table" w:styleId="a7">
    <w:name w:val="Table Grid"/>
    <w:basedOn w:val="a1"/>
    <w:rsid w:val="00345FB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5FBC"/>
  </w:style>
  <w:style w:type="character" w:styleId="Hyperlink">
    <w:name w:val="Hyperlink"/>
    <w:rsid w:val="00AC6B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595823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44.b2" TargetMode="External"/><Relationship Id="rId12" Type="http://schemas.openxmlformats.org/officeDocument/2006/relationships/hyperlink" Target="http://www.nevo.co.il/case/576268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21327"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37506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1364</Words>
  <Characters>6822</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8170</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3604596</vt:i4>
      </vt:variant>
      <vt:variant>
        <vt:i4>24</vt:i4>
      </vt:variant>
      <vt:variant>
        <vt:i4>0</vt:i4>
      </vt:variant>
      <vt:variant>
        <vt:i4>5</vt:i4>
      </vt:variant>
      <vt:variant>
        <vt:lpwstr>http://www.nevo.co.il/case/23750625</vt:lpwstr>
      </vt:variant>
      <vt:variant>
        <vt:lpwstr/>
      </vt:variant>
      <vt:variant>
        <vt:i4>3342454</vt:i4>
      </vt:variant>
      <vt:variant>
        <vt:i4>21</vt:i4>
      </vt:variant>
      <vt:variant>
        <vt:i4>0</vt:i4>
      </vt:variant>
      <vt:variant>
        <vt:i4>5</vt:i4>
      </vt:variant>
      <vt:variant>
        <vt:lpwstr>http://www.nevo.co.il/case/5958231</vt:lpwstr>
      </vt:variant>
      <vt:variant>
        <vt:lpwstr/>
      </vt:variant>
      <vt:variant>
        <vt:i4>3342457</vt:i4>
      </vt:variant>
      <vt:variant>
        <vt:i4>18</vt:i4>
      </vt:variant>
      <vt:variant>
        <vt:i4>0</vt:i4>
      </vt:variant>
      <vt:variant>
        <vt:i4>5</vt:i4>
      </vt:variant>
      <vt:variant>
        <vt:lpwstr>http://www.nevo.co.il/case/5762686</vt:lpwstr>
      </vt:variant>
      <vt:variant>
        <vt:lpwstr/>
      </vt:variant>
      <vt:variant>
        <vt:i4>3342463</vt:i4>
      </vt:variant>
      <vt:variant>
        <vt:i4>15</vt:i4>
      </vt:variant>
      <vt:variant>
        <vt:i4>0</vt:i4>
      </vt:variant>
      <vt:variant>
        <vt:i4>5</vt:i4>
      </vt:variant>
      <vt:variant>
        <vt:lpwstr>http://www.nevo.co.il/case/5821327</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50551</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עטיה</vt:lpwstr>
  </property>
  <property fmtid="{D5CDD505-2E9C-101B-9397-08002B2CF9AE}" pid="10" name="LAWYER">
    <vt:lpwstr>מוסטפא יחיא</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20181213</vt:lpwstr>
  </property>
  <property fmtid="{D5CDD505-2E9C-101B-9397-08002B2CF9AE}" pid="14" name="TYPE_N_DATE">
    <vt:lpwstr>39020181213</vt:lpwstr>
  </property>
  <property fmtid="{D5CDD505-2E9C-101B-9397-08002B2CF9AE}" pid="15" name="WORDNUMPAGES">
    <vt:lpwstr>5</vt:lpwstr>
  </property>
  <property fmtid="{D5CDD505-2E9C-101B-9397-08002B2CF9AE}" pid="16" name="TYPE_ABS_DATE">
    <vt:lpwstr>390020181213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5821327;5762686;5958231;23750625</vt:lpwstr>
  </property>
  <property fmtid="{D5CDD505-2E9C-101B-9397-08002B2CF9AE}" pid="36" name="LAWLISTTMP1">
    <vt:lpwstr>70301/144.b2</vt:lpwstr>
  </property>
</Properties>
</file>