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2C327B" w:rsidRPr="009E050B" w14:paraId="61AA586B" w14:textId="77777777" w:rsidTr="00106462">
        <w:trPr>
          <w:trHeight w:hRule="exact" w:val="418"/>
          <w:jc w:val="center"/>
        </w:trPr>
        <w:tc>
          <w:tcPr>
            <w:tcW w:w="8721" w:type="dxa"/>
            <w:gridSpan w:val="2"/>
          </w:tcPr>
          <w:p w14:paraId="7219C513" w14:textId="77777777" w:rsidR="002C327B" w:rsidRPr="009E050B" w:rsidRDefault="002C327B" w:rsidP="00E20329">
            <w:pPr>
              <w:pStyle w:val="a3"/>
              <w:jc w:val="center"/>
              <w:rPr>
                <w:rFonts w:ascii="Tahoma" w:hAnsi="Tahoma" w:cs="Tahoma"/>
                <w:b/>
                <w:bCs/>
                <w:color w:val="000080"/>
                <w:rtl/>
              </w:rPr>
            </w:pPr>
            <w:bookmarkStart w:id="0" w:name="FirstLawyer"/>
            <w:r w:rsidRPr="009E050B">
              <w:rPr>
                <w:rFonts w:ascii="Tahoma" w:hAnsi="Tahoma" w:cs="Tahoma"/>
                <w:b/>
                <w:bCs/>
                <w:color w:val="000080"/>
                <w:rtl/>
              </w:rPr>
              <w:t>בית המשפט המחוזי בבאר שבע</w:t>
            </w:r>
          </w:p>
        </w:tc>
      </w:tr>
      <w:tr w:rsidR="002C327B" w:rsidRPr="009E050B" w14:paraId="1CCA8CED" w14:textId="77777777" w:rsidTr="00106462">
        <w:trPr>
          <w:trHeight w:val="337"/>
          <w:jc w:val="center"/>
        </w:trPr>
        <w:tc>
          <w:tcPr>
            <w:tcW w:w="5048" w:type="dxa"/>
          </w:tcPr>
          <w:p w14:paraId="5F0EFE13" w14:textId="77777777" w:rsidR="002C327B" w:rsidRPr="009E050B" w:rsidRDefault="002C327B" w:rsidP="00E20329">
            <w:pPr>
              <w:pStyle w:val="a3"/>
              <w:rPr>
                <w:b/>
                <w:bCs/>
                <w:rtl/>
              </w:rPr>
            </w:pPr>
            <w:r w:rsidRPr="009E050B">
              <w:rPr>
                <w:rFonts w:hint="cs"/>
                <w:b/>
                <w:bCs/>
                <w:rtl/>
              </w:rPr>
              <w:t xml:space="preserve">בפני:כב' השופט הבכיר אריאל ואגו </w:t>
            </w:r>
            <w:r w:rsidRPr="009E050B">
              <w:rPr>
                <w:b/>
                <w:bCs/>
                <w:rtl/>
              </w:rPr>
              <w:t>–</w:t>
            </w:r>
            <w:r w:rsidRPr="009E050B">
              <w:rPr>
                <w:rFonts w:hint="cs"/>
                <w:b/>
                <w:bCs/>
                <w:rtl/>
              </w:rPr>
              <w:t xml:space="preserve"> אב"ד</w:t>
            </w:r>
          </w:p>
          <w:p w14:paraId="5D360CBF" w14:textId="77777777" w:rsidR="002C327B" w:rsidRPr="009E050B" w:rsidRDefault="002C327B" w:rsidP="00E20329">
            <w:pPr>
              <w:pStyle w:val="a3"/>
              <w:rPr>
                <w:b/>
                <w:bCs/>
                <w:rtl/>
              </w:rPr>
            </w:pPr>
            <w:r w:rsidRPr="009E050B">
              <w:rPr>
                <w:rFonts w:hint="cs"/>
                <w:b/>
                <w:bCs/>
                <w:rtl/>
              </w:rPr>
              <w:t xml:space="preserve">         כב' השופט אלון אינפלד</w:t>
            </w:r>
          </w:p>
          <w:p w14:paraId="7D93E029" w14:textId="77777777" w:rsidR="002C327B" w:rsidRPr="009E050B" w:rsidRDefault="002C327B" w:rsidP="00E20329">
            <w:pPr>
              <w:pStyle w:val="a3"/>
              <w:rPr>
                <w:b/>
                <w:bCs/>
                <w:rtl/>
              </w:rPr>
            </w:pPr>
            <w:r w:rsidRPr="009E050B">
              <w:rPr>
                <w:rFonts w:hint="cs"/>
                <w:b/>
                <w:bCs/>
                <w:rtl/>
              </w:rPr>
              <w:t xml:space="preserve">         כב' השופט אריאל חזק </w:t>
            </w:r>
          </w:p>
        </w:tc>
        <w:tc>
          <w:tcPr>
            <w:tcW w:w="3673" w:type="dxa"/>
          </w:tcPr>
          <w:p w14:paraId="2D0B90DD" w14:textId="77777777" w:rsidR="002C327B" w:rsidRPr="009E050B" w:rsidRDefault="002C327B" w:rsidP="00E20329">
            <w:pPr>
              <w:rPr>
                <w:b/>
                <w:bCs/>
                <w:rtl/>
              </w:rPr>
            </w:pPr>
            <w:r w:rsidRPr="009E050B">
              <w:rPr>
                <w:rFonts w:hint="cs"/>
                <w:b/>
                <w:bCs/>
                <w:rtl/>
              </w:rPr>
              <w:t xml:space="preserve">                          </w:t>
            </w:r>
            <w:r w:rsidRPr="009E050B">
              <w:rPr>
                <w:b/>
                <w:bCs/>
                <w:rtl/>
              </w:rPr>
              <w:t>תפ"ח</w:t>
            </w:r>
            <w:r w:rsidRPr="009E050B">
              <w:rPr>
                <w:rFonts w:hint="cs"/>
                <w:b/>
                <w:bCs/>
                <w:rtl/>
              </w:rPr>
              <w:t xml:space="preserve"> </w:t>
            </w:r>
            <w:r w:rsidRPr="009E050B">
              <w:rPr>
                <w:b/>
                <w:bCs/>
                <w:rtl/>
              </w:rPr>
              <w:t>35688-04-18</w:t>
            </w:r>
            <w:r w:rsidRPr="009E050B">
              <w:rPr>
                <w:rFonts w:hint="cs"/>
                <w:b/>
                <w:bCs/>
                <w:rtl/>
              </w:rPr>
              <w:t xml:space="preserve"> </w:t>
            </w:r>
          </w:p>
          <w:p w14:paraId="2FC12D73" w14:textId="77777777" w:rsidR="002C327B" w:rsidRPr="009E050B" w:rsidRDefault="002C327B" w:rsidP="00E20329">
            <w:pPr>
              <w:rPr>
                <w:b/>
                <w:bCs/>
                <w:rtl/>
              </w:rPr>
            </w:pPr>
            <w:r w:rsidRPr="009E050B">
              <w:rPr>
                <w:rFonts w:hint="cs"/>
                <w:b/>
                <w:bCs/>
                <w:rtl/>
              </w:rPr>
              <w:t xml:space="preserve">                           </w:t>
            </w:r>
            <w:r w:rsidRPr="009E050B">
              <w:rPr>
                <w:b/>
                <w:bCs/>
                <w:rtl/>
              </w:rPr>
              <w:t>בע"ח</w:t>
            </w:r>
            <w:r w:rsidRPr="009E050B">
              <w:rPr>
                <w:rFonts w:hint="cs"/>
                <w:b/>
                <w:bCs/>
                <w:rtl/>
              </w:rPr>
              <w:t xml:space="preserve"> </w:t>
            </w:r>
            <w:r w:rsidRPr="009E050B">
              <w:rPr>
                <w:b/>
                <w:bCs/>
                <w:rtl/>
              </w:rPr>
              <w:t>35410-06-18</w:t>
            </w:r>
            <w:r w:rsidRPr="009E050B">
              <w:rPr>
                <w:rFonts w:hint="cs"/>
                <w:b/>
                <w:bCs/>
                <w:rtl/>
              </w:rPr>
              <w:t xml:space="preserve"> </w:t>
            </w:r>
            <w:r w:rsidRPr="009E050B">
              <w:rPr>
                <w:b/>
                <w:bCs/>
                <w:rtl/>
              </w:rPr>
              <w:t xml:space="preserve">     </w:t>
            </w:r>
          </w:p>
          <w:p w14:paraId="20F97357" w14:textId="77777777" w:rsidR="002C327B" w:rsidRPr="009E050B" w:rsidRDefault="002C327B" w:rsidP="00E20329">
            <w:pPr>
              <w:pStyle w:val="a3"/>
              <w:jc w:val="right"/>
              <w:rPr>
                <w:rFonts w:cs="FrankRuehl"/>
                <w:b/>
                <w:bCs/>
                <w:sz w:val="28"/>
                <w:szCs w:val="28"/>
                <w:rtl/>
              </w:rPr>
            </w:pPr>
          </w:p>
        </w:tc>
      </w:tr>
    </w:tbl>
    <w:p w14:paraId="218D1C0B" w14:textId="77777777" w:rsidR="002C327B" w:rsidRPr="009E050B" w:rsidRDefault="002C327B" w:rsidP="002C327B">
      <w:pPr>
        <w:pStyle w:val="a3"/>
        <w:rPr>
          <w:rtl/>
        </w:rPr>
      </w:pPr>
      <w:bookmarkStart w:id="1" w:name="LastJudge"/>
      <w:bookmarkEnd w:id="1"/>
      <w:r w:rsidRPr="009E050B">
        <w:rPr>
          <w:rFonts w:hint="cs"/>
          <w:rtl/>
        </w:rPr>
        <w:t xml:space="preserve"> </w:t>
      </w:r>
    </w:p>
    <w:p w14:paraId="3D799176" w14:textId="77777777" w:rsidR="002C327B" w:rsidRPr="009E050B" w:rsidRDefault="002C327B" w:rsidP="002C327B">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76"/>
        <w:gridCol w:w="3598"/>
      </w:tblGrid>
      <w:tr w:rsidR="002C327B" w:rsidRPr="009E050B" w14:paraId="244F9CF3" w14:textId="77777777" w:rsidTr="002C327B">
        <w:trPr>
          <w:trHeight w:val="355"/>
          <w:jc w:val="center"/>
        </w:trPr>
        <w:tc>
          <w:tcPr>
            <w:tcW w:w="1246" w:type="dxa"/>
            <w:tcBorders>
              <w:top w:val="nil"/>
              <w:left w:val="nil"/>
              <w:bottom w:val="nil"/>
              <w:right w:val="nil"/>
            </w:tcBorders>
            <w:shd w:val="clear" w:color="auto" w:fill="auto"/>
          </w:tcPr>
          <w:p w14:paraId="7BCE2FEF" w14:textId="77777777" w:rsidR="002C327B" w:rsidRPr="009E050B" w:rsidRDefault="002C327B" w:rsidP="002C327B">
            <w:pPr>
              <w:spacing w:line="360" w:lineRule="auto"/>
              <w:jc w:val="both"/>
              <w:rPr>
                <w:rFonts w:ascii="Arial" w:hAnsi="Arial"/>
                <w:b/>
                <w:bCs/>
                <w:rtl/>
              </w:rPr>
            </w:pPr>
            <w:bookmarkStart w:id="2" w:name="FirstAppellant"/>
            <w:r w:rsidRPr="009E050B">
              <w:rPr>
                <w:rFonts w:ascii="Arial" w:hAnsi="Arial" w:hint="cs"/>
                <w:b/>
                <w:bCs/>
                <w:rtl/>
              </w:rPr>
              <w:t>המאשימה:</w:t>
            </w:r>
          </w:p>
        </w:tc>
        <w:tc>
          <w:tcPr>
            <w:tcW w:w="3976" w:type="dxa"/>
            <w:tcBorders>
              <w:top w:val="nil"/>
              <w:left w:val="nil"/>
              <w:bottom w:val="nil"/>
              <w:right w:val="nil"/>
            </w:tcBorders>
            <w:shd w:val="clear" w:color="auto" w:fill="auto"/>
          </w:tcPr>
          <w:p w14:paraId="3011DC63" w14:textId="77777777" w:rsidR="002C327B" w:rsidRPr="009E050B" w:rsidRDefault="002C327B" w:rsidP="002C327B">
            <w:pPr>
              <w:spacing w:line="360" w:lineRule="auto"/>
              <w:jc w:val="both"/>
              <w:rPr>
                <w:b/>
                <w:bCs/>
                <w:rtl/>
              </w:rPr>
            </w:pPr>
            <w:r w:rsidRPr="009E050B">
              <w:rPr>
                <w:rFonts w:hint="cs"/>
                <w:b/>
                <w:bCs/>
                <w:rtl/>
              </w:rPr>
              <w:t xml:space="preserve">מדינת ישראל </w:t>
            </w:r>
          </w:p>
          <w:p w14:paraId="38407F7B" w14:textId="77777777" w:rsidR="002C327B" w:rsidRPr="009E050B" w:rsidRDefault="002C327B" w:rsidP="002C327B">
            <w:pPr>
              <w:spacing w:line="360" w:lineRule="auto"/>
              <w:jc w:val="both"/>
              <w:rPr>
                <w:b/>
                <w:bCs/>
                <w:rtl/>
              </w:rPr>
            </w:pPr>
            <w:r w:rsidRPr="009E050B">
              <w:rPr>
                <w:rFonts w:hint="cs"/>
                <w:b/>
                <w:bCs/>
                <w:rtl/>
              </w:rPr>
              <w:t>באמצעות פמ"ד- עו"ד ערן צברי</w:t>
            </w:r>
          </w:p>
        </w:tc>
        <w:tc>
          <w:tcPr>
            <w:tcW w:w="3598" w:type="dxa"/>
            <w:tcBorders>
              <w:top w:val="nil"/>
              <w:left w:val="nil"/>
              <w:bottom w:val="nil"/>
              <w:right w:val="nil"/>
            </w:tcBorders>
            <w:shd w:val="clear" w:color="auto" w:fill="auto"/>
          </w:tcPr>
          <w:p w14:paraId="1D677065" w14:textId="77777777" w:rsidR="002C327B" w:rsidRPr="009E050B" w:rsidRDefault="002C327B" w:rsidP="002C327B">
            <w:pPr>
              <w:spacing w:line="360" w:lineRule="auto"/>
              <w:jc w:val="right"/>
              <w:rPr>
                <w:rFonts w:ascii="Arial" w:hAnsi="Arial"/>
                <w:rtl/>
              </w:rPr>
            </w:pPr>
          </w:p>
        </w:tc>
      </w:tr>
      <w:bookmarkEnd w:id="2"/>
      <w:tr w:rsidR="002C327B" w:rsidRPr="009E050B" w14:paraId="061BE4FB" w14:textId="77777777" w:rsidTr="002C327B">
        <w:trPr>
          <w:trHeight w:val="355"/>
          <w:jc w:val="center"/>
        </w:trPr>
        <w:tc>
          <w:tcPr>
            <w:tcW w:w="1246" w:type="dxa"/>
            <w:tcBorders>
              <w:top w:val="nil"/>
              <w:left w:val="nil"/>
              <w:bottom w:val="nil"/>
              <w:right w:val="nil"/>
            </w:tcBorders>
            <w:shd w:val="clear" w:color="auto" w:fill="auto"/>
          </w:tcPr>
          <w:p w14:paraId="1D44C9FB" w14:textId="77777777" w:rsidR="002C327B" w:rsidRPr="009E050B" w:rsidRDefault="002C327B" w:rsidP="002C327B">
            <w:pPr>
              <w:spacing w:line="360" w:lineRule="auto"/>
              <w:jc w:val="both"/>
              <w:rPr>
                <w:rFonts w:ascii="Arial" w:hAnsi="Arial"/>
                <w:rtl/>
              </w:rPr>
            </w:pPr>
          </w:p>
        </w:tc>
        <w:tc>
          <w:tcPr>
            <w:tcW w:w="7574" w:type="dxa"/>
            <w:gridSpan w:val="2"/>
            <w:tcBorders>
              <w:top w:val="nil"/>
              <w:left w:val="nil"/>
              <w:bottom w:val="nil"/>
              <w:right w:val="nil"/>
            </w:tcBorders>
            <w:shd w:val="clear" w:color="auto" w:fill="auto"/>
          </w:tcPr>
          <w:p w14:paraId="73056265" w14:textId="77777777" w:rsidR="002C327B" w:rsidRPr="009E050B" w:rsidRDefault="002C327B" w:rsidP="002C327B">
            <w:pPr>
              <w:spacing w:line="360" w:lineRule="auto"/>
              <w:jc w:val="center"/>
              <w:rPr>
                <w:rFonts w:ascii="Arial" w:hAnsi="Arial"/>
                <w:b/>
                <w:bCs/>
                <w:sz w:val="28"/>
                <w:szCs w:val="28"/>
                <w:rtl/>
              </w:rPr>
            </w:pPr>
            <w:r w:rsidRPr="009E050B">
              <w:rPr>
                <w:rFonts w:ascii="Arial" w:hAnsi="Arial"/>
                <w:b/>
                <w:bCs/>
                <w:sz w:val="28"/>
                <w:szCs w:val="28"/>
                <w:rtl/>
              </w:rPr>
              <w:t>נגד</w:t>
            </w:r>
          </w:p>
          <w:p w14:paraId="309CB015" w14:textId="77777777" w:rsidR="002C327B" w:rsidRPr="009E050B" w:rsidRDefault="002C327B" w:rsidP="002C327B">
            <w:pPr>
              <w:spacing w:line="360" w:lineRule="auto"/>
              <w:jc w:val="both"/>
              <w:rPr>
                <w:rFonts w:ascii="Arial" w:hAnsi="Arial"/>
              </w:rPr>
            </w:pPr>
          </w:p>
        </w:tc>
      </w:tr>
      <w:tr w:rsidR="002C327B" w:rsidRPr="009E050B" w14:paraId="1FE75DAD" w14:textId="77777777" w:rsidTr="002C327B">
        <w:trPr>
          <w:trHeight w:val="355"/>
          <w:jc w:val="center"/>
        </w:trPr>
        <w:tc>
          <w:tcPr>
            <w:tcW w:w="1246" w:type="dxa"/>
            <w:tcBorders>
              <w:top w:val="nil"/>
              <w:left w:val="nil"/>
              <w:bottom w:val="nil"/>
              <w:right w:val="nil"/>
            </w:tcBorders>
            <w:shd w:val="clear" w:color="auto" w:fill="auto"/>
          </w:tcPr>
          <w:p w14:paraId="772C325E" w14:textId="77777777" w:rsidR="002C327B" w:rsidRPr="009E050B" w:rsidRDefault="002C327B" w:rsidP="00E20329">
            <w:pPr>
              <w:rPr>
                <w:rFonts w:ascii="Arial" w:hAnsi="Arial"/>
                <w:b/>
                <w:bCs/>
                <w:rtl/>
              </w:rPr>
            </w:pPr>
            <w:r w:rsidRPr="009E050B">
              <w:rPr>
                <w:rFonts w:ascii="Arial" w:hAnsi="Arial" w:hint="cs"/>
                <w:b/>
                <w:bCs/>
                <w:rtl/>
              </w:rPr>
              <w:t>הנאשמים:</w:t>
            </w:r>
          </w:p>
        </w:tc>
        <w:tc>
          <w:tcPr>
            <w:tcW w:w="3976" w:type="dxa"/>
            <w:tcBorders>
              <w:top w:val="nil"/>
              <w:left w:val="nil"/>
              <w:bottom w:val="nil"/>
              <w:right w:val="nil"/>
            </w:tcBorders>
            <w:shd w:val="clear" w:color="auto" w:fill="auto"/>
          </w:tcPr>
          <w:p w14:paraId="75954166" w14:textId="77777777" w:rsidR="002C327B" w:rsidRPr="009E050B" w:rsidRDefault="002C327B" w:rsidP="00E20329">
            <w:pPr>
              <w:rPr>
                <w:b/>
                <w:bCs/>
                <w:rtl/>
              </w:rPr>
            </w:pPr>
            <w:r w:rsidRPr="009E050B">
              <w:rPr>
                <w:rFonts w:ascii="Arial" w:hAnsi="Arial"/>
                <w:b/>
                <w:bCs/>
                <w:rtl/>
              </w:rPr>
              <w:t>1</w:t>
            </w:r>
            <w:r w:rsidRPr="009E050B">
              <w:rPr>
                <w:rFonts w:ascii="Arial" w:hAnsi="Arial" w:hint="cs"/>
                <w:b/>
                <w:bCs/>
                <w:rtl/>
              </w:rPr>
              <w:t>.</w:t>
            </w:r>
            <w:r w:rsidRPr="009E050B">
              <w:rPr>
                <w:rFonts w:ascii="Arial" w:hAnsi="Arial"/>
                <w:b/>
                <w:bCs/>
                <w:rtl/>
              </w:rPr>
              <w:t>ויקטור חיים שמחה טוויל</w:t>
            </w:r>
            <w:r w:rsidRPr="009E050B">
              <w:rPr>
                <w:rFonts w:ascii="Arial" w:hAnsi="Arial"/>
                <w:b/>
                <w:bCs/>
                <w:rtl/>
              </w:rPr>
              <w:br/>
            </w:r>
            <w:r w:rsidRPr="009E050B">
              <w:rPr>
                <w:rFonts w:hint="cs"/>
                <w:b/>
                <w:bCs/>
                <w:rtl/>
              </w:rPr>
              <w:t>ע"י ב"כ עו"ד שי פלד</w:t>
            </w:r>
          </w:p>
          <w:p w14:paraId="79FACCA1" w14:textId="77777777" w:rsidR="002C327B" w:rsidRPr="009E050B" w:rsidRDefault="002C327B" w:rsidP="00E20329">
            <w:pPr>
              <w:rPr>
                <w:b/>
                <w:bCs/>
                <w:rtl/>
              </w:rPr>
            </w:pPr>
            <w:r w:rsidRPr="009E050B">
              <w:rPr>
                <w:rFonts w:ascii="Arial" w:hAnsi="Arial"/>
                <w:b/>
                <w:bCs/>
                <w:rtl/>
              </w:rPr>
              <w:t>2</w:t>
            </w:r>
            <w:r w:rsidRPr="009E050B">
              <w:rPr>
                <w:rFonts w:ascii="Arial" w:hAnsi="Arial" w:hint="cs"/>
                <w:b/>
                <w:bCs/>
                <w:rtl/>
              </w:rPr>
              <w:t>.</w:t>
            </w:r>
            <w:r w:rsidRPr="009E050B">
              <w:rPr>
                <w:rFonts w:ascii="Arial" w:hAnsi="Arial"/>
                <w:b/>
                <w:bCs/>
                <w:rtl/>
              </w:rPr>
              <w:t>אפרים שריקי</w:t>
            </w:r>
            <w:r w:rsidRPr="009E050B">
              <w:rPr>
                <w:rFonts w:ascii="Arial" w:hAnsi="Arial"/>
                <w:b/>
                <w:bCs/>
                <w:rtl/>
              </w:rPr>
              <w:br/>
            </w:r>
            <w:r w:rsidRPr="009E050B">
              <w:rPr>
                <w:rFonts w:hint="cs"/>
                <w:b/>
                <w:bCs/>
                <w:rtl/>
              </w:rPr>
              <w:t>ע"י ב"כ עו"ד ארז שלו</w:t>
            </w:r>
          </w:p>
          <w:p w14:paraId="25892FF4" w14:textId="77777777" w:rsidR="002C327B" w:rsidRPr="009E050B" w:rsidRDefault="002C327B" w:rsidP="00E20329">
            <w:pPr>
              <w:rPr>
                <w:b/>
                <w:bCs/>
                <w:rtl/>
              </w:rPr>
            </w:pPr>
            <w:r w:rsidRPr="009E050B">
              <w:rPr>
                <w:rFonts w:ascii="Arial" w:hAnsi="Arial"/>
                <w:b/>
                <w:bCs/>
                <w:rtl/>
              </w:rPr>
              <w:t>3</w:t>
            </w:r>
            <w:r w:rsidRPr="009E050B">
              <w:rPr>
                <w:rFonts w:ascii="Arial" w:hAnsi="Arial" w:hint="cs"/>
                <w:b/>
                <w:bCs/>
                <w:rtl/>
              </w:rPr>
              <w:t>.</w:t>
            </w:r>
            <w:r w:rsidRPr="009E050B">
              <w:rPr>
                <w:rFonts w:ascii="Arial" w:hAnsi="Arial"/>
                <w:b/>
                <w:bCs/>
                <w:rtl/>
              </w:rPr>
              <w:t>מאיר מור סקרה</w:t>
            </w:r>
            <w:r w:rsidRPr="009E050B">
              <w:rPr>
                <w:rFonts w:ascii="Arial" w:hAnsi="Arial"/>
                <w:b/>
                <w:bCs/>
                <w:rtl/>
              </w:rPr>
              <w:br/>
            </w:r>
            <w:r w:rsidRPr="009E050B">
              <w:rPr>
                <w:rFonts w:hint="cs"/>
                <w:b/>
                <w:bCs/>
                <w:rtl/>
              </w:rPr>
              <w:t>ע"י ב"כ עו"ד יוחאי הזז</w:t>
            </w:r>
          </w:p>
          <w:p w14:paraId="1B017A09" w14:textId="77777777" w:rsidR="002C327B" w:rsidRPr="009E050B" w:rsidRDefault="002C327B" w:rsidP="00E20329">
            <w:pPr>
              <w:rPr>
                <w:b/>
                <w:bCs/>
                <w:rtl/>
              </w:rPr>
            </w:pPr>
            <w:r w:rsidRPr="009E050B">
              <w:rPr>
                <w:rFonts w:ascii="Arial" w:hAnsi="Arial"/>
                <w:b/>
                <w:bCs/>
                <w:rtl/>
              </w:rPr>
              <w:t>4</w:t>
            </w:r>
            <w:r w:rsidRPr="009E050B">
              <w:rPr>
                <w:rFonts w:ascii="Arial" w:hAnsi="Arial" w:hint="cs"/>
                <w:b/>
                <w:bCs/>
                <w:rtl/>
              </w:rPr>
              <w:t>.</w:t>
            </w:r>
            <w:r w:rsidRPr="009E050B">
              <w:rPr>
                <w:rFonts w:ascii="Arial" w:hAnsi="Arial"/>
                <w:b/>
                <w:bCs/>
                <w:rtl/>
              </w:rPr>
              <w:t>שמעון יוחאי כהן</w:t>
            </w:r>
          </w:p>
          <w:p w14:paraId="22B36F4E" w14:textId="77777777" w:rsidR="002C327B" w:rsidRPr="009E050B" w:rsidRDefault="002C327B" w:rsidP="00E20329">
            <w:pPr>
              <w:rPr>
                <w:b/>
                <w:bCs/>
                <w:rtl/>
              </w:rPr>
            </w:pPr>
            <w:r w:rsidRPr="009E050B">
              <w:rPr>
                <w:rFonts w:hint="cs"/>
                <w:b/>
                <w:bCs/>
                <w:rtl/>
              </w:rPr>
              <w:t>ע"י ב"כ עו"ד בנימין גריקו</w:t>
            </w:r>
          </w:p>
        </w:tc>
        <w:tc>
          <w:tcPr>
            <w:tcW w:w="3598" w:type="dxa"/>
            <w:tcBorders>
              <w:top w:val="nil"/>
              <w:left w:val="nil"/>
              <w:bottom w:val="nil"/>
              <w:right w:val="nil"/>
            </w:tcBorders>
            <w:shd w:val="clear" w:color="auto" w:fill="auto"/>
          </w:tcPr>
          <w:p w14:paraId="58C1DA7A" w14:textId="77777777" w:rsidR="002C327B" w:rsidRPr="009E050B" w:rsidRDefault="002C327B" w:rsidP="002C327B">
            <w:pPr>
              <w:jc w:val="right"/>
              <w:rPr>
                <w:rFonts w:ascii="Arial" w:hAnsi="Arial"/>
              </w:rPr>
            </w:pPr>
          </w:p>
        </w:tc>
      </w:tr>
    </w:tbl>
    <w:p w14:paraId="0A018A25" w14:textId="77777777" w:rsidR="00106462" w:rsidRPr="00106462" w:rsidRDefault="00106462" w:rsidP="00106462">
      <w:pPr>
        <w:spacing w:after="120" w:line="240" w:lineRule="exact"/>
        <w:ind w:left="283" w:hanging="283"/>
        <w:jc w:val="both"/>
        <w:rPr>
          <w:rFonts w:ascii="FrankRuehl" w:hAnsi="FrankRuehl" w:cs="FrankRuehl"/>
          <w:rtl/>
        </w:rPr>
      </w:pPr>
    </w:p>
    <w:p w14:paraId="781D6E2D" w14:textId="77777777" w:rsidR="00106462" w:rsidRPr="00106462" w:rsidRDefault="00106462" w:rsidP="00106462">
      <w:pPr>
        <w:spacing w:after="120" w:line="240" w:lineRule="exact"/>
        <w:ind w:left="283" w:hanging="283"/>
        <w:jc w:val="both"/>
        <w:rPr>
          <w:rFonts w:ascii="FrankRuehl" w:hAnsi="FrankRuehl" w:cs="FrankRuehl"/>
          <w:rtl/>
        </w:rPr>
      </w:pPr>
      <w:r w:rsidRPr="00106462">
        <w:rPr>
          <w:rFonts w:ascii="FrankRuehl" w:hAnsi="FrankRuehl" w:cs="FrankRuehl"/>
          <w:rtl/>
        </w:rPr>
        <w:t xml:space="preserve">חקיקה שאוזכרה: </w:t>
      </w:r>
    </w:p>
    <w:p w14:paraId="1C18B228" w14:textId="77777777" w:rsidR="00106462" w:rsidRPr="00106462" w:rsidRDefault="00106462" w:rsidP="00106462">
      <w:pPr>
        <w:spacing w:after="120" w:line="240" w:lineRule="exact"/>
        <w:ind w:left="283" w:hanging="283"/>
        <w:jc w:val="both"/>
        <w:rPr>
          <w:rFonts w:ascii="FrankRuehl" w:hAnsi="FrankRuehl" w:cs="FrankRuehl"/>
          <w:rtl/>
        </w:rPr>
      </w:pPr>
      <w:hyperlink r:id="rId6" w:history="1">
        <w:r w:rsidRPr="00106462">
          <w:rPr>
            <w:rFonts w:ascii="FrankRuehl" w:hAnsi="FrankRuehl" w:cs="FrankRuehl"/>
            <w:color w:val="0000FF"/>
            <w:u w:val="single"/>
            <w:rtl/>
          </w:rPr>
          <w:t>חוק העונשין, תשל"ז-1977</w:t>
        </w:r>
      </w:hyperlink>
      <w:r w:rsidRPr="00106462">
        <w:rPr>
          <w:rFonts w:ascii="FrankRuehl" w:hAnsi="FrankRuehl" w:cs="FrankRuehl"/>
          <w:rtl/>
        </w:rPr>
        <w:t xml:space="preserve">: סע'  </w:t>
      </w:r>
      <w:hyperlink r:id="rId7" w:history="1">
        <w:r w:rsidRPr="00106462">
          <w:rPr>
            <w:rFonts w:ascii="FrankRuehl" w:hAnsi="FrankRuehl" w:cs="FrankRuehl"/>
            <w:color w:val="0000FF"/>
            <w:u w:val="single"/>
            <w:rtl/>
          </w:rPr>
          <w:t>31</w:t>
        </w:r>
      </w:hyperlink>
      <w:r w:rsidRPr="00106462">
        <w:rPr>
          <w:rFonts w:ascii="FrankRuehl" w:hAnsi="FrankRuehl" w:cs="FrankRuehl"/>
          <w:rtl/>
        </w:rPr>
        <w:t xml:space="preserve">, </w:t>
      </w:r>
      <w:hyperlink r:id="rId8" w:history="1">
        <w:r w:rsidRPr="00106462">
          <w:rPr>
            <w:rFonts w:ascii="FrankRuehl" w:hAnsi="FrankRuehl" w:cs="FrankRuehl"/>
            <w:color w:val="0000FF"/>
            <w:u w:val="single"/>
            <w:rtl/>
          </w:rPr>
          <w:t>144(א)</w:t>
        </w:r>
      </w:hyperlink>
      <w:r w:rsidRPr="00106462">
        <w:rPr>
          <w:rFonts w:ascii="FrankRuehl" w:hAnsi="FrankRuehl" w:cs="FrankRuehl"/>
          <w:rtl/>
        </w:rPr>
        <w:t xml:space="preserve">, </w:t>
      </w:r>
      <w:hyperlink r:id="rId9" w:history="1">
        <w:r w:rsidRPr="00106462">
          <w:rPr>
            <w:rFonts w:ascii="FrankRuehl" w:hAnsi="FrankRuehl" w:cs="FrankRuehl"/>
            <w:color w:val="0000FF"/>
            <w:u w:val="single"/>
            <w:rtl/>
          </w:rPr>
          <w:t>144(ב)</w:t>
        </w:r>
      </w:hyperlink>
      <w:r w:rsidRPr="00106462">
        <w:rPr>
          <w:rFonts w:ascii="FrankRuehl" w:hAnsi="FrankRuehl" w:cs="FrankRuehl"/>
          <w:rtl/>
        </w:rPr>
        <w:t xml:space="preserve">, </w:t>
      </w:r>
      <w:hyperlink r:id="rId10" w:history="1">
        <w:r w:rsidRPr="00106462">
          <w:rPr>
            <w:rFonts w:ascii="FrankRuehl" w:hAnsi="FrankRuehl" w:cs="FrankRuehl"/>
            <w:color w:val="0000FF"/>
            <w:u w:val="single"/>
            <w:rtl/>
          </w:rPr>
          <w:t>186(א)</w:t>
        </w:r>
      </w:hyperlink>
      <w:r w:rsidRPr="00106462">
        <w:rPr>
          <w:rFonts w:ascii="FrankRuehl" w:hAnsi="FrankRuehl" w:cs="FrankRuehl"/>
          <w:rtl/>
        </w:rPr>
        <w:t xml:space="preserve">, </w:t>
      </w:r>
      <w:hyperlink r:id="rId11" w:history="1">
        <w:r w:rsidRPr="00106462">
          <w:rPr>
            <w:rFonts w:ascii="FrankRuehl" w:hAnsi="FrankRuehl" w:cs="FrankRuehl"/>
            <w:color w:val="0000FF"/>
            <w:u w:val="single"/>
            <w:rtl/>
          </w:rPr>
          <w:t>192</w:t>
        </w:r>
      </w:hyperlink>
      <w:r w:rsidRPr="00106462">
        <w:rPr>
          <w:rFonts w:ascii="FrankRuehl" w:hAnsi="FrankRuehl" w:cs="FrankRuehl"/>
          <w:rtl/>
        </w:rPr>
        <w:t xml:space="preserve">, </w:t>
      </w:r>
      <w:hyperlink r:id="rId12" w:history="1">
        <w:r w:rsidRPr="00106462">
          <w:rPr>
            <w:rFonts w:ascii="FrankRuehl" w:hAnsi="FrankRuehl" w:cs="FrankRuehl"/>
            <w:color w:val="0000FF"/>
            <w:u w:val="single"/>
            <w:rtl/>
          </w:rPr>
          <w:t>329(א)(2)</w:t>
        </w:r>
      </w:hyperlink>
      <w:r w:rsidRPr="00106462">
        <w:rPr>
          <w:rFonts w:ascii="FrankRuehl" w:hAnsi="FrankRuehl" w:cs="FrankRuehl"/>
          <w:rtl/>
        </w:rPr>
        <w:t xml:space="preserve">, </w:t>
      </w:r>
      <w:hyperlink r:id="rId13" w:history="1">
        <w:r w:rsidRPr="00106462">
          <w:rPr>
            <w:rFonts w:ascii="FrankRuehl" w:hAnsi="FrankRuehl" w:cs="FrankRuehl"/>
            <w:color w:val="0000FF"/>
            <w:u w:val="single"/>
            <w:rtl/>
          </w:rPr>
          <w:t>499(א)(1)</w:t>
        </w:r>
      </w:hyperlink>
    </w:p>
    <w:p w14:paraId="7A775B1B" w14:textId="77777777" w:rsidR="00106462" w:rsidRPr="00106462" w:rsidRDefault="00106462" w:rsidP="00106462">
      <w:pPr>
        <w:spacing w:after="120" w:line="240" w:lineRule="exact"/>
        <w:ind w:left="283" w:hanging="283"/>
        <w:jc w:val="both"/>
        <w:rPr>
          <w:rFonts w:ascii="FrankRuehl" w:hAnsi="FrankRuehl" w:cs="FrankRuehl"/>
          <w:rtl/>
        </w:rPr>
      </w:pPr>
      <w:hyperlink r:id="rId14" w:history="1">
        <w:r w:rsidRPr="00106462">
          <w:rPr>
            <w:rFonts w:ascii="FrankRuehl" w:hAnsi="FrankRuehl" w:cs="FrankRuehl"/>
            <w:color w:val="0000FF"/>
            <w:u w:val="single"/>
            <w:rtl/>
          </w:rPr>
          <w:t>פקודת התעבורה [נוסח חדש]</w:t>
        </w:r>
      </w:hyperlink>
      <w:r w:rsidRPr="00106462">
        <w:rPr>
          <w:rFonts w:ascii="FrankRuehl" w:hAnsi="FrankRuehl" w:cs="FrankRuehl"/>
          <w:rtl/>
        </w:rPr>
        <w:t xml:space="preserve">: סע'  </w:t>
      </w:r>
      <w:hyperlink r:id="rId15" w:history="1">
        <w:r w:rsidRPr="00106462">
          <w:rPr>
            <w:rFonts w:ascii="FrankRuehl" w:hAnsi="FrankRuehl" w:cs="FrankRuehl"/>
            <w:color w:val="0000FF"/>
            <w:u w:val="single"/>
            <w:rtl/>
          </w:rPr>
          <w:t>43</w:t>
        </w:r>
      </w:hyperlink>
    </w:p>
    <w:p w14:paraId="4FEF0BF3" w14:textId="77777777" w:rsidR="00106462" w:rsidRPr="00106462" w:rsidRDefault="00106462" w:rsidP="00106462">
      <w:pPr>
        <w:spacing w:after="120" w:line="240" w:lineRule="exact"/>
        <w:ind w:left="283" w:hanging="283"/>
        <w:jc w:val="both"/>
        <w:rPr>
          <w:rFonts w:ascii="FrankRuehl" w:hAnsi="FrankRuehl" w:cs="FrankRuehl"/>
          <w:rtl/>
        </w:rPr>
      </w:pPr>
      <w:hyperlink r:id="rId16" w:history="1">
        <w:r w:rsidRPr="00106462">
          <w:rPr>
            <w:rFonts w:ascii="FrankRuehl" w:hAnsi="FrankRuehl" w:cs="FrankRuehl"/>
            <w:color w:val="0000FF"/>
            <w:u w:val="single"/>
            <w:rtl/>
          </w:rPr>
          <w:t>פקודת הסמים המסוכנים [נוסח חדש], תשל"ג-1973</w:t>
        </w:r>
      </w:hyperlink>
      <w:r w:rsidRPr="00106462">
        <w:rPr>
          <w:rFonts w:ascii="FrankRuehl" w:hAnsi="FrankRuehl" w:cs="FrankRuehl"/>
          <w:rtl/>
        </w:rPr>
        <w:t xml:space="preserve">: סע'  </w:t>
      </w:r>
      <w:hyperlink r:id="rId17" w:history="1">
        <w:r w:rsidRPr="00106462">
          <w:rPr>
            <w:rFonts w:ascii="FrankRuehl" w:hAnsi="FrankRuehl" w:cs="FrankRuehl"/>
            <w:color w:val="0000FF"/>
            <w:u w:val="single"/>
            <w:rtl/>
          </w:rPr>
          <w:t>7.א.</w:t>
        </w:r>
      </w:hyperlink>
      <w:r w:rsidRPr="00106462">
        <w:rPr>
          <w:rFonts w:ascii="FrankRuehl" w:hAnsi="FrankRuehl" w:cs="FrankRuehl"/>
          <w:rtl/>
        </w:rPr>
        <w:t xml:space="preserve">, </w:t>
      </w:r>
      <w:hyperlink r:id="rId18" w:history="1">
        <w:r w:rsidRPr="00106462">
          <w:rPr>
            <w:rFonts w:ascii="FrankRuehl" w:hAnsi="FrankRuehl" w:cs="FrankRuehl"/>
            <w:color w:val="0000FF"/>
            <w:u w:val="single"/>
            <w:rtl/>
          </w:rPr>
          <w:t>7.ג</w:t>
        </w:r>
      </w:hyperlink>
    </w:p>
    <w:p w14:paraId="20AA4DE9" w14:textId="77777777" w:rsidR="00106462" w:rsidRPr="00106462" w:rsidRDefault="00106462" w:rsidP="00106462">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327B" w:rsidRPr="004B538C" w14:paraId="12971863" w14:textId="77777777" w:rsidTr="002C327B">
        <w:trPr>
          <w:trHeight w:val="355"/>
          <w:jc w:val="center"/>
        </w:trPr>
        <w:tc>
          <w:tcPr>
            <w:tcW w:w="8820" w:type="dxa"/>
            <w:tcBorders>
              <w:top w:val="nil"/>
              <w:left w:val="nil"/>
              <w:bottom w:val="nil"/>
              <w:right w:val="nil"/>
            </w:tcBorders>
            <w:shd w:val="clear" w:color="auto" w:fill="auto"/>
          </w:tcPr>
          <w:p w14:paraId="407B94F3" w14:textId="77777777" w:rsidR="009E050B" w:rsidRPr="009E050B" w:rsidRDefault="009E050B" w:rsidP="009E050B">
            <w:pPr>
              <w:spacing w:line="360" w:lineRule="auto"/>
              <w:jc w:val="center"/>
              <w:rPr>
                <w:rFonts w:ascii="Arial" w:hAnsi="Arial"/>
                <w:b/>
                <w:bCs/>
                <w:sz w:val="28"/>
                <w:szCs w:val="28"/>
                <w:u w:val="single"/>
                <w:rtl/>
              </w:rPr>
            </w:pPr>
            <w:bookmarkStart w:id="3" w:name="LawTable_End"/>
            <w:bookmarkStart w:id="4" w:name="PsakDin" w:colFirst="0" w:colLast="0"/>
            <w:bookmarkEnd w:id="0"/>
            <w:bookmarkEnd w:id="3"/>
            <w:r w:rsidRPr="009E050B">
              <w:rPr>
                <w:rFonts w:ascii="Arial" w:hAnsi="Arial"/>
                <w:b/>
                <w:bCs/>
                <w:sz w:val="28"/>
                <w:szCs w:val="28"/>
                <w:u w:val="single"/>
                <w:rtl/>
              </w:rPr>
              <w:t>גזר דין</w:t>
            </w:r>
          </w:p>
          <w:p w14:paraId="600DF5AF" w14:textId="77777777" w:rsidR="002C327B" w:rsidRPr="009E050B" w:rsidRDefault="002C327B" w:rsidP="009E050B">
            <w:pPr>
              <w:spacing w:line="360" w:lineRule="auto"/>
              <w:jc w:val="center"/>
              <w:rPr>
                <w:rFonts w:ascii="Arial" w:hAnsi="Arial"/>
                <w:bCs/>
                <w:u w:val="single"/>
                <w:rtl/>
              </w:rPr>
            </w:pPr>
          </w:p>
        </w:tc>
      </w:tr>
      <w:bookmarkEnd w:id="4"/>
    </w:tbl>
    <w:p w14:paraId="498F5153" w14:textId="77777777" w:rsidR="002C327B" w:rsidRPr="004B538C" w:rsidRDefault="002C327B" w:rsidP="002C327B">
      <w:pPr>
        <w:spacing w:line="360" w:lineRule="auto"/>
        <w:rPr>
          <w:rFonts w:ascii="Arial" w:hAnsi="Arial"/>
          <w:rtl/>
        </w:rPr>
      </w:pPr>
    </w:p>
    <w:p w14:paraId="1A2FC24F" w14:textId="77777777" w:rsidR="002C327B" w:rsidRDefault="002C327B" w:rsidP="002C327B">
      <w:pPr>
        <w:spacing w:line="360" w:lineRule="auto"/>
        <w:jc w:val="both"/>
        <w:rPr>
          <w:rtl/>
        </w:rPr>
      </w:pPr>
      <w:r>
        <w:rPr>
          <w:rFonts w:hint="cs"/>
          <w:rtl/>
        </w:rPr>
        <w:t xml:space="preserve">הצדדים הגיעו להסדר טיעון ובגדרו הוגש כתב אישום מתוקן, שבעובדותיו הודו הנאשמים והורשעו על פיו, והוגשו בפנינו גם הסכמות עונשיות שהצדדים ביקשו, במשותף, לאמץ. </w:t>
      </w:r>
    </w:p>
    <w:p w14:paraId="353E0C6B" w14:textId="77777777" w:rsidR="002C327B" w:rsidRDefault="002C327B" w:rsidP="002C327B">
      <w:pPr>
        <w:spacing w:line="360" w:lineRule="auto"/>
        <w:jc w:val="both"/>
        <w:rPr>
          <w:rtl/>
        </w:rPr>
      </w:pPr>
    </w:p>
    <w:p w14:paraId="286F35CC" w14:textId="77777777" w:rsidR="002C327B" w:rsidRDefault="002C327B" w:rsidP="002C327B">
      <w:pPr>
        <w:spacing w:line="360" w:lineRule="auto"/>
        <w:jc w:val="both"/>
        <w:rPr>
          <w:rtl/>
        </w:rPr>
      </w:pPr>
      <w:bookmarkStart w:id="5" w:name="ABSTRACT_START"/>
      <w:bookmarkEnd w:id="5"/>
      <w:r w:rsidRPr="00377D4E">
        <w:rPr>
          <w:rFonts w:hint="cs"/>
          <w:u w:val="single"/>
          <w:rtl/>
        </w:rPr>
        <w:t>האישום הראשון</w:t>
      </w:r>
      <w:r>
        <w:rPr>
          <w:rFonts w:hint="cs"/>
          <w:rtl/>
        </w:rPr>
        <w:t xml:space="preserve">  - יוחס לנאשם 1 בלבד. מדובר באירוע מיום 14.02.18, שבמהלכו הנאשם 1, שנשא עימו אקדח טעון, רץ אחרי רכב שבו ישב אדם מסוים, שהנאשם חפץ לפגוע בו, ירה לעברו ירייה אחת, כדי לגרום לו חבלה חמורה, וכן - כיוון כלפי עוברי אורח שנזעקו, את אקדחו, כדי להפחידם. </w:t>
      </w:r>
    </w:p>
    <w:p w14:paraId="4D6F8D2E" w14:textId="77777777" w:rsidR="002C327B" w:rsidRDefault="002C327B" w:rsidP="002C327B">
      <w:pPr>
        <w:spacing w:line="360" w:lineRule="auto"/>
        <w:jc w:val="both"/>
        <w:rPr>
          <w:rtl/>
        </w:rPr>
      </w:pPr>
      <w:bookmarkStart w:id="6" w:name="ABSTRACT_END"/>
      <w:bookmarkEnd w:id="6"/>
    </w:p>
    <w:p w14:paraId="4B87EEC8" w14:textId="77777777" w:rsidR="002C327B" w:rsidRDefault="002C327B" w:rsidP="002C327B">
      <w:pPr>
        <w:spacing w:line="360" w:lineRule="auto"/>
        <w:jc w:val="both"/>
        <w:rPr>
          <w:rtl/>
        </w:rPr>
      </w:pPr>
      <w:r>
        <w:rPr>
          <w:rFonts w:hint="cs"/>
          <w:rtl/>
        </w:rPr>
        <w:t xml:space="preserve">משהודה הנאשם 1 בעובדות אלה, הורשע, בהכרעת הדין מיום 04.10.18, בעבירות של </w:t>
      </w:r>
      <w:r w:rsidRPr="00DB05C7">
        <w:rPr>
          <w:rFonts w:hint="cs"/>
          <w:b/>
          <w:bCs/>
          <w:rtl/>
        </w:rPr>
        <w:t>ניסיון לחבלה בכוונה מחמירה</w:t>
      </w:r>
      <w:r>
        <w:rPr>
          <w:rFonts w:hint="cs"/>
          <w:rtl/>
        </w:rPr>
        <w:t xml:space="preserve"> לפי </w:t>
      </w:r>
      <w:hyperlink r:id="rId19" w:history="1">
        <w:r w:rsidR="00106462" w:rsidRPr="00106462">
          <w:rPr>
            <w:color w:val="0000FF"/>
            <w:u w:val="single"/>
            <w:rtl/>
          </w:rPr>
          <w:t>סעיף 329(א)(2)</w:t>
        </w:r>
      </w:hyperlink>
      <w:r>
        <w:rPr>
          <w:rFonts w:hint="cs"/>
          <w:b/>
          <w:bCs/>
          <w:rtl/>
        </w:rPr>
        <w:t xml:space="preserve"> </w:t>
      </w:r>
      <w:r>
        <w:rPr>
          <w:rFonts w:hint="cs"/>
          <w:rtl/>
        </w:rPr>
        <w:t xml:space="preserve">של </w:t>
      </w:r>
      <w:hyperlink r:id="rId20" w:history="1">
        <w:r w:rsidR="009E050B" w:rsidRPr="009E050B">
          <w:rPr>
            <w:b/>
            <w:bCs/>
            <w:color w:val="0000FF"/>
            <w:u w:val="single"/>
            <w:rtl/>
          </w:rPr>
          <w:t>חוק העונשין</w:t>
        </w:r>
      </w:hyperlink>
      <w:r>
        <w:rPr>
          <w:rFonts w:hint="cs"/>
          <w:b/>
          <w:bCs/>
          <w:rtl/>
        </w:rPr>
        <w:t xml:space="preserve"> תשל"ז </w:t>
      </w:r>
      <w:r>
        <w:rPr>
          <w:b/>
          <w:bCs/>
          <w:rtl/>
        </w:rPr>
        <w:t>–</w:t>
      </w:r>
      <w:r>
        <w:rPr>
          <w:rFonts w:hint="cs"/>
          <w:b/>
          <w:bCs/>
          <w:rtl/>
        </w:rPr>
        <w:t xml:space="preserve"> 1977, </w:t>
      </w:r>
      <w:r w:rsidRPr="00C06FDC">
        <w:rPr>
          <w:rFonts w:hint="cs"/>
          <w:rtl/>
        </w:rPr>
        <w:t>ב</w:t>
      </w:r>
      <w:r w:rsidRPr="00634E79">
        <w:rPr>
          <w:rFonts w:hint="cs"/>
          <w:b/>
          <w:bCs/>
          <w:rtl/>
        </w:rPr>
        <w:t>עבירות בנשק (נשיאה והובלה)</w:t>
      </w:r>
      <w:r>
        <w:rPr>
          <w:rFonts w:hint="cs"/>
          <w:rtl/>
        </w:rPr>
        <w:t xml:space="preserve"> לפי </w:t>
      </w:r>
      <w:hyperlink r:id="rId21" w:history="1">
        <w:r w:rsidR="00106462" w:rsidRPr="00106462">
          <w:rPr>
            <w:b/>
            <w:bCs/>
            <w:color w:val="0000FF"/>
            <w:u w:val="single"/>
            <w:rtl/>
          </w:rPr>
          <w:t>סעיף 144(ב)</w:t>
        </w:r>
      </w:hyperlink>
      <w:r w:rsidRPr="00634E79">
        <w:rPr>
          <w:rFonts w:hint="cs"/>
          <w:b/>
          <w:bCs/>
          <w:rtl/>
        </w:rPr>
        <w:t xml:space="preserve"> רישא וסיפא</w:t>
      </w:r>
      <w:r>
        <w:rPr>
          <w:rFonts w:hint="cs"/>
          <w:rtl/>
        </w:rPr>
        <w:t xml:space="preserve"> לחוק, </w:t>
      </w:r>
      <w:r w:rsidRPr="00C06FDC">
        <w:rPr>
          <w:rFonts w:hint="cs"/>
          <w:rtl/>
        </w:rPr>
        <w:t>וב</w:t>
      </w:r>
      <w:r w:rsidRPr="00634E79">
        <w:rPr>
          <w:rFonts w:hint="cs"/>
          <w:b/>
          <w:bCs/>
          <w:rtl/>
        </w:rPr>
        <w:t>איומים</w:t>
      </w:r>
      <w:r>
        <w:rPr>
          <w:rFonts w:hint="cs"/>
          <w:rtl/>
        </w:rPr>
        <w:t xml:space="preserve"> לפי </w:t>
      </w:r>
      <w:hyperlink r:id="rId22" w:history="1">
        <w:r w:rsidR="00106462" w:rsidRPr="00106462">
          <w:rPr>
            <w:b/>
            <w:bCs/>
            <w:color w:val="0000FF"/>
            <w:u w:val="single"/>
            <w:rtl/>
          </w:rPr>
          <w:t>סעיף 192</w:t>
        </w:r>
      </w:hyperlink>
      <w:r>
        <w:rPr>
          <w:rFonts w:hint="cs"/>
          <w:rtl/>
        </w:rPr>
        <w:t xml:space="preserve"> לחוק. </w:t>
      </w:r>
    </w:p>
    <w:p w14:paraId="38E05D07" w14:textId="77777777" w:rsidR="002C327B" w:rsidRDefault="002C327B" w:rsidP="002C327B">
      <w:pPr>
        <w:spacing w:line="360" w:lineRule="auto"/>
        <w:rPr>
          <w:rtl/>
        </w:rPr>
      </w:pPr>
    </w:p>
    <w:p w14:paraId="125D9E60" w14:textId="77777777" w:rsidR="002C327B" w:rsidRDefault="002C327B" w:rsidP="002C327B">
      <w:pPr>
        <w:spacing w:line="360" w:lineRule="auto"/>
        <w:jc w:val="both"/>
        <w:rPr>
          <w:rtl/>
        </w:rPr>
      </w:pPr>
      <w:r w:rsidRPr="00377D4E">
        <w:rPr>
          <w:rFonts w:hint="cs"/>
          <w:u w:val="single"/>
          <w:rtl/>
        </w:rPr>
        <w:lastRenderedPageBreak/>
        <w:t>האישום השני</w:t>
      </w:r>
      <w:r>
        <w:rPr>
          <w:rFonts w:hint="cs"/>
          <w:rtl/>
        </w:rPr>
        <w:t xml:space="preserve"> - יוחס לארבעת הנאשמים. לפי העובדות שהם הודו בהן, ביום 27.03.18, הנאשמים   1 ו -2 הגיעו לביתו של ב.ח., כאשר הנאשם 1 אוחז באקדח טעון, ובמהלך פגישה איתו הוא הוציא את האקדח ושני הנאשמים סיפרו לב.ח. כי בכוונתם לפגוע באנשים מסוימים. הם יצאו מהפגישה וחברו לנאשמים 3 ו </w:t>
      </w:r>
      <w:r>
        <w:rPr>
          <w:rtl/>
        </w:rPr>
        <w:t>–</w:t>
      </w:r>
      <w:r>
        <w:rPr>
          <w:rFonts w:hint="cs"/>
          <w:rtl/>
        </w:rPr>
        <w:t xml:space="preserve"> 4, נסעו כולם ברכב, שהנאשם 4 נוהג בו, וכאשר נאשם 3 יושב לצידו והנאשמים 1 ו </w:t>
      </w:r>
      <w:r>
        <w:rPr>
          <w:rtl/>
        </w:rPr>
        <w:t>–</w:t>
      </w:r>
      <w:r>
        <w:rPr>
          <w:rFonts w:hint="cs"/>
          <w:rtl/>
        </w:rPr>
        <w:t xml:space="preserve"> 2 יושבים במושב האחורי, ותוך שהנאשמים 1-3 היו מצוידים כל אחד בסכין מתקפלת ( יוטעם- אין טענה אודות ידיעת הנאשמים 3-4 על כוונת הנאשמים האחרים לפגוע במאן דהוא).</w:t>
      </w:r>
    </w:p>
    <w:p w14:paraId="2C9191A2" w14:textId="77777777" w:rsidR="002C327B" w:rsidRDefault="002C327B" w:rsidP="002C327B">
      <w:pPr>
        <w:spacing w:line="360" w:lineRule="auto"/>
        <w:jc w:val="both"/>
        <w:rPr>
          <w:rtl/>
        </w:rPr>
      </w:pPr>
    </w:p>
    <w:p w14:paraId="678CB5A3" w14:textId="77777777" w:rsidR="002C327B" w:rsidRDefault="002C327B" w:rsidP="002C327B">
      <w:pPr>
        <w:spacing w:line="360" w:lineRule="auto"/>
        <w:jc w:val="both"/>
        <w:rPr>
          <w:rtl/>
        </w:rPr>
      </w:pPr>
      <w:r>
        <w:rPr>
          <w:rFonts w:hint="cs"/>
          <w:rtl/>
        </w:rPr>
        <w:t xml:space="preserve">לאור ההודאה בעובדות אלה, הורשעו הנאשמים 1 </w:t>
      </w:r>
      <w:r>
        <w:rPr>
          <w:rtl/>
        </w:rPr>
        <w:t>–</w:t>
      </w:r>
      <w:r>
        <w:rPr>
          <w:rFonts w:hint="cs"/>
          <w:rtl/>
        </w:rPr>
        <w:t xml:space="preserve"> 2 </w:t>
      </w:r>
      <w:r w:rsidRPr="005C6C9A">
        <w:rPr>
          <w:rFonts w:hint="cs"/>
          <w:b/>
          <w:bCs/>
          <w:rtl/>
        </w:rPr>
        <w:t>בקשירת קשר לפשע</w:t>
      </w:r>
      <w:r>
        <w:rPr>
          <w:rFonts w:hint="cs"/>
          <w:rtl/>
        </w:rPr>
        <w:t xml:space="preserve"> לפי </w:t>
      </w:r>
      <w:hyperlink r:id="rId23" w:history="1">
        <w:r w:rsidR="00106462" w:rsidRPr="00106462">
          <w:rPr>
            <w:b/>
            <w:bCs/>
            <w:color w:val="0000FF"/>
            <w:u w:val="single"/>
            <w:rtl/>
          </w:rPr>
          <w:t>סעיף 499(א)(1)</w:t>
        </w:r>
      </w:hyperlink>
      <w:r>
        <w:rPr>
          <w:rFonts w:hint="cs"/>
          <w:rtl/>
        </w:rPr>
        <w:t xml:space="preserve"> של </w:t>
      </w:r>
      <w:hyperlink r:id="rId24" w:history="1">
        <w:r w:rsidR="009E050B" w:rsidRPr="009E050B">
          <w:rPr>
            <w:b/>
            <w:bCs/>
            <w:color w:val="0000FF"/>
            <w:u w:val="single"/>
            <w:rtl/>
          </w:rPr>
          <w:t>חוק העונשין</w:t>
        </w:r>
      </w:hyperlink>
      <w:r>
        <w:rPr>
          <w:rFonts w:hint="cs"/>
          <w:rtl/>
        </w:rPr>
        <w:t xml:space="preserve"> והנאשם 1 </w:t>
      </w:r>
      <w:r>
        <w:rPr>
          <w:rtl/>
        </w:rPr>
        <w:t>–</w:t>
      </w:r>
      <w:r>
        <w:rPr>
          <w:rFonts w:hint="cs"/>
          <w:rtl/>
        </w:rPr>
        <w:t xml:space="preserve"> גם </w:t>
      </w:r>
      <w:r w:rsidRPr="005C6C9A">
        <w:rPr>
          <w:rFonts w:hint="cs"/>
          <w:b/>
          <w:bCs/>
          <w:rtl/>
        </w:rPr>
        <w:t>בעבירות נשק (נשיאה והובלה),</w:t>
      </w:r>
      <w:r>
        <w:rPr>
          <w:rFonts w:hint="cs"/>
          <w:rtl/>
        </w:rPr>
        <w:t xml:space="preserve"> לפי </w:t>
      </w:r>
      <w:hyperlink r:id="rId25" w:history="1">
        <w:r w:rsidR="00106462" w:rsidRPr="00106462">
          <w:rPr>
            <w:b/>
            <w:bCs/>
            <w:color w:val="0000FF"/>
            <w:u w:val="single"/>
            <w:rtl/>
          </w:rPr>
          <w:t>סעיף 144(ב)</w:t>
        </w:r>
      </w:hyperlink>
      <w:r w:rsidRPr="005C6C9A">
        <w:rPr>
          <w:rFonts w:hint="cs"/>
          <w:b/>
          <w:bCs/>
          <w:rtl/>
        </w:rPr>
        <w:t xml:space="preserve"> רישא וסיפא לחוק</w:t>
      </w:r>
      <w:r>
        <w:rPr>
          <w:rFonts w:hint="cs"/>
          <w:rtl/>
        </w:rPr>
        <w:t xml:space="preserve">, והנאשמים 1-3 הורשעו </w:t>
      </w:r>
      <w:r w:rsidRPr="005C6C9A">
        <w:rPr>
          <w:rFonts w:hint="cs"/>
          <w:b/>
          <w:bCs/>
          <w:rtl/>
        </w:rPr>
        <w:t>בהחזקת סכין שלא כדין</w:t>
      </w:r>
      <w:r>
        <w:rPr>
          <w:rFonts w:hint="cs"/>
          <w:rtl/>
        </w:rPr>
        <w:t xml:space="preserve"> לפי </w:t>
      </w:r>
      <w:hyperlink r:id="rId26" w:history="1">
        <w:r w:rsidR="00106462" w:rsidRPr="00106462">
          <w:rPr>
            <w:b/>
            <w:bCs/>
            <w:color w:val="0000FF"/>
            <w:u w:val="single"/>
            <w:rtl/>
          </w:rPr>
          <w:t>סעיף 186(א)</w:t>
        </w:r>
      </w:hyperlink>
      <w:r w:rsidRPr="005C6C9A">
        <w:rPr>
          <w:rFonts w:hint="cs"/>
          <w:b/>
          <w:bCs/>
          <w:rtl/>
        </w:rPr>
        <w:t xml:space="preserve"> לחוק</w:t>
      </w:r>
      <w:r>
        <w:rPr>
          <w:rFonts w:hint="cs"/>
          <w:rtl/>
        </w:rPr>
        <w:t xml:space="preserve"> ואילו הנאשם 4 הורשע </w:t>
      </w:r>
      <w:r w:rsidRPr="005C6C9A">
        <w:rPr>
          <w:rFonts w:hint="cs"/>
          <w:b/>
          <w:bCs/>
          <w:rtl/>
        </w:rPr>
        <w:t>בסיוע לעבירה</w:t>
      </w:r>
      <w:r>
        <w:rPr>
          <w:rFonts w:hint="cs"/>
          <w:rtl/>
        </w:rPr>
        <w:t xml:space="preserve"> זו לפי </w:t>
      </w:r>
      <w:r w:rsidRPr="005C6C9A">
        <w:rPr>
          <w:rFonts w:hint="cs"/>
          <w:b/>
          <w:bCs/>
          <w:rtl/>
        </w:rPr>
        <w:t>הסעיף הנ"ל</w:t>
      </w:r>
      <w:r>
        <w:rPr>
          <w:rFonts w:hint="cs"/>
          <w:rtl/>
        </w:rPr>
        <w:t xml:space="preserve"> בצירוף </w:t>
      </w:r>
      <w:hyperlink r:id="rId27" w:history="1">
        <w:r w:rsidR="00106462" w:rsidRPr="00106462">
          <w:rPr>
            <w:b/>
            <w:bCs/>
            <w:color w:val="0000FF"/>
            <w:u w:val="single"/>
            <w:rtl/>
          </w:rPr>
          <w:t>סעיף 31</w:t>
        </w:r>
      </w:hyperlink>
      <w:r w:rsidRPr="005C6C9A">
        <w:rPr>
          <w:rFonts w:hint="cs"/>
          <w:b/>
          <w:bCs/>
          <w:rtl/>
        </w:rPr>
        <w:t xml:space="preserve"> לחוק.</w:t>
      </w:r>
      <w:r>
        <w:rPr>
          <w:rFonts w:hint="cs"/>
          <w:rtl/>
        </w:rPr>
        <w:t xml:space="preserve"> כל הנאשמים הורשעו באישום זה </w:t>
      </w:r>
      <w:r w:rsidRPr="005C6C9A">
        <w:rPr>
          <w:rFonts w:hint="cs"/>
          <w:b/>
          <w:bCs/>
          <w:rtl/>
        </w:rPr>
        <w:t>בהסתייעות ברכב לפשע</w:t>
      </w:r>
      <w:r>
        <w:rPr>
          <w:rFonts w:hint="cs"/>
          <w:rtl/>
        </w:rPr>
        <w:t xml:space="preserve"> לפי </w:t>
      </w:r>
      <w:hyperlink r:id="rId28" w:history="1">
        <w:r w:rsidR="00106462" w:rsidRPr="00106462">
          <w:rPr>
            <w:b/>
            <w:bCs/>
            <w:color w:val="0000FF"/>
            <w:u w:val="single"/>
            <w:rtl/>
          </w:rPr>
          <w:t>סעיף 43</w:t>
        </w:r>
      </w:hyperlink>
      <w:r>
        <w:rPr>
          <w:rFonts w:hint="cs"/>
          <w:rtl/>
        </w:rPr>
        <w:t xml:space="preserve"> של </w:t>
      </w:r>
      <w:hyperlink r:id="rId29" w:history="1">
        <w:r w:rsidR="009E050B" w:rsidRPr="009E050B">
          <w:rPr>
            <w:b/>
            <w:bCs/>
            <w:color w:val="0000FF"/>
            <w:u w:val="single"/>
            <w:rtl/>
          </w:rPr>
          <w:t>פקודת התעבורה</w:t>
        </w:r>
      </w:hyperlink>
      <w:r w:rsidRPr="005C6C9A">
        <w:rPr>
          <w:rFonts w:hint="cs"/>
          <w:b/>
          <w:bCs/>
          <w:rtl/>
        </w:rPr>
        <w:t xml:space="preserve"> [נוסח חדש].</w:t>
      </w:r>
      <w:r>
        <w:rPr>
          <w:rFonts w:hint="cs"/>
          <w:rtl/>
        </w:rPr>
        <w:t xml:space="preserve"> </w:t>
      </w:r>
    </w:p>
    <w:p w14:paraId="1C211A7D" w14:textId="77777777" w:rsidR="002C327B" w:rsidRDefault="002C327B" w:rsidP="002C327B">
      <w:pPr>
        <w:spacing w:line="360" w:lineRule="auto"/>
        <w:jc w:val="both"/>
        <w:rPr>
          <w:rtl/>
        </w:rPr>
      </w:pPr>
    </w:p>
    <w:p w14:paraId="3D01F2F2" w14:textId="77777777" w:rsidR="002C327B" w:rsidRPr="00DB05C7" w:rsidRDefault="002C327B" w:rsidP="002C327B">
      <w:pPr>
        <w:spacing w:line="360" w:lineRule="auto"/>
        <w:jc w:val="both"/>
        <w:rPr>
          <w:rtl/>
        </w:rPr>
      </w:pPr>
      <w:r w:rsidRPr="00377D4E">
        <w:rPr>
          <w:rFonts w:hint="cs"/>
          <w:u w:val="single"/>
          <w:rtl/>
        </w:rPr>
        <w:t>האישום השלישי</w:t>
      </w:r>
      <w:r>
        <w:rPr>
          <w:rFonts w:hint="cs"/>
          <w:rtl/>
        </w:rPr>
        <w:t xml:space="preserve"> </w:t>
      </w:r>
      <w:r>
        <w:rPr>
          <w:rtl/>
        </w:rPr>
        <w:t>–</w:t>
      </w:r>
      <w:r>
        <w:rPr>
          <w:rFonts w:hint="cs"/>
          <w:rtl/>
        </w:rPr>
        <w:t xml:space="preserve"> יוחס לנאשם 1 בלבד, ולפיו, בחיפוש בביתו, מיום 23.02.18, נתפסו 25 כדורי אקדח וכמות של סם מסוג חשיש, מחולק לשתי אריזות, ולפי הודאתו בהחזקת אלה, הורשע ב</w:t>
      </w:r>
      <w:r w:rsidRPr="00C06FDC">
        <w:rPr>
          <w:rFonts w:hint="cs"/>
          <w:b/>
          <w:bCs/>
          <w:rtl/>
        </w:rPr>
        <w:t xml:space="preserve">עבירות </w:t>
      </w:r>
      <w:r w:rsidRPr="004D5C20">
        <w:rPr>
          <w:rFonts w:hint="cs"/>
          <w:b/>
          <w:bCs/>
          <w:rtl/>
        </w:rPr>
        <w:t>בנשק (החזקה)</w:t>
      </w:r>
      <w:r>
        <w:rPr>
          <w:rFonts w:hint="cs"/>
          <w:rtl/>
        </w:rPr>
        <w:t xml:space="preserve"> לפי </w:t>
      </w:r>
      <w:hyperlink r:id="rId30" w:history="1">
        <w:r w:rsidR="00106462" w:rsidRPr="00106462">
          <w:rPr>
            <w:b/>
            <w:bCs/>
            <w:color w:val="0000FF"/>
            <w:u w:val="single"/>
            <w:rtl/>
          </w:rPr>
          <w:t>סעיף 144(א)</w:t>
        </w:r>
      </w:hyperlink>
      <w:r w:rsidRPr="004D5C20">
        <w:rPr>
          <w:rFonts w:hint="cs"/>
          <w:b/>
          <w:bCs/>
          <w:rtl/>
        </w:rPr>
        <w:t xml:space="preserve"> ל</w:t>
      </w:r>
      <w:hyperlink r:id="rId31" w:history="1">
        <w:r w:rsidR="009E050B" w:rsidRPr="009E050B">
          <w:rPr>
            <w:b/>
            <w:bCs/>
            <w:color w:val="0000FF"/>
            <w:u w:val="single"/>
            <w:rtl/>
          </w:rPr>
          <w:t>חוק העונשין</w:t>
        </w:r>
      </w:hyperlink>
      <w:r w:rsidRPr="004D5C20">
        <w:rPr>
          <w:rFonts w:hint="cs"/>
          <w:b/>
          <w:bCs/>
          <w:rtl/>
        </w:rPr>
        <w:t xml:space="preserve"> ובהחזקת סם לצריכה עצמית</w:t>
      </w:r>
      <w:r>
        <w:rPr>
          <w:rFonts w:hint="cs"/>
          <w:rtl/>
        </w:rPr>
        <w:t xml:space="preserve">, לפי </w:t>
      </w:r>
      <w:hyperlink r:id="rId32" w:history="1">
        <w:r w:rsidR="00106462" w:rsidRPr="00106462">
          <w:rPr>
            <w:b/>
            <w:bCs/>
            <w:color w:val="0000FF"/>
            <w:u w:val="single"/>
            <w:rtl/>
          </w:rPr>
          <w:t>סעיף 7(א)+(ג)</w:t>
        </w:r>
      </w:hyperlink>
      <w:r w:rsidRPr="004D5C20">
        <w:rPr>
          <w:rFonts w:hint="cs"/>
          <w:b/>
          <w:bCs/>
          <w:rtl/>
        </w:rPr>
        <w:t xml:space="preserve"> סיפא ל</w:t>
      </w:r>
      <w:hyperlink r:id="rId33" w:history="1">
        <w:r w:rsidR="009E050B" w:rsidRPr="009E050B">
          <w:rPr>
            <w:b/>
            <w:bCs/>
            <w:color w:val="0000FF"/>
            <w:u w:val="single"/>
            <w:rtl/>
          </w:rPr>
          <w:t>פקודת הסמים המסוכנים</w:t>
        </w:r>
      </w:hyperlink>
      <w:r w:rsidRPr="004D5C20">
        <w:rPr>
          <w:rFonts w:hint="cs"/>
          <w:b/>
          <w:bCs/>
          <w:rtl/>
        </w:rPr>
        <w:t xml:space="preserve"> [נוסח חדש] </w:t>
      </w:r>
      <w:r w:rsidRPr="004D5C20">
        <w:rPr>
          <w:b/>
          <w:bCs/>
          <w:rtl/>
        </w:rPr>
        <w:t>–</w:t>
      </w:r>
      <w:r w:rsidRPr="004D5C20">
        <w:rPr>
          <w:rFonts w:hint="cs"/>
          <w:b/>
          <w:bCs/>
          <w:rtl/>
        </w:rPr>
        <w:t xml:space="preserve"> תשל"ג </w:t>
      </w:r>
      <w:r w:rsidRPr="004D5C20">
        <w:rPr>
          <w:b/>
          <w:bCs/>
          <w:rtl/>
        </w:rPr>
        <w:t>–</w:t>
      </w:r>
      <w:r w:rsidRPr="004D5C20">
        <w:rPr>
          <w:rFonts w:hint="cs"/>
          <w:b/>
          <w:bCs/>
          <w:rtl/>
        </w:rPr>
        <w:t xml:space="preserve"> 1973.</w:t>
      </w:r>
      <w:r>
        <w:rPr>
          <w:rFonts w:hint="cs"/>
          <w:rtl/>
        </w:rPr>
        <w:t xml:space="preserve"> </w:t>
      </w:r>
    </w:p>
    <w:p w14:paraId="0ED1F6F9" w14:textId="77777777" w:rsidR="002C327B" w:rsidRDefault="002C327B" w:rsidP="002C327B">
      <w:pPr>
        <w:spacing w:line="360" w:lineRule="auto"/>
        <w:jc w:val="both"/>
        <w:rPr>
          <w:rtl/>
        </w:rPr>
      </w:pPr>
    </w:p>
    <w:p w14:paraId="27FC65C2" w14:textId="77777777" w:rsidR="002C327B" w:rsidRDefault="002C327B" w:rsidP="002C327B">
      <w:pPr>
        <w:spacing w:line="360" w:lineRule="auto"/>
        <w:jc w:val="both"/>
        <w:rPr>
          <w:rtl/>
        </w:rPr>
      </w:pPr>
      <w:r>
        <w:rPr>
          <w:rFonts w:hint="cs"/>
          <w:rtl/>
        </w:rPr>
        <w:t xml:space="preserve">ההסכמות העונשיות, שלאימוצן עתרו הצדדים, כללו תקופות מאסר בפועל לכלל הנאשמים, כאשר, לגבי הנאשמים 3 ו </w:t>
      </w:r>
      <w:r>
        <w:rPr>
          <w:rtl/>
        </w:rPr>
        <w:t>–</w:t>
      </w:r>
      <w:r>
        <w:rPr>
          <w:rFonts w:hint="cs"/>
          <w:rtl/>
        </w:rPr>
        <w:t xml:space="preserve"> 4, מדובר בתקופות שכבר רוצו למעשה, במסגרת המעצר, וטרם שחרורם לחלופה. וכן הוסכם על הפעלת מאסר על תנאי, לגבי נאשמים 1 ו - 2, באופן שפורט בהודעה על ההסדר, ובנוסף </w:t>
      </w:r>
      <w:r>
        <w:rPr>
          <w:rtl/>
        </w:rPr>
        <w:t>–</w:t>
      </w:r>
      <w:r>
        <w:rPr>
          <w:rFonts w:hint="cs"/>
          <w:rtl/>
        </w:rPr>
        <w:t xml:space="preserve">הטלת  מאסרים מותנים, לפי שיקול דעת בית המשפט וקנס כספי ביחס לנאשמים 3 ו - 4. </w:t>
      </w:r>
    </w:p>
    <w:p w14:paraId="18D878E7" w14:textId="77777777" w:rsidR="002C327B" w:rsidRDefault="002C327B" w:rsidP="002C327B">
      <w:pPr>
        <w:spacing w:line="360" w:lineRule="auto"/>
        <w:jc w:val="both"/>
        <w:rPr>
          <w:rtl/>
        </w:rPr>
      </w:pPr>
    </w:p>
    <w:p w14:paraId="43A2FCF3" w14:textId="77777777" w:rsidR="002C327B" w:rsidRDefault="002C327B" w:rsidP="002C327B">
      <w:pPr>
        <w:spacing w:line="360" w:lineRule="auto"/>
        <w:jc w:val="both"/>
        <w:rPr>
          <w:b/>
          <w:bCs/>
          <w:rtl/>
        </w:rPr>
      </w:pPr>
      <w:r>
        <w:rPr>
          <w:rFonts w:hint="cs"/>
          <w:rtl/>
        </w:rPr>
        <w:t xml:space="preserve">במסגרת הראיות לעונש הוגשו בפנינו גיליונות הרישום הפלילי של הנאשמים </w:t>
      </w:r>
      <w:r>
        <w:rPr>
          <w:rFonts w:hint="cs"/>
          <w:b/>
          <w:bCs/>
          <w:rtl/>
        </w:rPr>
        <w:t xml:space="preserve">(ת/1 א'-ד' לעונש), </w:t>
      </w:r>
      <w:r w:rsidRPr="00AD6F06">
        <w:rPr>
          <w:rFonts w:hint="cs"/>
          <w:rtl/>
        </w:rPr>
        <w:t xml:space="preserve">וכן, </w:t>
      </w:r>
      <w:r>
        <w:rPr>
          <w:rFonts w:hint="cs"/>
          <w:rtl/>
        </w:rPr>
        <w:t xml:space="preserve">גזרי הדין, שבהם הוטלו המאסרים המותנים, על נאשמים 1 </w:t>
      </w:r>
      <w:r>
        <w:rPr>
          <w:rtl/>
        </w:rPr>
        <w:t>–</w:t>
      </w:r>
      <w:r>
        <w:rPr>
          <w:rFonts w:hint="cs"/>
          <w:rtl/>
        </w:rPr>
        <w:t xml:space="preserve"> 2 (</w:t>
      </w:r>
      <w:r>
        <w:rPr>
          <w:rFonts w:hint="cs"/>
          <w:b/>
          <w:bCs/>
          <w:rtl/>
        </w:rPr>
        <w:t>ת/2א'-ב' לעונש</w:t>
      </w:r>
      <w:r w:rsidRPr="007176C4">
        <w:rPr>
          <w:rFonts w:hint="cs"/>
          <w:rtl/>
        </w:rPr>
        <w:t xml:space="preserve"> בהתאמה</w:t>
      </w:r>
      <w:r>
        <w:rPr>
          <w:rFonts w:hint="cs"/>
          <w:b/>
          <w:bCs/>
          <w:rtl/>
        </w:rPr>
        <w:t xml:space="preserve">). </w:t>
      </w:r>
    </w:p>
    <w:p w14:paraId="5ECED79C" w14:textId="77777777" w:rsidR="002C327B" w:rsidRDefault="002C327B" w:rsidP="002C327B">
      <w:pPr>
        <w:spacing w:line="360" w:lineRule="auto"/>
        <w:jc w:val="both"/>
        <w:rPr>
          <w:b/>
          <w:bCs/>
          <w:rtl/>
        </w:rPr>
      </w:pPr>
    </w:p>
    <w:p w14:paraId="403253A3" w14:textId="77777777" w:rsidR="002C327B" w:rsidRDefault="002C327B" w:rsidP="002C327B">
      <w:pPr>
        <w:spacing w:line="360" w:lineRule="auto"/>
        <w:jc w:val="both"/>
        <w:rPr>
          <w:rtl/>
        </w:rPr>
      </w:pPr>
      <w:r>
        <w:rPr>
          <w:rFonts w:hint="cs"/>
          <w:rtl/>
        </w:rPr>
        <w:t xml:space="preserve">התובע, עו"ד ע.צברי, שטח בפנינו את הנימוקים בבסיס ההגעה להסדר הטיעון, ולאלה </w:t>
      </w:r>
      <w:r>
        <w:rPr>
          <w:rtl/>
        </w:rPr>
        <w:t>–</w:t>
      </w:r>
      <w:r>
        <w:rPr>
          <w:rFonts w:hint="cs"/>
          <w:rtl/>
        </w:rPr>
        <w:t xml:space="preserve"> הצטרפו גם הסניגורים בטיעוניהם.</w:t>
      </w:r>
    </w:p>
    <w:p w14:paraId="65BF777E" w14:textId="77777777" w:rsidR="002C327B" w:rsidRDefault="002C327B" w:rsidP="002C327B">
      <w:pPr>
        <w:spacing w:line="360" w:lineRule="auto"/>
        <w:jc w:val="both"/>
        <w:rPr>
          <w:rtl/>
        </w:rPr>
      </w:pPr>
    </w:p>
    <w:p w14:paraId="7D581076" w14:textId="77777777" w:rsidR="002C327B" w:rsidRDefault="002C327B" w:rsidP="002C327B">
      <w:pPr>
        <w:spacing w:line="360" w:lineRule="auto"/>
        <w:jc w:val="both"/>
        <w:rPr>
          <w:rtl/>
        </w:rPr>
      </w:pPr>
      <w:r>
        <w:rPr>
          <w:rFonts w:hint="cs"/>
          <w:rtl/>
        </w:rPr>
        <w:t xml:space="preserve">התובע הסביר, שהפרשה, מושא כתב האישום, היתה חלק מתיק רחב יותר, שבו הופעל סוכן, שהקליט שיחות בינו לבין הנאשמים 1 ו-2 דבר שסיפק חומר ראיות ניכר ליחידה החוקרת. ברם, ביחס לאישום הראשון, שחומרתו רבה, נפגע העבירה נמנע מלשתף פעולה, ולא תמך את התיק מבחינה ראייתית, כאשר, חלקים של האירוע, שלא נקלטו במצלמות אבטחה, נותרו כ"חלל </w:t>
      </w:r>
      <w:r>
        <w:rPr>
          <w:rFonts w:hint="cs"/>
          <w:rtl/>
        </w:rPr>
        <w:lastRenderedPageBreak/>
        <w:t xml:space="preserve">ראייתי". הדבר השליך על ניסוח כתב האישום המתוקן, במסגרת ההסדר. הודגש, שהירייה שנורתה, בידי הנאשם 1, לא פגעה בפועל באף אחד. פורטו גם קשיים ביחס להוכחת האישום השני, ובהם </w:t>
      </w:r>
      <w:r>
        <w:rPr>
          <w:rtl/>
        </w:rPr>
        <w:t>–</w:t>
      </w:r>
      <w:r>
        <w:rPr>
          <w:rFonts w:hint="cs"/>
          <w:rtl/>
        </w:rPr>
        <w:t xml:space="preserve"> איכות הקלטה מסוימת של שיחה שהסוכן השתתף בה. שיקול נוסף, שנוגע, הן לניסוח האישום כלפי נאשמים 3 ו 4, והן לענישה שהצדדים ממליצים עליה ביחס אליהם, עניינו בתובנה, שלא ניתן להוכיח, ששני אלה היו חלק מהקשר מושא אישום זה, ואף לא ברור, אם ידעו על החזקת הנשק אצל נאשם 1. </w:t>
      </w:r>
    </w:p>
    <w:p w14:paraId="367C6A17" w14:textId="77777777" w:rsidR="002C327B" w:rsidRDefault="002C327B" w:rsidP="002C327B">
      <w:pPr>
        <w:spacing w:line="360" w:lineRule="auto"/>
        <w:jc w:val="both"/>
        <w:rPr>
          <w:rtl/>
        </w:rPr>
      </w:pPr>
    </w:p>
    <w:p w14:paraId="5DFECB7F" w14:textId="77777777" w:rsidR="002C327B" w:rsidRDefault="002C327B" w:rsidP="002C327B">
      <w:pPr>
        <w:spacing w:line="360" w:lineRule="auto"/>
        <w:jc w:val="both"/>
        <w:rPr>
          <w:rtl/>
        </w:rPr>
      </w:pPr>
      <w:r>
        <w:rPr>
          <w:rFonts w:hint="cs"/>
          <w:rtl/>
        </w:rPr>
        <w:t xml:space="preserve">לנוכח האמור, והגם שלנאשמים 1 ו- 2 יש עבר פלילי, שהתובע כינה אותו "מרשים יחסית לגילם", ובשים לב לכך, שביצעו המיוחס להם למרות מאסר על תנאי שריחף על ראשם, סבור התובע, שמדובר בעונשים הולמים וסבירים, כאשר ההסכמה היתה להשית על הנאשם 1 מאסר בפועל של 4.5. שנים, ובנוסף </w:t>
      </w:r>
      <w:r>
        <w:rPr>
          <w:rtl/>
        </w:rPr>
        <w:t>–</w:t>
      </w:r>
      <w:r>
        <w:rPr>
          <w:rFonts w:hint="cs"/>
          <w:rtl/>
        </w:rPr>
        <w:t xml:space="preserve"> הפעלה, בחפיפה חלקית, של המאסר המותנה, ולהשית על הנאשם 2 מאסר של שנה, אף זה בצירוף הפעלה, בחפיפה חלקית, של המאסר המותנה. </w:t>
      </w:r>
    </w:p>
    <w:p w14:paraId="12D1AA7F" w14:textId="77777777" w:rsidR="002C327B" w:rsidRDefault="002C327B" w:rsidP="002C327B">
      <w:pPr>
        <w:spacing w:line="360" w:lineRule="auto"/>
        <w:jc w:val="both"/>
        <w:rPr>
          <w:rtl/>
        </w:rPr>
      </w:pPr>
    </w:p>
    <w:p w14:paraId="10867812" w14:textId="77777777" w:rsidR="002C327B" w:rsidRDefault="002C327B" w:rsidP="002C327B">
      <w:pPr>
        <w:spacing w:line="360" w:lineRule="auto"/>
        <w:jc w:val="both"/>
        <w:rPr>
          <w:rtl/>
        </w:rPr>
      </w:pPr>
      <w:r>
        <w:rPr>
          <w:rFonts w:hint="cs"/>
          <w:rtl/>
        </w:rPr>
        <w:t xml:space="preserve">עו"ד צברי הוסיף וציין, שעונשי המאסר המומלצים בהסכמה הם סבירים והולמים את העבירות בנסיבותיהן, וזאת - על דעת התביעה וההגנה כאחד. הוא הדגיש, בזיקה לכך, שלגבי הנאשמים 3 ו 4 נותרה עמימות באשר למה שהתביעה יכולה להוכיח אודות ידיעתם ואודות הרקע מאחורי עצם החזקת הסכין, או הסיוע לכך, וההסתייעות ברכב לביצוע פשע. </w:t>
      </w:r>
    </w:p>
    <w:p w14:paraId="11B90B48" w14:textId="77777777" w:rsidR="002C327B" w:rsidRDefault="002C327B" w:rsidP="002C327B">
      <w:pPr>
        <w:spacing w:line="360" w:lineRule="auto"/>
        <w:jc w:val="both"/>
        <w:rPr>
          <w:rtl/>
        </w:rPr>
      </w:pPr>
    </w:p>
    <w:p w14:paraId="02F27A3D" w14:textId="77777777" w:rsidR="002C327B" w:rsidRDefault="002C327B" w:rsidP="002C327B">
      <w:pPr>
        <w:spacing w:line="360" w:lineRule="auto"/>
        <w:jc w:val="both"/>
        <w:rPr>
          <w:rtl/>
        </w:rPr>
      </w:pPr>
      <w:r>
        <w:rPr>
          <w:rFonts w:hint="cs"/>
          <w:rtl/>
        </w:rPr>
        <w:t xml:space="preserve">התביעה ביקשה להשית על הנאשמים מאסרים מותנים, שיהיו לנגד עיניהם ויאותתו אף לנאשמים 3 ו 4 שהימצאותם העתידית בחברה עבריינית תגבה מהם מחיר. </w:t>
      </w:r>
    </w:p>
    <w:p w14:paraId="2B4828AA" w14:textId="77777777" w:rsidR="002C327B" w:rsidRDefault="002C327B" w:rsidP="002C327B">
      <w:pPr>
        <w:spacing w:line="360" w:lineRule="auto"/>
        <w:jc w:val="both"/>
        <w:rPr>
          <w:rtl/>
        </w:rPr>
      </w:pPr>
    </w:p>
    <w:p w14:paraId="0A4CC593" w14:textId="77777777" w:rsidR="002C327B" w:rsidRDefault="002C327B" w:rsidP="002C327B">
      <w:pPr>
        <w:spacing w:line="360" w:lineRule="auto"/>
        <w:jc w:val="both"/>
        <w:rPr>
          <w:rtl/>
        </w:rPr>
      </w:pPr>
      <w:r>
        <w:rPr>
          <w:rFonts w:hint="cs"/>
          <w:rtl/>
        </w:rPr>
        <w:t>באי כוח הנאשמים, אישרו הסכמתם והצטרפו לליבת נימוקי התובע בטיעוניו.</w:t>
      </w:r>
      <w:r w:rsidRPr="004A3039">
        <w:rPr>
          <w:rFonts w:hint="cs"/>
          <w:u w:val="single"/>
          <w:rtl/>
        </w:rPr>
        <w:t xml:space="preserve"> ב"כ הנאשם </w:t>
      </w:r>
      <w:r>
        <w:rPr>
          <w:rFonts w:hint="cs"/>
          <w:u w:val="single"/>
          <w:rtl/>
        </w:rPr>
        <w:t>1</w:t>
      </w:r>
      <w:r w:rsidRPr="00C06FDC">
        <w:rPr>
          <w:rFonts w:hint="cs"/>
          <w:rtl/>
        </w:rPr>
        <w:t xml:space="preserve">- </w:t>
      </w:r>
      <w:r>
        <w:rPr>
          <w:rFonts w:hint="cs"/>
          <w:rtl/>
        </w:rPr>
        <w:t xml:space="preserve">עו"ד שי פלד, הצטרף לדברי התובע וציין את הגינות התביעה במו"מ ובהתנהלות, הטעים שהממצאים הפורנזיים ועדי ראייה לאישום הראשון חיזקו, למעשה, את הנרטיב, שמצא ביטויו בתיקון כתב האישום, וציין את לקיחת האחריות של הנאשם 1, שהסיר את העמימות מעל זהות מבצע הירי. הוא סיפר, שמרשו בן 22, אב לשני ילדים בגילאים 4.5, ותינוקת בת 4 חודשים, כשהאם תצטרך לשאת בעתיד הקרוב בעול גידולם. הוא הגדיר את ההסדר כמאוזן וביקש לאמצו. הנאשם 1 הוסיף כי הוא מצטער על מה שעשה. </w:t>
      </w:r>
      <w:r w:rsidRPr="004A3039">
        <w:rPr>
          <w:rFonts w:hint="cs"/>
          <w:u w:val="single"/>
          <w:rtl/>
        </w:rPr>
        <w:t>ב"כ הנאשם 2</w:t>
      </w:r>
      <w:r>
        <w:rPr>
          <w:rFonts w:hint="cs"/>
          <w:rtl/>
        </w:rPr>
        <w:t xml:space="preserve"> - עו"ד ארז שלו, הטעים את הבעיות הראיתיות, את החיסכון בזמן שיפוטי ובשמיעת עדים, ואת משמעות הודאתו של מרשו, בסופו של יום, בכתב האישום המתוקן שגובש.  </w:t>
      </w:r>
      <w:r w:rsidRPr="004A3039">
        <w:rPr>
          <w:rFonts w:hint="cs"/>
          <w:u w:val="single"/>
          <w:rtl/>
        </w:rPr>
        <w:t>ב"כ הנאשם 3</w:t>
      </w:r>
      <w:r>
        <w:rPr>
          <w:rFonts w:hint="cs"/>
          <w:u w:val="single"/>
          <w:rtl/>
        </w:rPr>
        <w:t xml:space="preserve"> </w:t>
      </w:r>
      <w:r w:rsidRPr="00C06FDC">
        <w:rPr>
          <w:rFonts w:hint="cs"/>
          <w:rtl/>
        </w:rPr>
        <w:t xml:space="preserve">- </w:t>
      </w:r>
      <w:r>
        <w:rPr>
          <w:rFonts w:hint="cs"/>
          <w:rtl/>
        </w:rPr>
        <w:t xml:space="preserve">עו"ד יוחאי הזז, אף הוא, הודה לתובע על  ההגינות בניהול המו"מ, והדגיש, שהתעמקות בחומר החקירה שנאסף, העלתה, שמרשו, והנאשם 4,  לא  היו חלק מהקשר ולא ידעו על האקדח. לטעמו </w:t>
      </w:r>
      <w:r>
        <w:rPr>
          <w:rtl/>
        </w:rPr>
        <w:t>–</w:t>
      </w:r>
      <w:r>
        <w:rPr>
          <w:rFonts w:hint="cs"/>
          <w:rtl/>
        </w:rPr>
        <w:t xml:space="preserve"> כתב האישום המתוקן משקף את הראיות כמות שהן, ואת חלקם המינורי של הנאשמים 3 ו-4. עוד הדגיש, שמדובר בצעיר בן 22 שעברו אינו משמעותי, ושהפרשה והמעצר זעזעו את מרשו שחפץ לצאת לדרך חדשה, והוא אדם עובד ומתפרנס.  </w:t>
      </w:r>
      <w:r w:rsidRPr="004A3039">
        <w:rPr>
          <w:rFonts w:hint="cs"/>
          <w:u w:val="single"/>
          <w:rtl/>
        </w:rPr>
        <w:t>ב"כ הנאשם 4</w:t>
      </w:r>
      <w:r>
        <w:rPr>
          <w:rFonts w:hint="cs"/>
          <w:rtl/>
        </w:rPr>
        <w:t xml:space="preserve"> - עו"ד בנימין גריקו, גרס, כי חלקו של הנאשם 4 הוא הנמוך ביותר, וכי נטילת האחריות שלו, אף על חלק זה, היא שיקול ממשי באימוץ ההסדר, ועוד הטעים, שרכיב העיצום הכספי המשמעותי בעניינו של מרשו, מהווה איזון ראוי. </w:t>
      </w:r>
    </w:p>
    <w:p w14:paraId="3E444B47" w14:textId="77777777" w:rsidR="002C327B" w:rsidRDefault="002C327B" w:rsidP="002C327B">
      <w:pPr>
        <w:spacing w:line="360" w:lineRule="auto"/>
        <w:jc w:val="both"/>
        <w:rPr>
          <w:rtl/>
        </w:rPr>
      </w:pPr>
    </w:p>
    <w:p w14:paraId="5D08C971" w14:textId="77777777" w:rsidR="002C327B" w:rsidRDefault="002C327B" w:rsidP="002C327B">
      <w:pPr>
        <w:spacing w:line="360" w:lineRule="auto"/>
        <w:jc w:val="both"/>
        <w:rPr>
          <w:rtl/>
        </w:rPr>
      </w:pPr>
      <w:r>
        <w:rPr>
          <w:rFonts w:hint="cs"/>
          <w:rtl/>
        </w:rPr>
        <w:t xml:space="preserve">הנאשמים, פרט לנאשם 1, שהביע צער, הצטרפו לדברי פרקליטיהם ולא חפצו להוסיף על כך. </w:t>
      </w:r>
    </w:p>
    <w:p w14:paraId="3524EE69" w14:textId="77777777" w:rsidR="002C327B" w:rsidRDefault="002C327B" w:rsidP="002C327B">
      <w:pPr>
        <w:spacing w:line="360" w:lineRule="auto"/>
        <w:jc w:val="both"/>
        <w:rPr>
          <w:rtl/>
        </w:rPr>
      </w:pPr>
    </w:p>
    <w:p w14:paraId="64DAFD5F" w14:textId="77777777" w:rsidR="002C327B" w:rsidRDefault="002C327B" w:rsidP="002C327B">
      <w:pPr>
        <w:spacing w:line="360" w:lineRule="auto"/>
        <w:jc w:val="both"/>
        <w:rPr>
          <w:rtl/>
        </w:rPr>
      </w:pPr>
      <w:r>
        <w:rPr>
          <w:rFonts w:hint="cs"/>
          <w:rtl/>
        </w:rPr>
        <w:t xml:space="preserve">באי כוח הנאשמים 3 ו-4 הגיעו להסכמה עם התובע, שרכיב הקנס המוסכם, במסגרת ההסדר, יפרס ל-20 תשלומים. </w:t>
      </w:r>
    </w:p>
    <w:p w14:paraId="40370D70" w14:textId="77777777" w:rsidR="002C327B" w:rsidRDefault="002C327B" w:rsidP="002C327B">
      <w:pPr>
        <w:spacing w:line="360" w:lineRule="auto"/>
        <w:jc w:val="both"/>
        <w:rPr>
          <w:rtl/>
        </w:rPr>
      </w:pPr>
    </w:p>
    <w:p w14:paraId="1B0B590E" w14:textId="77777777" w:rsidR="002C327B" w:rsidRDefault="002C327B" w:rsidP="002C327B">
      <w:pPr>
        <w:spacing w:line="360" w:lineRule="auto"/>
        <w:jc w:val="both"/>
        <w:rPr>
          <w:rtl/>
        </w:rPr>
      </w:pPr>
      <w:r>
        <w:rPr>
          <w:rFonts w:hint="cs"/>
          <w:rtl/>
        </w:rPr>
        <w:t xml:space="preserve">שקלנו טיעוני הצדדים, כפי שפורט לעיל, ונחה דעתנו, שהסדר הטיעון, על רכיביו העונשיים, הוא בר אימוץ, וכי יש מקום לקיימו. ההסדר מאזן בין שיקולי הענישה  הצריכים לטיב העבירות שיוחסו לנאשמים, איש לפי חלקו, על רקע הצורך לעמוד בעיקרון ההלימה הבסיסי של העונש שיוטל, ולבין הקשיים הראיתיים שהוצפו, והעמימות שנותרה ביחס לחלקו של מי מהנאשמים באירועים שנחקרו, ומידת ידיעתו אודות מעשי האחרים וחלקם הם. </w:t>
      </w:r>
    </w:p>
    <w:p w14:paraId="1D643FFC" w14:textId="77777777" w:rsidR="002C327B" w:rsidRDefault="002C327B" w:rsidP="002C327B">
      <w:pPr>
        <w:spacing w:line="360" w:lineRule="auto"/>
        <w:jc w:val="both"/>
        <w:rPr>
          <w:rtl/>
        </w:rPr>
      </w:pPr>
      <w:r>
        <w:rPr>
          <w:rFonts w:hint="cs"/>
          <w:rtl/>
        </w:rPr>
        <w:t xml:space="preserve">תקופות המאסר, שהומלץ במשותף להטילם, ובהינתן המאסרים המותנים, שמשכם נותר לשיקול דעתנו, אמנם, נוטים לקולא, במיוחד ביחס לנאשמים 1 ו- 2, אך, אינם חורגים, באופן בלתי סביר, מרמת הענישה בעבירות דומות, בדרך כלל. לפיכך, בשים לב לשקולים שעמדו בבסיס ההסדר, יש לראותם כמאוזנים. </w:t>
      </w:r>
    </w:p>
    <w:p w14:paraId="29F76E7B" w14:textId="77777777" w:rsidR="002C327B" w:rsidRDefault="002C327B" w:rsidP="002C327B">
      <w:pPr>
        <w:spacing w:line="360" w:lineRule="auto"/>
        <w:jc w:val="both"/>
        <w:rPr>
          <w:rtl/>
        </w:rPr>
      </w:pPr>
    </w:p>
    <w:p w14:paraId="1456268C" w14:textId="77777777" w:rsidR="002C327B" w:rsidRDefault="002C327B" w:rsidP="002C327B">
      <w:pPr>
        <w:spacing w:line="360" w:lineRule="auto"/>
        <w:jc w:val="both"/>
        <w:rPr>
          <w:rtl/>
        </w:rPr>
      </w:pPr>
      <w:r>
        <w:rPr>
          <w:rFonts w:hint="cs"/>
          <w:rtl/>
        </w:rPr>
        <w:t xml:space="preserve">לאור המקובץ, וכפי העתירה המשותפת הכלולה בהודעה על הסדר הטיעון, שמצאנו לאמצו, אנו מטילים על הנאשמים את העונשים הבאים: </w:t>
      </w:r>
    </w:p>
    <w:p w14:paraId="481195BC" w14:textId="77777777" w:rsidR="002C327B" w:rsidRDefault="002C327B" w:rsidP="002C327B">
      <w:pPr>
        <w:spacing w:line="360" w:lineRule="auto"/>
        <w:jc w:val="both"/>
        <w:rPr>
          <w:rtl/>
        </w:rPr>
      </w:pPr>
    </w:p>
    <w:p w14:paraId="65AA3512" w14:textId="77777777" w:rsidR="002C327B" w:rsidRPr="004A3039" w:rsidRDefault="002C327B" w:rsidP="002C327B">
      <w:pPr>
        <w:spacing w:line="360" w:lineRule="auto"/>
        <w:jc w:val="both"/>
        <w:rPr>
          <w:rtl/>
        </w:rPr>
      </w:pPr>
      <w:r w:rsidRPr="004A3039">
        <w:rPr>
          <w:rFonts w:hint="cs"/>
          <w:u w:val="single"/>
          <w:rtl/>
        </w:rPr>
        <w:t>לנאשם 1</w:t>
      </w:r>
      <w:r w:rsidRPr="004A3039">
        <w:rPr>
          <w:rFonts w:hint="cs"/>
          <w:rtl/>
        </w:rPr>
        <w:t xml:space="preserve"> </w:t>
      </w:r>
      <w:r w:rsidRPr="004A3039">
        <w:rPr>
          <w:rtl/>
        </w:rPr>
        <w:t>–</w:t>
      </w:r>
    </w:p>
    <w:p w14:paraId="4DC2E355" w14:textId="77777777" w:rsidR="002C327B" w:rsidRDefault="002C327B" w:rsidP="002C327B">
      <w:pPr>
        <w:spacing w:line="360" w:lineRule="auto"/>
        <w:jc w:val="both"/>
        <w:rPr>
          <w:rtl/>
        </w:rPr>
      </w:pPr>
      <w:r>
        <w:rPr>
          <w:rFonts w:hint="cs"/>
          <w:rtl/>
        </w:rPr>
        <w:t>1.</w:t>
      </w:r>
      <w:r>
        <w:rPr>
          <w:rFonts w:hint="cs"/>
          <w:rtl/>
        </w:rPr>
        <w:tab/>
        <w:t xml:space="preserve">מאסר בפועל למשך 4.5 (ארבע וחצי) שנות מאסר, החל מיום מעצרו </w:t>
      </w:r>
      <w:r>
        <w:rPr>
          <w:rtl/>
        </w:rPr>
        <w:t>–</w:t>
      </w:r>
      <w:r>
        <w:rPr>
          <w:rFonts w:hint="cs"/>
          <w:rtl/>
        </w:rPr>
        <w:t xml:space="preserve"> 29.3.18. </w:t>
      </w:r>
    </w:p>
    <w:p w14:paraId="48980E04" w14:textId="77777777" w:rsidR="002C327B" w:rsidRDefault="002C327B" w:rsidP="002C327B">
      <w:pPr>
        <w:spacing w:line="360" w:lineRule="auto"/>
        <w:ind w:left="720" w:hanging="720"/>
        <w:jc w:val="both"/>
        <w:rPr>
          <w:rtl/>
        </w:rPr>
      </w:pPr>
      <w:r>
        <w:rPr>
          <w:rFonts w:hint="cs"/>
          <w:rtl/>
        </w:rPr>
        <w:t>2.</w:t>
      </w:r>
      <w:r>
        <w:rPr>
          <w:rFonts w:hint="cs"/>
          <w:rtl/>
        </w:rPr>
        <w:tab/>
        <w:t xml:space="preserve">מופעל המאסר המותנה של 10 חודשים מת.פ 64200-12-04 (בימ"ש שלום ב"ש), באופן ששישה חודשים ירוצו במצטבר למאסר שנגזר כעת, והיתרה תרוצה בחופף, כך, שסה"כ המאסר לריצוי בפועל, יעמוד על 5 שנים. </w:t>
      </w:r>
    </w:p>
    <w:p w14:paraId="0C5E9D00" w14:textId="77777777" w:rsidR="002C327B" w:rsidRDefault="002C327B" w:rsidP="002C327B">
      <w:pPr>
        <w:spacing w:line="360" w:lineRule="auto"/>
        <w:ind w:left="720" w:hanging="720"/>
        <w:jc w:val="both"/>
        <w:rPr>
          <w:rtl/>
        </w:rPr>
      </w:pPr>
      <w:r>
        <w:rPr>
          <w:rFonts w:hint="cs"/>
          <w:rtl/>
        </w:rPr>
        <w:t>3.</w:t>
      </w:r>
      <w:r>
        <w:rPr>
          <w:rFonts w:hint="cs"/>
          <w:rtl/>
        </w:rPr>
        <w:tab/>
        <w:t>מאסר על תנאי של  9 חודשים, לתקופה של 3 שנים מיום השחרור, על כל עבירה שבה הורשע כאן, או כל עבירת אלימות מסוג פשע.</w:t>
      </w:r>
    </w:p>
    <w:p w14:paraId="24B9D1E8" w14:textId="77777777" w:rsidR="002C327B" w:rsidRDefault="002C327B" w:rsidP="002C327B">
      <w:pPr>
        <w:spacing w:line="360" w:lineRule="auto"/>
        <w:ind w:left="720" w:hanging="720"/>
        <w:jc w:val="both"/>
        <w:rPr>
          <w:rtl/>
        </w:rPr>
      </w:pPr>
    </w:p>
    <w:p w14:paraId="07B68102" w14:textId="77777777" w:rsidR="002C327B" w:rsidRDefault="002C327B" w:rsidP="002C327B">
      <w:pPr>
        <w:spacing w:line="360" w:lineRule="auto"/>
        <w:ind w:left="720" w:hanging="720"/>
        <w:jc w:val="both"/>
        <w:rPr>
          <w:u w:val="single"/>
          <w:rtl/>
        </w:rPr>
      </w:pPr>
      <w:r w:rsidRPr="004A3039">
        <w:rPr>
          <w:rFonts w:hint="cs"/>
          <w:u w:val="single"/>
          <w:rtl/>
        </w:rPr>
        <w:t>לנאשם 2</w:t>
      </w:r>
      <w:r>
        <w:rPr>
          <w:rFonts w:hint="cs"/>
          <w:u w:val="single"/>
          <w:rtl/>
        </w:rPr>
        <w:t xml:space="preserve"> -</w:t>
      </w:r>
    </w:p>
    <w:p w14:paraId="7F7FE764" w14:textId="77777777" w:rsidR="002C327B" w:rsidRDefault="002C327B" w:rsidP="002C327B">
      <w:pPr>
        <w:spacing w:line="360" w:lineRule="auto"/>
        <w:ind w:left="720" w:hanging="720"/>
        <w:jc w:val="both"/>
        <w:rPr>
          <w:rtl/>
        </w:rPr>
      </w:pPr>
      <w:r w:rsidRPr="004A3039">
        <w:rPr>
          <w:rFonts w:hint="cs"/>
          <w:rtl/>
        </w:rPr>
        <w:t>1.</w:t>
      </w:r>
      <w:r w:rsidRPr="004A3039">
        <w:rPr>
          <w:rtl/>
        </w:rPr>
        <w:tab/>
      </w:r>
      <w:r>
        <w:rPr>
          <w:rFonts w:hint="cs"/>
          <w:rtl/>
        </w:rPr>
        <w:t xml:space="preserve">מאסר בפועל למשך 12 חודשים, החל מתאריך 27.3.18. </w:t>
      </w:r>
    </w:p>
    <w:p w14:paraId="68DCD3F9" w14:textId="77777777" w:rsidR="002C327B" w:rsidRDefault="002C327B" w:rsidP="002C327B">
      <w:pPr>
        <w:spacing w:line="360" w:lineRule="auto"/>
        <w:ind w:left="720" w:hanging="720"/>
        <w:jc w:val="both"/>
        <w:rPr>
          <w:rtl/>
        </w:rPr>
      </w:pPr>
      <w:r>
        <w:rPr>
          <w:rFonts w:hint="cs"/>
          <w:rtl/>
        </w:rPr>
        <w:t>2.</w:t>
      </w:r>
      <w:r>
        <w:rPr>
          <w:rFonts w:hint="cs"/>
          <w:rtl/>
        </w:rPr>
        <w:tab/>
        <w:t>מופעל המאסר המותנה של 10 חודשים מ</w:t>
      </w:r>
      <w:hyperlink r:id="rId34" w:history="1">
        <w:r w:rsidR="009E050B" w:rsidRPr="009E050B">
          <w:rPr>
            <w:color w:val="0000FF"/>
            <w:u w:val="single"/>
            <w:rtl/>
          </w:rPr>
          <w:t>ת.פ 19521-12-15</w:t>
        </w:r>
      </w:hyperlink>
      <w:r>
        <w:rPr>
          <w:rFonts w:hint="cs"/>
          <w:rtl/>
        </w:rPr>
        <w:t xml:space="preserve"> (בימ"ש מחוזי ב"ש), באופן ש-4 חודשים ירוצו במצטבר למאסר שנגזר כעת, והיתרה תרוצה בחופף, כך, שסה"כ המאסר לריצוי בפועל יעמוד על 16 חודשים. </w:t>
      </w:r>
    </w:p>
    <w:p w14:paraId="7ABCDFFB" w14:textId="77777777" w:rsidR="002C327B" w:rsidRPr="00342BCE" w:rsidRDefault="002C327B" w:rsidP="002C327B">
      <w:pPr>
        <w:spacing w:line="360" w:lineRule="auto"/>
        <w:ind w:left="720" w:hanging="720"/>
        <w:jc w:val="both"/>
        <w:rPr>
          <w:rtl/>
        </w:rPr>
      </w:pPr>
      <w:r>
        <w:rPr>
          <w:rFonts w:hint="cs"/>
          <w:rtl/>
        </w:rPr>
        <w:t>3.</w:t>
      </w:r>
      <w:r>
        <w:rPr>
          <w:rFonts w:hint="cs"/>
          <w:rtl/>
        </w:rPr>
        <w:tab/>
        <w:t xml:space="preserve">מאסר על תנאי  של  6 חודשים לתקופה של 3 שנים מיום השחרור, </w:t>
      </w:r>
      <w:r w:rsidRPr="00342BCE">
        <w:rPr>
          <w:rFonts w:hint="cs"/>
          <w:rtl/>
        </w:rPr>
        <w:t>על כל עבירה שבה הורשע כאן, או כל עבירת אלימות מסוג פשע.</w:t>
      </w:r>
    </w:p>
    <w:p w14:paraId="3AE988EF" w14:textId="77777777" w:rsidR="002C327B" w:rsidRDefault="002C327B" w:rsidP="002C327B">
      <w:pPr>
        <w:spacing w:line="360" w:lineRule="auto"/>
        <w:ind w:left="720" w:hanging="720"/>
        <w:jc w:val="both"/>
        <w:rPr>
          <w:rtl/>
        </w:rPr>
      </w:pPr>
    </w:p>
    <w:p w14:paraId="2C371044" w14:textId="77777777" w:rsidR="002C327B" w:rsidRDefault="002C327B" w:rsidP="002C327B">
      <w:pPr>
        <w:spacing w:line="360" w:lineRule="auto"/>
        <w:ind w:left="720" w:hanging="720"/>
        <w:jc w:val="both"/>
        <w:rPr>
          <w:rtl/>
        </w:rPr>
      </w:pPr>
    </w:p>
    <w:p w14:paraId="5777D991" w14:textId="77777777" w:rsidR="002C327B" w:rsidRDefault="002C327B" w:rsidP="002C327B">
      <w:pPr>
        <w:spacing w:line="360" w:lineRule="auto"/>
        <w:ind w:left="720" w:hanging="720"/>
        <w:jc w:val="both"/>
        <w:rPr>
          <w:u w:val="single"/>
          <w:rtl/>
        </w:rPr>
      </w:pPr>
      <w:r w:rsidRPr="004A3039">
        <w:rPr>
          <w:rFonts w:hint="cs"/>
          <w:u w:val="single"/>
          <w:rtl/>
        </w:rPr>
        <w:t>לנאשם 3</w:t>
      </w:r>
      <w:r>
        <w:rPr>
          <w:rFonts w:hint="cs"/>
          <w:u w:val="single"/>
          <w:rtl/>
        </w:rPr>
        <w:t>-</w:t>
      </w:r>
    </w:p>
    <w:p w14:paraId="2BE279DA" w14:textId="77777777" w:rsidR="002C327B" w:rsidRDefault="002C327B" w:rsidP="002C327B">
      <w:pPr>
        <w:spacing w:line="360" w:lineRule="auto"/>
        <w:ind w:left="720" w:hanging="720"/>
        <w:jc w:val="both"/>
        <w:rPr>
          <w:rtl/>
        </w:rPr>
      </w:pPr>
      <w:r>
        <w:rPr>
          <w:rFonts w:hint="cs"/>
          <w:rtl/>
        </w:rPr>
        <w:t>1.</w:t>
      </w:r>
      <w:r>
        <w:rPr>
          <w:rFonts w:hint="cs"/>
          <w:rtl/>
        </w:rPr>
        <w:tab/>
        <w:t xml:space="preserve">מאסר בפועל, שמשכו כתקופת המעצר בתיק זה, החל מיום 27.3.18, ועד 31.5.18, והוא  כבר רוצה, לפיכך, במלואו. </w:t>
      </w:r>
    </w:p>
    <w:p w14:paraId="2A69626F" w14:textId="77777777" w:rsidR="002C327B" w:rsidRDefault="002C327B" w:rsidP="002C327B">
      <w:pPr>
        <w:spacing w:line="360" w:lineRule="auto"/>
        <w:ind w:left="720" w:hanging="720"/>
        <w:jc w:val="both"/>
        <w:rPr>
          <w:rtl/>
        </w:rPr>
      </w:pPr>
      <w:r>
        <w:rPr>
          <w:rFonts w:hint="cs"/>
          <w:rtl/>
        </w:rPr>
        <w:t>2.</w:t>
      </w:r>
      <w:r>
        <w:rPr>
          <w:rFonts w:hint="cs"/>
          <w:rtl/>
        </w:rPr>
        <w:tab/>
        <w:t xml:space="preserve">מאסר על תנאי למשך 4 חודשים, לתקופה של 3 שנים, על העבירות שבהן הורשע בתיק זה, או על כל עבירה אחרת, שהיא עבירת נשק, קר או חם כאחד. </w:t>
      </w:r>
    </w:p>
    <w:p w14:paraId="27F205AE" w14:textId="77777777" w:rsidR="002C327B" w:rsidRDefault="002C327B" w:rsidP="002C327B">
      <w:pPr>
        <w:spacing w:line="360" w:lineRule="auto"/>
        <w:ind w:left="720" w:hanging="720"/>
        <w:jc w:val="both"/>
        <w:rPr>
          <w:rtl/>
        </w:rPr>
      </w:pPr>
      <w:r>
        <w:rPr>
          <w:rFonts w:hint="cs"/>
          <w:rtl/>
        </w:rPr>
        <w:t>3.</w:t>
      </w:r>
      <w:r>
        <w:rPr>
          <w:rtl/>
        </w:rPr>
        <w:tab/>
      </w:r>
      <w:r>
        <w:rPr>
          <w:rFonts w:hint="cs"/>
          <w:rtl/>
        </w:rPr>
        <w:t>קנס של 7,500 ₪ אשר ישולם ב 20 תשלומים חודשיים שווים ורצופים, בכל 10 לחודש, החל מיום 10.11.18 ואילך. איחור בתשלום אחד השיעורים, שמשכו למעלה משבוע ימים, יעמיד את מלוא היתרה לפרעון מיידי.</w:t>
      </w:r>
    </w:p>
    <w:p w14:paraId="0AD0B763" w14:textId="77777777" w:rsidR="002C327B" w:rsidRDefault="002C327B" w:rsidP="002C327B">
      <w:pPr>
        <w:spacing w:line="360" w:lineRule="auto"/>
        <w:ind w:left="720" w:hanging="720"/>
        <w:jc w:val="both"/>
        <w:rPr>
          <w:rtl/>
        </w:rPr>
      </w:pPr>
    </w:p>
    <w:p w14:paraId="0417F5E9" w14:textId="77777777" w:rsidR="002C327B" w:rsidRDefault="002C327B" w:rsidP="002C327B">
      <w:pPr>
        <w:spacing w:line="360" w:lineRule="auto"/>
        <w:ind w:left="720" w:hanging="720"/>
        <w:jc w:val="both"/>
        <w:rPr>
          <w:u w:val="single"/>
          <w:rtl/>
        </w:rPr>
      </w:pPr>
      <w:r w:rsidRPr="004A3039">
        <w:rPr>
          <w:rFonts w:hint="cs"/>
          <w:u w:val="single"/>
          <w:rtl/>
        </w:rPr>
        <w:t>לנאשם 4:</w:t>
      </w:r>
    </w:p>
    <w:p w14:paraId="26418DD0" w14:textId="77777777" w:rsidR="002C327B" w:rsidRDefault="002C327B" w:rsidP="002C327B">
      <w:pPr>
        <w:spacing w:line="360" w:lineRule="auto"/>
        <w:ind w:left="720" w:hanging="720"/>
        <w:jc w:val="both"/>
        <w:rPr>
          <w:rtl/>
        </w:rPr>
      </w:pPr>
      <w:r w:rsidRPr="004A3039">
        <w:rPr>
          <w:rFonts w:hint="cs"/>
          <w:rtl/>
        </w:rPr>
        <w:t>1.</w:t>
      </w:r>
      <w:r w:rsidRPr="004A3039">
        <w:rPr>
          <w:rFonts w:hint="cs"/>
          <w:rtl/>
        </w:rPr>
        <w:tab/>
      </w:r>
      <w:r>
        <w:rPr>
          <w:rFonts w:hint="cs"/>
          <w:rtl/>
        </w:rPr>
        <w:t xml:space="preserve">מאסר בפועל, שמשכו כתקופת המעצר בתיק זה, החל מיום 27.3.18, ועד 31.5.18, והוא  כבר רוצה, לפיכך, במלואו. </w:t>
      </w:r>
    </w:p>
    <w:p w14:paraId="3BEA37CF" w14:textId="77777777" w:rsidR="002C327B" w:rsidRDefault="002C327B" w:rsidP="002C327B">
      <w:pPr>
        <w:spacing w:line="360" w:lineRule="auto"/>
        <w:ind w:left="720" w:hanging="720"/>
        <w:jc w:val="both"/>
        <w:rPr>
          <w:rtl/>
        </w:rPr>
      </w:pPr>
      <w:r>
        <w:rPr>
          <w:rFonts w:hint="cs"/>
          <w:rtl/>
        </w:rPr>
        <w:t>2.</w:t>
      </w:r>
      <w:r>
        <w:rPr>
          <w:rFonts w:hint="cs"/>
          <w:rtl/>
        </w:rPr>
        <w:tab/>
        <w:t xml:space="preserve">מאסר על תנאי למשך 4 חודשים, לתקופה של 3 שנים, על העבירות שבהן הורשע בתיק זה, או על כל עבירה אחרת, שהיא עבירת נשק, קר או חם כאחד. </w:t>
      </w:r>
    </w:p>
    <w:p w14:paraId="236BD279" w14:textId="77777777" w:rsidR="002C327B" w:rsidRPr="0055766B" w:rsidRDefault="002C327B" w:rsidP="002C327B">
      <w:pPr>
        <w:spacing w:line="360" w:lineRule="auto"/>
        <w:ind w:left="720" w:hanging="720"/>
        <w:jc w:val="both"/>
        <w:rPr>
          <w:rtl/>
        </w:rPr>
      </w:pPr>
      <w:r>
        <w:rPr>
          <w:rFonts w:hint="cs"/>
          <w:rtl/>
        </w:rPr>
        <w:t>3.</w:t>
      </w:r>
      <w:r>
        <w:rPr>
          <w:rtl/>
        </w:rPr>
        <w:tab/>
      </w:r>
      <w:r>
        <w:rPr>
          <w:rFonts w:hint="cs"/>
          <w:rtl/>
        </w:rPr>
        <w:t xml:space="preserve">קנס של 7,500 ₪ אשר ישולם ב 20 תשלומים חודשיים שווים ורצופים, בכל 10 לחודש, החל מיום 10.11.18 ואילך. </w:t>
      </w:r>
      <w:r w:rsidRPr="0055766B">
        <w:rPr>
          <w:rFonts w:hint="cs"/>
          <w:rtl/>
        </w:rPr>
        <w:t>איחור בתשלום אחד השיעורים, שמשכו למעלה משבוע ימים, יעמיד את מלוא היתרה לפרעון מיידי.</w:t>
      </w:r>
    </w:p>
    <w:p w14:paraId="7A76305D" w14:textId="77777777" w:rsidR="002C327B" w:rsidRDefault="002C327B" w:rsidP="002C327B">
      <w:pPr>
        <w:spacing w:line="360" w:lineRule="auto"/>
        <w:ind w:left="720" w:hanging="720"/>
        <w:jc w:val="both"/>
        <w:rPr>
          <w:rtl/>
        </w:rPr>
      </w:pPr>
    </w:p>
    <w:p w14:paraId="232A59C5" w14:textId="77777777" w:rsidR="002C327B" w:rsidRPr="00C06FDC" w:rsidRDefault="002C327B" w:rsidP="002C327B">
      <w:pPr>
        <w:spacing w:line="360" w:lineRule="auto"/>
        <w:ind w:left="720" w:hanging="720"/>
        <w:jc w:val="both"/>
        <w:rPr>
          <w:b/>
          <w:bCs/>
          <w:rtl/>
        </w:rPr>
      </w:pPr>
      <w:r w:rsidRPr="00C06FDC">
        <w:rPr>
          <w:rFonts w:hint="cs"/>
          <w:b/>
          <w:bCs/>
          <w:rtl/>
        </w:rPr>
        <w:t xml:space="preserve">הודעה זכות הערעור בתוך 45 יום לבית משפט העליון. </w:t>
      </w:r>
    </w:p>
    <w:p w14:paraId="2AC2A951" w14:textId="77777777" w:rsidR="002C327B" w:rsidRDefault="002C327B" w:rsidP="002C327B">
      <w:pPr>
        <w:spacing w:line="360" w:lineRule="auto"/>
        <w:ind w:left="720" w:hanging="720"/>
        <w:jc w:val="both"/>
        <w:rPr>
          <w:rtl/>
        </w:rPr>
      </w:pPr>
    </w:p>
    <w:p w14:paraId="08E65E99" w14:textId="77777777" w:rsidR="002C327B" w:rsidRDefault="009E050B" w:rsidP="002C327B">
      <w:pPr>
        <w:spacing w:line="360" w:lineRule="auto"/>
        <w:ind w:left="720" w:hanging="720"/>
        <w:jc w:val="both"/>
        <w:rPr>
          <w:rtl/>
        </w:rPr>
      </w:pPr>
      <w:r w:rsidRPr="009E050B">
        <w:rPr>
          <w:b/>
          <w:bCs/>
          <w:color w:val="FFFFFF"/>
          <w:sz w:val="2"/>
          <w:szCs w:val="2"/>
          <w:rtl/>
        </w:rPr>
        <w:t>5129371</w:t>
      </w:r>
      <w:r>
        <w:rPr>
          <w:b/>
          <w:bCs/>
          <w:rtl/>
        </w:rPr>
        <w:t xml:space="preserve">ניתן היום יג' חשוון תשע"ט (22 אוקטובר 2018) במעמד הצדדים.  </w:t>
      </w:r>
    </w:p>
    <w:tbl>
      <w:tblPr>
        <w:bidiVisual/>
        <w:tblW w:w="0" w:type="auto"/>
        <w:tblLook w:val="01E0" w:firstRow="1" w:lastRow="1" w:firstColumn="1" w:lastColumn="1" w:noHBand="0" w:noVBand="0"/>
      </w:tblPr>
      <w:tblGrid>
        <w:gridCol w:w="2960"/>
        <w:gridCol w:w="236"/>
        <w:gridCol w:w="2289"/>
        <w:gridCol w:w="300"/>
        <w:gridCol w:w="2737"/>
      </w:tblGrid>
      <w:tr w:rsidR="002C327B" w14:paraId="56CB8335" w14:textId="77777777" w:rsidTr="002C327B">
        <w:tc>
          <w:tcPr>
            <w:tcW w:w="2960" w:type="dxa"/>
            <w:tcBorders>
              <w:top w:val="nil"/>
              <w:left w:val="nil"/>
              <w:bottom w:val="single" w:sz="4" w:space="0" w:color="auto"/>
              <w:right w:val="nil"/>
            </w:tcBorders>
            <w:shd w:val="clear" w:color="auto" w:fill="auto"/>
            <w:vAlign w:val="center"/>
          </w:tcPr>
          <w:p w14:paraId="08C7C2B7" w14:textId="77777777" w:rsidR="002C327B" w:rsidRPr="009E050B" w:rsidRDefault="009E050B" w:rsidP="002C327B">
            <w:pPr>
              <w:jc w:val="center"/>
              <w:rPr>
                <w:rFonts w:ascii="Courier New" w:hAnsi="Courier New"/>
                <w:b/>
                <w:bCs/>
                <w:color w:val="FFFFFF"/>
                <w:sz w:val="2"/>
                <w:szCs w:val="2"/>
              </w:rPr>
            </w:pPr>
            <w:r w:rsidRPr="009E050B">
              <w:rPr>
                <w:rFonts w:ascii="Courier New" w:hAnsi="Courier New"/>
                <w:b/>
                <w:bCs/>
                <w:color w:val="FFFFFF"/>
                <w:sz w:val="2"/>
                <w:szCs w:val="2"/>
                <w:rtl/>
              </w:rPr>
              <w:t>54678313</w:t>
            </w:r>
          </w:p>
        </w:tc>
        <w:tc>
          <w:tcPr>
            <w:tcW w:w="236" w:type="dxa"/>
            <w:shd w:val="clear" w:color="auto" w:fill="auto"/>
            <w:vAlign w:val="center"/>
          </w:tcPr>
          <w:p w14:paraId="7285A39F" w14:textId="77777777" w:rsidR="002C327B" w:rsidRPr="002C327B" w:rsidRDefault="002C327B" w:rsidP="002C327B">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0BE2ECFF" w14:textId="77777777" w:rsidR="002C327B" w:rsidRPr="002C327B" w:rsidRDefault="002C327B" w:rsidP="002C327B">
            <w:pPr>
              <w:jc w:val="center"/>
              <w:rPr>
                <w:rFonts w:ascii="Courier New" w:hAnsi="Courier New"/>
                <w:b/>
                <w:bCs/>
                <w:sz w:val="20"/>
                <w:szCs w:val="20"/>
              </w:rPr>
            </w:pPr>
          </w:p>
        </w:tc>
        <w:tc>
          <w:tcPr>
            <w:tcW w:w="300" w:type="dxa"/>
            <w:shd w:val="clear" w:color="auto" w:fill="auto"/>
            <w:vAlign w:val="center"/>
          </w:tcPr>
          <w:p w14:paraId="1BAAAB36" w14:textId="77777777" w:rsidR="002C327B" w:rsidRPr="002C327B" w:rsidRDefault="002C327B" w:rsidP="002C327B">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7D76EF69" w14:textId="77777777" w:rsidR="002C327B" w:rsidRPr="002C327B" w:rsidRDefault="002C327B" w:rsidP="002C327B">
            <w:pPr>
              <w:jc w:val="center"/>
              <w:rPr>
                <w:rFonts w:ascii="Courier New" w:hAnsi="Courier New"/>
                <w:b/>
                <w:bCs/>
                <w:sz w:val="20"/>
                <w:szCs w:val="20"/>
              </w:rPr>
            </w:pPr>
          </w:p>
        </w:tc>
      </w:tr>
      <w:tr w:rsidR="002C327B" w14:paraId="3288B952" w14:textId="77777777" w:rsidTr="002C327B">
        <w:tc>
          <w:tcPr>
            <w:tcW w:w="2960" w:type="dxa"/>
            <w:tcBorders>
              <w:top w:val="single" w:sz="4" w:space="0" w:color="auto"/>
              <w:left w:val="nil"/>
              <w:bottom w:val="nil"/>
              <w:right w:val="nil"/>
            </w:tcBorders>
            <w:shd w:val="clear" w:color="auto" w:fill="auto"/>
            <w:vAlign w:val="bottom"/>
          </w:tcPr>
          <w:p w14:paraId="58757007" w14:textId="77777777" w:rsidR="002C327B" w:rsidRPr="002C327B" w:rsidRDefault="002C327B" w:rsidP="002C327B">
            <w:pPr>
              <w:jc w:val="center"/>
              <w:rPr>
                <w:rFonts w:ascii="Courier New" w:hAnsi="Courier New"/>
                <w:b/>
                <w:bCs/>
                <w:rtl/>
              </w:rPr>
            </w:pPr>
            <w:r w:rsidRPr="002C327B">
              <w:rPr>
                <w:rFonts w:ascii="Courier New" w:hAnsi="Courier New" w:hint="cs"/>
                <w:b/>
                <w:bCs/>
                <w:rtl/>
              </w:rPr>
              <w:t>אריאל ואגו, שופט</w:t>
            </w:r>
            <w:r w:rsidRPr="002C327B">
              <w:rPr>
                <w:rFonts w:ascii="Courier New" w:hAnsi="Courier New"/>
                <w:b/>
                <w:bCs/>
              </w:rPr>
              <w:t xml:space="preserve"> </w:t>
            </w:r>
            <w:r w:rsidRPr="002C327B">
              <w:rPr>
                <w:rFonts w:ascii="Courier New" w:hAnsi="Courier New" w:hint="cs"/>
                <w:b/>
                <w:bCs/>
                <w:rtl/>
              </w:rPr>
              <w:t xml:space="preserve">בכיר </w:t>
            </w:r>
          </w:p>
          <w:p w14:paraId="2C57AC56" w14:textId="77777777" w:rsidR="002C327B" w:rsidRPr="002C327B" w:rsidRDefault="002C327B" w:rsidP="002C327B">
            <w:pPr>
              <w:jc w:val="center"/>
              <w:rPr>
                <w:rFonts w:ascii="Courier New" w:hAnsi="Courier New"/>
                <w:b/>
                <w:bCs/>
                <w:rtl/>
              </w:rPr>
            </w:pPr>
            <w:r w:rsidRPr="002C327B">
              <w:rPr>
                <w:rFonts w:ascii="Courier New" w:hAnsi="Courier New" w:hint="cs"/>
                <w:b/>
                <w:bCs/>
                <w:rtl/>
              </w:rPr>
              <w:t>אב"ד</w:t>
            </w:r>
          </w:p>
        </w:tc>
        <w:tc>
          <w:tcPr>
            <w:tcW w:w="236" w:type="dxa"/>
            <w:shd w:val="clear" w:color="auto" w:fill="auto"/>
            <w:vAlign w:val="bottom"/>
          </w:tcPr>
          <w:p w14:paraId="3A7B3962" w14:textId="77777777" w:rsidR="002C327B" w:rsidRPr="002C327B" w:rsidRDefault="002C327B" w:rsidP="002C327B">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24552BC9" w14:textId="77777777" w:rsidR="002C327B" w:rsidRPr="002C327B" w:rsidRDefault="002C327B" w:rsidP="002C327B">
            <w:pPr>
              <w:jc w:val="center"/>
              <w:rPr>
                <w:rFonts w:ascii="Courier New" w:hAnsi="Courier New"/>
                <w:b/>
                <w:bCs/>
              </w:rPr>
            </w:pPr>
            <w:r w:rsidRPr="002C327B">
              <w:rPr>
                <w:rFonts w:ascii="Courier New" w:hAnsi="Courier New" w:hint="cs"/>
                <w:b/>
                <w:bCs/>
                <w:rtl/>
              </w:rPr>
              <w:t>אלון אינפלד, שופט</w:t>
            </w:r>
          </w:p>
        </w:tc>
        <w:tc>
          <w:tcPr>
            <w:tcW w:w="300" w:type="dxa"/>
            <w:shd w:val="clear" w:color="auto" w:fill="auto"/>
          </w:tcPr>
          <w:p w14:paraId="727D86EC" w14:textId="77777777" w:rsidR="002C327B" w:rsidRPr="002C327B" w:rsidRDefault="002C327B" w:rsidP="002C327B">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54AE01D2" w14:textId="77777777" w:rsidR="002C327B" w:rsidRPr="002C327B" w:rsidRDefault="002C327B" w:rsidP="002C327B">
            <w:pPr>
              <w:jc w:val="center"/>
              <w:rPr>
                <w:rFonts w:ascii="Courier New" w:hAnsi="Courier New"/>
                <w:b/>
                <w:bCs/>
              </w:rPr>
            </w:pPr>
            <w:r w:rsidRPr="002C327B">
              <w:rPr>
                <w:rFonts w:ascii="Courier New" w:hAnsi="Courier New" w:hint="cs"/>
                <w:b/>
                <w:bCs/>
                <w:rtl/>
              </w:rPr>
              <w:t>אריאל חזק, שופט</w:t>
            </w:r>
          </w:p>
        </w:tc>
      </w:tr>
    </w:tbl>
    <w:p w14:paraId="423A4512" w14:textId="77777777" w:rsidR="002C327B" w:rsidRPr="00106462" w:rsidRDefault="00106462" w:rsidP="002C327B">
      <w:pPr>
        <w:rPr>
          <w:color w:val="FFFFFF"/>
          <w:sz w:val="2"/>
          <w:szCs w:val="2"/>
        </w:rPr>
      </w:pPr>
      <w:r w:rsidRPr="00106462">
        <w:rPr>
          <w:color w:val="FFFFFF"/>
          <w:sz w:val="2"/>
          <w:szCs w:val="2"/>
          <w:rtl/>
        </w:rPr>
        <w:t>5129371</w:t>
      </w:r>
    </w:p>
    <w:p w14:paraId="5078ABEA" w14:textId="77777777" w:rsidR="00451C4B" w:rsidRPr="00106462" w:rsidRDefault="00106462" w:rsidP="009E050B">
      <w:pPr>
        <w:keepNext/>
        <w:rPr>
          <w:rFonts w:ascii="David" w:hAnsi="David"/>
          <w:color w:val="FFFFFF"/>
          <w:sz w:val="2"/>
          <w:szCs w:val="2"/>
          <w:rtl/>
        </w:rPr>
      </w:pPr>
      <w:r w:rsidRPr="00106462">
        <w:rPr>
          <w:rFonts w:ascii="David" w:hAnsi="David"/>
          <w:color w:val="FFFFFF"/>
          <w:sz w:val="2"/>
          <w:szCs w:val="2"/>
          <w:rtl/>
        </w:rPr>
        <w:t>54678313</w:t>
      </w:r>
    </w:p>
    <w:p w14:paraId="40680AD2" w14:textId="77777777" w:rsidR="009E050B" w:rsidRDefault="009E050B" w:rsidP="009E050B">
      <w:pPr>
        <w:rPr>
          <w:rtl/>
        </w:rPr>
      </w:pPr>
    </w:p>
    <w:p w14:paraId="7273F9D2" w14:textId="77777777" w:rsidR="009E050B" w:rsidRDefault="009E050B" w:rsidP="009E050B">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6643DDD4" w14:textId="77777777" w:rsidR="00106462" w:rsidRPr="00106462" w:rsidRDefault="00106462" w:rsidP="00106462">
      <w:pPr>
        <w:keepNext/>
        <w:rPr>
          <w:rFonts w:ascii="David" w:hAnsi="David"/>
          <w:color w:val="000000"/>
          <w:sz w:val="22"/>
          <w:szCs w:val="22"/>
          <w:rtl/>
        </w:rPr>
      </w:pPr>
    </w:p>
    <w:p w14:paraId="54A207A0" w14:textId="77777777" w:rsidR="00106462" w:rsidRPr="00106462" w:rsidRDefault="00106462" w:rsidP="00106462">
      <w:pPr>
        <w:keepNext/>
        <w:rPr>
          <w:rFonts w:ascii="David" w:hAnsi="David"/>
          <w:color w:val="000000"/>
          <w:sz w:val="22"/>
          <w:szCs w:val="22"/>
          <w:rtl/>
        </w:rPr>
      </w:pPr>
      <w:r w:rsidRPr="00106462">
        <w:rPr>
          <w:rFonts w:ascii="David" w:hAnsi="David"/>
          <w:color w:val="000000"/>
          <w:sz w:val="22"/>
          <w:szCs w:val="22"/>
          <w:rtl/>
        </w:rPr>
        <w:t>אריאל ואגו 54678313-/</w:t>
      </w:r>
    </w:p>
    <w:p w14:paraId="670B5765" w14:textId="77777777" w:rsidR="009E050B" w:rsidRPr="009E050B" w:rsidRDefault="00106462" w:rsidP="00106462">
      <w:pPr>
        <w:rPr>
          <w:color w:val="0000FF"/>
          <w:u w:val="single"/>
        </w:rPr>
      </w:pPr>
      <w:r w:rsidRPr="00106462">
        <w:rPr>
          <w:color w:val="000000"/>
          <w:u w:val="single"/>
          <w:rtl/>
        </w:rPr>
        <w:t>נוסח מסמך זה כפוף לשינויי ניסוח ועריכה</w:t>
      </w:r>
    </w:p>
    <w:sectPr w:rsidR="009E050B" w:rsidRPr="009E050B" w:rsidSect="00106462">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B2EC5" w14:textId="77777777" w:rsidR="0034139C" w:rsidRDefault="0034139C" w:rsidP="00161389">
      <w:r>
        <w:separator/>
      </w:r>
    </w:p>
  </w:endnote>
  <w:endnote w:type="continuationSeparator" w:id="0">
    <w:p w14:paraId="248A3C2F" w14:textId="77777777" w:rsidR="0034139C" w:rsidRDefault="0034139C" w:rsidP="00161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4D5B2" w14:textId="77777777" w:rsidR="00106462" w:rsidRDefault="00106462" w:rsidP="001064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466EBB2" w14:textId="77777777" w:rsidR="00E20329" w:rsidRPr="00106462" w:rsidRDefault="00106462" w:rsidP="00106462">
    <w:pPr>
      <w:pStyle w:val="a5"/>
      <w:pBdr>
        <w:top w:val="single" w:sz="4" w:space="1" w:color="auto"/>
        <w:between w:val="single" w:sz="4" w:space="0" w:color="auto"/>
      </w:pBdr>
      <w:spacing w:after="60"/>
      <w:jc w:val="center"/>
      <w:rPr>
        <w:rFonts w:ascii="FrankRuehl" w:hAnsi="FrankRuehl" w:cs="FrankRuehl"/>
        <w:color w:val="000000"/>
      </w:rPr>
    </w:pPr>
    <w:r w:rsidRPr="0010646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0B830" w14:textId="77777777" w:rsidR="00106462" w:rsidRDefault="00106462" w:rsidP="001064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8088A">
      <w:rPr>
        <w:rFonts w:ascii="FrankRuehl" w:hAnsi="FrankRuehl" w:cs="FrankRuehl"/>
        <w:noProof/>
        <w:rtl/>
      </w:rPr>
      <w:t>1</w:t>
    </w:r>
    <w:r>
      <w:rPr>
        <w:rFonts w:ascii="FrankRuehl" w:hAnsi="FrankRuehl" w:cs="FrankRuehl"/>
        <w:rtl/>
      </w:rPr>
      <w:fldChar w:fldCharType="end"/>
    </w:r>
  </w:p>
  <w:p w14:paraId="1516D438" w14:textId="77777777" w:rsidR="00E20329" w:rsidRPr="00106462" w:rsidRDefault="00106462" w:rsidP="00106462">
    <w:pPr>
      <w:pStyle w:val="a5"/>
      <w:pBdr>
        <w:top w:val="single" w:sz="4" w:space="1" w:color="auto"/>
        <w:between w:val="single" w:sz="4" w:space="0" w:color="auto"/>
      </w:pBdr>
      <w:spacing w:after="60"/>
      <w:jc w:val="center"/>
      <w:rPr>
        <w:rFonts w:ascii="FrankRuehl" w:hAnsi="FrankRuehl" w:cs="FrankRuehl"/>
        <w:color w:val="000000"/>
      </w:rPr>
    </w:pPr>
    <w:r w:rsidRPr="00106462">
      <w:rPr>
        <w:rFonts w:ascii="FrankRuehl" w:hAnsi="FrankRuehl" w:cs="FrankRuehl"/>
        <w:color w:val="000000"/>
      </w:rPr>
      <w:pict w14:anchorId="31C9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FB0DA" w14:textId="77777777" w:rsidR="0034139C" w:rsidRDefault="0034139C" w:rsidP="00161389">
      <w:r>
        <w:separator/>
      </w:r>
    </w:p>
  </w:footnote>
  <w:footnote w:type="continuationSeparator" w:id="0">
    <w:p w14:paraId="38BD3F15" w14:textId="77777777" w:rsidR="0034139C" w:rsidRDefault="0034139C" w:rsidP="00161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79586" w14:textId="77777777" w:rsidR="009E050B" w:rsidRPr="00106462" w:rsidRDefault="00106462" w:rsidP="0010646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35688-04-18</w:t>
    </w:r>
    <w:r>
      <w:rPr>
        <w:rFonts w:ascii="David" w:hAnsi="David"/>
        <w:color w:val="000000"/>
        <w:sz w:val="22"/>
        <w:szCs w:val="22"/>
        <w:rtl/>
      </w:rPr>
      <w:tab/>
      <w:t xml:space="preserve"> מדינת ישראל נ' ויקטור חיים שמחה טוויל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59BB6" w14:textId="77777777" w:rsidR="009E050B" w:rsidRPr="00106462" w:rsidRDefault="00106462" w:rsidP="0010646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35688-04-18</w:t>
    </w:r>
    <w:r>
      <w:rPr>
        <w:rFonts w:ascii="David" w:hAnsi="David"/>
        <w:color w:val="000000"/>
        <w:sz w:val="22"/>
        <w:szCs w:val="22"/>
        <w:rtl/>
      </w:rPr>
      <w:tab/>
      <w:t xml:space="preserve"> מדינת ישראל נ' ויקטור חיים שמחה טוויל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327B"/>
    <w:rsid w:val="00106462"/>
    <w:rsid w:val="00160ECE"/>
    <w:rsid w:val="00161389"/>
    <w:rsid w:val="002C327B"/>
    <w:rsid w:val="0034139C"/>
    <w:rsid w:val="0044208B"/>
    <w:rsid w:val="00451C4B"/>
    <w:rsid w:val="007A517A"/>
    <w:rsid w:val="009E050B"/>
    <w:rsid w:val="00C075D3"/>
    <w:rsid w:val="00E20329"/>
    <w:rsid w:val="00E8088A"/>
    <w:rsid w:val="00FF16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B6BF98A"/>
  <w15:chartTrackingRefBased/>
  <w15:docId w15:val="{13EB3DE0-BED6-42C5-914B-7909B9B0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327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C327B"/>
    <w:pPr>
      <w:tabs>
        <w:tab w:val="center" w:pos="4153"/>
        <w:tab w:val="right" w:pos="8306"/>
      </w:tabs>
    </w:pPr>
  </w:style>
  <w:style w:type="character" w:customStyle="1" w:styleId="a4">
    <w:name w:val="כותרת עליונה תו"/>
    <w:link w:val="a3"/>
    <w:rsid w:val="002C327B"/>
    <w:rPr>
      <w:rFonts w:ascii="Times New Roman" w:eastAsia="Times New Roman" w:hAnsi="Times New Roman" w:cs="David"/>
      <w:sz w:val="24"/>
      <w:szCs w:val="24"/>
    </w:rPr>
  </w:style>
  <w:style w:type="paragraph" w:styleId="a5">
    <w:name w:val="footer"/>
    <w:basedOn w:val="a"/>
    <w:link w:val="a6"/>
    <w:rsid w:val="002C327B"/>
    <w:pPr>
      <w:tabs>
        <w:tab w:val="center" w:pos="4153"/>
        <w:tab w:val="right" w:pos="8306"/>
      </w:tabs>
    </w:pPr>
  </w:style>
  <w:style w:type="character" w:customStyle="1" w:styleId="a6">
    <w:name w:val="כותרת תחתונה תו"/>
    <w:link w:val="a5"/>
    <w:rsid w:val="002C327B"/>
    <w:rPr>
      <w:rFonts w:ascii="Times New Roman" w:eastAsia="Times New Roman" w:hAnsi="Times New Roman" w:cs="David"/>
      <w:sz w:val="24"/>
      <w:szCs w:val="24"/>
    </w:rPr>
  </w:style>
  <w:style w:type="table" w:styleId="a7">
    <w:name w:val="Table Grid"/>
    <w:basedOn w:val="a1"/>
    <w:rsid w:val="002C32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C327B"/>
  </w:style>
  <w:style w:type="paragraph" w:styleId="a9">
    <w:name w:val="Balloon Text"/>
    <w:basedOn w:val="a"/>
    <w:link w:val="aa"/>
    <w:rsid w:val="002C327B"/>
    <w:rPr>
      <w:rFonts w:ascii="Tahoma" w:hAnsi="Tahoma" w:cs="Tahoma"/>
      <w:sz w:val="16"/>
      <w:szCs w:val="16"/>
    </w:rPr>
  </w:style>
  <w:style w:type="character" w:customStyle="1" w:styleId="aa">
    <w:name w:val="טקסט בלונים תו"/>
    <w:link w:val="a9"/>
    <w:rsid w:val="002C327B"/>
    <w:rPr>
      <w:rFonts w:ascii="Tahoma" w:eastAsia="Times New Roman" w:hAnsi="Tahoma" w:cs="Tahoma"/>
      <w:sz w:val="16"/>
      <w:szCs w:val="16"/>
    </w:rPr>
  </w:style>
  <w:style w:type="character" w:styleId="Hyperlink">
    <w:name w:val="Hyperlink"/>
    <w:rsid w:val="009E05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186.a" TargetMode="External"/><Relationship Id="rId39" Type="http://schemas.openxmlformats.org/officeDocument/2006/relationships/footer" Target="footer2.xml"/><Relationship Id="rId21" Type="http://schemas.openxmlformats.org/officeDocument/2006/relationships/hyperlink" Target="http://www.nevo.co.il/law/70301/144.b" TargetMode="External"/><Relationship Id="rId34" Type="http://schemas.openxmlformats.org/officeDocument/2006/relationships/hyperlink" Target="http://www.nevo.co.il/case/20783405" TargetMode="External"/><Relationship Id="rId7" Type="http://schemas.openxmlformats.org/officeDocument/2006/relationships/hyperlink" Target="http://www.nevo.co.il/law/70301/31"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yperlink" Target="http://www.nevo.co.il/law/5227"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7.a.;7.c"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5227/43"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5227/43" TargetMode="External"/><Relationship Id="rId36" Type="http://schemas.openxmlformats.org/officeDocument/2006/relationships/header" Target="header1.xml"/><Relationship Id="rId10" Type="http://schemas.openxmlformats.org/officeDocument/2006/relationships/hyperlink" Target="http://www.nevo.co.il/law/70301/186.a" TargetMode="External"/><Relationship Id="rId19" Type="http://schemas.openxmlformats.org/officeDocument/2006/relationships/hyperlink" Target="http://www.nevo.co.il/law/70301/329.a.2"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5227"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0301/31"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a" TargetMode="External"/><Relationship Id="rId3" Type="http://schemas.openxmlformats.org/officeDocument/2006/relationships/webSettings" Target="webSettings.xml"/><Relationship Id="rId12" Type="http://schemas.openxmlformats.org/officeDocument/2006/relationships/hyperlink" Target="http://www.nevo.co.il/law/70301/329.a.2"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1755</Words>
  <Characters>8780</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10514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3539064</vt:i4>
      </vt:variant>
      <vt:variant>
        <vt:i4>84</vt:i4>
      </vt:variant>
      <vt:variant>
        <vt:i4>0</vt:i4>
      </vt:variant>
      <vt:variant>
        <vt:i4>5</vt:i4>
      </vt:variant>
      <vt:variant>
        <vt:lpwstr>http://www.nevo.co.il/case/20783405</vt:lpwstr>
      </vt:variant>
      <vt:variant>
        <vt:lpwstr/>
      </vt:variant>
      <vt:variant>
        <vt:i4>8257637</vt:i4>
      </vt:variant>
      <vt:variant>
        <vt:i4>81</vt:i4>
      </vt:variant>
      <vt:variant>
        <vt:i4>0</vt:i4>
      </vt:variant>
      <vt:variant>
        <vt:i4>5</vt:i4>
      </vt:variant>
      <vt:variant>
        <vt:lpwstr>http://www.nevo.co.il/law/4216</vt:lpwstr>
      </vt:variant>
      <vt:variant>
        <vt:lpwstr/>
      </vt:variant>
      <vt:variant>
        <vt:i4>3997821</vt:i4>
      </vt:variant>
      <vt:variant>
        <vt:i4>78</vt:i4>
      </vt:variant>
      <vt:variant>
        <vt:i4>0</vt:i4>
      </vt:variant>
      <vt:variant>
        <vt:i4>5</vt:i4>
      </vt:variant>
      <vt:variant>
        <vt:lpwstr>http://www.nevo.co.il/law/4216/7.a.;7.c</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8323175</vt:i4>
      </vt:variant>
      <vt:variant>
        <vt:i4>69</vt:i4>
      </vt:variant>
      <vt:variant>
        <vt:i4>0</vt:i4>
      </vt:variant>
      <vt:variant>
        <vt:i4>5</vt:i4>
      </vt:variant>
      <vt:variant>
        <vt:lpwstr>http://www.nevo.co.il/law/5227</vt:lpwstr>
      </vt:variant>
      <vt:variant>
        <vt:lpwstr/>
      </vt:variant>
      <vt:variant>
        <vt:i4>4915272</vt:i4>
      </vt:variant>
      <vt:variant>
        <vt:i4>66</vt:i4>
      </vt:variant>
      <vt:variant>
        <vt:i4>0</vt:i4>
      </vt:variant>
      <vt:variant>
        <vt:i4>5</vt:i4>
      </vt:variant>
      <vt:variant>
        <vt:lpwstr>http://www.nevo.co.il/law/5227/43</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4390994</vt:i4>
      </vt:variant>
      <vt:variant>
        <vt:i4>60</vt:i4>
      </vt:variant>
      <vt:variant>
        <vt:i4>0</vt:i4>
      </vt:variant>
      <vt:variant>
        <vt:i4>5</vt:i4>
      </vt:variant>
      <vt:variant>
        <vt:lpwstr>http://www.nevo.co.il/law/70301/186.a</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6750270</vt:i4>
      </vt:variant>
      <vt:variant>
        <vt:i4>39</vt:i4>
      </vt:variant>
      <vt:variant>
        <vt:i4>0</vt:i4>
      </vt:variant>
      <vt:variant>
        <vt:i4>5</vt:i4>
      </vt:variant>
      <vt:variant>
        <vt:lpwstr>http://www.nevo.co.il/law/70301/329.a.2</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4915272</vt:i4>
      </vt:variant>
      <vt:variant>
        <vt:i4>27</vt:i4>
      </vt:variant>
      <vt:variant>
        <vt:i4>0</vt:i4>
      </vt:variant>
      <vt:variant>
        <vt:i4>5</vt:i4>
      </vt:variant>
      <vt:variant>
        <vt:lpwstr>http://www.nevo.co.il/law/5227/43</vt:lpwstr>
      </vt:variant>
      <vt:variant>
        <vt:lpwstr/>
      </vt:variant>
      <vt:variant>
        <vt:i4>8323175</vt:i4>
      </vt:variant>
      <vt:variant>
        <vt:i4>24</vt:i4>
      </vt:variant>
      <vt:variant>
        <vt:i4>0</vt:i4>
      </vt:variant>
      <vt:variant>
        <vt:i4>5</vt:i4>
      </vt:variant>
      <vt:variant>
        <vt:lpwstr>http://www.nevo.co.il/law/5227</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2025-04-25T10:43:00Z</dcterms:created>
  <dcterms:modified xsi:type="dcterms:W3CDTF">2025-04-25T10:43:00Z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תפח;בעח</vt:lpwstr>
  </property>
  <property fmtid="{D5CDD505-2E9C-101B-9397-08002B2CF9AE}" pid="5" name="NEWPARTA">
    <vt:lpwstr>35688;35410</vt:lpwstr>
  </property>
  <property fmtid="{D5CDD505-2E9C-101B-9397-08002B2CF9AE}" pid="6" name="NEWPARTB">
    <vt:lpwstr>04;06</vt:lpwstr>
  </property>
  <property fmtid="{D5CDD505-2E9C-101B-9397-08002B2CF9AE}" pid="7" name="NEWPARTC">
    <vt:lpwstr>18;18</vt:lpwstr>
  </property>
  <property fmtid="{D5CDD505-2E9C-101B-9397-08002B2CF9AE}" pid="8" name="APPELLANT">
    <vt:lpwstr>מדינת ישראל</vt:lpwstr>
  </property>
  <property fmtid="{D5CDD505-2E9C-101B-9397-08002B2CF9AE}" pid="9" name="APPELLEE">
    <vt:lpwstr>ויקטור חיים שמחה טוויל;אפרים שריקי;מאיר מור סקרה;שמעון יוחאי כהן</vt:lpwstr>
  </property>
  <property fmtid="{D5CDD505-2E9C-101B-9397-08002B2CF9AE}" pid="10" name="LAWYER">
    <vt:lpwstr>ערן צברי;שי פלד;ארז שלו;יוחאי הזז;בנימין גריקו</vt:lpwstr>
  </property>
  <property fmtid="{D5CDD505-2E9C-101B-9397-08002B2CF9AE}" pid="11" name="JUDGE">
    <vt:lpwstr>אריאל ואגו;אלון אינפלד;אריאל חזק</vt:lpwstr>
  </property>
  <property fmtid="{D5CDD505-2E9C-101B-9397-08002B2CF9AE}" pid="12" name="CITY">
    <vt:lpwstr>ב"ש</vt:lpwstr>
  </property>
  <property fmtid="{D5CDD505-2E9C-101B-9397-08002B2CF9AE}" pid="13" name="DATE">
    <vt:lpwstr>20181022</vt:lpwstr>
  </property>
  <property fmtid="{D5CDD505-2E9C-101B-9397-08002B2CF9AE}" pid="14" name="TYPE_N_DATE">
    <vt:lpwstr>39020181022</vt:lpwstr>
  </property>
  <property fmtid="{D5CDD505-2E9C-101B-9397-08002B2CF9AE}" pid="15" name="CASESLISTTMP1">
    <vt:lpwstr>20783405</vt:lpwstr>
  </property>
  <property fmtid="{D5CDD505-2E9C-101B-9397-08002B2CF9AE}" pid="16" name="CASENOTES1">
    <vt:lpwstr>ProcID=209&amp;PartA=64200&amp;PartB=12&amp;PartC=04</vt:lpwstr>
  </property>
  <property fmtid="{D5CDD505-2E9C-101B-9397-08002B2CF9AE}" pid="17" name="WORDNUMPAGES">
    <vt:lpwstr>5</vt:lpwstr>
  </property>
  <property fmtid="{D5CDD505-2E9C-101B-9397-08002B2CF9AE}" pid="18" name="TYPE_ABS_DATE">
    <vt:lpwstr>390020181022</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70301/329.a.2;144.b:2;192;499.a.1;186.a;031;144.a</vt:lpwstr>
  </property>
  <property fmtid="{D5CDD505-2E9C-101B-9397-08002B2CF9AE}" pid="38" name="LAWLISTTMP2">
    <vt:lpwstr>5227/043</vt:lpwstr>
  </property>
  <property fmtid="{D5CDD505-2E9C-101B-9397-08002B2CF9AE}" pid="39" name="LAWLISTTMP3">
    <vt:lpwstr>4216/007.a;007.c</vt:lpwstr>
  </property>
</Properties>
</file>