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224" w:type="dxa"/>
        <w:jc w:val="center"/>
        <w:tblLook w:val="0000" w:firstRow="0" w:lastRow="0" w:firstColumn="0" w:lastColumn="0" w:noHBand="0" w:noVBand="0"/>
      </w:tblPr>
      <w:tblGrid>
        <w:gridCol w:w="3671"/>
        <w:gridCol w:w="1256"/>
        <w:gridCol w:w="4297"/>
      </w:tblGrid>
      <w:tr w:rsidR="005D7BD1" w:rsidRPr="00604484" w14:paraId="6E7FC461" w14:textId="77777777" w:rsidTr="00E75875">
        <w:trPr>
          <w:trHeight w:hRule="exact" w:val="339"/>
          <w:jc w:val="center"/>
        </w:trPr>
        <w:tc>
          <w:tcPr>
            <w:tcW w:w="9224" w:type="dxa"/>
            <w:gridSpan w:val="3"/>
          </w:tcPr>
          <w:p w14:paraId="504B2964" w14:textId="77777777" w:rsidR="005D7BD1" w:rsidRPr="008E0030" w:rsidRDefault="005D7BD1" w:rsidP="00E75875">
            <w:pPr>
              <w:pStyle w:val="a3"/>
              <w:jc w:val="center"/>
              <w:rPr>
                <w:rFonts w:ascii="Tahoma" w:hAnsi="Tahoma" w:cs="Tahoma"/>
                <w:color w:val="000080"/>
                <w:rtl/>
              </w:rPr>
            </w:pPr>
            <w:bookmarkStart w:id="0" w:name="LastJudge"/>
            <w:r w:rsidRPr="008E0030">
              <w:rPr>
                <w:rFonts w:ascii="Tahoma" w:hAnsi="Tahoma" w:cs="Tahoma"/>
                <w:b/>
                <w:bCs/>
                <w:color w:val="000080"/>
                <w:rtl/>
              </w:rPr>
              <w:t>בתי המשפט</w:t>
            </w:r>
          </w:p>
        </w:tc>
      </w:tr>
      <w:tr w:rsidR="005D7BD1" w:rsidRPr="00604484" w14:paraId="694F69CF" w14:textId="77777777" w:rsidTr="00E75875">
        <w:trPr>
          <w:trHeight w:val="337"/>
          <w:jc w:val="center"/>
        </w:trPr>
        <w:tc>
          <w:tcPr>
            <w:tcW w:w="4927" w:type="dxa"/>
            <w:gridSpan w:val="2"/>
          </w:tcPr>
          <w:p w14:paraId="369DC263" w14:textId="77777777" w:rsidR="005D7BD1" w:rsidRPr="00604484" w:rsidRDefault="005D7BD1" w:rsidP="00E75875">
            <w:pPr>
              <w:pStyle w:val="a3"/>
              <w:rPr>
                <w:b/>
                <w:bCs/>
                <w:sz w:val="32"/>
                <w:szCs w:val="32"/>
                <w:rtl/>
              </w:rPr>
            </w:pPr>
            <w:r w:rsidRPr="00604484">
              <w:rPr>
                <w:rFonts w:hint="cs"/>
                <w:b/>
                <w:bCs/>
                <w:sz w:val="32"/>
                <w:szCs w:val="32"/>
                <w:rtl/>
              </w:rPr>
              <w:t>בבית המשפט המחוזי</w:t>
            </w:r>
          </w:p>
          <w:p w14:paraId="5D372143" w14:textId="77777777" w:rsidR="005D7BD1" w:rsidRPr="00604484" w:rsidRDefault="005D7BD1" w:rsidP="00E75875">
            <w:pPr>
              <w:pStyle w:val="a3"/>
              <w:rPr>
                <w:sz w:val="28"/>
                <w:szCs w:val="28"/>
                <w:rtl/>
              </w:rPr>
            </w:pPr>
            <w:r w:rsidRPr="00604484">
              <w:rPr>
                <w:rFonts w:hint="cs"/>
                <w:b/>
                <w:bCs/>
                <w:sz w:val="32"/>
                <w:szCs w:val="32"/>
                <w:rtl/>
              </w:rPr>
              <w:t>בירושלים</w:t>
            </w:r>
          </w:p>
        </w:tc>
        <w:tc>
          <w:tcPr>
            <w:tcW w:w="4297" w:type="dxa"/>
          </w:tcPr>
          <w:p w14:paraId="2703E441" w14:textId="77777777" w:rsidR="005D7BD1" w:rsidRPr="00604484" w:rsidRDefault="005D7BD1" w:rsidP="00E75875">
            <w:pPr>
              <w:jc w:val="right"/>
              <w:rPr>
                <w:b/>
                <w:bCs/>
                <w:sz w:val="32"/>
                <w:szCs w:val="32"/>
                <w:rtl/>
              </w:rPr>
            </w:pPr>
            <w:r w:rsidRPr="00604484">
              <w:rPr>
                <w:b/>
                <w:bCs/>
                <w:sz w:val="32"/>
                <w:szCs w:val="32"/>
                <w:rtl/>
              </w:rPr>
              <w:t>ת"פ</w:t>
            </w:r>
            <w:r w:rsidRPr="00604484">
              <w:rPr>
                <w:rFonts w:hint="cs"/>
                <w:b/>
                <w:bCs/>
                <w:sz w:val="32"/>
                <w:szCs w:val="32"/>
                <w:rtl/>
              </w:rPr>
              <w:t xml:space="preserve"> </w:t>
            </w:r>
            <w:r w:rsidRPr="00604484">
              <w:rPr>
                <w:b/>
                <w:bCs/>
                <w:sz w:val="32"/>
                <w:szCs w:val="32"/>
                <w:rtl/>
              </w:rPr>
              <w:t>57822-04-18</w:t>
            </w:r>
            <w:r w:rsidRPr="00604484">
              <w:rPr>
                <w:rFonts w:hint="cs"/>
                <w:b/>
                <w:bCs/>
                <w:sz w:val="32"/>
                <w:szCs w:val="32"/>
                <w:rtl/>
              </w:rPr>
              <w:t xml:space="preserve"> </w:t>
            </w:r>
          </w:p>
          <w:p w14:paraId="5B584E14" w14:textId="77777777" w:rsidR="005D7BD1" w:rsidRPr="00604484" w:rsidRDefault="005D7BD1" w:rsidP="00E75875">
            <w:pPr>
              <w:pStyle w:val="a3"/>
              <w:jc w:val="right"/>
              <w:rPr>
                <w:rtl/>
              </w:rPr>
            </w:pPr>
          </w:p>
          <w:p w14:paraId="65B84582" w14:textId="77777777" w:rsidR="005D7BD1" w:rsidRPr="00604484" w:rsidRDefault="005D7BD1" w:rsidP="00E75875">
            <w:pPr>
              <w:pStyle w:val="a3"/>
              <w:jc w:val="right"/>
              <w:rPr>
                <w:b/>
                <w:bCs/>
                <w:sz w:val="32"/>
                <w:szCs w:val="32"/>
                <w:rtl/>
              </w:rPr>
            </w:pPr>
          </w:p>
        </w:tc>
      </w:tr>
      <w:tr w:rsidR="005D7BD1" w:rsidRPr="00604484" w14:paraId="14673781" w14:textId="77777777" w:rsidTr="00E75875">
        <w:trPr>
          <w:trHeight w:val="337"/>
          <w:jc w:val="center"/>
        </w:trPr>
        <w:tc>
          <w:tcPr>
            <w:tcW w:w="3671" w:type="dxa"/>
          </w:tcPr>
          <w:p w14:paraId="269B2562" w14:textId="77777777" w:rsidR="005D7BD1" w:rsidRPr="00604484" w:rsidRDefault="005D7BD1" w:rsidP="00E75875">
            <w:pPr>
              <w:rPr>
                <w:rFonts w:ascii="Arial" w:hAnsi="Arial"/>
                <w:b/>
                <w:bCs/>
                <w:sz w:val="28"/>
                <w:szCs w:val="28"/>
                <w:rtl/>
              </w:rPr>
            </w:pPr>
          </w:p>
          <w:p w14:paraId="28F5EBC2" w14:textId="77777777" w:rsidR="005D7BD1" w:rsidRPr="00604484" w:rsidRDefault="005D7BD1" w:rsidP="00E75875">
            <w:r w:rsidRPr="00604484">
              <w:rPr>
                <w:rFonts w:ascii="Arial" w:hAnsi="Arial" w:hint="cs"/>
                <w:b/>
                <w:bCs/>
                <w:sz w:val="28"/>
                <w:szCs w:val="28"/>
                <w:rtl/>
              </w:rPr>
              <w:t>ב</w:t>
            </w:r>
            <w:r w:rsidRPr="00604484">
              <w:rPr>
                <w:rFonts w:ascii="Arial" w:hAnsi="Arial"/>
                <w:b/>
                <w:bCs/>
                <w:sz w:val="28"/>
                <w:szCs w:val="28"/>
                <w:rtl/>
              </w:rPr>
              <w:t>פני</w:t>
            </w:r>
            <w:r w:rsidRPr="00604484">
              <w:rPr>
                <w:rFonts w:ascii="Arial" w:hAnsi="Arial" w:hint="cs"/>
                <w:b/>
                <w:bCs/>
                <w:sz w:val="28"/>
                <w:szCs w:val="28"/>
                <w:rtl/>
              </w:rPr>
              <w:t>: כב' ה</w:t>
            </w:r>
            <w:r w:rsidRPr="00604484">
              <w:rPr>
                <w:rFonts w:ascii="Arial" w:hAnsi="Arial"/>
                <w:b/>
                <w:bCs/>
                <w:sz w:val="28"/>
                <w:szCs w:val="28"/>
                <w:rtl/>
              </w:rPr>
              <w:t>שופט</w:t>
            </w:r>
            <w:r w:rsidRPr="00604484">
              <w:rPr>
                <w:rFonts w:ascii="Arial" w:hAnsi="Arial" w:hint="cs"/>
                <w:b/>
                <w:bCs/>
                <w:sz w:val="28"/>
                <w:szCs w:val="28"/>
                <w:rtl/>
              </w:rPr>
              <w:t xml:space="preserve"> </w:t>
            </w:r>
            <w:r w:rsidRPr="00604484">
              <w:rPr>
                <w:rFonts w:ascii="Arial" w:hAnsi="Arial"/>
                <w:b/>
                <w:bCs/>
                <w:sz w:val="28"/>
                <w:szCs w:val="28"/>
                <w:rtl/>
              </w:rPr>
              <w:t>אלכסנדר רון</w:t>
            </w:r>
          </w:p>
          <w:p w14:paraId="7D622C11" w14:textId="77777777" w:rsidR="005D7BD1" w:rsidRPr="00604484" w:rsidRDefault="005D7BD1" w:rsidP="00E75875">
            <w:pPr>
              <w:jc w:val="right"/>
              <w:rPr>
                <w:b/>
                <w:bCs/>
                <w:sz w:val="32"/>
                <w:szCs w:val="32"/>
              </w:rPr>
            </w:pPr>
          </w:p>
        </w:tc>
        <w:tc>
          <w:tcPr>
            <w:tcW w:w="5553" w:type="dxa"/>
            <w:gridSpan w:val="2"/>
          </w:tcPr>
          <w:p w14:paraId="3A418A07" w14:textId="77777777" w:rsidR="005D7BD1" w:rsidRPr="00604484" w:rsidRDefault="005D7BD1" w:rsidP="00E75875">
            <w:pPr>
              <w:jc w:val="right"/>
              <w:rPr>
                <w:b/>
                <w:bCs/>
                <w:sz w:val="28"/>
                <w:szCs w:val="28"/>
                <w:rtl/>
              </w:rPr>
            </w:pPr>
          </w:p>
          <w:p w14:paraId="7F590023" w14:textId="77777777" w:rsidR="005D7BD1" w:rsidRPr="00604484" w:rsidRDefault="005D7BD1" w:rsidP="00E75875">
            <w:pPr>
              <w:jc w:val="right"/>
              <w:rPr>
                <w:b/>
                <w:bCs/>
                <w:sz w:val="32"/>
                <w:szCs w:val="32"/>
                <w:rtl/>
              </w:rPr>
            </w:pPr>
            <w:r w:rsidRPr="00604484">
              <w:rPr>
                <w:rFonts w:hint="cs"/>
                <w:b/>
                <w:bCs/>
                <w:sz w:val="28"/>
                <w:szCs w:val="28"/>
                <w:rtl/>
              </w:rPr>
              <w:t>תאריך: א' תמוז תשע"ט, 04 יולי 2019</w:t>
            </w:r>
          </w:p>
        </w:tc>
      </w:tr>
    </w:tbl>
    <w:p w14:paraId="56C8FBD8" w14:textId="77777777" w:rsidR="005D7BD1" w:rsidRPr="00604484" w:rsidRDefault="005D7BD1" w:rsidP="005D7BD1">
      <w:pPr>
        <w:pStyle w:val="a3"/>
        <w:rPr>
          <w:rtl/>
        </w:rPr>
      </w:pPr>
      <w:r w:rsidRPr="00604484">
        <w:rPr>
          <w:rFonts w:hint="cs"/>
          <w:rtl/>
        </w:rPr>
        <w:t xml:space="preserve"> </w:t>
      </w: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5063"/>
        <w:gridCol w:w="2724"/>
      </w:tblGrid>
      <w:tr w:rsidR="005D7BD1" w:rsidRPr="00604484" w14:paraId="7E870A1D" w14:textId="77777777" w:rsidTr="00E2388A">
        <w:trPr>
          <w:trHeight w:val="395"/>
          <w:jc w:val="center"/>
        </w:trPr>
        <w:tc>
          <w:tcPr>
            <w:tcW w:w="9200" w:type="dxa"/>
            <w:gridSpan w:val="3"/>
            <w:tcBorders>
              <w:top w:val="nil"/>
              <w:left w:val="nil"/>
              <w:bottom w:val="nil"/>
              <w:right w:val="nil"/>
            </w:tcBorders>
            <w:shd w:val="clear" w:color="auto" w:fill="auto"/>
          </w:tcPr>
          <w:p w14:paraId="77727F35" w14:textId="77777777" w:rsidR="005D7BD1" w:rsidRPr="00604484" w:rsidRDefault="005D7BD1" w:rsidP="005D7BD1">
            <w:pPr>
              <w:jc w:val="right"/>
              <w:rPr>
                <w:rFonts w:ascii="Arial" w:hAnsi="Arial"/>
                <w:b/>
                <w:bCs/>
                <w:rtl/>
              </w:rPr>
            </w:pPr>
          </w:p>
        </w:tc>
      </w:tr>
      <w:tr w:rsidR="005D7BD1" w:rsidRPr="00604484" w14:paraId="65D5B664" w14:textId="77777777" w:rsidTr="008E0030">
        <w:trPr>
          <w:trHeight w:val="355"/>
          <w:jc w:val="center"/>
        </w:trPr>
        <w:tc>
          <w:tcPr>
            <w:tcW w:w="1413" w:type="dxa"/>
            <w:tcBorders>
              <w:top w:val="nil"/>
              <w:left w:val="nil"/>
              <w:bottom w:val="nil"/>
              <w:right w:val="nil"/>
            </w:tcBorders>
            <w:shd w:val="clear" w:color="auto" w:fill="auto"/>
          </w:tcPr>
          <w:p w14:paraId="1D9BF01A" w14:textId="77777777" w:rsidR="005D7BD1" w:rsidRPr="008E0030" w:rsidRDefault="005D7BD1" w:rsidP="008E0030">
            <w:pPr>
              <w:spacing w:before="120" w:after="120" w:line="240" w:lineRule="exact"/>
              <w:jc w:val="both"/>
              <w:rPr>
                <w:rFonts w:ascii="Arial" w:hAnsi="Arial"/>
                <w:b/>
                <w:bCs/>
                <w:sz w:val="26"/>
                <w:szCs w:val="26"/>
              </w:rPr>
            </w:pPr>
            <w:bookmarkStart w:id="1" w:name="FirstAppellant"/>
            <w:r w:rsidRPr="008E0030">
              <w:rPr>
                <w:rFonts w:ascii="Arial" w:hAnsi="Arial" w:hint="cs"/>
                <w:b/>
                <w:bCs/>
                <w:sz w:val="26"/>
                <w:szCs w:val="26"/>
                <w:rtl/>
              </w:rPr>
              <w:t>בעניין:</w:t>
            </w:r>
          </w:p>
        </w:tc>
        <w:tc>
          <w:tcPr>
            <w:tcW w:w="5063" w:type="dxa"/>
            <w:tcBorders>
              <w:top w:val="nil"/>
              <w:left w:val="nil"/>
              <w:bottom w:val="nil"/>
              <w:right w:val="nil"/>
            </w:tcBorders>
            <w:shd w:val="clear" w:color="auto" w:fill="auto"/>
          </w:tcPr>
          <w:p w14:paraId="0256C8C6" w14:textId="77777777" w:rsidR="005D7BD1" w:rsidRPr="008E0030" w:rsidRDefault="005D7BD1" w:rsidP="008E0030">
            <w:pPr>
              <w:spacing w:before="120" w:after="120" w:line="240" w:lineRule="exact"/>
              <w:rPr>
                <w:b/>
                <w:bCs/>
                <w:sz w:val="26"/>
                <w:szCs w:val="26"/>
              </w:rPr>
            </w:pPr>
            <w:r w:rsidRPr="008E0030">
              <w:rPr>
                <w:rFonts w:ascii="Arial" w:hAnsi="Arial"/>
                <w:b/>
                <w:bCs/>
                <w:sz w:val="26"/>
                <w:szCs w:val="26"/>
                <w:rtl/>
              </w:rPr>
              <w:t>מדינת ישראל</w:t>
            </w:r>
          </w:p>
        </w:tc>
        <w:tc>
          <w:tcPr>
            <w:tcW w:w="2724" w:type="dxa"/>
            <w:tcBorders>
              <w:top w:val="nil"/>
              <w:left w:val="nil"/>
              <w:bottom w:val="nil"/>
              <w:right w:val="nil"/>
            </w:tcBorders>
            <w:shd w:val="clear" w:color="auto" w:fill="auto"/>
            <w:vAlign w:val="bottom"/>
          </w:tcPr>
          <w:p w14:paraId="566117AA" w14:textId="77777777" w:rsidR="005D7BD1" w:rsidRPr="008E0030" w:rsidRDefault="005D7BD1" w:rsidP="008E0030">
            <w:pPr>
              <w:spacing w:before="120" w:after="120" w:line="240" w:lineRule="exact"/>
              <w:rPr>
                <w:rFonts w:ascii="Arial" w:hAnsi="Arial"/>
                <w:b/>
                <w:bCs/>
                <w:sz w:val="26"/>
                <w:szCs w:val="26"/>
              </w:rPr>
            </w:pPr>
            <w:r w:rsidRPr="008E0030">
              <w:rPr>
                <w:rFonts w:ascii="Arial" w:hAnsi="Arial" w:hint="cs"/>
                <w:b/>
                <w:bCs/>
                <w:sz w:val="26"/>
                <w:szCs w:val="26"/>
                <w:rtl/>
              </w:rPr>
              <w:t>ה</w:t>
            </w:r>
            <w:r w:rsidRPr="008E0030">
              <w:rPr>
                <w:rFonts w:ascii="Arial" w:hAnsi="Arial"/>
                <w:b/>
                <w:bCs/>
                <w:sz w:val="26"/>
                <w:szCs w:val="26"/>
                <w:rtl/>
              </w:rPr>
              <w:t>מאשימה</w:t>
            </w:r>
          </w:p>
        </w:tc>
      </w:tr>
      <w:bookmarkEnd w:id="1"/>
      <w:tr w:rsidR="008E0030" w:rsidRPr="00604484" w14:paraId="5A83153B" w14:textId="77777777" w:rsidTr="008E0030">
        <w:trPr>
          <w:trHeight w:val="355"/>
          <w:jc w:val="center"/>
        </w:trPr>
        <w:tc>
          <w:tcPr>
            <w:tcW w:w="9200" w:type="dxa"/>
            <w:gridSpan w:val="3"/>
            <w:tcBorders>
              <w:top w:val="nil"/>
              <w:left w:val="nil"/>
              <w:bottom w:val="nil"/>
              <w:right w:val="nil"/>
            </w:tcBorders>
            <w:shd w:val="clear" w:color="auto" w:fill="auto"/>
          </w:tcPr>
          <w:p w14:paraId="52C2FECE" w14:textId="77777777" w:rsidR="008E0030" w:rsidRPr="008E0030" w:rsidRDefault="008E0030" w:rsidP="005D7BD1">
            <w:pPr>
              <w:jc w:val="center"/>
              <w:rPr>
                <w:rFonts w:ascii="Arial" w:hAnsi="Arial"/>
                <w:b/>
                <w:bCs/>
                <w:sz w:val="26"/>
                <w:szCs w:val="26"/>
                <w:rtl/>
              </w:rPr>
            </w:pPr>
          </w:p>
          <w:p w14:paraId="1DB614EE" w14:textId="77777777" w:rsidR="008E0030" w:rsidRPr="008E0030" w:rsidRDefault="008E0030" w:rsidP="005D7BD1">
            <w:pPr>
              <w:jc w:val="center"/>
              <w:rPr>
                <w:rFonts w:ascii="Arial" w:hAnsi="Arial"/>
                <w:b/>
                <w:bCs/>
                <w:sz w:val="26"/>
                <w:szCs w:val="26"/>
                <w:rtl/>
              </w:rPr>
            </w:pPr>
            <w:r w:rsidRPr="008E0030">
              <w:rPr>
                <w:rFonts w:ascii="Arial" w:hAnsi="Arial"/>
                <w:b/>
                <w:bCs/>
                <w:sz w:val="26"/>
                <w:szCs w:val="26"/>
                <w:rtl/>
              </w:rPr>
              <w:t>נ</w:t>
            </w:r>
            <w:r w:rsidRPr="008E0030">
              <w:rPr>
                <w:rFonts w:ascii="Arial" w:hAnsi="Arial" w:hint="cs"/>
                <w:b/>
                <w:bCs/>
                <w:sz w:val="26"/>
                <w:szCs w:val="26"/>
                <w:rtl/>
              </w:rPr>
              <w:t xml:space="preserve"> </w:t>
            </w:r>
            <w:r w:rsidRPr="008E0030">
              <w:rPr>
                <w:rFonts w:ascii="Arial" w:hAnsi="Arial"/>
                <w:b/>
                <w:bCs/>
                <w:sz w:val="26"/>
                <w:szCs w:val="26"/>
                <w:rtl/>
              </w:rPr>
              <w:t>ג</w:t>
            </w:r>
            <w:r w:rsidRPr="008E0030">
              <w:rPr>
                <w:rFonts w:ascii="Arial" w:hAnsi="Arial" w:hint="cs"/>
                <w:b/>
                <w:bCs/>
                <w:sz w:val="26"/>
                <w:szCs w:val="26"/>
                <w:rtl/>
              </w:rPr>
              <w:t xml:space="preserve"> </w:t>
            </w:r>
            <w:r w:rsidRPr="008E0030">
              <w:rPr>
                <w:rFonts w:ascii="Arial" w:hAnsi="Arial"/>
                <w:b/>
                <w:bCs/>
                <w:sz w:val="26"/>
                <w:szCs w:val="26"/>
                <w:rtl/>
              </w:rPr>
              <w:t>ד</w:t>
            </w:r>
          </w:p>
          <w:p w14:paraId="6D4DBE1B" w14:textId="77777777" w:rsidR="008E0030" w:rsidRPr="008E0030" w:rsidRDefault="008E0030" w:rsidP="005D7BD1">
            <w:pPr>
              <w:jc w:val="both"/>
              <w:rPr>
                <w:rFonts w:ascii="Arial" w:hAnsi="Arial"/>
                <w:b/>
                <w:bCs/>
                <w:sz w:val="26"/>
                <w:szCs w:val="26"/>
              </w:rPr>
            </w:pPr>
          </w:p>
        </w:tc>
      </w:tr>
      <w:tr w:rsidR="005D7BD1" w:rsidRPr="00604484" w14:paraId="54CFAF56" w14:textId="77777777" w:rsidTr="008E0030">
        <w:trPr>
          <w:trHeight w:val="355"/>
          <w:jc w:val="center"/>
        </w:trPr>
        <w:tc>
          <w:tcPr>
            <w:tcW w:w="1413" w:type="dxa"/>
            <w:tcBorders>
              <w:top w:val="nil"/>
              <w:left w:val="nil"/>
              <w:bottom w:val="nil"/>
              <w:right w:val="nil"/>
            </w:tcBorders>
            <w:shd w:val="clear" w:color="auto" w:fill="auto"/>
          </w:tcPr>
          <w:p w14:paraId="71D26959" w14:textId="77777777" w:rsidR="005D7BD1" w:rsidRPr="008E0030" w:rsidRDefault="005D7BD1" w:rsidP="008E0030">
            <w:pPr>
              <w:spacing w:before="120" w:after="120" w:line="240" w:lineRule="exact"/>
              <w:jc w:val="both"/>
              <w:rPr>
                <w:rFonts w:ascii="Arial" w:hAnsi="Arial" w:cs="FrankRuehl"/>
                <w:b/>
                <w:bCs/>
                <w:sz w:val="26"/>
                <w:szCs w:val="26"/>
                <w:rtl/>
              </w:rPr>
            </w:pPr>
          </w:p>
        </w:tc>
        <w:tc>
          <w:tcPr>
            <w:tcW w:w="5063" w:type="dxa"/>
            <w:tcBorders>
              <w:top w:val="nil"/>
              <w:left w:val="nil"/>
              <w:bottom w:val="nil"/>
              <w:right w:val="nil"/>
            </w:tcBorders>
            <w:shd w:val="clear" w:color="auto" w:fill="auto"/>
          </w:tcPr>
          <w:p w14:paraId="30207145" w14:textId="77777777" w:rsidR="005D7BD1" w:rsidRPr="008E0030" w:rsidRDefault="005D7BD1" w:rsidP="002B3101">
            <w:pPr>
              <w:spacing w:before="120" w:after="120" w:line="240" w:lineRule="exact"/>
              <w:rPr>
                <w:b/>
                <w:bCs/>
                <w:sz w:val="26"/>
                <w:szCs w:val="26"/>
                <w:rtl/>
              </w:rPr>
            </w:pPr>
            <w:r w:rsidRPr="008E0030">
              <w:rPr>
                <w:rFonts w:ascii="Arial" w:hAnsi="Arial"/>
                <w:b/>
                <w:bCs/>
                <w:sz w:val="26"/>
                <w:szCs w:val="26"/>
                <w:rtl/>
              </w:rPr>
              <w:t>1</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p w14:paraId="67A63A4F" w14:textId="77777777" w:rsidR="005D7BD1" w:rsidRPr="008E0030" w:rsidRDefault="005D7BD1" w:rsidP="002B3101">
            <w:pPr>
              <w:spacing w:before="120" w:after="120" w:line="240" w:lineRule="exact"/>
              <w:rPr>
                <w:b/>
                <w:bCs/>
                <w:sz w:val="26"/>
                <w:szCs w:val="26"/>
                <w:rtl/>
              </w:rPr>
            </w:pPr>
            <w:r w:rsidRPr="008E0030">
              <w:rPr>
                <w:rFonts w:ascii="Arial" w:hAnsi="Arial"/>
                <w:b/>
                <w:bCs/>
                <w:sz w:val="26"/>
                <w:szCs w:val="26"/>
                <w:rtl/>
              </w:rPr>
              <w:t>2</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p w14:paraId="6F17C528" w14:textId="77777777" w:rsidR="005D7BD1" w:rsidRPr="008E0030" w:rsidRDefault="005D7BD1" w:rsidP="002B3101">
            <w:pPr>
              <w:spacing w:before="120" w:after="120" w:line="240" w:lineRule="exact"/>
              <w:rPr>
                <w:b/>
                <w:bCs/>
                <w:sz w:val="26"/>
                <w:szCs w:val="26"/>
                <w:rtl/>
              </w:rPr>
            </w:pPr>
            <w:r w:rsidRPr="008E0030">
              <w:rPr>
                <w:rFonts w:ascii="Arial" w:hAnsi="Arial"/>
                <w:b/>
                <w:bCs/>
                <w:sz w:val="26"/>
                <w:szCs w:val="26"/>
                <w:rtl/>
              </w:rPr>
              <w:t>3</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p w14:paraId="7DF39546" w14:textId="77777777" w:rsidR="005D7BD1" w:rsidRPr="008E0030" w:rsidRDefault="005D7BD1" w:rsidP="008E0030">
            <w:pPr>
              <w:spacing w:before="120" w:after="120" w:line="240" w:lineRule="exact"/>
              <w:rPr>
                <w:b/>
                <w:bCs/>
                <w:sz w:val="26"/>
                <w:szCs w:val="26"/>
                <w:rtl/>
              </w:rPr>
            </w:pPr>
            <w:r w:rsidRPr="008E0030">
              <w:rPr>
                <w:rFonts w:ascii="Arial" w:hAnsi="Arial"/>
                <w:b/>
                <w:bCs/>
                <w:sz w:val="26"/>
                <w:szCs w:val="26"/>
                <w:rtl/>
              </w:rPr>
              <w:t>4</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tc>
        <w:tc>
          <w:tcPr>
            <w:tcW w:w="2724" w:type="dxa"/>
            <w:tcBorders>
              <w:top w:val="nil"/>
              <w:left w:val="nil"/>
              <w:bottom w:val="nil"/>
              <w:right w:val="nil"/>
            </w:tcBorders>
            <w:shd w:val="clear" w:color="auto" w:fill="auto"/>
            <w:vAlign w:val="bottom"/>
          </w:tcPr>
          <w:p w14:paraId="04B2A77A" w14:textId="77777777" w:rsidR="005D7BD1" w:rsidRPr="008E0030" w:rsidRDefault="005D7BD1" w:rsidP="008E0030">
            <w:pPr>
              <w:spacing w:before="120" w:after="120" w:line="240" w:lineRule="exact"/>
              <w:rPr>
                <w:rFonts w:ascii="Arial" w:hAnsi="Arial"/>
                <w:b/>
                <w:bCs/>
                <w:sz w:val="26"/>
                <w:szCs w:val="26"/>
              </w:rPr>
            </w:pPr>
            <w:r w:rsidRPr="008E0030">
              <w:rPr>
                <w:rFonts w:ascii="Arial" w:hAnsi="Arial" w:hint="cs"/>
                <w:b/>
                <w:bCs/>
                <w:sz w:val="26"/>
                <w:szCs w:val="26"/>
                <w:rtl/>
              </w:rPr>
              <w:t>הנאשמים</w:t>
            </w:r>
          </w:p>
        </w:tc>
      </w:tr>
      <w:tr w:rsidR="008E0030" w:rsidRPr="00604484" w14:paraId="626CD15F" w14:textId="77777777" w:rsidTr="008E0030">
        <w:trPr>
          <w:trHeight w:val="355"/>
          <w:jc w:val="center"/>
        </w:trPr>
        <w:tc>
          <w:tcPr>
            <w:tcW w:w="1413" w:type="dxa"/>
            <w:tcBorders>
              <w:top w:val="nil"/>
              <w:left w:val="nil"/>
              <w:bottom w:val="nil"/>
              <w:right w:val="nil"/>
            </w:tcBorders>
            <w:shd w:val="clear" w:color="auto" w:fill="auto"/>
          </w:tcPr>
          <w:p w14:paraId="3E86630A" w14:textId="77777777" w:rsidR="008E0030" w:rsidRPr="008E0030" w:rsidRDefault="008E0030" w:rsidP="008E0030">
            <w:pPr>
              <w:spacing w:before="120" w:after="120" w:line="240" w:lineRule="exact"/>
              <w:jc w:val="both"/>
              <w:rPr>
                <w:rFonts w:ascii="Arial" w:hAnsi="Arial" w:cs="FrankRuehl"/>
                <w:b/>
                <w:bCs/>
                <w:sz w:val="26"/>
                <w:szCs w:val="26"/>
                <w:rtl/>
              </w:rPr>
            </w:pPr>
            <w:r w:rsidRPr="008E0030">
              <w:rPr>
                <w:rFonts w:ascii="Arial" w:hAnsi="Arial" w:hint="cs"/>
                <w:b/>
                <w:bCs/>
                <w:sz w:val="26"/>
                <w:szCs w:val="26"/>
                <w:rtl/>
              </w:rPr>
              <w:t>נוכחים:</w:t>
            </w:r>
          </w:p>
        </w:tc>
        <w:tc>
          <w:tcPr>
            <w:tcW w:w="5063" w:type="dxa"/>
            <w:tcBorders>
              <w:top w:val="nil"/>
              <w:left w:val="nil"/>
              <w:bottom w:val="nil"/>
              <w:right w:val="nil"/>
            </w:tcBorders>
            <w:shd w:val="clear" w:color="auto" w:fill="auto"/>
          </w:tcPr>
          <w:p w14:paraId="44924695" w14:textId="77777777" w:rsidR="008E0030" w:rsidRPr="008E0030" w:rsidRDefault="008E0030" w:rsidP="008E0030">
            <w:pPr>
              <w:spacing w:before="120" w:after="120" w:line="240" w:lineRule="exact"/>
              <w:rPr>
                <w:rFonts w:ascii="Arial" w:hAnsi="Arial"/>
                <w:b/>
                <w:bCs/>
                <w:sz w:val="26"/>
                <w:szCs w:val="26"/>
                <w:rtl/>
              </w:rPr>
            </w:pPr>
            <w:r w:rsidRPr="008E0030">
              <w:rPr>
                <w:rFonts w:ascii="Arial" w:hAnsi="Arial" w:hint="cs"/>
                <w:b/>
                <w:bCs/>
                <w:sz w:val="26"/>
                <w:szCs w:val="26"/>
                <w:rtl/>
              </w:rPr>
              <w:t xml:space="preserve">       ב"כ המאשימה עו"ד אייל לידני</w:t>
            </w:r>
          </w:p>
          <w:p w14:paraId="3AAA94B3" w14:textId="77777777" w:rsidR="008E0030" w:rsidRPr="008E0030" w:rsidRDefault="008E0030" w:rsidP="008E0030">
            <w:pPr>
              <w:spacing w:before="120" w:after="120" w:line="240" w:lineRule="exact"/>
              <w:jc w:val="both"/>
              <w:rPr>
                <w:b/>
                <w:bCs/>
                <w:sz w:val="26"/>
                <w:szCs w:val="26"/>
              </w:rPr>
            </w:pPr>
            <w:r w:rsidRPr="008E0030">
              <w:rPr>
                <w:rFonts w:ascii="Arial" w:hAnsi="Arial" w:hint="cs"/>
                <w:b/>
                <w:bCs/>
                <w:sz w:val="26"/>
                <w:szCs w:val="26"/>
                <w:rtl/>
              </w:rPr>
              <w:t xml:space="preserve">       ב"כ </w:t>
            </w:r>
            <w:r w:rsidRPr="008E0030">
              <w:rPr>
                <w:rFonts w:hint="cs"/>
                <w:b/>
                <w:bCs/>
                <w:sz w:val="26"/>
                <w:szCs w:val="26"/>
                <w:rtl/>
              </w:rPr>
              <w:t xml:space="preserve">נאשמים 1 ו- 3 – עו"ד איתן און </w:t>
            </w:r>
          </w:p>
          <w:p w14:paraId="3D177750" w14:textId="77777777" w:rsidR="008E0030" w:rsidRPr="008E0030" w:rsidRDefault="008E0030" w:rsidP="008E0030">
            <w:pPr>
              <w:pStyle w:val="12"/>
              <w:spacing w:before="120" w:after="120" w:line="240" w:lineRule="exact"/>
              <w:rPr>
                <w:sz w:val="26"/>
                <w:szCs w:val="26"/>
                <w:u w:val="none"/>
              </w:rPr>
            </w:pPr>
            <w:r w:rsidRPr="008E0030">
              <w:rPr>
                <w:rFonts w:hint="cs"/>
                <w:sz w:val="26"/>
                <w:szCs w:val="26"/>
                <w:u w:val="none"/>
                <w:rtl/>
              </w:rPr>
              <w:t xml:space="preserve">       ב"כ נאשם 2 – עו"ד רפי ליטן</w:t>
            </w:r>
          </w:p>
          <w:p w14:paraId="4848FB33" w14:textId="77777777" w:rsidR="008E0030" w:rsidRPr="008E0030" w:rsidRDefault="008E0030" w:rsidP="008E0030">
            <w:pPr>
              <w:spacing w:before="120" w:after="120" w:line="240" w:lineRule="exact"/>
              <w:rPr>
                <w:rFonts w:ascii="Arial" w:hAnsi="Arial"/>
                <w:b/>
                <w:bCs/>
                <w:sz w:val="26"/>
                <w:szCs w:val="26"/>
                <w:rtl/>
              </w:rPr>
            </w:pPr>
            <w:r w:rsidRPr="008E0030">
              <w:rPr>
                <w:rFonts w:hint="cs"/>
                <w:b/>
                <w:bCs/>
                <w:sz w:val="26"/>
                <w:szCs w:val="26"/>
                <w:rtl/>
              </w:rPr>
              <w:t xml:space="preserve">       ב"כ נאשם 4 – עו"ד ירון גיגי      </w:t>
            </w:r>
          </w:p>
        </w:tc>
        <w:tc>
          <w:tcPr>
            <w:tcW w:w="2724" w:type="dxa"/>
            <w:tcBorders>
              <w:top w:val="nil"/>
              <w:left w:val="nil"/>
              <w:bottom w:val="nil"/>
              <w:right w:val="nil"/>
            </w:tcBorders>
            <w:shd w:val="clear" w:color="auto" w:fill="auto"/>
            <w:vAlign w:val="bottom"/>
          </w:tcPr>
          <w:p w14:paraId="32D9A3C7" w14:textId="77777777" w:rsidR="008E0030" w:rsidRPr="008E0030" w:rsidRDefault="008E0030" w:rsidP="008E0030">
            <w:pPr>
              <w:spacing w:before="120" w:after="120" w:line="240" w:lineRule="exact"/>
              <w:rPr>
                <w:rFonts w:ascii="Arial" w:hAnsi="Arial" w:hint="cs"/>
                <w:b/>
                <w:bCs/>
                <w:sz w:val="26"/>
                <w:szCs w:val="26"/>
                <w:rtl/>
              </w:rPr>
            </w:pPr>
            <w:r w:rsidRPr="008E0030">
              <w:rPr>
                <w:rFonts w:hint="cs"/>
                <w:b/>
                <w:bCs/>
                <w:sz w:val="26"/>
                <w:szCs w:val="26"/>
                <w:rtl/>
              </w:rPr>
              <w:t>הנאשמים בעצמם</w:t>
            </w:r>
          </w:p>
        </w:tc>
      </w:tr>
    </w:tbl>
    <w:p w14:paraId="03A91FAD" w14:textId="77777777" w:rsidR="0083517B" w:rsidRDefault="0083517B" w:rsidP="0083517B">
      <w:pPr>
        <w:spacing w:after="120" w:line="240" w:lineRule="exact"/>
        <w:ind w:left="283" w:hanging="283"/>
        <w:jc w:val="both"/>
        <w:rPr>
          <w:rFonts w:ascii="FrankRuehl" w:hAnsi="FrankRuehl" w:cs="FrankRuehl"/>
          <w:rtl/>
        </w:rPr>
      </w:pPr>
      <w:bookmarkStart w:id="2" w:name="PsakDin"/>
      <w:bookmarkStart w:id="3" w:name="LawTable"/>
      <w:bookmarkEnd w:id="0"/>
      <w:bookmarkEnd w:id="3"/>
    </w:p>
    <w:p w14:paraId="0A30F47C" w14:textId="77777777" w:rsidR="0083517B" w:rsidRPr="0083517B" w:rsidRDefault="0083517B" w:rsidP="0083517B">
      <w:pPr>
        <w:spacing w:before="120" w:after="120" w:line="240" w:lineRule="exact"/>
        <w:ind w:left="283" w:hanging="283"/>
        <w:jc w:val="both"/>
        <w:rPr>
          <w:rFonts w:ascii="FrankRuehl" w:hAnsi="FrankRuehl" w:cs="FrankRuehl"/>
          <w:rtl/>
        </w:rPr>
      </w:pPr>
    </w:p>
    <w:p w14:paraId="131FFB36" w14:textId="77777777" w:rsidR="0083517B" w:rsidRPr="0083517B" w:rsidRDefault="0083517B" w:rsidP="0083517B">
      <w:pPr>
        <w:spacing w:before="120" w:after="120" w:line="240" w:lineRule="exact"/>
        <w:ind w:left="283" w:hanging="283"/>
        <w:jc w:val="both"/>
        <w:rPr>
          <w:rFonts w:ascii="FrankRuehl" w:hAnsi="FrankRuehl" w:cs="FrankRuehl"/>
          <w:rtl/>
        </w:rPr>
      </w:pPr>
    </w:p>
    <w:p w14:paraId="4CF50901" w14:textId="77777777" w:rsidR="0083517B" w:rsidRPr="0083517B" w:rsidRDefault="0083517B" w:rsidP="0083517B">
      <w:pPr>
        <w:spacing w:before="120" w:after="120" w:line="240" w:lineRule="exact"/>
        <w:ind w:left="283" w:hanging="283"/>
        <w:jc w:val="both"/>
        <w:rPr>
          <w:rFonts w:ascii="FrankRuehl" w:hAnsi="FrankRuehl" w:cs="FrankRuehl"/>
          <w:rtl/>
        </w:rPr>
      </w:pPr>
      <w:r w:rsidRPr="0083517B">
        <w:rPr>
          <w:rFonts w:ascii="FrankRuehl" w:hAnsi="FrankRuehl" w:cs="FrankRuehl"/>
          <w:rtl/>
        </w:rPr>
        <w:t xml:space="preserve">חקיקה שאוזכרה: </w:t>
      </w:r>
    </w:p>
    <w:p w14:paraId="6F6742A7" w14:textId="77777777" w:rsidR="0083517B" w:rsidRPr="0083517B" w:rsidRDefault="0083517B" w:rsidP="0083517B">
      <w:pPr>
        <w:spacing w:before="120" w:after="120" w:line="240" w:lineRule="exact"/>
        <w:ind w:left="283" w:hanging="283"/>
        <w:jc w:val="both"/>
        <w:rPr>
          <w:rFonts w:ascii="FrankRuehl" w:hAnsi="FrankRuehl" w:cs="FrankRuehl"/>
          <w:color w:val="0000FF"/>
          <w:rtl/>
        </w:rPr>
      </w:pPr>
      <w:hyperlink r:id="rId6" w:history="1">
        <w:r w:rsidRPr="0083517B">
          <w:rPr>
            <w:rStyle w:val="Hyperlink"/>
            <w:rFonts w:ascii="FrankRuehl" w:hAnsi="FrankRuehl" w:cs="FrankRuehl"/>
            <w:u w:val="none"/>
            <w:rtl/>
          </w:rPr>
          <w:t>חוק העונשין, תשל"ז-1977</w:t>
        </w:r>
      </w:hyperlink>
      <w:r w:rsidRPr="0083517B">
        <w:rPr>
          <w:rFonts w:ascii="FrankRuehl" w:hAnsi="FrankRuehl" w:cs="FrankRuehl"/>
          <w:color w:val="0000FF"/>
          <w:rtl/>
        </w:rPr>
        <w:t xml:space="preserve">: סע'  </w:t>
      </w:r>
      <w:hyperlink r:id="rId7" w:history="1">
        <w:r w:rsidRPr="0083517B">
          <w:rPr>
            <w:rStyle w:val="Hyperlink"/>
            <w:rFonts w:ascii="FrankRuehl" w:hAnsi="FrankRuehl" w:cs="FrankRuehl"/>
            <w:u w:val="none"/>
          </w:rPr>
          <w:t>144</w:t>
        </w:r>
      </w:hyperlink>
      <w:r w:rsidRPr="0083517B">
        <w:rPr>
          <w:rFonts w:ascii="FrankRuehl" w:hAnsi="FrankRuehl" w:cs="FrankRuehl"/>
          <w:color w:val="0000FF"/>
          <w:rtl/>
        </w:rPr>
        <w:t xml:space="preserve">, </w:t>
      </w:r>
      <w:hyperlink r:id="rId8" w:history="1">
        <w:r w:rsidRPr="0083517B">
          <w:rPr>
            <w:rStyle w:val="Hyperlink"/>
            <w:rFonts w:ascii="FrankRuehl" w:hAnsi="FrankRuehl" w:cs="FrankRuehl"/>
            <w:u w:val="none"/>
          </w:rPr>
          <w:t>144(</w:t>
        </w:r>
        <w:r w:rsidRPr="0083517B">
          <w:rPr>
            <w:rStyle w:val="Hyperlink"/>
            <w:rFonts w:ascii="FrankRuehl" w:hAnsi="FrankRuehl" w:cs="FrankRuehl"/>
            <w:u w:val="none"/>
            <w:rtl/>
          </w:rPr>
          <w:t>ב</w:t>
        </w:r>
        <w:r w:rsidRPr="0083517B">
          <w:rPr>
            <w:rStyle w:val="Hyperlink"/>
            <w:rFonts w:ascii="FrankRuehl" w:hAnsi="FrankRuehl" w:cs="FrankRuehl"/>
            <w:u w:val="none"/>
          </w:rPr>
          <w:t>)</w:t>
        </w:r>
      </w:hyperlink>
      <w:r w:rsidRPr="0083517B">
        <w:rPr>
          <w:rFonts w:ascii="FrankRuehl" w:hAnsi="FrankRuehl" w:cs="FrankRuehl"/>
          <w:color w:val="0000FF"/>
          <w:rtl/>
        </w:rPr>
        <w:t xml:space="preserve">, </w:t>
      </w:r>
      <w:hyperlink r:id="rId9" w:history="1">
        <w:r w:rsidRPr="0083517B">
          <w:rPr>
            <w:rStyle w:val="Hyperlink"/>
            <w:rFonts w:ascii="FrankRuehl" w:hAnsi="FrankRuehl" w:cs="FrankRuehl"/>
            <w:u w:val="none"/>
          </w:rPr>
          <w:t>413</w:t>
        </w:r>
        <w:r w:rsidRPr="0083517B">
          <w:rPr>
            <w:rStyle w:val="Hyperlink"/>
            <w:rFonts w:ascii="FrankRuehl" w:hAnsi="FrankRuehl" w:cs="FrankRuehl"/>
            <w:u w:val="none"/>
            <w:rtl/>
          </w:rPr>
          <w:t>ה</w:t>
        </w:r>
      </w:hyperlink>
    </w:p>
    <w:p w14:paraId="6774F1F5" w14:textId="77777777" w:rsidR="00E2388A" w:rsidRPr="0083517B" w:rsidRDefault="00E2388A" w:rsidP="0083517B">
      <w:pPr>
        <w:spacing w:after="120" w:line="240" w:lineRule="exact"/>
        <w:ind w:left="283" w:hanging="283"/>
        <w:jc w:val="both"/>
        <w:rPr>
          <w:rFonts w:ascii="FrankRuehl" w:hAnsi="FrankRuehl" w:cs="FrankRuehl" w:hint="cs"/>
          <w:rtl/>
        </w:rPr>
      </w:pPr>
      <w:bookmarkStart w:id="4" w:name="LawTable_End"/>
      <w:bookmarkEnd w:id="4"/>
    </w:p>
    <w:p w14:paraId="0C73366C" w14:textId="77777777" w:rsidR="00470ADF" w:rsidRPr="00470ADF" w:rsidRDefault="00470ADF" w:rsidP="00470ADF">
      <w:pPr>
        <w:spacing w:after="120" w:line="240" w:lineRule="exact"/>
        <w:ind w:left="283" w:hanging="283"/>
        <w:jc w:val="both"/>
        <w:rPr>
          <w:rFonts w:ascii="FrankRuehl" w:hAnsi="FrankRuehl" w:cs="FrankRuehl"/>
          <w:rtl/>
        </w:rPr>
      </w:pPr>
      <w:r w:rsidRPr="00470ADF">
        <w:rPr>
          <w:rFonts w:ascii="FrankRuehl" w:hAnsi="FrankRuehl" w:cs="FrankRuehl"/>
          <w:rtl/>
        </w:rPr>
        <w:t xml:space="preserve">חקיקה שאוזכרה: </w:t>
      </w:r>
    </w:p>
    <w:p w14:paraId="3AFB8EB9" w14:textId="77777777" w:rsidR="00470ADF" w:rsidRPr="00470ADF" w:rsidRDefault="00470ADF" w:rsidP="00470ADF">
      <w:pPr>
        <w:spacing w:after="120" w:line="240" w:lineRule="exact"/>
        <w:ind w:left="283" w:hanging="283"/>
        <w:jc w:val="both"/>
        <w:rPr>
          <w:rFonts w:ascii="FrankRuehl" w:hAnsi="FrankRuehl" w:cs="FrankRuehl"/>
          <w:rtl/>
        </w:rPr>
      </w:pPr>
      <w:hyperlink r:id="rId10" w:history="1">
        <w:r w:rsidRPr="00470ADF">
          <w:rPr>
            <w:rFonts w:ascii="FrankRuehl" w:hAnsi="FrankRuehl" w:cs="FrankRuehl"/>
            <w:color w:val="0000FF"/>
            <w:u w:val="single"/>
            <w:rtl/>
          </w:rPr>
          <w:t>חוק העונשין, תשל"ז-1977</w:t>
        </w:r>
      </w:hyperlink>
      <w:r w:rsidRPr="00470ADF">
        <w:rPr>
          <w:rFonts w:ascii="FrankRuehl" w:hAnsi="FrankRuehl" w:cs="FrankRuehl"/>
          <w:rtl/>
        </w:rPr>
        <w:t xml:space="preserve">: סע'  </w:t>
      </w:r>
      <w:hyperlink r:id="rId11" w:history="1">
        <w:r w:rsidRPr="00470ADF">
          <w:rPr>
            <w:rFonts w:ascii="FrankRuehl" w:hAnsi="FrankRuehl" w:cs="FrankRuehl"/>
            <w:color w:val="0000FF"/>
            <w:u w:val="single"/>
            <w:rtl/>
          </w:rPr>
          <w:t>144</w:t>
        </w:r>
      </w:hyperlink>
      <w:r w:rsidRPr="00470ADF">
        <w:rPr>
          <w:rFonts w:ascii="FrankRuehl" w:hAnsi="FrankRuehl" w:cs="FrankRuehl"/>
          <w:rtl/>
        </w:rPr>
        <w:t xml:space="preserve">, </w:t>
      </w:r>
      <w:hyperlink r:id="rId12" w:history="1">
        <w:r w:rsidRPr="00470ADF">
          <w:rPr>
            <w:rFonts w:ascii="FrankRuehl" w:hAnsi="FrankRuehl" w:cs="FrankRuehl"/>
            <w:color w:val="0000FF"/>
            <w:u w:val="single"/>
            <w:rtl/>
          </w:rPr>
          <w:t>144(ב)</w:t>
        </w:r>
      </w:hyperlink>
      <w:r w:rsidRPr="00470ADF">
        <w:rPr>
          <w:rFonts w:ascii="FrankRuehl" w:hAnsi="FrankRuehl" w:cs="FrankRuehl"/>
          <w:rtl/>
        </w:rPr>
        <w:t xml:space="preserve">, </w:t>
      </w:r>
      <w:hyperlink r:id="rId13" w:history="1">
        <w:r w:rsidRPr="00470ADF">
          <w:rPr>
            <w:rFonts w:ascii="FrankRuehl" w:hAnsi="FrankRuehl" w:cs="FrankRuehl"/>
            <w:color w:val="0000FF"/>
            <w:u w:val="single"/>
            <w:rtl/>
          </w:rPr>
          <w:t>413ה</w:t>
        </w:r>
      </w:hyperlink>
    </w:p>
    <w:p w14:paraId="5F9F1F9A" w14:textId="77777777" w:rsidR="00470ADF" w:rsidRPr="00470ADF" w:rsidRDefault="00470ADF" w:rsidP="00470ADF">
      <w:pPr>
        <w:spacing w:after="120" w:line="240" w:lineRule="exact"/>
        <w:ind w:left="283" w:hanging="283"/>
        <w:jc w:val="both"/>
        <w:rPr>
          <w:rFonts w:ascii="FrankRuehl" w:hAnsi="FrankRuehl" w:cs="FrankRuehl"/>
          <w:rtl/>
        </w:rPr>
      </w:pPr>
    </w:p>
    <w:p w14:paraId="768C5353"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B14009">
        <w:rPr>
          <w:rFonts w:cs="FrankRuehl" w:hint="cs"/>
          <w:szCs w:val="26"/>
          <w:rtl/>
        </w:rPr>
        <w:t>מיני-רציו:</w:t>
      </w:r>
    </w:p>
    <w:p w14:paraId="00658514"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 בית המשפט גזר את דינם של נאשמים שהורשעו בעבירה של נשיאה והובלת נשק. נפסק, כי אין מנוס מתקופות מאסר ממשיות לריצוי בפועל.</w:t>
      </w:r>
    </w:p>
    <w:p w14:paraId="51AEEF5C"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 xml:space="preserve">* </w:t>
      </w:r>
      <w:r w:rsidRPr="00B14009">
        <w:rPr>
          <w:rFonts w:cs="FrankRuehl"/>
          <w:szCs w:val="26"/>
          <w:rtl/>
        </w:rPr>
        <w:t>עונשין – ענישה – מדיניות ענישה: עבירות נשק</w:t>
      </w:r>
    </w:p>
    <w:p w14:paraId="3F2184E0"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3F34F2F"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lastRenderedPageBreak/>
        <w:t xml:space="preserve">הנאשמים הורשעו, על פי הודאתם, בעבירה של נשיאה והובלת נשק, והנאשמים 3 ו-4, הורשעו גם בעבירה של חבלה במזיד.  </w:t>
      </w:r>
    </w:p>
    <w:p w14:paraId="28316E54"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B626576"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בית המשפט פסק כלהלן:</w:t>
      </w:r>
    </w:p>
    <w:p w14:paraId="58DB0448"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t xml:space="preserve">בית המשפט נדרש לשקף בגזר הדין את החומרה היתרה שבעבירות מן הסוג שעל הפרק. גם אם לא נפגע איש, ואפילו יש ממש בטענות הסנגורים, כי מלכתחילה תוכננה העבירה ובוצעה במגמה למנוע פגיעות בנפש, אין הדעת נותנת שיעבור בית המשפט לסדר היום מקום בו מוכחת הטמנה של מטען חבלה מתחת למכונית, המטען מופעל באשמורת הלילה, ונזק רב נגרם לאותה מכונית ואף למקבץ של מכוניות שעמדו בסמוך. </w:t>
      </w:r>
    </w:p>
    <w:p w14:paraId="654022A2"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t>יתר על כך, מחויב בית המשפט לשקף בגזר דינו גם את הסלידה מאיומים בדרכים נלוזות שכאלה וגם את חובתו לשלום הציבור ובטחונו, לרבות מפני מצבים בהם יתעוררו אזרחים תמימים מקולות נפץ המוטמנים בסמוך והמתפוצצים בלילה.</w:t>
      </w:r>
    </w:p>
    <w:p w14:paraId="687D90F1"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t xml:space="preserve">אלה נסיבות בהן אין כל מנוס מתקופות מאסר ממשיות לריצוי בפועל, וזאת אף כלפי הנאשם 4, שאין לחובתו עבר פלילי קודם, לא כל שכן עמיתיו שלחובתם עבר פלילי. </w:t>
      </w:r>
    </w:p>
    <w:p w14:paraId="342E6390"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 xml:space="preserve">הנאשם 1 ירצה מאסר לתקופה של 28 חודשים; הנאשם 2 ירצה מאסר לתקופה של 44 חודשים; הנאשם 3 ירצה מאסר לתקופה של 50 חודשים; הנאשם 4 ירצה מאסר לתקופה של 30 חודשים. בנוסף, יוטל על כל אחד מהנאשמים מאסר על תנאי והנאשמים 1 </w:t>
      </w:r>
      <w:r w:rsidRPr="00B14009">
        <w:rPr>
          <w:rFonts w:cs="FrankRuehl"/>
          <w:szCs w:val="26"/>
          <w:rtl/>
        </w:rPr>
        <w:t>–</w:t>
      </w:r>
      <w:r w:rsidRPr="00B14009">
        <w:rPr>
          <w:rFonts w:cs="FrankRuehl" w:hint="cs"/>
          <w:szCs w:val="26"/>
          <w:rtl/>
        </w:rPr>
        <w:t xml:space="preserve"> 3 ישלמו פיצויים למתלוננים בסך של 8,000 ₪.</w:t>
      </w:r>
    </w:p>
    <w:p w14:paraId="72AE685F" w14:textId="77777777" w:rsidR="00470ADF" w:rsidRPr="00470ADF" w:rsidRDefault="00470ADF" w:rsidP="00E2388A">
      <w:pPr>
        <w:spacing w:after="120" w:line="240" w:lineRule="exact"/>
        <w:ind w:left="283" w:hanging="283"/>
        <w:jc w:val="both"/>
        <w:rPr>
          <w:rFonts w:ascii="FrankRuehl" w:hAnsi="FrankRuehl" w:cs="FrankRuehl"/>
          <w:rtl/>
        </w:rPr>
      </w:pPr>
      <w:bookmarkStart w:id="6" w:name="ABSTRACT_END"/>
      <w:bookmarkEnd w:id="6"/>
    </w:p>
    <w:p w14:paraId="27E6F548" w14:textId="77777777" w:rsidR="00604484" w:rsidRPr="00604484" w:rsidRDefault="00604484" w:rsidP="00604484">
      <w:pPr>
        <w:spacing w:line="480" w:lineRule="auto"/>
        <w:jc w:val="center"/>
        <w:rPr>
          <w:rFonts w:ascii="Arial" w:hAnsi="Arial"/>
          <w:b/>
          <w:bCs/>
          <w:sz w:val="36"/>
          <w:szCs w:val="36"/>
          <w:u w:val="single"/>
          <w:rtl/>
        </w:rPr>
      </w:pPr>
      <w:r w:rsidRPr="00604484">
        <w:rPr>
          <w:rFonts w:ascii="Arial" w:hAnsi="Arial"/>
          <w:b/>
          <w:bCs/>
          <w:sz w:val="36"/>
          <w:szCs w:val="36"/>
          <w:u w:val="single"/>
          <w:rtl/>
        </w:rPr>
        <w:t>גזר דין</w:t>
      </w:r>
    </w:p>
    <w:bookmarkEnd w:id="2"/>
    <w:p w14:paraId="625C8CDE" w14:textId="77777777" w:rsidR="005D7BD1" w:rsidRPr="00F112C8" w:rsidRDefault="005D7BD1" w:rsidP="005D7BD1">
      <w:pPr>
        <w:spacing w:line="480" w:lineRule="auto"/>
        <w:jc w:val="both"/>
        <w:rPr>
          <w:rFonts w:ascii="Arial" w:hAnsi="Arial"/>
          <w:rtl/>
        </w:rPr>
      </w:pPr>
    </w:p>
    <w:p w14:paraId="139505F4" w14:textId="77777777" w:rsidR="005D7BD1" w:rsidRPr="004E6586" w:rsidRDefault="005D7BD1" w:rsidP="005D7BD1">
      <w:pPr>
        <w:spacing w:line="480" w:lineRule="auto"/>
        <w:ind w:left="510" w:hanging="510"/>
        <w:jc w:val="both"/>
        <w:rPr>
          <w:b/>
          <w:bCs/>
          <w:u w:val="single"/>
          <w:rtl/>
        </w:rPr>
      </w:pPr>
      <w:r>
        <w:rPr>
          <w:rtl/>
        </w:rPr>
        <w:t>1.</w:t>
      </w:r>
      <w:r>
        <w:rPr>
          <w:rFonts w:hint="cs"/>
          <w:rtl/>
        </w:rPr>
        <w:tab/>
      </w:r>
      <w:r w:rsidRPr="004E6586">
        <w:rPr>
          <w:rFonts w:hint="cs"/>
          <w:b/>
          <w:bCs/>
          <w:u w:val="single"/>
          <w:rtl/>
        </w:rPr>
        <w:t>כתב האישום</w:t>
      </w:r>
    </w:p>
    <w:p w14:paraId="57122B4B" w14:textId="77777777" w:rsidR="005D7BD1" w:rsidRDefault="005D7BD1" w:rsidP="005D7BD1">
      <w:pPr>
        <w:spacing w:line="480" w:lineRule="auto"/>
        <w:ind w:left="510" w:hanging="510"/>
        <w:jc w:val="both"/>
        <w:rPr>
          <w:rtl/>
        </w:rPr>
      </w:pPr>
    </w:p>
    <w:p w14:paraId="6F13CB4A" w14:textId="77777777" w:rsidR="005D7BD1" w:rsidRDefault="005D7BD1" w:rsidP="005D7BD1">
      <w:pPr>
        <w:spacing w:line="480" w:lineRule="auto"/>
        <w:ind w:left="510" w:hanging="510"/>
        <w:jc w:val="both"/>
        <w:rPr>
          <w:rtl/>
        </w:rPr>
      </w:pPr>
      <w:r>
        <w:rPr>
          <w:rtl/>
        </w:rPr>
        <w:tab/>
      </w:r>
      <w:r>
        <w:rPr>
          <w:rFonts w:hint="cs"/>
          <w:rtl/>
        </w:rPr>
        <w:t xml:space="preserve">לא נמצא טעם לפרט את כל האמור בכתב האישום (המתוקן), ועם זאת ראוי ליתן ביטוי לתמצית הדברים. </w:t>
      </w:r>
    </w:p>
    <w:p w14:paraId="656AB710" w14:textId="77777777" w:rsidR="005D7BD1" w:rsidRDefault="005D7BD1" w:rsidP="005D7BD1">
      <w:pPr>
        <w:spacing w:line="480" w:lineRule="auto"/>
        <w:ind w:left="510" w:hanging="510"/>
        <w:jc w:val="both"/>
        <w:rPr>
          <w:rtl/>
        </w:rPr>
      </w:pPr>
    </w:p>
    <w:p w14:paraId="49FDD148" w14:textId="77777777" w:rsidR="005D7BD1" w:rsidRDefault="005D7BD1" w:rsidP="005D7BD1">
      <w:pPr>
        <w:spacing w:line="480" w:lineRule="auto"/>
        <w:ind w:left="1440" w:hanging="930"/>
        <w:jc w:val="both"/>
        <w:rPr>
          <w:rtl/>
        </w:rPr>
      </w:pPr>
      <w:r>
        <w:rPr>
          <w:rFonts w:hint="cs"/>
          <w:rtl/>
        </w:rPr>
        <w:t>א.</w:t>
      </w:r>
      <w:r>
        <w:rPr>
          <w:rFonts w:hint="cs"/>
          <w:rtl/>
        </w:rPr>
        <w:tab/>
        <w:t xml:space="preserve">הרקע לביצוע העבירות </w:t>
      </w:r>
      <w:r>
        <w:rPr>
          <w:rtl/>
        </w:rPr>
        <w:t>–</w:t>
      </w:r>
      <w:r>
        <w:rPr>
          <w:rFonts w:hint="cs"/>
          <w:rtl/>
        </w:rPr>
        <w:t xml:space="preserve"> סכסוך כספי שהנאשמים לא היו צד לו. עוד יצוין שאת תחילת המהלך העברייני הובילו כאלה שהוגדרו בכתב האישום כ"אחרים". נועד המהלך להוביל את מי שהוגדר בכתב האישום כ</w:t>
      </w:r>
      <w:r>
        <w:rPr>
          <w:rtl/>
        </w:rPr>
        <w:t>–</w:t>
      </w:r>
      <w:r>
        <w:rPr>
          <w:rFonts w:hint="cs"/>
          <w:rtl/>
        </w:rPr>
        <w:t xml:space="preserve"> ד', שיחזיר כסף שניתן לו מיוסף ברוך, וזאת, לאחר שנאשם 2 הכיר בין שניהם, לאחר שיוסף ברוך ביקש למצוא עו"ד ולפתור בעיה משפטית (סעיף 1 לפרק העובדות). </w:t>
      </w:r>
    </w:p>
    <w:p w14:paraId="29528349" w14:textId="77777777" w:rsidR="005D7BD1" w:rsidRDefault="005D7BD1" w:rsidP="005D7BD1">
      <w:pPr>
        <w:spacing w:line="480" w:lineRule="auto"/>
        <w:ind w:left="1440" w:hanging="930"/>
        <w:jc w:val="both"/>
        <w:rPr>
          <w:rtl/>
        </w:rPr>
      </w:pPr>
    </w:p>
    <w:p w14:paraId="5D834FF9" w14:textId="77777777" w:rsidR="005D7BD1" w:rsidRDefault="005D7BD1" w:rsidP="005D7BD1">
      <w:pPr>
        <w:spacing w:line="480" w:lineRule="auto"/>
        <w:ind w:left="1440" w:hanging="930"/>
        <w:jc w:val="both"/>
        <w:rPr>
          <w:rtl/>
        </w:rPr>
      </w:pPr>
      <w:r>
        <w:rPr>
          <w:rFonts w:hint="cs"/>
          <w:rtl/>
        </w:rPr>
        <w:t>ב.</w:t>
      </w:r>
      <w:r>
        <w:rPr>
          <w:rFonts w:hint="cs"/>
          <w:rtl/>
        </w:rPr>
        <w:tab/>
        <w:t xml:space="preserve">על פי סעיף 2 לפרק העובדות, בחלוף הזמן, ולאחר שד' לא עזר בפועל לברוך בפתרון הבעיה המשפטית, ביקש ברוך מספר פעמים את כספו בחזרה מד', ומשלא הוחזר הכסף, סיפר על כך ברוך לנאשם 2 אשר שוחח עם ד'. זה האחרון מסר כי בשלב הראשון יחזיר מחצית מהכסף, אך גם סכום זה, לא הוחזר. על פי סעיף 3 לפרק העובדות, ובהמשך לאמור, החליטו אחרים לגרום לד' להחזיר את הכסף באמצעות איומים. על פי סעיף 5 לפרק העובדות של כתב האישום, פנו אותם אחרים לנאשם 2 (שהיה, כאמור, על פי סעיף 1, מי שהכיר בין יוסף ברוך לד'), וביקשו ממנו שיספק להם מטען חבלה. נועד מטען החבלה להרתיע את החייב ולהובילו לשלם. על פי סעיף 6 לפרק העובדות, אכן השיג הנאשם 2 מטען חבלה המורכב מצינור מתכת באורך של כ </w:t>
      </w:r>
      <w:r>
        <w:rPr>
          <w:rtl/>
        </w:rPr>
        <w:t>–</w:t>
      </w:r>
      <w:r>
        <w:rPr>
          <w:rFonts w:hint="cs"/>
          <w:rtl/>
        </w:rPr>
        <w:t xml:space="preserve"> 17 ס"מ, ובתוכו חומר נפץ וכן ברגי מתכת, אליו חובר מנגנון הפעלה חשמלי. </w:t>
      </w:r>
    </w:p>
    <w:p w14:paraId="119FF61A" w14:textId="77777777" w:rsidR="005D7BD1" w:rsidRDefault="005D7BD1" w:rsidP="005D7BD1">
      <w:pPr>
        <w:spacing w:line="480" w:lineRule="auto"/>
        <w:ind w:left="1440" w:hanging="930"/>
        <w:jc w:val="both"/>
        <w:rPr>
          <w:rtl/>
        </w:rPr>
      </w:pPr>
    </w:p>
    <w:p w14:paraId="40B0F37A" w14:textId="77777777" w:rsidR="005D7BD1" w:rsidRDefault="005D7BD1" w:rsidP="005D7BD1">
      <w:pPr>
        <w:spacing w:line="480" w:lineRule="auto"/>
        <w:ind w:left="1440" w:hanging="930"/>
        <w:jc w:val="both"/>
        <w:rPr>
          <w:rtl/>
        </w:rPr>
      </w:pPr>
      <w:r>
        <w:rPr>
          <w:rFonts w:hint="cs"/>
          <w:rtl/>
        </w:rPr>
        <w:t>ג.</w:t>
      </w:r>
      <w:r>
        <w:rPr>
          <w:rFonts w:hint="cs"/>
          <w:rtl/>
        </w:rPr>
        <w:tab/>
        <w:t xml:space="preserve">לצורך הפעולה גייסו אותם אחרים את הנאשמים 3 ו-4 והכניסו אותם לסוד העניין. מסעיף 8 לפרק העובדות של כתב האישום, מפורטים אירועי היום בו הונח מטען החבלה </w:t>
      </w:r>
      <w:r>
        <w:rPr>
          <w:rtl/>
        </w:rPr>
        <w:t>–</w:t>
      </w:r>
      <w:r>
        <w:rPr>
          <w:rFonts w:hint="cs"/>
          <w:rtl/>
        </w:rPr>
        <w:t xml:space="preserve"> 22.3.18. בין היתר פורט, ששוחחו ביניהם הנאשמים 1 ו-2 והנאשם 2 עדכן את הנאשם 1 בתמונת המצב. בהמשכו של סעיף זה מפורט ביתר הרחבה חלקו של נאשם 1, לפיו דיבר הוא עם הנאשמים 3 ו-4 וכל הנאשמים קבעו להיפגש יחדיו באותו הלילה. בשעות הלילה נפגשו הנאשמים יחדיו סמוך לביתו של הנאשם 2 ברמלה, שם מסר הנאשם 2 לנאשמים 3 ו-4 את מטען החבלה. </w:t>
      </w:r>
    </w:p>
    <w:p w14:paraId="5F79535B" w14:textId="77777777" w:rsidR="005D7BD1" w:rsidRDefault="005D7BD1" w:rsidP="005D7BD1">
      <w:pPr>
        <w:spacing w:line="480" w:lineRule="auto"/>
        <w:ind w:left="1440" w:hanging="930"/>
        <w:jc w:val="both"/>
        <w:rPr>
          <w:rtl/>
        </w:rPr>
      </w:pPr>
    </w:p>
    <w:p w14:paraId="4C7FA133" w14:textId="77777777" w:rsidR="005D7BD1" w:rsidRDefault="005D7BD1" w:rsidP="005D7BD1">
      <w:pPr>
        <w:spacing w:line="480" w:lineRule="auto"/>
        <w:ind w:left="1440" w:hanging="930"/>
        <w:jc w:val="both"/>
        <w:rPr>
          <w:rtl/>
        </w:rPr>
      </w:pPr>
      <w:r>
        <w:rPr>
          <w:rFonts w:hint="cs"/>
          <w:rtl/>
        </w:rPr>
        <w:t>ד.</w:t>
      </w:r>
      <w:r>
        <w:rPr>
          <w:rFonts w:hint="cs"/>
          <w:rtl/>
        </w:rPr>
        <w:tab/>
        <w:t xml:space="preserve">על פי סעיף 9 לפרק העובדות של כתב האישום, לאחר מכן, נסעו הנאשמים 3 ו-4 עם מטען החבלה לרחוב בו מתגורר ד' במבשרת ציון. בשעות הלילה, 02:00 </w:t>
      </w:r>
      <w:r>
        <w:rPr>
          <w:rtl/>
        </w:rPr>
        <w:t>–</w:t>
      </w:r>
      <w:r>
        <w:rPr>
          <w:rFonts w:hint="cs"/>
          <w:rtl/>
        </w:rPr>
        <w:t xml:space="preserve"> 03:00, הונח המטען מתחת לרכב שחנה ברחוב, הופעל בסמוך ואלה שהניחוהו נמלטו מהמקום. </w:t>
      </w:r>
    </w:p>
    <w:p w14:paraId="575804E2" w14:textId="77777777" w:rsidR="005D7BD1" w:rsidRDefault="005D7BD1" w:rsidP="005D7BD1">
      <w:pPr>
        <w:spacing w:line="480" w:lineRule="auto"/>
        <w:ind w:left="1440" w:hanging="930"/>
        <w:jc w:val="both"/>
        <w:rPr>
          <w:rtl/>
        </w:rPr>
      </w:pPr>
    </w:p>
    <w:p w14:paraId="66C02665" w14:textId="77777777" w:rsidR="005D7BD1" w:rsidRDefault="005D7BD1" w:rsidP="005D7BD1">
      <w:pPr>
        <w:spacing w:line="480" w:lineRule="auto"/>
        <w:ind w:left="1440" w:hanging="930"/>
        <w:jc w:val="both"/>
        <w:rPr>
          <w:rtl/>
        </w:rPr>
      </w:pPr>
      <w:r>
        <w:rPr>
          <w:rFonts w:hint="cs"/>
          <w:rtl/>
        </w:rPr>
        <w:t>ה.</w:t>
      </w:r>
      <w:r>
        <w:rPr>
          <w:rFonts w:hint="cs"/>
          <w:rtl/>
        </w:rPr>
        <w:tab/>
        <w:t xml:space="preserve">סעיף 11 מתאר את נזקי המטען, בפרט לרכב שמתחתיו הוא הונח, אך גם לארבעה רכבים שחנו בסמוך. בנוסף, נפגעה גם אספקת החשמל למספר בתים הסמוכים למקום הפיצוץ וכן נפגע שלט הצמוד לגדר גן ילדים, הסמוך למקום. כללית ניתן לאפיין את הנזק כנזק משמעותי לאותו רכב ולרכבים סמוכים. אם כי, כפי שהדגישו בצדק הסנגורים, הצטמצמו הנזקים למישור הרכושי בלבד. </w:t>
      </w:r>
    </w:p>
    <w:p w14:paraId="748DD7CA" w14:textId="77777777" w:rsidR="005D7BD1" w:rsidRDefault="005D7BD1" w:rsidP="005D7BD1">
      <w:pPr>
        <w:spacing w:line="480" w:lineRule="auto"/>
        <w:ind w:left="1440" w:hanging="930"/>
        <w:jc w:val="both"/>
        <w:rPr>
          <w:rtl/>
        </w:rPr>
      </w:pPr>
    </w:p>
    <w:p w14:paraId="009C5E31" w14:textId="77777777" w:rsidR="005D7BD1" w:rsidRDefault="005D7BD1" w:rsidP="005D7BD1">
      <w:pPr>
        <w:spacing w:line="480" w:lineRule="auto"/>
        <w:ind w:left="1440" w:hanging="930"/>
        <w:jc w:val="both"/>
        <w:rPr>
          <w:rtl/>
        </w:rPr>
      </w:pPr>
      <w:r>
        <w:rPr>
          <w:rtl/>
        </w:rPr>
        <w:tab/>
      </w:r>
      <w:r>
        <w:rPr>
          <w:rFonts w:hint="cs"/>
          <w:rtl/>
        </w:rPr>
        <w:t xml:space="preserve">נוכח זאת הורשעו הנאשמים בנשיאה והובלת נשק, עבירה לפי </w:t>
      </w:r>
      <w:hyperlink r:id="rId14" w:history="1">
        <w:r w:rsidR="00E2388A" w:rsidRPr="00E2388A">
          <w:rPr>
            <w:color w:val="0000FF"/>
            <w:u w:val="single"/>
            <w:rtl/>
          </w:rPr>
          <w:t>סעיף 144(ב)</w:t>
        </w:r>
      </w:hyperlink>
      <w:r>
        <w:rPr>
          <w:rFonts w:hint="cs"/>
          <w:rtl/>
        </w:rPr>
        <w:t xml:space="preserve">,  והנאשמים 3 ו-4, הורשעו גם בחבלה במזיד, עבירה לפי </w:t>
      </w:r>
      <w:hyperlink r:id="rId15" w:history="1">
        <w:r w:rsidR="00E2388A" w:rsidRPr="00E2388A">
          <w:rPr>
            <w:color w:val="0000FF"/>
            <w:u w:val="single"/>
            <w:rtl/>
          </w:rPr>
          <w:t>סעיף 413ה</w:t>
        </w:r>
      </w:hyperlink>
      <w:r>
        <w:rPr>
          <w:rFonts w:hint="cs"/>
          <w:rtl/>
        </w:rPr>
        <w:t xml:space="preserve"> ל</w:t>
      </w:r>
      <w:hyperlink r:id="rId16" w:history="1">
        <w:r w:rsidR="00604484" w:rsidRPr="00604484">
          <w:rPr>
            <w:color w:val="0000FF"/>
            <w:u w:val="single"/>
            <w:rtl/>
          </w:rPr>
          <w:t>חוק העונשין</w:t>
        </w:r>
      </w:hyperlink>
      <w:r>
        <w:rPr>
          <w:rFonts w:hint="cs"/>
          <w:rtl/>
        </w:rPr>
        <w:t xml:space="preserve"> (4 עבירות).  </w:t>
      </w:r>
    </w:p>
    <w:p w14:paraId="09D63062" w14:textId="77777777" w:rsidR="005D7BD1" w:rsidRDefault="005D7BD1" w:rsidP="005D7BD1">
      <w:pPr>
        <w:spacing w:line="480" w:lineRule="auto"/>
        <w:jc w:val="both"/>
        <w:rPr>
          <w:rtl/>
        </w:rPr>
      </w:pPr>
    </w:p>
    <w:p w14:paraId="790AC404" w14:textId="77777777" w:rsidR="005D7BD1" w:rsidRDefault="005D7BD1" w:rsidP="005D7BD1">
      <w:pPr>
        <w:spacing w:line="480" w:lineRule="auto"/>
        <w:ind w:left="510" w:hanging="510"/>
        <w:jc w:val="both"/>
        <w:rPr>
          <w:rtl/>
        </w:rPr>
      </w:pPr>
      <w:r>
        <w:rPr>
          <w:rtl/>
        </w:rPr>
        <w:t>2.</w:t>
      </w:r>
      <w:r>
        <w:rPr>
          <w:rFonts w:hint="cs"/>
          <w:rtl/>
        </w:rPr>
        <w:tab/>
      </w:r>
      <w:r w:rsidRPr="00AF230C">
        <w:rPr>
          <w:rFonts w:hint="cs"/>
          <w:b/>
          <w:bCs/>
          <w:u w:val="single"/>
          <w:rtl/>
        </w:rPr>
        <w:t>הסדר טיעון חלקי</w:t>
      </w:r>
      <w:r>
        <w:rPr>
          <w:rFonts w:hint="cs"/>
          <w:rtl/>
        </w:rPr>
        <w:t xml:space="preserve"> </w:t>
      </w:r>
    </w:p>
    <w:p w14:paraId="2D0EBD6F" w14:textId="77777777" w:rsidR="005D7BD1" w:rsidRDefault="005D7BD1" w:rsidP="005D7BD1">
      <w:pPr>
        <w:spacing w:line="480" w:lineRule="auto"/>
        <w:ind w:left="510" w:hanging="510"/>
        <w:jc w:val="both"/>
        <w:rPr>
          <w:rtl/>
        </w:rPr>
      </w:pPr>
    </w:p>
    <w:p w14:paraId="298623D1" w14:textId="77777777" w:rsidR="005D7BD1" w:rsidRDefault="005D7BD1" w:rsidP="005D7BD1">
      <w:pPr>
        <w:spacing w:line="480" w:lineRule="auto"/>
        <w:ind w:left="1440" w:hanging="930"/>
        <w:jc w:val="both"/>
        <w:rPr>
          <w:rtl/>
        </w:rPr>
      </w:pPr>
      <w:r>
        <w:rPr>
          <w:rFonts w:hint="cs"/>
          <w:rtl/>
        </w:rPr>
        <w:t>א.</w:t>
      </w:r>
      <w:r>
        <w:rPr>
          <w:rFonts w:hint="cs"/>
          <w:rtl/>
        </w:rPr>
        <w:tab/>
        <w:t xml:space="preserve">הצדדים הגיעו כדי הסדר טיעון חלקי שעיקרו בהגדרת תקרת העונש שאליה חותרת המאשימה, ולצידה הסכמות נלוות בדבר הטלת מאסרים מותנים רלוונטיים והפקדה קודם מתן גזר הדין של סך של 8,000 ₪ כפיצויים למתלוננים על ידי כל אחד מהנאשמים 1 </w:t>
      </w:r>
      <w:r>
        <w:rPr>
          <w:rtl/>
        </w:rPr>
        <w:t>–</w:t>
      </w:r>
      <w:r>
        <w:rPr>
          <w:rFonts w:hint="cs"/>
          <w:rtl/>
        </w:rPr>
        <w:t xml:space="preserve"> 3. </w:t>
      </w:r>
    </w:p>
    <w:p w14:paraId="1A18D043" w14:textId="77777777" w:rsidR="005D7BD1" w:rsidRDefault="005D7BD1" w:rsidP="005D7BD1">
      <w:pPr>
        <w:spacing w:line="480" w:lineRule="auto"/>
        <w:ind w:left="1440" w:hanging="930"/>
        <w:jc w:val="both"/>
        <w:rPr>
          <w:rtl/>
        </w:rPr>
      </w:pPr>
    </w:p>
    <w:p w14:paraId="44FA4AD2" w14:textId="77777777" w:rsidR="005D7BD1" w:rsidRDefault="005D7BD1" w:rsidP="005D7BD1">
      <w:pPr>
        <w:spacing w:line="480" w:lineRule="auto"/>
        <w:ind w:left="1440" w:hanging="930"/>
        <w:jc w:val="both"/>
        <w:rPr>
          <w:rtl/>
        </w:rPr>
      </w:pPr>
      <w:r>
        <w:rPr>
          <w:rFonts w:hint="cs"/>
          <w:rtl/>
        </w:rPr>
        <w:t>ב.</w:t>
      </w:r>
      <w:r>
        <w:rPr>
          <w:rFonts w:hint="cs"/>
          <w:rtl/>
        </w:rPr>
        <w:tab/>
        <w:t xml:space="preserve">תקרת העונש המוסכמת נקבעה על 4 וחצי שנות מאסר, אם כי במקביל הוסכם על מדרג ביחס לתקרה אשר לנאשמים השונים, ובפועל התקרה ביחס לשלושה מתוכם </w:t>
      </w:r>
      <w:r>
        <w:rPr>
          <w:rtl/>
        </w:rPr>
        <w:t>–</w:t>
      </w:r>
      <w:r>
        <w:rPr>
          <w:rFonts w:hint="cs"/>
          <w:rtl/>
        </w:rPr>
        <w:t xml:space="preserve"> נמוכה יותר. </w:t>
      </w:r>
    </w:p>
    <w:p w14:paraId="511521C5" w14:textId="77777777" w:rsidR="005D7BD1" w:rsidRDefault="005D7BD1" w:rsidP="005D7BD1">
      <w:pPr>
        <w:spacing w:line="480" w:lineRule="auto"/>
        <w:ind w:left="1440" w:hanging="930"/>
        <w:jc w:val="both"/>
        <w:rPr>
          <w:rtl/>
        </w:rPr>
      </w:pPr>
    </w:p>
    <w:p w14:paraId="32BD6759" w14:textId="77777777" w:rsidR="005D7BD1" w:rsidRDefault="005D7BD1" w:rsidP="005D7BD1">
      <w:pPr>
        <w:spacing w:line="480" w:lineRule="auto"/>
        <w:ind w:left="1440" w:hanging="930"/>
        <w:jc w:val="both"/>
        <w:rPr>
          <w:rtl/>
        </w:rPr>
      </w:pPr>
      <w:r>
        <w:rPr>
          <w:rtl/>
        </w:rPr>
        <w:tab/>
      </w:r>
      <w:r>
        <w:rPr>
          <w:rFonts w:hint="cs"/>
          <w:rtl/>
        </w:rPr>
        <w:t>1.</w:t>
      </w:r>
      <w:r>
        <w:rPr>
          <w:rFonts w:hint="cs"/>
          <w:rtl/>
        </w:rPr>
        <w:tab/>
        <w:t xml:space="preserve">אשר לנאשם 1 טוענת המאשימה ל-34 חודשי מאסר בפועל. </w:t>
      </w:r>
    </w:p>
    <w:p w14:paraId="27328093" w14:textId="77777777" w:rsidR="005D7BD1" w:rsidRDefault="005D7BD1" w:rsidP="005D7BD1">
      <w:pPr>
        <w:spacing w:line="480" w:lineRule="auto"/>
        <w:ind w:left="1440" w:hanging="930"/>
        <w:jc w:val="both"/>
        <w:rPr>
          <w:rtl/>
        </w:rPr>
      </w:pPr>
    </w:p>
    <w:p w14:paraId="577B4691" w14:textId="77777777" w:rsidR="005D7BD1" w:rsidRDefault="005D7BD1" w:rsidP="005D7BD1">
      <w:pPr>
        <w:spacing w:line="480" w:lineRule="auto"/>
        <w:ind w:left="1440" w:hanging="930"/>
        <w:jc w:val="both"/>
        <w:rPr>
          <w:rtl/>
        </w:rPr>
      </w:pPr>
      <w:r>
        <w:rPr>
          <w:rtl/>
        </w:rPr>
        <w:tab/>
      </w:r>
      <w:r>
        <w:rPr>
          <w:rFonts w:hint="cs"/>
          <w:rtl/>
        </w:rPr>
        <w:t xml:space="preserve">2. </w:t>
      </w:r>
      <w:r>
        <w:rPr>
          <w:rFonts w:hint="cs"/>
          <w:rtl/>
        </w:rPr>
        <w:tab/>
        <w:t xml:space="preserve">אשר לנאשם 2 טוענת המאשימה ל-48 חודשי מאסר בפועל. </w:t>
      </w:r>
    </w:p>
    <w:p w14:paraId="2F4F073D" w14:textId="77777777" w:rsidR="005D7BD1" w:rsidRDefault="005D7BD1" w:rsidP="005D7BD1">
      <w:pPr>
        <w:spacing w:line="480" w:lineRule="auto"/>
        <w:ind w:left="1440" w:hanging="930"/>
        <w:jc w:val="both"/>
        <w:rPr>
          <w:rtl/>
        </w:rPr>
      </w:pPr>
    </w:p>
    <w:p w14:paraId="05D56B7B" w14:textId="77777777" w:rsidR="005D7BD1" w:rsidRDefault="005D7BD1" w:rsidP="005D7BD1">
      <w:pPr>
        <w:spacing w:line="480" w:lineRule="auto"/>
        <w:ind w:left="1440" w:hanging="930"/>
        <w:jc w:val="both"/>
        <w:rPr>
          <w:rtl/>
        </w:rPr>
      </w:pPr>
      <w:r>
        <w:rPr>
          <w:rFonts w:hint="cs"/>
          <w:rtl/>
        </w:rPr>
        <w:tab/>
        <w:t>3.</w:t>
      </w:r>
      <w:r>
        <w:rPr>
          <w:rFonts w:hint="cs"/>
          <w:rtl/>
        </w:rPr>
        <w:tab/>
        <w:t xml:space="preserve">אשר לנאשם 3 טוענת המאשימה ל-54 חודשי מאסר בפועל. </w:t>
      </w:r>
    </w:p>
    <w:p w14:paraId="678909A0" w14:textId="77777777" w:rsidR="005D7BD1" w:rsidRDefault="005D7BD1" w:rsidP="005D7BD1">
      <w:pPr>
        <w:spacing w:line="480" w:lineRule="auto"/>
        <w:ind w:left="1440" w:hanging="930"/>
        <w:jc w:val="both"/>
        <w:rPr>
          <w:rtl/>
        </w:rPr>
      </w:pPr>
    </w:p>
    <w:p w14:paraId="0F4324F5" w14:textId="77777777" w:rsidR="005D7BD1" w:rsidRDefault="005D7BD1" w:rsidP="005D7BD1">
      <w:pPr>
        <w:spacing w:line="480" w:lineRule="auto"/>
        <w:ind w:left="1440" w:hanging="930"/>
        <w:jc w:val="both"/>
        <w:rPr>
          <w:rtl/>
        </w:rPr>
      </w:pPr>
      <w:r>
        <w:rPr>
          <w:rtl/>
        </w:rPr>
        <w:tab/>
      </w:r>
      <w:r>
        <w:rPr>
          <w:rFonts w:hint="cs"/>
          <w:rtl/>
        </w:rPr>
        <w:t>4.</w:t>
      </w:r>
      <w:r>
        <w:rPr>
          <w:rFonts w:hint="cs"/>
          <w:rtl/>
        </w:rPr>
        <w:tab/>
        <w:t xml:space="preserve">אשר לנאשם 4 טוענת המאשימה ל-48 חודשי מאסר בפועל. </w:t>
      </w:r>
    </w:p>
    <w:p w14:paraId="1DED78B6" w14:textId="77777777" w:rsidR="005D7BD1" w:rsidRDefault="005D7BD1" w:rsidP="005D7BD1">
      <w:pPr>
        <w:spacing w:line="480" w:lineRule="auto"/>
        <w:ind w:left="1440" w:hanging="930"/>
        <w:jc w:val="both"/>
        <w:rPr>
          <w:rtl/>
        </w:rPr>
      </w:pPr>
    </w:p>
    <w:p w14:paraId="3A3CB050" w14:textId="77777777" w:rsidR="005D7BD1" w:rsidRDefault="005D7BD1" w:rsidP="008E0030">
      <w:pPr>
        <w:spacing w:line="480" w:lineRule="auto"/>
        <w:ind w:left="720" w:hanging="720"/>
        <w:jc w:val="both"/>
        <w:rPr>
          <w:rtl/>
        </w:rPr>
      </w:pPr>
      <w:r>
        <w:rPr>
          <w:rtl/>
        </w:rPr>
        <w:tab/>
      </w:r>
      <w:r>
        <w:rPr>
          <w:rFonts w:hint="cs"/>
          <w:rtl/>
        </w:rPr>
        <w:t>נוכח הלכת שפרנוביץ (</w:t>
      </w:r>
      <w:hyperlink r:id="rId17" w:history="1">
        <w:r w:rsidR="00604484" w:rsidRPr="00604484">
          <w:rPr>
            <w:color w:val="0000FF"/>
            <w:u w:val="single"/>
            <w:rtl/>
          </w:rPr>
          <w:t>ע"פ 2524/15</w:t>
        </w:r>
      </w:hyperlink>
      <w:r>
        <w:rPr>
          <w:rFonts w:hint="cs"/>
          <w:rtl/>
        </w:rPr>
        <w:t xml:space="preserve"> </w:t>
      </w:r>
      <w:r w:rsidRPr="00D5591A">
        <w:rPr>
          <w:rFonts w:hint="cs"/>
          <w:b/>
          <w:bCs/>
          <w:rtl/>
        </w:rPr>
        <w:t>שפרנוביץ נ' מ</w:t>
      </w:r>
      <w:r>
        <w:rPr>
          <w:rFonts w:hint="cs"/>
          <w:b/>
          <w:bCs/>
          <w:rtl/>
        </w:rPr>
        <w:t>דינת ישראל</w:t>
      </w:r>
      <w:r w:rsidR="008E0030">
        <w:rPr>
          <w:rFonts w:hint="cs"/>
          <w:b/>
          <w:bCs/>
          <w:rtl/>
        </w:rPr>
        <w:t xml:space="preserve"> </w:t>
      </w:r>
      <w:r w:rsidR="008E0030" w:rsidRPr="008E0030">
        <w:rPr>
          <w:sz w:val="22"/>
          <w:rtl/>
        </w:rPr>
        <w:t>[פורסם בנבו]</w:t>
      </w:r>
      <w:r w:rsidRPr="00D5591A">
        <w:rPr>
          <w:rFonts w:hint="cs"/>
          <w:rtl/>
        </w:rPr>
        <w:t>)</w:t>
      </w:r>
      <w:r>
        <w:rPr>
          <w:rFonts w:hint="cs"/>
          <w:rtl/>
        </w:rPr>
        <w:t xml:space="preserve">, רואה אני עצמי פטור מדיון במתחמי הענישה מקום שעל הפרק הסדר טיעון מן הסוג שמקובל לכנותו כ"הסדר תקרה". לפיכך, בשים לב לשוני בין הנאשמים השונים, הן ביחס לחלקם בפרשה, הן ביחס לעברם הפלילי והן ביחס לנסיבותיהם האישיות, אפנה משלב זה לדיון פרטני בנתונים הרלוונטיים העיקריים לכל אחד מהנאשמים. </w:t>
      </w:r>
    </w:p>
    <w:p w14:paraId="4544D0DE" w14:textId="77777777" w:rsidR="005D7BD1" w:rsidRDefault="005D7BD1" w:rsidP="005D7BD1">
      <w:pPr>
        <w:spacing w:line="480" w:lineRule="auto"/>
        <w:ind w:left="720" w:hanging="720"/>
        <w:jc w:val="both"/>
        <w:rPr>
          <w:rtl/>
        </w:rPr>
      </w:pPr>
    </w:p>
    <w:p w14:paraId="7C0DAC63" w14:textId="77777777" w:rsidR="005D7BD1" w:rsidRDefault="005D7BD1" w:rsidP="005D7BD1">
      <w:pPr>
        <w:spacing w:line="480" w:lineRule="auto"/>
        <w:ind w:left="720" w:hanging="720"/>
        <w:jc w:val="both"/>
        <w:rPr>
          <w:rtl/>
        </w:rPr>
      </w:pPr>
      <w:r>
        <w:rPr>
          <w:rFonts w:hint="cs"/>
          <w:rtl/>
        </w:rPr>
        <w:t>ג.</w:t>
      </w:r>
      <w:r>
        <w:rPr>
          <w:rtl/>
        </w:rPr>
        <w:tab/>
      </w:r>
      <w:r>
        <w:rPr>
          <w:rFonts w:hint="cs"/>
          <w:rtl/>
        </w:rPr>
        <w:t xml:space="preserve">טענות ההגנה תקבלנה ביטוי בדיון הפרטני. ככלל, סבורים ב"כ הנאשמים, כל אחד מטעמיו, שראוי לגזור את ענשם של הנאשמים בהיקף שיחפוף, או לפחות ישאף לסמיכות, לתקופת מעצרם (הנאשמים עצורים מיום ה </w:t>
      </w:r>
      <w:r>
        <w:rPr>
          <w:rtl/>
        </w:rPr>
        <w:t>–</w:t>
      </w:r>
      <w:r>
        <w:rPr>
          <w:rFonts w:hint="cs"/>
          <w:rtl/>
        </w:rPr>
        <w:t xml:space="preserve"> 3.4.2018).</w:t>
      </w:r>
    </w:p>
    <w:p w14:paraId="339B46B4" w14:textId="77777777" w:rsidR="005D7BD1" w:rsidRDefault="005D7BD1" w:rsidP="005D7BD1">
      <w:pPr>
        <w:spacing w:line="480" w:lineRule="auto"/>
        <w:ind w:left="720" w:hanging="720"/>
        <w:jc w:val="both"/>
        <w:rPr>
          <w:rtl/>
        </w:rPr>
      </w:pPr>
    </w:p>
    <w:p w14:paraId="66F4413A" w14:textId="77777777" w:rsidR="005D7BD1" w:rsidRDefault="005D7BD1" w:rsidP="005D7BD1">
      <w:pPr>
        <w:spacing w:line="480" w:lineRule="auto"/>
        <w:ind w:left="510" w:hanging="510"/>
        <w:jc w:val="both"/>
        <w:rPr>
          <w:rtl/>
        </w:rPr>
      </w:pPr>
      <w:r>
        <w:rPr>
          <w:rtl/>
        </w:rPr>
        <w:t>3.</w:t>
      </w:r>
      <w:r>
        <w:rPr>
          <w:rFonts w:hint="cs"/>
          <w:rtl/>
        </w:rPr>
        <w:tab/>
      </w:r>
      <w:r w:rsidRPr="00AF230C">
        <w:rPr>
          <w:rFonts w:hint="cs"/>
          <w:b/>
          <w:bCs/>
          <w:u w:val="single"/>
          <w:rtl/>
        </w:rPr>
        <w:t>הנאשם 1</w:t>
      </w:r>
    </w:p>
    <w:p w14:paraId="4377461B" w14:textId="77777777" w:rsidR="005D7BD1" w:rsidRDefault="005D7BD1" w:rsidP="005D7BD1">
      <w:pPr>
        <w:spacing w:line="480" w:lineRule="auto"/>
        <w:ind w:left="510" w:hanging="510"/>
        <w:jc w:val="both"/>
        <w:rPr>
          <w:rtl/>
        </w:rPr>
      </w:pPr>
    </w:p>
    <w:p w14:paraId="51C95333" w14:textId="77777777" w:rsidR="005D7BD1" w:rsidRDefault="005D7BD1" w:rsidP="005D7BD1">
      <w:pPr>
        <w:spacing w:line="480" w:lineRule="auto"/>
        <w:ind w:left="1440" w:hanging="930"/>
        <w:jc w:val="both"/>
        <w:rPr>
          <w:rtl/>
        </w:rPr>
      </w:pPr>
      <w:r>
        <w:rPr>
          <w:rFonts w:hint="cs"/>
          <w:rtl/>
        </w:rPr>
        <w:t>א.</w:t>
      </w:r>
      <w:r>
        <w:rPr>
          <w:rFonts w:hint="cs"/>
          <w:rtl/>
        </w:rPr>
        <w:tab/>
        <w:t>כאמור, טוענת המאשימה ביחס לנאשם זה ל-34 חודשי מאסר לריצוי בפועל. ביחס אליו צוינו גם קשיים ראייתיים.</w:t>
      </w:r>
    </w:p>
    <w:p w14:paraId="338999C1" w14:textId="77777777" w:rsidR="005D7BD1" w:rsidRDefault="005D7BD1" w:rsidP="005D7BD1">
      <w:pPr>
        <w:spacing w:line="480" w:lineRule="auto"/>
        <w:ind w:left="510" w:hanging="510"/>
        <w:jc w:val="both"/>
        <w:rPr>
          <w:rtl/>
        </w:rPr>
      </w:pPr>
    </w:p>
    <w:p w14:paraId="40DC4CDE" w14:textId="77777777" w:rsidR="005D7BD1" w:rsidRDefault="005D7BD1" w:rsidP="005D7BD1">
      <w:pPr>
        <w:spacing w:line="480" w:lineRule="auto"/>
        <w:ind w:left="1440" w:hanging="930"/>
        <w:jc w:val="both"/>
        <w:rPr>
          <w:rtl/>
        </w:rPr>
      </w:pPr>
      <w:r>
        <w:rPr>
          <w:rFonts w:hint="cs"/>
          <w:rtl/>
        </w:rPr>
        <w:t>ב.</w:t>
      </w:r>
      <w:r>
        <w:rPr>
          <w:rFonts w:hint="cs"/>
          <w:rtl/>
        </w:rPr>
        <w:tab/>
        <w:t xml:space="preserve">במוקד טענות בא כוחו הנכבד, העובדה המוסכמת, לפיה בהתאם לעובדות כתב האישום, היה חלקו שולי משל כל אחד מבין המעורבים האחרים. הודגש שעל פי סעיף 8 לפרק העובדות עיקר חלקו במתן עדכון למעורבים אחרים ובשיחות איתם. עם זאת, נכון לטעמי להדגיש את המשפט המסכם של סעיף 8, לפיו באותו לילה מר ונמהר בו בוצעה העבירה, נפגשו הנאשמים יחדיו בסמוך לביתו של הנאשם 2 ברמלה. לשון אחר: גם אם חלקו לכאורה קטן יותר, למדים אנו שעובר לביצוע העבירה נפגש הוא עם עמיתיו, ופשיטא שמפגש אחרון בין המעורבים עובר לביצוע העבירה, מלמד על חלקו הממשי בקשר (הגם שבהסכמת הצדדים הורשע, כמו גם עמיתיו, בנשיאה והובלת נשק ולא בקשירת קשר). </w:t>
      </w:r>
    </w:p>
    <w:p w14:paraId="5E7DACA0" w14:textId="77777777" w:rsidR="005D7BD1" w:rsidRDefault="005D7BD1" w:rsidP="005D7BD1">
      <w:pPr>
        <w:spacing w:line="480" w:lineRule="auto"/>
        <w:ind w:left="1440" w:hanging="930"/>
        <w:jc w:val="both"/>
        <w:rPr>
          <w:rtl/>
        </w:rPr>
      </w:pPr>
    </w:p>
    <w:p w14:paraId="16545703" w14:textId="77777777" w:rsidR="005D7BD1" w:rsidRDefault="005D7BD1" w:rsidP="005D7BD1">
      <w:pPr>
        <w:spacing w:line="480" w:lineRule="auto"/>
        <w:ind w:left="1440" w:hanging="930"/>
        <w:jc w:val="both"/>
        <w:rPr>
          <w:rtl/>
        </w:rPr>
      </w:pPr>
      <w:r>
        <w:rPr>
          <w:rFonts w:hint="cs"/>
          <w:rtl/>
        </w:rPr>
        <w:t>ג.</w:t>
      </w:r>
      <w:r>
        <w:rPr>
          <w:rFonts w:hint="cs"/>
          <w:rtl/>
        </w:rPr>
        <w:tab/>
        <w:t xml:space="preserve">לצד האמור הדגיש בא כוחו נושא אליו אשוב בשנית בהמשך, שהודה הנאשם וקיבל אחריות למעשיו, מצב דברים המגלם בחובו שיקול לקולא, ברור ובר-חשיבות, לכל דבר ועניין. </w:t>
      </w:r>
    </w:p>
    <w:p w14:paraId="3C9ABC3F" w14:textId="77777777" w:rsidR="005D7BD1" w:rsidRDefault="005D7BD1" w:rsidP="005D7BD1">
      <w:pPr>
        <w:spacing w:line="480" w:lineRule="auto"/>
        <w:ind w:left="1440" w:hanging="930"/>
        <w:jc w:val="both"/>
        <w:rPr>
          <w:rtl/>
        </w:rPr>
      </w:pPr>
    </w:p>
    <w:p w14:paraId="17349288" w14:textId="77777777" w:rsidR="005D7BD1" w:rsidRDefault="005D7BD1" w:rsidP="005D7BD1">
      <w:pPr>
        <w:spacing w:line="480" w:lineRule="auto"/>
        <w:ind w:left="1440" w:hanging="930"/>
        <w:jc w:val="both"/>
        <w:rPr>
          <w:rtl/>
        </w:rPr>
      </w:pPr>
      <w:r>
        <w:rPr>
          <w:rFonts w:hint="cs"/>
          <w:rtl/>
        </w:rPr>
        <w:t>ד.</w:t>
      </w:r>
      <w:r>
        <w:rPr>
          <w:rFonts w:hint="cs"/>
          <w:rtl/>
        </w:rPr>
        <w:tab/>
        <w:t xml:space="preserve">ומנגד, לחובתו, גיליון הרשעותיו הקודמות המצביע על 8 עבירות קודמות, כולל תקופות מאסר משמעותיות בחייו. ב"כ ביקש למתן נקודה זאת בעובדה, עליה אין חולקין, לפיה לאחר שהשתחרר ממאסרו האחרון בשנת 2013 לא נרשמה לחובתו עבירה נוספת כלשהי עד עתה. </w:t>
      </w:r>
    </w:p>
    <w:p w14:paraId="56E6367C" w14:textId="77777777" w:rsidR="005D7BD1" w:rsidRDefault="005D7BD1" w:rsidP="005D7BD1">
      <w:pPr>
        <w:spacing w:line="480" w:lineRule="auto"/>
        <w:ind w:left="1440" w:hanging="930"/>
        <w:jc w:val="both"/>
        <w:rPr>
          <w:rtl/>
        </w:rPr>
      </w:pPr>
    </w:p>
    <w:p w14:paraId="58C50D09" w14:textId="77777777" w:rsidR="005D7BD1" w:rsidRPr="00E75B8B" w:rsidRDefault="005D7BD1" w:rsidP="005D7BD1">
      <w:pPr>
        <w:spacing w:line="480" w:lineRule="auto"/>
        <w:ind w:left="1440" w:hanging="930"/>
        <w:jc w:val="both"/>
        <w:rPr>
          <w:b/>
          <w:bCs/>
          <w:rtl/>
        </w:rPr>
      </w:pPr>
      <w:r>
        <w:rPr>
          <w:rFonts w:hint="cs"/>
          <w:rtl/>
        </w:rPr>
        <w:t>ה.</w:t>
      </w:r>
      <w:r>
        <w:rPr>
          <w:rtl/>
        </w:rPr>
        <w:tab/>
      </w:r>
      <w:r>
        <w:rPr>
          <w:rFonts w:hint="cs"/>
          <w:rtl/>
        </w:rPr>
        <w:t>התמונה המסכמת ביחס לנאשם זה מצביעה על מעורבות מוכחת בפרטי האירוע, במעט במידה פחותה במעט משל עמיתיו, אך במקביל על הפרק נאשם שידיו רב לו, בעברו, בעבירות רבות ושונות, בעטיין אף ריצה עונשי מאסר. באשר מלכתחילה הרף ביחס אליו נמוך יותר, נכון למקם את עונשו יחסית סמוך לרף המוסכם (34 חודש). ירצה נאשם זה 28 חודשי מאסר.</w:t>
      </w:r>
    </w:p>
    <w:p w14:paraId="1A91F1E1" w14:textId="77777777" w:rsidR="005D7BD1" w:rsidRDefault="005D7BD1" w:rsidP="005D7BD1">
      <w:pPr>
        <w:spacing w:line="480" w:lineRule="auto"/>
        <w:ind w:left="510" w:hanging="510"/>
        <w:jc w:val="both"/>
        <w:rPr>
          <w:rtl/>
        </w:rPr>
      </w:pPr>
      <w:r>
        <w:rPr>
          <w:rtl/>
        </w:rPr>
        <w:tab/>
      </w:r>
    </w:p>
    <w:p w14:paraId="6BF915E2" w14:textId="77777777" w:rsidR="005D7BD1" w:rsidRDefault="005D7BD1" w:rsidP="005D7BD1">
      <w:pPr>
        <w:spacing w:line="480" w:lineRule="auto"/>
        <w:ind w:left="510" w:hanging="510"/>
        <w:jc w:val="both"/>
        <w:rPr>
          <w:rtl/>
        </w:rPr>
      </w:pPr>
      <w:r>
        <w:rPr>
          <w:rtl/>
        </w:rPr>
        <w:t>4.</w:t>
      </w:r>
      <w:r>
        <w:rPr>
          <w:rFonts w:hint="cs"/>
          <w:rtl/>
        </w:rPr>
        <w:tab/>
      </w:r>
      <w:r w:rsidRPr="00AF230C">
        <w:rPr>
          <w:rFonts w:hint="cs"/>
          <w:b/>
          <w:bCs/>
          <w:u w:val="single"/>
          <w:rtl/>
        </w:rPr>
        <w:t>הנאשם 2</w:t>
      </w:r>
    </w:p>
    <w:p w14:paraId="4DC97470" w14:textId="77777777" w:rsidR="005D7BD1" w:rsidRDefault="005D7BD1" w:rsidP="005D7BD1">
      <w:pPr>
        <w:spacing w:line="480" w:lineRule="auto"/>
        <w:ind w:left="510" w:hanging="510"/>
        <w:jc w:val="both"/>
        <w:rPr>
          <w:rtl/>
        </w:rPr>
      </w:pPr>
    </w:p>
    <w:p w14:paraId="4484D7E9" w14:textId="77777777" w:rsidR="005D7BD1" w:rsidRDefault="005D7BD1" w:rsidP="005D7BD1">
      <w:pPr>
        <w:spacing w:line="480" w:lineRule="auto"/>
        <w:ind w:left="1440" w:hanging="930"/>
        <w:jc w:val="both"/>
        <w:rPr>
          <w:rtl/>
        </w:rPr>
      </w:pPr>
      <w:r>
        <w:rPr>
          <w:rFonts w:hint="cs"/>
          <w:rtl/>
        </w:rPr>
        <w:t>א.</w:t>
      </w:r>
      <w:r>
        <w:rPr>
          <w:rFonts w:hint="cs"/>
          <w:rtl/>
        </w:rPr>
        <w:tab/>
        <w:t xml:space="preserve">מעורבותו בפרשה דנן </w:t>
      </w:r>
      <w:r>
        <w:rPr>
          <w:rtl/>
        </w:rPr>
        <w:t>–</w:t>
      </w:r>
      <w:r>
        <w:rPr>
          <w:rFonts w:hint="cs"/>
          <w:rtl/>
        </w:rPr>
        <w:t xml:space="preserve"> משמעותית. כאמור, עמדת המאשימה לגביו ל-48 חודשי מאסר, והטעם העיקרי שבעטיו לא עומדת המאשימה על התקופה המרבית המוסכמת, הינה שלא נמנה הוא עם הנאשמים שנסעו לזירת ביצוע העבירה וממילא לא נמנה הוא עם המבצעים הישירים של השלב הקריטי של העבירה. </w:t>
      </w:r>
    </w:p>
    <w:p w14:paraId="375BDCB6" w14:textId="77777777" w:rsidR="005D7BD1" w:rsidRDefault="005D7BD1" w:rsidP="005D7BD1">
      <w:pPr>
        <w:spacing w:line="480" w:lineRule="auto"/>
        <w:ind w:left="1440" w:hanging="930"/>
        <w:jc w:val="both"/>
        <w:rPr>
          <w:rtl/>
        </w:rPr>
      </w:pPr>
    </w:p>
    <w:p w14:paraId="5A2F0E81" w14:textId="77777777" w:rsidR="005D7BD1" w:rsidRDefault="005D7BD1" w:rsidP="005D7BD1">
      <w:pPr>
        <w:spacing w:line="480" w:lineRule="auto"/>
        <w:ind w:left="1440"/>
        <w:jc w:val="both"/>
        <w:rPr>
          <w:rtl/>
        </w:rPr>
      </w:pPr>
      <w:r>
        <w:rPr>
          <w:rFonts w:hint="cs"/>
          <w:rtl/>
        </w:rPr>
        <w:t>עם זאת, נכון להדגיש שניתוח התמונה הכוללת, עוד משלב התיווך להלוואה ועד לשלבי פרשתנו, ובידענו, שאליו פנה יוסף ברוך, מצביע על מקומו המרכזי בפרשה. ולהזכיר בנקודה זו בשנית את סעיף 6 לפרק העובדות, לפיו היה זה הוא שהשיג את מטען החבלה, וכדי להמחיש את מקומו, מה נצרך יותר מזה?! קשה להלום, שלא יינתן לכך ביטוי ברור בגזר דינו.</w:t>
      </w:r>
    </w:p>
    <w:p w14:paraId="5A4C4347" w14:textId="77777777" w:rsidR="005D7BD1" w:rsidRDefault="005D7BD1" w:rsidP="005D7BD1">
      <w:pPr>
        <w:spacing w:line="480" w:lineRule="auto"/>
        <w:ind w:left="1440" w:hanging="930"/>
        <w:jc w:val="both"/>
        <w:rPr>
          <w:rtl/>
        </w:rPr>
      </w:pPr>
    </w:p>
    <w:p w14:paraId="3ABDE185" w14:textId="77777777" w:rsidR="005D7BD1" w:rsidRDefault="005D7BD1" w:rsidP="005D7BD1">
      <w:pPr>
        <w:spacing w:line="480" w:lineRule="auto"/>
        <w:ind w:left="1440" w:hanging="930"/>
        <w:jc w:val="both"/>
        <w:rPr>
          <w:rtl/>
        </w:rPr>
      </w:pPr>
      <w:r>
        <w:rPr>
          <w:rFonts w:hint="cs"/>
          <w:rtl/>
        </w:rPr>
        <w:t>ב.</w:t>
      </w:r>
      <w:r>
        <w:rPr>
          <w:rFonts w:hint="cs"/>
          <w:rtl/>
        </w:rPr>
        <w:tab/>
        <w:t xml:space="preserve">גם לזכותו העובדה שקיבל אחריות והודה במיוחס לו על כל הערך הגלום בכך לטובתו, כפי שכבר צוין. </w:t>
      </w:r>
    </w:p>
    <w:p w14:paraId="21818648" w14:textId="77777777" w:rsidR="005D7BD1" w:rsidRDefault="005D7BD1" w:rsidP="005D7BD1">
      <w:pPr>
        <w:spacing w:line="480" w:lineRule="auto"/>
        <w:ind w:left="1440" w:hanging="930"/>
        <w:jc w:val="both"/>
        <w:rPr>
          <w:rtl/>
        </w:rPr>
      </w:pPr>
    </w:p>
    <w:p w14:paraId="01093F44" w14:textId="77777777" w:rsidR="005D7BD1" w:rsidRDefault="005D7BD1" w:rsidP="005D7BD1">
      <w:pPr>
        <w:spacing w:line="480" w:lineRule="auto"/>
        <w:ind w:left="1440" w:hanging="930"/>
        <w:jc w:val="both"/>
        <w:rPr>
          <w:rtl/>
        </w:rPr>
      </w:pPr>
      <w:r>
        <w:rPr>
          <w:rFonts w:hint="cs"/>
          <w:rtl/>
        </w:rPr>
        <w:t>ג.</w:t>
      </w:r>
      <w:r>
        <w:rPr>
          <w:rFonts w:hint="cs"/>
          <w:rtl/>
        </w:rPr>
        <w:tab/>
        <w:t>גם לחובתו עבר פלילי ממשי, אם כי פחות בהיקפו בהשוואה לקודמו. לחובתו 4 הרשעות קודמות, אם כי האחרונות שבהן מתונות יחסית, ובעקבותיהן נדון לתנאים ולקנס. הרשעתו העיקרית, בגין קשירת קשר וסחיטה באיומים, ניתנה לפני למעלה מעשר שנים בבית המשפט המחוזי בבאר שבע, בעטיין נדון למאסר היחיד שריצה עד כה לתקופה של 8 חודשים. בתמצית הדברים אסכם פסקה זו בכך שאקבע שהגם שעברו מתון משל קודמו, על הפרק נאשם שלחובתו עבר פלילי, והאחרונה שבעבירות הסתיימה בהרשעה לפני זמן לא רב, בשנת 2016 (איומים).</w:t>
      </w:r>
    </w:p>
    <w:p w14:paraId="5ACCD5A4" w14:textId="77777777" w:rsidR="005D7BD1" w:rsidRDefault="005D7BD1" w:rsidP="005D7BD1">
      <w:pPr>
        <w:spacing w:line="480" w:lineRule="auto"/>
        <w:ind w:left="1440" w:hanging="930"/>
        <w:jc w:val="both"/>
        <w:rPr>
          <w:rtl/>
        </w:rPr>
      </w:pPr>
    </w:p>
    <w:p w14:paraId="7F2CC86C" w14:textId="77777777" w:rsidR="005D7BD1" w:rsidRDefault="005D7BD1" w:rsidP="005D7BD1">
      <w:pPr>
        <w:spacing w:line="480" w:lineRule="auto"/>
        <w:ind w:left="1440" w:hanging="930"/>
        <w:jc w:val="both"/>
        <w:rPr>
          <w:rtl/>
        </w:rPr>
      </w:pPr>
      <w:r>
        <w:rPr>
          <w:rFonts w:hint="cs"/>
          <w:rtl/>
        </w:rPr>
        <w:t>ד.</w:t>
      </w:r>
      <w:r>
        <w:rPr>
          <w:rtl/>
        </w:rPr>
        <w:tab/>
      </w:r>
      <w:r>
        <w:rPr>
          <w:rFonts w:hint="cs"/>
          <w:rtl/>
        </w:rPr>
        <w:t xml:space="preserve">בבואו לגזור את הדין על בית המשפט לקחת בחשבון את מקומו במארג העברייני, כמעורב מרכזי. גם אם לא היה זה הוא, שבמו ידיו הפעיל את המטען. גם אם עברו פחות משל עמיתו, על הפרק עבר ממשי ורלוונטי. עיקר החומרה מבחינתו בהשוואה לקודמו, במעורבותו העמוקה בפרשה. ירצה נאשם זה 44 חדשי מאסר. </w:t>
      </w:r>
    </w:p>
    <w:p w14:paraId="7411C65A" w14:textId="77777777" w:rsidR="005D7BD1" w:rsidRDefault="005D7BD1" w:rsidP="005D7BD1">
      <w:pPr>
        <w:spacing w:line="480" w:lineRule="auto"/>
        <w:jc w:val="both"/>
        <w:rPr>
          <w:rtl/>
        </w:rPr>
      </w:pPr>
    </w:p>
    <w:p w14:paraId="68F352EB" w14:textId="77777777" w:rsidR="005D7BD1" w:rsidRDefault="005D7BD1" w:rsidP="005D7BD1">
      <w:pPr>
        <w:spacing w:line="480" w:lineRule="auto"/>
        <w:ind w:left="510" w:hanging="510"/>
        <w:jc w:val="both"/>
        <w:rPr>
          <w:rtl/>
        </w:rPr>
      </w:pPr>
      <w:r>
        <w:rPr>
          <w:rtl/>
        </w:rPr>
        <w:t>5.</w:t>
      </w:r>
      <w:r>
        <w:rPr>
          <w:rFonts w:hint="cs"/>
          <w:rtl/>
        </w:rPr>
        <w:tab/>
      </w:r>
      <w:r w:rsidRPr="00D52633">
        <w:rPr>
          <w:rFonts w:hint="cs"/>
          <w:b/>
          <w:bCs/>
          <w:u w:val="single"/>
          <w:rtl/>
        </w:rPr>
        <w:t>נאשם 3</w:t>
      </w:r>
    </w:p>
    <w:p w14:paraId="59C0F4AF" w14:textId="77777777" w:rsidR="005D7BD1" w:rsidRDefault="005D7BD1" w:rsidP="005D7BD1">
      <w:pPr>
        <w:spacing w:line="480" w:lineRule="auto"/>
        <w:ind w:left="510" w:hanging="510"/>
        <w:jc w:val="both"/>
        <w:rPr>
          <w:rtl/>
        </w:rPr>
      </w:pPr>
    </w:p>
    <w:p w14:paraId="5A77CC51" w14:textId="77777777" w:rsidR="005D7BD1" w:rsidRDefault="005D7BD1" w:rsidP="005D7BD1">
      <w:pPr>
        <w:spacing w:line="480" w:lineRule="auto"/>
        <w:ind w:left="1440" w:hanging="930"/>
        <w:jc w:val="both"/>
        <w:rPr>
          <w:rtl/>
        </w:rPr>
      </w:pPr>
      <w:r>
        <w:rPr>
          <w:rFonts w:hint="cs"/>
          <w:rtl/>
        </w:rPr>
        <w:t>א.</w:t>
      </w:r>
      <w:r>
        <w:rPr>
          <w:rFonts w:hint="cs"/>
          <w:rtl/>
        </w:rPr>
        <w:tab/>
        <w:t xml:space="preserve">על פני הדברים יש לראותו כאחד המעורבים העיקריים בפרשה ודי שאשוב ואזכיר שלצד נאשם 4 היה הוא האחד מהשניים שנסעו לזירת העבירה והטמינו בפועל את מטען החבלה שבמוקד כתב האישום. </w:t>
      </w:r>
    </w:p>
    <w:p w14:paraId="40E62B19" w14:textId="77777777" w:rsidR="005D7BD1" w:rsidRDefault="005D7BD1" w:rsidP="005D7BD1">
      <w:pPr>
        <w:spacing w:line="480" w:lineRule="auto"/>
        <w:ind w:left="1440" w:hanging="930"/>
        <w:jc w:val="both"/>
        <w:rPr>
          <w:rtl/>
        </w:rPr>
      </w:pPr>
    </w:p>
    <w:p w14:paraId="59103898" w14:textId="77777777" w:rsidR="005D7BD1" w:rsidRDefault="005D7BD1" w:rsidP="005D7BD1">
      <w:pPr>
        <w:spacing w:line="480" w:lineRule="auto"/>
        <w:ind w:left="1440" w:hanging="930"/>
        <w:jc w:val="both"/>
        <w:rPr>
          <w:rtl/>
        </w:rPr>
      </w:pPr>
      <w:r>
        <w:rPr>
          <w:rFonts w:hint="cs"/>
          <w:rtl/>
        </w:rPr>
        <w:t>ב.</w:t>
      </w:r>
      <w:r>
        <w:rPr>
          <w:rFonts w:hint="cs"/>
          <w:rtl/>
        </w:rPr>
        <w:tab/>
        <w:t xml:space="preserve">הוא היחיד מבין הארבעה, שביחס אליו עומדת המאשימה על מאסר לתקופה של המרבית המוסכמת, ארבע וחצי שנים. עם זאת יודגש, שהוא גם היחיד שלחובתו שישה חודשי מאסר מותנה רלוונטיים להפעלה ומסכימה המאשימה שככל שיורה בית המשפט על הפעלת התנאי תיכלל תקופת התנאי בפרק הזמן הנ"ל. </w:t>
      </w:r>
    </w:p>
    <w:p w14:paraId="5E58093E" w14:textId="77777777" w:rsidR="005D7BD1" w:rsidRDefault="005D7BD1" w:rsidP="005D7BD1">
      <w:pPr>
        <w:spacing w:line="480" w:lineRule="auto"/>
        <w:ind w:left="1440" w:hanging="930"/>
        <w:jc w:val="both"/>
        <w:rPr>
          <w:rtl/>
        </w:rPr>
      </w:pPr>
    </w:p>
    <w:p w14:paraId="72676A2F" w14:textId="77777777" w:rsidR="005D7BD1" w:rsidRDefault="005D7BD1" w:rsidP="005D7BD1">
      <w:pPr>
        <w:spacing w:line="480" w:lineRule="auto"/>
        <w:ind w:left="1440" w:hanging="930"/>
        <w:jc w:val="both"/>
        <w:rPr>
          <w:rtl/>
        </w:rPr>
      </w:pPr>
      <w:r>
        <w:rPr>
          <w:rFonts w:hint="cs"/>
          <w:rtl/>
        </w:rPr>
        <w:t>ג.</w:t>
      </w:r>
      <w:r>
        <w:rPr>
          <w:rFonts w:hint="cs"/>
          <w:rtl/>
        </w:rPr>
        <w:tab/>
        <w:t xml:space="preserve">גם לחובתו עבר פלילי. אומנם על הפרק 3 הרשעות בלבד, אך מלמד גיליון הרשעותיו הקודמות שמתבססות הרשעותיו על צירוף תיקים, ללמדנו שמספר העבירות שביצע בפועל ושנסתיימו בהרשעה </w:t>
      </w:r>
      <w:r>
        <w:rPr>
          <w:rtl/>
        </w:rPr>
        <w:t>–</w:t>
      </w:r>
      <w:r>
        <w:rPr>
          <w:rFonts w:hint="cs"/>
          <w:rtl/>
        </w:rPr>
        <w:t xml:space="preserve"> ניכר. בין היתר ריצה הוא שתי תקופות מאסר כשהאחרונה נגזרה עליו לפני זמן לא רב, בינואר 2019. מעט לאחר מכן מצא הוא עצמו מעורב בפרשה דנן, והנה אנחנו כאן. </w:t>
      </w:r>
    </w:p>
    <w:p w14:paraId="0461850A" w14:textId="77777777" w:rsidR="005D7BD1" w:rsidRDefault="005D7BD1" w:rsidP="005D7BD1">
      <w:pPr>
        <w:spacing w:line="480" w:lineRule="auto"/>
        <w:ind w:left="1440" w:hanging="930"/>
        <w:jc w:val="both"/>
        <w:rPr>
          <w:rtl/>
        </w:rPr>
      </w:pPr>
    </w:p>
    <w:p w14:paraId="2C397CC4" w14:textId="77777777" w:rsidR="005D7BD1" w:rsidRDefault="005D7BD1" w:rsidP="005D7BD1">
      <w:pPr>
        <w:spacing w:line="480" w:lineRule="auto"/>
        <w:ind w:left="1440" w:hanging="930"/>
        <w:jc w:val="both"/>
        <w:rPr>
          <w:rtl/>
        </w:rPr>
      </w:pPr>
      <w:r>
        <w:rPr>
          <w:rFonts w:hint="cs"/>
          <w:rtl/>
        </w:rPr>
        <w:t>ד.</w:t>
      </w:r>
      <w:r>
        <w:rPr>
          <w:rFonts w:hint="cs"/>
          <w:rtl/>
        </w:rPr>
        <w:tab/>
        <w:t xml:space="preserve">כשיקול לקולא יצוין שהנאשם </w:t>
      </w:r>
      <w:r>
        <w:rPr>
          <w:rtl/>
        </w:rPr>
        <w:t>–</w:t>
      </w:r>
      <w:r>
        <w:rPr>
          <w:rFonts w:hint="cs"/>
          <w:rtl/>
        </w:rPr>
        <w:t xml:space="preserve"> יליד 1.4.2000, ללמדנו שבמועד ביצוע העבירה דנן היה בסוף קטינותו ובמועד ביצוע העבירות הקודמות לבטח היה קטין. אם כי אתקשה שלא לציין כבר בשלב זה, שהגם שראוי לבית המשפט לייחס משקל למי שביצע את העבירות שעל הפרק בהיותו קטין, על הפרק נאשם שידיו רב לו בביצוע עבירות בתקופת קטינותו ודי שאשוב ואזכיר הן את עברו, הן את התנאי שהושת עליו זמן קצר קודם ביצועה של העבירה דנן, והן את חלקו המרכזי גם בעבירה זו. כלל ועיקר: ככל שהעבר הפלילי רב יותר, ואין בפני בית המשפט תסקיר המשקף סיכויי שיקום ממשיים, יורד משקלו של הגיל במארג השיקולים הכולל. </w:t>
      </w:r>
    </w:p>
    <w:p w14:paraId="34744485" w14:textId="77777777" w:rsidR="005D7BD1" w:rsidRDefault="005D7BD1" w:rsidP="005D7BD1">
      <w:pPr>
        <w:spacing w:line="480" w:lineRule="auto"/>
        <w:ind w:left="1440" w:hanging="930"/>
        <w:jc w:val="both"/>
        <w:rPr>
          <w:rtl/>
        </w:rPr>
      </w:pPr>
    </w:p>
    <w:p w14:paraId="6B756992" w14:textId="77777777" w:rsidR="005D7BD1" w:rsidRDefault="005D7BD1" w:rsidP="005D7BD1">
      <w:pPr>
        <w:spacing w:line="480" w:lineRule="auto"/>
        <w:ind w:left="1440" w:hanging="930"/>
        <w:jc w:val="both"/>
        <w:rPr>
          <w:rtl/>
        </w:rPr>
      </w:pPr>
      <w:r>
        <w:rPr>
          <w:rFonts w:hint="cs"/>
          <w:rtl/>
        </w:rPr>
        <w:t>ה.</w:t>
      </w:r>
      <w:r>
        <w:rPr>
          <w:rFonts w:hint="cs"/>
          <w:rtl/>
        </w:rPr>
        <w:tab/>
        <w:t>נוכח גילו אף הוזמן בעניינו תסקיר מטעם שירות המבחן המונח עתה על שולחן בית המשפט. במצוות החוק אמנע מציטוט האמור בתסקיר ואסתפק במתן ביטוי למסקנות שירות המבחן ולפיהן, למרבה הצער, מצוי הנאשם בסיכון גבוה להמשך פעילות עבריינית, ומטעמים לא מעטים שפורטו בתסקיר, ולמרות גילו הצעיר, התקשה מאוד שירות המבחן לבוא בהמלצה שיקומית בעניינו. ביחס לנאשם זה, אדרש לעונש הקרוב לתקרה המוסכמת: עשה את שעשה, בידעו, שמאסר מותנה נגזר עליו זמן לא רב קודם לכן. ירצה נאשם זה 50 חדשי מאסר, כאשר נוכח הודייתו, יופעל התנאי בחופף למאסרו שבתיק זה.</w:t>
      </w:r>
    </w:p>
    <w:p w14:paraId="125FFC47" w14:textId="77777777" w:rsidR="005D7BD1" w:rsidRDefault="005D7BD1" w:rsidP="005D7BD1">
      <w:pPr>
        <w:spacing w:line="480" w:lineRule="auto"/>
        <w:jc w:val="both"/>
        <w:rPr>
          <w:rtl/>
        </w:rPr>
      </w:pPr>
    </w:p>
    <w:p w14:paraId="075DFB8D" w14:textId="77777777" w:rsidR="005D7BD1" w:rsidRDefault="005D7BD1" w:rsidP="005D7BD1">
      <w:pPr>
        <w:spacing w:line="480" w:lineRule="auto"/>
        <w:ind w:left="510" w:hanging="510"/>
        <w:jc w:val="both"/>
        <w:rPr>
          <w:rtl/>
        </w:rPr>
      </w:pPr>
      <w:r>
        <w:rPr>
          <w:rtl/>
        </w:rPr>
        <w:t>6.</w:t>
      </w:r>
      <w:r>
        <w:rPr>
          <w:rFonts w:hint="cs"/>
          <w:rtl/>
        </w:rPr>
        <w:tab/>
      </w:r>
      <w:r w:rsidRPr="004C728C">
        <w:rPr>
          <w:rFonts w:hint="cs"/>
          <w:b/>
          <w:bCs/>
          <w:u w:val="single"/>
          <w:rtl/>
        </w:rPr>
        <w:t>נאשם 4</w:t>
      </w:r>
      <w:r>
        <w:rPr>
          <w:rFonts w:hint="cs"/>
          <w:rtl/>
        </w:rPr>
        <w:t xml:space="preserve"> </w:t>
      </w:r>
    </w:p>
    <w:p w14:paraId="3B87F5D6" w14:textId="77777777" w:rsidR="005D7BD1" w:rsidRDefault="005D7BD1" w:rsidP="005D7BD1">
      <w:pPr>
        <w:spacing w:line="480" w:lineRule="auto"/>
        <w:ind w:left="510" w:hanging="510"/>
        <w:jc w:val="both"/>
        <w:rPr>
          <w:rtl/>
        </w:rPr>
      </w:pPr>
    </w:p>
    <w:p w14:paraId="69EEF39F" w14:textId="77777777" w:rsidR="005D7BD1" w:rsidRDefault="005D7BD1" w:rsidP="005D7BD1">
      <w:pPr>
        <w:spacing w:line="480" w:lineRule="auto"/>
        <w:ind w:left="510" w:hanging="510"/>
        <w:jc w:val="both"/>
        <w:rPr>
          <w:rtl/>
        </w:rPr>
      </w:pPr>
      <w:r>
        <w:rPr>
          <w:rtl/>
        </w:rPr>
        <w:tab/>
      </w:r>
      <w:r>
        <w:rPr>
          <w:rFonts w:hint="cs"/>
          <w:rtl/>
        </w:rPr>
        <w:t>א.</w:t>
      </w:r>
      <w:r>
        <w:rPr>
          <w:rFonts w:hint="cs"/>
          <w:rtl/>
        </w:rPr>
        <w:tab/>
      </w:r>
      <w:r>
        <w:rPr>
          <w:rtl/>
        </w:rPr>
        <w:tab/>
      </w:r>
      <w:r>
        <w:rPr>
          <w:rFonts w:hint="cs"/>
          <w:rtl/>
        </w:rPr>
        <w:t xml:space="preserve">גם נאשם זה נמנה עם השניים שביצעו את העבירה בשטח. </w:t>
      </w:r>
    </w:p>
    <w:p w14:paraId="0F0515A6" w14:textId="77777777" w:rsidR="005D7BD1" w:rsidRDefault="005D7BD1" w:rsidP="005D7BD1">
      <w:pPr>
        <w:spacing w:line="480" w:lineRule="auto"/>
        <w:ind w:left="510" w:hanging="510"/>
        <w:jc w:val="both"/>
        <w:rPr>
          <w:rtl/>
        </w:rPr>
      </w:pPr>
    </w:p>
    <w:p w14:paraId="511C3095" w14:textId="77777777" w:rsidR="005D7BD1" w:rsidRDefault="005D7BD1" w:rsidP="005D7BD1">
      <w:pPr>
        <w:spacing w:line="480" w:lineRule="auto"/>
        <w:ind w:left="1440" w:hanging="930"/>
        <w:jc w:val="both"/>
        <w:rPr>
          <w:rtl/>
        </w:rPr>
      </w:pPr>
      <w:r>
        <w:rPr>
          <w:rFonts w:hint="cs"/>
          <w:rtl/>
        </w:rPr>
        <w:t>ב.</w:t>
      </w:r>
      <w:r>
        <w:rPr>
          <w:rFonts w:hint="cs"/>
          <w:rtl/>
        </w:rPr>
        <w:tab/>
        <w:t xml:space="preserve">עם זאת, הוא היחיד מבין כל הארבעה שאין לחובתו עבר פלילי קודם, ואף הוא, כמוהו כעמיתיו, קיבל אחריות והודה. במועד ביצוע העבירה, אף היה על סף תום קטינותו (עדיין </w:t>
      </w:r>
      <w:r>
        <w:rPr>
          <w:rtl/>
        </w:rPr>
        <w:t>–</w:t>
      </w:r>
      <w:r>
        <w:rPr>
          <w:rFonts w:hint="cs"/>
          <w:rtl/>
        </w:rPr>
        <w:t xml:space="preserve"> קטין).</w:t>
      </w:r>
    </w:p>
    <w:p w14:paraId="4180B592" w14:textId="77777777" w:rsidR="005D7BD1" w:rsidRDefault="005D7BD1" w:rsidP="005D7BD1">
      <w:pPr>
        <w:spacing w:line="480" w:lineRule="auto"/>
        <w:ind w:left="510" w:hanging="510"/>
        <w:jc w:val="both"/>
        <w:rPr>
          <w:rtl/>
        </w:rPr>
      </w:pPr>
    </w:p>
    <w:p w14:paraId="01C27C08" w14:textId="77777777" w:rsidR="005D7BD1" w:rsidRDefault="005D7BD1" w:rsidP="005D7BD1">
      <w:pPr>
        <w:spacing w:line="480" w:lineRule="auto"/>
        <w:ind w:left="1440" w:hanging="930"/>
        <w:jc w:val="both"/>
        <w:rPr>
          <w:rtl/>
        </w:rPr>
      </w:pPr>
      <w:r>
        <w:rPr>
          <w:rFonts w:hint="cs"/>
          <w:rtl/>
        </w:rPr>
        <w:t>ג.</w:t>
      </w:r>
      <w:r>
        <w:rPr>
          <w:rFonts w:hint="cs"/>
          <w:rtl/>
        </w:rPr>
        <w:tab/>
        <w:t>אף בעניינו הוכן תסקיר המונח בפני בית המשפט. במצוות החוק אמנע מפירוט כל האמור בתסקיר, אך נכון ליתן ביטוי לתמצית מסקנות קצינת המבחן. על הפרק אחד משני הנאשמים הצעירים, ולהערכת קצינת המבחן, המקובלת גם על בית המשפט, מצא עצמו מעורב נוכח נטייתו להיגרר אחרי אחרים שהוגדרו כגורמי שוליים. שירות המבחן משקף מודעות לכך שממאסר בפועל אין מנוס, מה גם שמצוי נאשם זה במעצר מזה למעלה משנה, ואולם בשים לכך שעל הפרק מעורבות ראשונה בפלילים, מגולמת בתסקיר תפיסת שירות המבחן לפיה יש מקום למהלך שיקומי. על פי התסקיר, בשלב ראשון, ייעשה הדבר במסגרת שב"ס ומשתמע שיש מקום למהלך שיקומי גם לאחר מכן. מכל מקום, חותמת קצינת המבחן את התסקיר בהמלצתה לפיה נוכח גילו, תקופת המעצר הממושכת הנ"ל והעדר עבר פלילי, ראוי לבית המשפט להתחשב באורך תקופת המאסר שתיגזר עליו. הדיון ביחס לנאשם זה בפרט, משקף את השאלה, עד כמה ראוי לראות בתקרה המוסכמת כמקרינה על העונש הראוי. בשל חלקו המרכזי של נאשם זה הוסכם לדרישת המאשימה על תקרה של 48 חודש, אך ייתכן שעובדת היעדר העבר הפלילי,  זכתה להערכת-חסר. ירצה נאשם זה מאסר לתקופה של 30 חדשי מאסר.</w:t>
      </w:r>
    </w:p>
    <w:p w14:paraId="1D1CF827" w14:textId="77777777" w:rsidR="005D7BD1" w:rsidRDefault="005D7BD1" w:rsidP="005D7BD1">
      <w:pPr>
        <w:spacing w:line="480" w:lineRule="auto"/>
        <w:jc w:val="both"/>
        <w:rPr>
          <w:rtl/>
        </w:rPr>
      </w:pPr>
    </w:p>
    <w:p w14:paraId="7B68C150" w14:textId="77777777" w:rsidR="005D7BD1" w:rsidRDefault="005D7BD1" w:rsidP="005D7BD1">
      <w:pPr>
        <w:spacing w:line="480" w:lineRule="auto"/>
        <w:ind w:left="510" w:hanging="510"/>
        <w:jc w:val="both"/>
        <w:rPr>
          <w:rtl/>
        </w:rPr>
      </w:pPr>
      <w:r>
        <w:rPr>
          <w:rtl/>
        </w:rPr>
        <w:t>7.</w:t>
      </w:r>
      <w:r>
        <w:rPr>
          <w:rFonts w:hint="cs"/>
          <w:rtl/>
        </w:rPr>
        <w:tab/>
      </w:r>
      <w:r w:rsidRPr="008044EC">
        <w:rPr>
          <w:rFonts w:hint="cs"/>
          <w:b/>
          <w:bCs/>
          <w:u w:val="single"/>
          <w:rtl/>
        </w:rPr>
        <w:t>הדיון המסכם</w:t>
      </w:r>
      <w:r>
        <w:rPr>
          <w:rFonts w:hint="cs"/>
          <w:rtl/>
        </w:rPr>
        <w:t xml:space="preserve"> </w:t>
      </w:r>
    </w:p>
    <w:p w14:paraId="7CCD2666" w14:textId="77777777" w:rsidR="005D7BD1" w:rsidRDefault="005D7BD1" w:rsidP="005D7BD1">
      <w:pPr>
        <w:spacing w:line="480" w:lineRule="auto"/>
        <w:ind w:left="510" w:hanging="510"/>
        <w:jc w:val="both"/>
        <w:rPr>
          <w:rtl/>
        </w:rPr>
      </w:pPr>
    </w:p>
    <w:p w14:paraId="65471F7F" w14:textId="77777777" w:rsidR="005D7BD1" w:rsidRDefault="005D7BD1" w:rsidP="005D7BD1">
      <w:pPr>
        <w:spacing w:line="480" w:lineRule="auto"/>
        <w:ind w:left="1440" w:hanging="930"/>
        <w:jc w:val="both"/>
        <w:rPr>
          <w:rtl/>
        </w:rPr>
      </w:pPr>
      <w:r>
        <w:rPr>
          <w:rFonts w:hint="cs"/>
          <w:rtl/>
        </w:rPr>
        <w:t>א.</w:t>
      </w:r>
      <w:r>
        <w:rPr>
          <w:rFonts w:hint="cs"/>
          <w:rtl/>
        </w:rPr>
        <w:tab/>
        <w:t xml:space="preserve">ראשית נדרש בית המשפט לשקף בגזר הדין את החומרה היתרה שבעבירות מן הסוג שעל הפרק. גם אם לא נפגע איש, ואפילו יש ממש בטענות הסנגורים, כי מלכתחילה תוכננה העבירה ובוצעה במגמה למנוע פגיעות בנפש, אין הדעת נותנת שיעבור בית המשפט לסדר היום מקום בו מוכחת הטמנה של מטען חבלה מתחת למכונית, המטען מופעל באשמורת הלילה, ונזק רב נגרם לאותה מכונית ואף למקבץ של מכוניות שעמדו בסמוך. </w:t>
      </w:r>
    </w:p>
    <w:p w14:paraId="7490427F" w14:textId="77777777" w:rsidR="005D7BD1" w:rsidRDefault="005D7BD1" w:rsidP="005D7BD1">
      <w:pPr>
        <w:spacing w:line="480" w:lineRule="auto"/>
        <w:ind w:left="1440" w:hanging="930"/>
        <w:jc w:val="both"/>
        <w:rPr>
          <w:rtl/>
        </w:rPr>
      </w:pPr>
    </w:p>
    <w:p w14:paraId="5D53E989" w14:textId="77777777" w:rsidR="005D7BD1" w:rsidRDefault="005D7BD1" w:rsidP="005D7BD1">
      <w:pPr>
        <w:spacing w:line="480" w:lineRule="auto"/>
        <w:ind w:left="1440" w:hanging="930"/>
        <w:jc w:val="both"/>
        <w:rPr>
          <w:rtl/>
        </w:rPr>
      </w:pPr>
      <w:r>
        <w:rPr>
          <w:rFonts w:hint="cs"/>
          <w:rtl/>
        </w:rPr>
        <w:t>ב.</w:t>
      </w:r>
      <w:r>
        <w:rPr>
          <w:rtl/>
        </w:rPr>
        <w:tab/>
      </w:r>
      <w:r>
        <w:rPr>
          <w:rFonts w:hint="cs"/>
          <w:rtl/>
        </w:rPr>
        <w:t xml:space="preserve">חובת בית משפט אינה מצטמצמת לעבירות בהן נגרמת פגיעה בנפש, ובמאמר מוסגר אציין שהגם שער אני לטענות ההגנה לפיהן מלכתחילה נועד המהלך לצורך איום על אותו "ד", עדיין ברור שאך כפסע בין אירוע שכזה לביו מצב בו נפגעים עוברים ושבים. מטען כאמור עלול במצבים מסוימים אף לגרום למוות </w:t>
      </w:r>
      <w:r>
        <w:rPr>
          <w:rtl/>
        </w:rPr>
        <w:t>–</w:t>
      </w:r>
      <w:r>
        <w:rPr>
          <w:rFonts w:hint="cs"/>
          <w:rtl/>
        </w:rPr>
        <w:t xml:space="preserve"> </w:t>
      </w:r>
    </w:p>
    <w:p w14:paraId="77332015" w14:textId="77777777" w:rsidR="005D7BD1" w:rsidRDefault="005D7BD1" w:rsidP="005D7BD1">
      <w:pPr>
        <w:spacing w:line="480" w:lineRule="auto"/>
        <w:ind w:left="1440" w:hanging="930"/>
        <w:jc w:val="both"/>
        <w:rPr>
          <w:rtl/>
        </w:rPr>
      </w:pPr>
    </w:p>
    <w:p w14:paraId="7F62B45F" w14:textId="77777777" w:rsidR="005D7BD1" w:rsidRDefault="005D7BD1" w:rsidP="005D7BD1">
      <w:pPr>
        <w:spacing w:line="360" w:lineRule="auto"/>
        <w:ind w:left="2160"/>
        <w:jc w:val="both"/>
        <w:rPr>
          <w:rtl/>
        </w:rPr>
      </w:pPr>
      <w:r>
        <w:rPr>
          <w:rFonts w:hint="cs"/>
          <w:rtl/>
        </w:rPr>
        <w:t>"</w:t>
      </w:r>
      <w:r w:rsidRPr="00936A69">
        <w:rPr>
          <w:rFonts w:hint="cs"/>
          <w:b/>
          <w:bCs/>
          <w:rtl/>
        </w:rPr>
        <w:t>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w:t>
      </w:r>
      <w:r>
        <w:rPr>
          <w:rFonts w:hint="cs"/>
          <w:rtl/>
        </w:rPr>
        <w:t>" [</w:t>
      </w:r>
      <w:hyperlink r:id="rId18" w:history="1">
        <w:r w:rsidR="00604484" w:rsidRPr="00604484">
          <w:rPr>
            <w:color w:val="0000FF"/>
            <w:u w:val="single"/>
            <w:rtl/>
          </w:rPr>
          <w:t>ע"פ 3491/13</w:t>
        </w:r>
      </w:hyperlink>
      <w:r>
        <w:rPr>
          <w:rFonts w:hint="cs"/>
          <w:rtl/>
        </w:rPr>
        <w:t xml:space="preserve"> </w:t>
      </w:r>
      <w:r>
        <w:rPr>
          <w:rFonts w:hint="cs"/>
          <w:b/>
          <w:bCs/>
          <w:rtl/>
        </w:rPr>
        <w:t xml:space="preserve">לירון טוויק נ' מדינת ישראל </w:t>
      </w:r>
      <w:r w:rsidR="008E0030" w:rsidRPr="008E0030">
        <w:rPr>
          <w:sz w:val="22"/>
          <w:rtl/>
        </w:rPr>
        <w:t xml:space="preserve">[פורסם בנבו] </w:t>
      </w:r>
      <w:r>
        <w:rPr>
          <w:rFonts w:hint="cs"/>
          <w:rtl/>
        </w:rPr>
        <w:t xml:space="preserve">(15.11.2013) וראה גם </w:t>
      </w:r>
      <w:hyperlink r:id="rId19" w:history="1">
        <w:r w:rsidR="00604484" w:rsidRPr="00604484">
          <w:rPr>
            <w:color w:val="0000FF"/>
            <w:u w:val="single"/>
            <w:rtl/>
          </w:rPr>
          <w:t>ע"פ 6210/13</w:t>
        </w:r>
      </w:hyperlink>
      <w:r>
        <w:rPr>
          <w:rFonts w:hint="cs"/>
          <w:rtl/>
        </w:rPr>
        <w:t xml:space="preserve"> </w:t>
      </w:r>
      <w:r>
        <w:rPr>
          <w:rFonts w:hint="cs"/>
          <w:b/>
          <w:bCs/>
          <w:rtl/>
        </w:rPr>
        <w:t xml:space="preserve">אסף גונן נ' מדינת ישראל </w:t>
      </w:r>
      <w:r w:rsidR="008E0030" w:rsidRPr="008E0030">
        <w:rPr>
          <w:sz w:val="22"/>
          <w:rtl/>
        </w:rPr>
        <w:t xml:space="preserve">[פורסם בנבו] </w:t>
      </w:r>
      <w:r>
        <w:rPr>
          <w:rFonts w:hint="cs"/>
          <w:rtl/>
        </w:rPr>
        <w:t xml:space="preserve">(14.11.2013); </w:t>
      </w:r>
      <w:hyperlink r:id="rId20" w:history="1">
        <w:r w:rsidR="00604484" w:rsidRPr="00604484">
          <w:rPr>
            <w:color w:val="0000FF"/>
            <w:u w:val="single"/>
            <w:rtl/>
          </w:rPr>
          <w:t>ע"פ 5336/13</w:t>
        </w:r>
      </w:hyperlink>
      <w:r>
        <w:rPr>
          <w:rFonts w:hint="cs"/>
          <w:rtl/>
        </w:rPr>
        <w:t xml:space="preserve"> </w:t>
      </w:r>
      <w:r>
        <w:rPr>
          <w:rFonts w:hint="cs"/>
          <w:b/>
          <w:bCs/>
          <w:rtl/>
        </w:rPr>
        <w:t xml:space="preserve">אברהם צדוק נ' מדינת ישראל </w:t>
      </w:r>
      <w:r w:rsidR="008E0030" w:rsidRPr="008E0030">
        <w:rPr>
          <w:sz w:val="22"/>
          <w:rtl/>
        </w:rPr>
        <w:t xml:space="preserve">[פורסם בנבו] </w:t>
      </w:r>
      <w:r>
        <w:rPr>
          <w:rFonts w:hint="cs"/>
          <w:rtl/>
        </w:rPr>
        <w:t xml:space="preserve">(17.11.2013 ]. </w:t>
      </w:r>
    </w:p>
    <w:p w14:paraId="08AE8C56" w14:textId="77777777" w:rsidR="005D7BD1" w:rsidRPr="00936A69" w:rsidRDefault="005D7BD1" w:rsidP="005D7BD1">
      <w:pPr>
        <w:spacing w:line="480" w:lineRule="auto"/>
        <w:ind w:left="2160" w:right="567"/>
        <w:jc w:val="both"/>
        <w:rPr>
          <w:rtl/>
        </w:rPr>
      </w:pPr>
    </w:p>
    <w:p w14:paraId="2B4A8168" w14:textId="77777777" w:rsidR="005D7BD1" w:rsidRDefault="005D7BD1" w:rsidP="005D7BD1">
      <w:pPr>
        <w:spacing w:line="480" w:lineRule="auto"/>
        <w:ind w:left="1440"/>
        <w:jc w:val="both"/>
        <w:rPr>
          <w:rtl/>
        </w:rPr>
      </w:pPr>
      <w:r>
        <w:rPr>
          <w:rFonts w:hint="cs"/>
          <w:rtl/>
        </w:rPr>
        <w:t>יתר על כך, מחויב בית המשפט לשקף בגזר דינו גם את הסלידה מאיומים בדרכים נלוזות שכאלה וגם את חובתו לשלום הציבור ובטחונו ולרבות מפני מצבים בהם יתעוררו אזרחים תמימים מקולות נפץ המוטמנים בסמוך והמתפוצצים בלילה.</w:t>
      </w:r>
    </w:p>
    <w:p w14:paraId="6453352A" w14:textId="77777777" w:rsidR="005D7BD1" w:rsidRDefault="005D7BD1" w:rsidP="005D7BD1">
      <w:pPr>
        <w:spacing w:line="480" w:lineRule="auto"/>
        <w:ind w:left="1440" w:hanging="930"/>
        <w:jc w:val="both"/>
        <w:rPr>
          <w:rtl/>
        </w:rPr>
      </w:pPr>
    </w:p>
    <w:p w14:paraId="672B89E9" w14:textId="77777777" w:rsidR="005D7BD1" w:rsidRDefault="005D7BD1" w:rsidP="005D7BD1">
      <w:pPr>
        <w:spacing w:line="480" w:lineRule="auto"/>
        <w:ind w:left="1440" w:hanging="930"/>
        <w:jc w:val="both"/>
        <w:rPr>
          <w:rtl/>
        </w:rPr>
      </w:pPr>
      <w:r>
        <w:rPr>
          <w:rFonts w:hint="cs"/>
          <w:rtl/>
        </w:rPr>
        <w:t>ג.</w:t>
      </w:r>
      <w:r>
        <w:rPr>
          <w:rFonts w:hint="cs"/>
          <w:rtl/>
        </w:rPr>
        <w:tab/>
        <w:t xml:space="preserve">אלה נסיבות בהן אין כל מנוס מתקופות מאסר ממשיות לריצוי בפועל, וזאת אף כלפי הנאשם 4, שאין לחובתו עבר פלילי קודם, לא כל שכן עמיתיו שלחובתם עבר פלילי כאמור לעיל. </w:t>
      </w:r>
    </w:p>
    <w:p w14:paraId="0C56A0F1" w14:textId="77777777" w:rsidR="005D7BD1" w:rsidRDefault="005D7BD1" w:rsidP="005D7BD1">
      <w:pPr>
        <w:spacing w:line="480" w:lineRule="auto"/>
        <w:ind w:left="1440" w:hanging="930"/>
        <w:jc w:val="both"/>
        <w:rPr>
          <w:rtl/>
        </w:rPr>
      </w:pPr>
    </w:p>
    <w:p w14:paraId="7268E33D" w14:textId="77777777" w:rsidR="005D7BD1" w:rsidRDefault="005D7BD1" w:rsidP="005D7BD1">
      <w:pPr>
        <w:spacing w:line="480" w:lineRule="auto"/>
        <w:ind w:left="1440" w:hanging="930"/>
        <w:jc w:val="both"/>
        <w:rPr>
          <w:rtl/>
        </w:rPr>
      </w:pPr>
      <w:r>
        <w:rPr>
          <w:rFonts w:hint="cs"/>
          <w:rtl/>
        </w:rPr>
        <w:t>ד.</w:t>
      </w:r>
      <w:r>
        <w:rPr>
          <w:rtl/>
        </w:rPr>
        <w:tab/>
      </w:r>
      <w:r>
        <w:rPr>
          <w:rFonts w:hint="cs"/>
          <w:rtl/>
        </w:rPr>
        <w:t xml:space="preserve">ועם כל זאת, יש מקום של ממש לשיקולי מדיניות בהם ניתן במסגרת גזר הדין ביטוי ממשי והולם להודיה ולקבלת אחריות. לא בכדי אמנע ביחס לכל הנאשמים מענישה ברף העליון המוסכם, ואף כאשר מתנהל הדיון על בסיס מתחמי ענישה, מקום בו מודה נאשם ונוטל את האחריות למעשיו, ראוי לבית המשפט, להבנתי, להימנע מענישה ברף השליש העליון של המתחם. </w:t>
      </w:r>
    </w:p>
    <w:p w14:paraId="3CE28303" w14:textId="77777777" w:rsidR="005D7BD1" w:rsidRDefault="005D7BD1" w:rsidP="005D7BD1">
      <w:pPr>
        <w:spacing w:line="480" w:lineRule="auto"/>
        <w:ind w:left="1440" w:hanging="930"/>
        <w:jc w:val="both"/>
        <w:rPr>
          <w:rtl/>
        </w:rPr>
      </w:pPr>
    </w:p>
    <w:p w14:paraId="58C8DAA3" w14:textId="77777777" w:rsidR="005D7BD1" w:rsidRDefault="005D7BD1" w:rsidP="005D7BD1">
      <w:pPr>
        <w:spacing w:line="480" w:lineRule="auto"/>
        <w:ind w:left="1440" w:hanging="930"/>
        <w:jc w:val="both"/>
        <w:rPr>
          <w:rtl/>
        </w:rPr>
      </w:pPr>
      <w:r>
        <w:rPr>
          <w:rFonts w:hint="cs"/>
          <w:rtl/>
        </w:rPr>
        <w:t>ה.</w:t>
      </w:r>
      <w:r>
        <w:rPr>
          <w:rFonts w:hint="cs"/>
          <w:rtl/>
        </w:rPr>
        <w:tab/>
        <w:t xml:space="preserve">אף מקומם בפרשה של ארבעת הנאשמים, טעון התייחסות, וזאת בין היתר נוכח טענות הסנגורים הנכבדים במישור זה. אומנם, בוצעה העבירה בזירת האירוע רק ע"י הנאשמים 3 ו -4. חומרת העבירה ביחס אליהם, לפיכך, ברורה. עם זאת, ברור, שגם אם במידות משתנות, ניתן לראות את כל הארבעה כשותפים. די שאזכיר, שלא בכדי מלמדנו סעיף 8 לפרק העובדות של כתב האישום, שבדיוק באותו הלילה, שעות ספורות קודם לפני פיצוץ מטען החבלה, נפגשו כולם. אכן, למרות כל האמור, קיים מדרג בין מידת המעורבות, ואינני בטוח שהמדרג משתקף במדויק לפי עונשי המקסימום שביקשה התביעה ביחס לכל אחד מהמעורבים (גם אם בהסכמה). יש מקום לשאלה, האם לקחה המאשימה בחשבון היעדר מיתאם בין מקומו של כל מעורב בפרשה לבין עברו, ובפרט אמורים הדברים ביחס לנאשם 4, שבפרשה דנן, לבטח יש לראותו כמעורב מרכזי, אך אין לחובתו עבר קודם. בגזר הדין יש לחתור לנקודת איזון שתשקף את מקומו של כל נאשם בפרשה לצד מקבץ שיקולי הענישה הנלווים, ובנסיבות העניין הדגש הינו בפרט על עברו של אותו נאשם.  </w:t>
      </w:r>
    </w:p>
    <w:p w14:paraId="2C78832C" w14:textId="77777777" w:rsidR="005D7BD1" w:rsidRDefault="005D7BD1" w:rsidP="005D7BD1">
      <w:pPr>
        <w:spacing w:line="480" w:lineRule="auto"/>
        <w:jc w:val="both"/>
        <w:rPr>
          <w:rtl/>
        </w:rPr>
      </w:pPr>
    </w:p>
    <w:p w14:paraId="264CEE4D" w14:textId="77777777" w:rsidR="005D7BD1" w:rsidRPr="00821DB1" w:rsidRDefault="005D7BD1" w:rsidP="005D7BD1">
      <w:pPr>
        <w:spacing w:line="480" w:lineRule="auto"/>
        <w:jc w:val="both"/>
        <w:rPr>
          <w:b/>
          <w:bCs/>
          <w:u w:val="single"/>
          <w:rtl/>
        </w:rPr>
      </w:pPr>
      <w:r>
        <w:rPr>
          <w:rFonts w:hint="cs"/>
          <w:rtl/>
        </w:rPr>
        <w:t>8.</w:t>
      </w:r>
      <w:r>
        <w:rPr>
          <w:rFonts w:hint="cs"/>
          <w:rtl/>
        </w:rPr>
        <w:tab/>
      </w:r>
      <w:r w:rsidRPr="00821DB1">
        <w:rPr>
          <w:rFonts w:hint="cs"/>
          <w:b/>
          <w:bCs/>
          <w:u w:val="single"/>
          <w:rtl/>
        </w:rPr>
        <w:t>סוף דבר, גוזר אני כדלקמן:-</w:t>
      </w:r>
    </w:p>
    <w:p w14:paraId="705EC61A" w14:textId="77777777" w:rsidR="005D7BD1" w:rsidRDefault="005D7BD1" w:rsidP="005D7BD1">
      <w:pPr>
        <w:spacing w:line="480" w:lineRule="auto"/>
        <w:jc w:val="both"/>
        <w:rPr>
          <w:rtl/>
        </w:rPr>
      </w:pPr>
    </w:p>
    <w:p w14:paraId="7EE2D43E" w14:textId="77777777" w:rsidR="005D7BD1" w:rsidRDefault="005D7BD1" w:rsidP="005D7BD1">
      <w:pPr>
        <w:spacing w:line="480" w:lineRule="auto"/>
        <w:jc w:val="both"/>
        <w:rPr>
          <w:rtl/>
        </w:rPr>
      </w:pPr>
      <w:r>
        <w:rPr>
          <w:rtl/>
        </w:rPr>
        <w:tab/>
      </w:r>
      <w:r>
        <w:rPr>
          <w:rFonts w:hint="cs"/>
          <w:rtl/>
        </w:rPr>
        <w:t>הנאשם 1 ירצה מאסר לתקופה של 28 חדשים;</w:t>
      </w:r>
    </w:p>
    <w:p w14:paraId="5EF55804" w14:textId="77777777" w:rsidR="005D7BD1" w:rsidRDefault="005D7BD1" w:rsidP="005D7BD1">
      <w:pPr>
        <w:spacing w:line="480" w:lineRule="auto"/>
        <w:jc w:val="both"/>
        <w:rPr>
          <w:rtl/>
        </w:rPr>
      </w:pPr>
    </w:p>
    <w:p w14:paraId="053E7749" w14:textId="77777777" w:rsidR="005D7BD1" w:rsidRDefault="005D7BD1" w:rsidP="005D7BD1">
      <w:pPr>
        <w:spacing w:line="480" w:lineRule="auto"/>
        <w:jc w:val="both"/>
        <w:rPr>
          <w:rtl/>
        </w:rPr>
      </w:pPr>
      <w:r>
        <w:rPr>
          <w:rtl/>
        </w:rPr>
        <w:tab/>
      </w:r>
      <w:r>
        <w:rPr>
          <w:rFonts w:hint="cs"/>
          <w:rtl/>
        </w:rPr>
        <w:t>הנאשם 2 ירצה מאסר לתקופה של 44 חדשים;</w:t>
      </w:r>
    </w:p>
    <w:p w14:paraId="4872D93A" w14:textId="77777777" w:rsidR="005D7BD1" w:rsidRDefault="005D7BD1" w:rsidP="005D7BD1">
      <w:pPr>
        <w:spacing w:line="480" w:lineRule="auto"/>
        <w:jc w:val="both"/>
        <w:rPr>
          <w:rtl/>
        </w:rPr>
      </w:pPr>
    </w:p>
    <w:p w14:paraId="79045843" w14:textId="77777777" w:rsidR="005D7BD1" w:rsidRDefault="005D7BD1" w:rsidP="005D7BD1">
      <w:pPr>
        <w:spacing w:line="480" w:lineRule="auto"/>
        <w:ind w:left="720"/>
        <w:jc w:val="both"/>
      </w:pPr>
      <w:r>
        <w:rPr>
          <w:rFonts w:hint="cs"/>
          <w:rtl/>
        </w:rPr>
        <w:t>הנאשם 3 ירצה מאסר לתקופה של 50 חדשים; כמו כן ירצה 6 חדשי מאסר שנגזרו עליו ב</w:t>
      </w:r>
      <w:r w:rsidR="00604484" w:rsidRPr="008E0030">
        <w:rPr>
          <w:rtl/>
        </w:rPr>
        <w:t>ת.פ. 555</w:t>
      </w:r>
      <w:r w:rsidR="00604484" w:rsidRPr="008E0030">
        <w:rPr>
          <w:rtl/>
        </w:rPr>
        <w:t>0</w:t>
      </w:r>
      <w:r w:rsidR="00604484" w:rsidRPr="008E0030">
        <w:rPr>
          <w:rtl/>
        </w:rPr>
        <w:t>2-11-15</w:t>
      </w:r>
      <w:r>
        <w:rPr>
          <w:rFonts w:hint="cs"/>
          <w:rtl/>
        </w:rPr>
        <w:t xml:space="preserve"> (לאחר שינוי קל במסגרת ערעור לבית המשפט המחוזי). זאת, בחופף להנ"ל;</w:t>
      </w:r>
    </w:p>
    <w:p w14:paraId="36BB0C82" w14:textId="77777777" w:rsidR="005D7BD1" w:rsidRPr="005E4016" w:rsidRDefault="005D7BD1" w:rsidP="005D7BD1">
      <w:pPr>
        <w:spacing w:line="480" w:lineRule="auto"/>
        <w:jc w:val="both"/>
      </w:pPr>
    </w:p>
    <w:p w14:paraId="40DBAEF8" w14:textId="77777777" w:rsidR="005D7BD1" w:rsidRDefault="005D7BD1" w:rsidP="005D7BD1">
      <w:pPr>
        <w:spacing w:line="480" w:lineRule="auto"/>
        <w:jc w:val="both"/>
      </w:pPr>
      <w:r>
        <w:rPr>
          <w:rtl/>
        </w:rPr>
        <w:tab/>
      </w:r>
      <w:r>
        <w:rPr>
          <w:rFonts w:hint="cs"/>
          <w:rtl/>
        </w:rPr>
        <w:t>הנאשם 4 ירצה מאסר לתקופה של 30 חדשים.</w:t>
      </w:r>
    </w:p>
    <w:p w14:paraId="46D42E78" w14:textId="77777777" w:rsidR="005D7BD1" w:rsidRPr="00821DB1" w:rsidRDefault="005D7BD1" w:rsidP="005D7BD1">
      <w:pPr>
        <w:spacing w:line="480" w:lineRule="auto"/>
        <w:jc w:val="both"/>
      </w:pPr>
    </w:p>
    <w:p w14:paraId="55078B48" w14:textId="77777777" w:rsidR="005D7BD1" w:rsidRDefault="005D7BD1" w:rsidP="005D7BD1">
      <w:pPr>
        <w:spacing w:line="480" w:lineRule="auto"/>
        <w:jc w:val="both"/>
        <w:rPr>
          <w:rtl/>
        </w:rPr>
      </w:pPr>
      <w:r>
        <w:rPr>
          <w:rtl/>
        </w:rPr>
        <w:tab/>
      </w:r>
      <w:r>
        <w:rPr>
          <w:rFonts w:hint="cs"/>
          <w:rtl/>
        </w:rPr>
        <w:t xml:space="preserve">תקופות המאסר תחושבנה כולן מיום מעצר הנאשמים </w:t>
      </w:r>
      <w:r>
        <w:rPr>
          <w:rtl/>
        </w:rPr>
        <w:t>–</w:t>
      </w:r>
      <w:r>
        <w:rPr>
          <w:rFonts w:hint="cs"/>
          <w:rtl/>
        </w:rPr>
        <w:t xml:space="preserve"> 3.4.18.</w:t>
      </w:r>
    </w:p>
    <w:p w14:paraId="1D773342" w14:textId="77777777" w:rsidR="005D7BD1" w:rsidRDefault="005D7BD1" w:rsidP="005D7BD1">
      <w:pPr>
        <w:spacing w:line="480" w:lineRule="auto"/>
        <w:jc w:val="both"/>
        <w:rPr>
          <w:rtl/>
        </w:rPr>
      </w:pPr>
    </w:p>
    <w:p w14:paraId="00F62640" w14:textId="77777777" w:rsidR="005D7BD1" w:rsidRPr="00F112C8" w:rsidRDefault="00604484" w:rsidP="005D7BD1">
      <w:pPr>
        <w:spacing w:line="480" w:lineRule="auto"/>
        <w:ind w:left="720"/>
        <w:jc w:val="both"/>
        <w:rPr>
          <w:rtl/>
        </w:rPr>
      </w:pPr>
      <w:r w:rsidRPr="00604484">
        <w:rPr>
          <w:color w:val="FFFFFF"/>
          <w:sz w:val="2"/>
          <w:szCs w:val="2"/>
          <w:rtl/>
        </w:rPr>
        <w:t>5129371</w:t>
      </w:r>
      <w:r w:rsidR="005D7BD1">
        <w:rPr>
          <w:rFonts w:hint="cs"/>
          <w:rtl/>
        </w:rPr>
        <w:t xml:space="preserve">בנוסף ירצה כל אחד מהנאשמים 10 חדשי מאסר ככל שיעבור בתקופה של שנתיים לאחר שחרורו עבירה נוספת לפי </w:t>
      </w:r>
      <w:hyperlink r:id="rId21" w:history="1">
        <w:r w:rsidR="00E2388A" w:rsidRPr="00E2388A">
          <w:rPr>
            <w:color w:val="0000FF"/>
            <w:u w:val="single"/>
            <w:rtl/>
          </w:rPr>
          <w:t>סעיף 144</w:t>
        </w:r>
      </w:hyperlink>
      <w:r w:rsidR="005D7BD1">
        <w:rPr>
          <w:rFonts w:hint="cs"/>
          <w:rtl/>
        </w:rPr>
        <w:t xml:space="preserve"> ל</w:t>
      </w:r>
      <w:hyperlink r:id="rId22" w:history="1">
        <w:r w:rsidRPr="00604484">
          <w:rPr>
            <w:color w:val="0000FF"/>
            <w:u w:val="single"/>
            <w:rtl/>
          </w:rPr>
          <w:t>חוק העונשין</w:t>
        </w:r>
      </w:hyperlink>
      <w:r w:rsidR="005D7BD1">
        <w:rPr>
          <w:rFonts w:hint="cs"/>
          <w:rtl/>
        </w:rPr>
        <w:t>.</w:t>
      </w:r>
    </w:p>
    <w:p w14:paraId="7E260C5C" w14:textId="77777777" w:rsidR="005D7BD1" w:rsidRPr="00604484" w:rsidRDefault="00604484" w:rsidP="005D7BD1">
      <w:pPr>
        <w:spacing w:line="480" w:lineRule="auto"/>
        <w:jc w:val="both"/>
        <w:rPr>
          <w:color w:val="FFFFFF"/>
          <w:sz w:val="2"/>
          <w:szCs w:val="2"/>
          <w:rtl/>
        </w:rPr>
      </w:pPr>
      <w:r w:rsidRPr="00604484">
        <w:rPr>
          <w:color w:val="FFFFFF"/>
          <w:sz w:val="2"/>
          <w:szCs w:val="2"/>
          <w:rtl/>
        </w:rPr>
        <w:t>54678313</w:t>
      </w:r>
    </w:p>
    <w:p w14:paraId="14B51E96" w14:textId="77777777" w:rsidR="005D7BD1" w:rsidRPr="00F112C8" w:rsidRDefault="005D7BD1" w:rsidP="005D7BD1">
      <w:pPr>
        <w:spacing w:line="480" w:lineRule="auto"/>
        <w:ind w:left="720"/>
        <w:jc w:val="both"/>
        <w:rPr>
          <w:rtl/>
        </w:rPr>
      </w:pPr>
      <w:r>
        <w:rPr>
          <w:rFonts w:hint="cs"/>
          <w:rtl/>
        </w:rPr>
        <w:t xml:space="preserve">הנאשמים 1 </w:t>
      </w:r>
      <w:r>
        <w:rPr>
          <w:rtl/>
        </w:rPr>
        <w:t>–</w:t>
      </w:r>
      <w:r>
        <w:rPr>
          <w:rFonts w:hint="cs"/>
          <w:rtl/>
        </w:rPr>
        <w:t xml:space="preserve"> 3 ישלמו פיצויים למתלוננים </w:t>
      </w:r>
      <w:r>
        <w:rPr>
          <w:rtl/>
        </w:rPr>
        <w:t>–</w:t>
      </w:r>
      <w:r>
        <w:rPr>
          <w:rFonts w:hint="cs"/>
          <w:rtl/>
        </w:rPr>
        <w:t xml:space="preserve"> בעלי רכבים שנפגעו; בהסכמה, פרטי המתלוננים וגובה הפיצוי ייקבעו על בסיס הודעה משלימה שתגיש המאשימה. סכום הפיצוי שהפקיד כבר כל אחד בקופת בית המשפט </w:t>
      </w:r>
      <w:r>
        <w:rPr>
          <w:rtl/>
        </w:rPr>
        <w:t>–</w:t>
      </w:r>
      <w:r>
        <w:rPr>
          <w:rFonts w:hint="cs"/>
          <w:rtl/>
        </w:rPr>
        <w:t xml:space="preserve"> 8,000 ₪.</w:t>
      </w:r>
    </w:p>
    <w:p w14:paraId="03631492" w14:textId="77777777" w:rsidR="005D7BD1" w:rsidRPr="00F112C8" w:rsidRDefault="005D7BD1" w:rsidP="005D7BD1">
      <w:pPr>
        <w:spacing w:line="480" w:lineRule="auto"/>
        <w:jc w:val="both"/>
        <w:rPr>
          <w:rtl/>
        </w:rPr>
      </w:pPr>
    </w:p>
    <w:p w14:paraId="0B18E1BC" w14:textId="77777777" w:rsidR="005D7BD1" w:rsidRDefault="00604484" w:rsidP="008E0030">
      <w:pPr>
        <w:spacing w:line="480" w:lineRule="auto"/>
        <w:ind w:left="720"/>
      </w:pPr>
      <w:bookmarkStart w:id="7" w:name="Nitan"/>
      <w:r>
        <w:rPr>
          <w:rFonts w:ascii="Arial" w:hAnsi="Arial"/>
          <w:b/>
          <w:bCs/>
          <w:rtl/>
        </w:rPr>
        <w:t xml:space="preserve">ניתן היום, א' תמוז תשע"ט, 04 יולי 2019, במעמד הצדדים. </w:t>
      </w:r>
      <w:bookmarkEnd w:id="7"/>
    </w:p>
    <w:p w14:paraId="5498A1B8" w14:textId="77777777" w:rsidR="005D7BD1" w:rsidRPr="00E2388A" w:rsidRDefault="00E2388A" w:rsidP="005D7BD1">
      <w:pPr>
        <w:spacing w:line="480" w:lineRule="auto"/>
        <w:ind w:left="4320" w:firstLine="720"/>
        <w:rPr>
          <w:rFonts w:ascii="Arial" w:hAnsi="Arial" w:cs="FrankRuehl"/>
          <w:color w:val="FFFFFF"/>
          <w:sz w:val="2"/>
          <w:szCs w:val="2"/>
          <w:rtl/>
        </w:rPr>
      </w:pPr>
      <w:r w:rsidRPr="00E2388A">
        <w:rPr>
          <w:rFonts w:ascii="Arial" w:hAnsi="Arial" w:cs="FrankRuehl"/>
          <w:color w:val="FFFFFF"/>
          <w:sz w:val="2"/>
          <w:szCs w:val="2"/>
          <w:rtl/>
        </w:rPr>
        <w:t>5129371</w:t>
      </w:r>
    </w:p>
    <w:p w14:paraId="7E80E110" w14:textId="77777777" w:rsidR="00C03EAF" w:rsidRPr="00E2388A" w:rsidRDefault="002B3101" w:rsidP="00604484">
      <w:pPr>
        <w:keepNext/>
        <w:rPr>
          <w:rFonts w:ascii="David" w:hAnsi="David"/>
          <w:color w:val="FFFFFF"/>
          <w:sz w:val="2"/>
          <w:szCs w:val="2"/>
          <w:rtl/>
        </w:rPr>
      </w:pPr>
      <w:r w:rsidRPr="002B3101">
        <w:rPr>
          <w:rFonts w:ascii="David" w:hAnsi="David"/>
          <w:color w:val="FFFFFF"/>
          <w:sz w:val="2"/>
          <w:szCs w:val="2"/>
          <w:rtl/>
        </w:rPr>
        <w:t>5129371</w:t>
      </w:r>
      <w:r w:rsidR="00E2388A" w:rsidRPr="00E2388A">
        <w:rPr>
          <w:rFonts w:ascii="David" w:hAnsi="David"/>
          <w:color w:val="FFFFFF"/>
          <w:sz w:val="2"/>
          <w:szCs w:val="2"/>
          <w:rtl/>
        </w:rPr>
        <w:t>54678313</w:t>
      </w:r>
    </w:p>
    <w:p w14:paraId="31471F1F" w14:textId="77777777" w:rsidR="00604484" w:rsidRPr="00604484" w:rsidRDefault="002B3101" w:rsidP="00604484">
      <w:pPr>
        <w:keepNext/>
        <w:rPr>
          <w:rFonts w:ascii="David" w:hAnsi="David"/>
          <w:color w:val="000000"/>
          <w:sz w:val="22"/>
          <w:szCs w:val="22"/>
          <w:rtl/>
        </w:rPr>
      </w:pPr>
      <w:r w:rsidRPr="002B3101">
        <w:rPr>
          <w:rFonts w:ascii="David" w:hAnsi="David"/>
          <w:color w:val="FFFFFF"/>
          <w:sz w:val="2"/>
          <w:szCs w:val="2"/>
          <w:rtl/>
        </w:rPr>
        <w:t>54678313</w:t>
      </w:r>
      <w:r w:rsidR="00604484" w:rsidRPr="00604484">
        <w:rPr>
          <w:rFonts w:ascii="David" w:hAnsi="David"/>
          <w:color w:val="000000"/>
          <w:sz w:val="22"/>
          <w:szCs w:val="22"/>
          <w:rtl/>
        </w:rPr>
        <w:t>אלכסנדר רון 54678313</w:t>
      </w:r>
    </w:p>
    <w:p w14:paraId="1081A8EE" w14:textId="77777777" w:rsidR="00604484" w:rsidRDefault="00604484" w:rsidP="00604484">
      <w:r w:rsidRPr="00604484">
        <w:rPr>
          <w:color w:val="000000"/>
          <w:rtl/>
        </w:rPr>
        <w:t>נוסח מסמך זה כפוף לשינויי ניסוח ועריכה</w:t>
      </w:r>
    </w:p>
    <w:p w14:paraId="593A5C92" w14:textId="77777777" w:rsidR="00604484" w:rsidRDefault="00604484" w:rsidP="00604484">
      <w:pPr>
        <w:rPr>
          <w:rtl/>
        </w:rPr>
      </w:pPr>
    </w:p>
    <w:p w14:paraId="2EFE2A07" w14:textId="77777777" w:rsidR="00604484" w:rsidRDefault="00604484" w:rsidP="0060448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79F11FA" w14:textId="77777777" w:rsidR="00E2388A" w:rsidRPr="00E2388A" w:rsidRDefault="00E2388A" w:rsidP="00E2388A">
      <w:pPr>
        <w:keepNext/>
        <w:rPr>
          <w:rFonts w:ascii="David" w:hAnsi="David"/>
          <w:color w:val="000000"/>
          <w:sz w:val="22"/>
          <w:szCs w:val="22"/>
          <w:rtl/>
        </w:rPr>
      </w:pPr>
    </w:p>
    <w:p w14:paraId="5C818FF1" w14:textId="77777777" w:rsidR="00604484" w:rsidRPr="00604484" w:rsidRDefault="00604484" w:rsidP="002B3101">
      <w:pPr>
        <w:rPr>
          <w:color w:val="0000FF"/>
          <w:u w:val="single"/>
        </w:rPr>
      </w:pPr>
    </w:p>
    <w:sectPr w:rsidR="00604484" w:rsidRPr="00604484" w:rsidSect="002B3101">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213B7" w14:textId="77777777" w:rsidR="00853ADA" w:rsidRDefault="00853ADA" w:rsidP="007A60C9">
      <w:r>
        <w:separator/>
      </w:r>
    </w:p>
  </w:endnote>
  <w:endnote w:type="continuationSeparator" w:id="0">
    <w:p w14:paraId="737A172D" w14:textId="77777777" w:rsidR="00853ADA" w:rsidRDefault="00853ADA" w:rsidP="007A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0E39E" w14:textId="77777777" w:rsidR="002B3101" w:rsidRDefault="002B3101" w:rsidP="002B31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D90522" w14:textId="77777777" w:rsidR="00470ADF" w:rsidRPr="002B3101" w:rsidRDefault="002B3101" w:rsidP="002B3101">
    <w:pPr>
      <w:pStyle w:val="a5"/>
      <w:pBdr>
        <w:top w:val="single" w:sz="4" w:space="1" w:color="auto"/>
        <w:between w:val="single" w:sz="4" w:space="0" w:color="auto"/>
      </w:pBdr>
      <w:spacing w:after="60"/>
      <w:jc w:val="center"/>
      <w:rPr>
        <w:rFonts w:ascii="FrankRuehl" w:hAnsi="FrankRuehl" w:cs="FrankRuehl"/>
        <w:color w:val="000000"/>
      </w:rPr>
    </w:pPr>
    <w:r w:rsidRPr="002B31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841B6" w14:textId="77777777" w:rsidR="002B3101" w:rsidRDefault="002B3101" w:rsidP="002B31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0F69">
      <w:rPr>
        <w:rFonts w:ascii="FrankRuehl" w:hAnsi="FrankRuehl" w:cs="FrankRuehl"/>
        <w:noProof/>
        <w:rtl/>
      </w:rPr>
      <w:t>1</w:t>
    </w:r>
    <w:r>
      <w:rPr>
        <w:rFonts w:ascii="FrankRuehl" w:hAnsi="FrankRuehl" w:cs="FrankRuehl"/>
        <w:rtl/>
      </w:rPr>
      <w:fldChar w:fldCharType="end"/>
    </w:r>
  </w:p>
  <w:p w14:paraId="1ABDAD73" w14:textId="77777777" w:rsidR="00470ADF" w:rsidRPr="002B3101" w:rsidRDefault="002B3101" w:rsidP="002B3101">
    <w:pPr>
      <w:pStyle w:val="a5"/>
      <w:pBdr>
        <w:top w:val="single" w:sz="4" w:space="1" w:color="auto"/>
        <w:between w:val="single" w:sz="4" w:space="0" w:color="auto"/>
      </w:pBdr>
      <w:spacing w:after="60"/>
      <w:jc w:val="center"/>
      <w:rPr>
        <w:rFonts w:ascii="FrankRuehl" w:hAnsi="FrankRuehl" w:cs="FrankRuehl"/>
        <w:color w:val="000000"/>
      </w:rPr>
    </w:pPr>
    <w:r w:rsidRPr="002B3101">
      <w:rPr>
        <w:rFonts w:ascii="FrankRuehl" w:hAnsi="FrankRuehl" w:cs="FrankRuehl"/>
        <w:color w:val="000000"/>
      </w:rPr>
      <w:pict w14:anchorId="26BB7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9E8E3" w14:textId="77777777" w:rsidR="00853ADA" w:rsidRDefault="00853ADA" w:rsidP="007A60C9">
      <w:r>
        <w:separator/>
      </w:r>
    </w:p>
  </w:footnote>
  <w:footnote w:type="continuationSeparator" w:id="0">
    <w:p w14:paraId="728B0A93" w14:textId="77777777" w:rsidR="00853ADA" w:rsidRDefault="00853ADA" w:rsidP="007A6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099F1" w14:textId="77777777" w:rsidR="00470ADF" w:rsidRPr="002B3101" w:rsidRDefault="002B3101" w:rsidP="002B31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57822-04-18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5A4E2" w14:textId="77777777" w:rsidR="00470ADF" w:rsidRPr="002B3101" w:rsidRDefault="002B3101" w:rsidP="002B31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57822-04-18</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7BD1"/>
    <w:rsid w:val="00115611"/>
    <w:rsid w:val="001B5A3B"/>
    <w:rsid w:val="002B3101"/>
    <w:rsid w:val="00386D35"/>
    <w:rsid w:val="004665AB"/>
    <w:rsid w:val="00470ADF"/>
    <w:rsid w:val="0047264C"/>
    <w:rsid w:val="004A4A1F"/>
    <w:rsid w:val="00523884"/>
    <w:rsid w:val="005C557D"/>
    <w:rsid w:val="005D7BD1"/>
    <w:rsid w:val="00604484"/>
    <w:rsid w:val="006545E1"/>
    <w:rsid w:val="007A60C9"/>
    <w:rsid w:val="007B0E1A"/>
    <w:rsid w:val="0083517B"/>
    <w:rsid w:val="00853ADA"/>
    <w:rsid w:val="008E0030"/>
    <w:rsid w:val="009937DC"/>
    <w:rsid w:val="00AC01BF"/>
    <w:rsid w:val="00B14009"/>
    <w:rsid w:val="00B66EA2"/>
    <w:rsid w:val="00C03EAF"/>
    <w:rsid w:val="00E2388A"/>
    <w:rsid w:val="00E75875"/>
    <w:rsid w:val="00F10F69"/>
    <w:rsid w:val="00F84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2AA0F8"/>
  <w15:chartTrackingRefBased/>
  <w15:docId w15:val="{BBADF9EA-C6B8-43B0-9CD0-CBFCFCC0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7B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7BD1"/>
    <w:pPr>
      <w:tabs>
        <w:tab w:val="center" w:pos="4153"/>
        <w:tab w:val="right" w:pos="8306"/>
      </w:tabs>
    </w:pPr>
  </w:style>
  <w:style w:type="character" w:customStyle="1" w:styleId="a4">
    <w:name w:val="כותרת עליונה תו"/>
    <w:link w:val="a3"/>
    <w:rsid w:val="005D7BD1"/>
    <w:rPr>
      <w:rFonts w:ascii="Times New Roman" w:eastAsia="Times New Roman" w:hAnsi="Times New Roman" w:cs="David"/>
      <w:sz w:val="24"/>
      <w:szCs w:val="24"/>
    </w:rPr>
  </w:style>
  <w:style w:type="paragraph" w:styleId="a5">
    <w:name w:val="footer"/>
    <w:basedOn w:val="a"/>
    <w:link w:val="a6"/>
    <w:rsid w:val="005D7BD1"/>
    <w:pPr>
      <w:tabs>
        <w:tab w:val="center" w:pos="4153"/>
        <w:tab w:val="right" w:pos="8306"/>
      </w:tabs>
    </w:pPr>
  </w:style>
  <w:style w:type="character" w:customStyle="1" w:styleId="a6">
    <w:name w:val="כותרת תחתונה תו"/>
    <w:link w:val="a5"/>
    <w:rsid w:val="005D7BD1"/>
    <w:rPr>
      <w:rFonts w:ascii="Times New Roman" w:eastAsia="Times New Roman" w:hAnsi="Times New Roman" w:cs="David"/>
      <w:sz w:val="24"/>
      <w:szCs w:val="24"/>
    </w:rPr>
  </w:style>
  <w:style w:type="table" w:styleId="a7">
    <w:name w:val="Table Grid"/>
    <w:basedOn w:val="a1"/>
    <w:rsid w:val="005D7B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5D7BD1"/>
    <w:rPr>
      <w:b/>
      <w:bCs/>
      <w:u w:val="single"/>
    </w:rPr>
  </w:style>
  <w:style w:type="character" w:styleId="a8">
    <w:name w:val="line number"/>
    <w:rsid w:val="005D7BD1"/>
  </w:style>
  <w:style w:type="character" w:styleId="a9">
    <w:name w:val="page number"/>
    <w:rsid w:val="00604484"/>
  </w:style>
  <w:style w:type="character" w:styleId="Hyperlink">
    <w:name w:val="Hyperlink"/>
    <w:rsid w:val="00604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413e" TargetMode="External"/><Relationship Id="rId18" Type="http://schemas.openxmlformats.org/officeDocument/2006/relationships/hyperlink" Target="http://www.nevo.co.il/case/10485615"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144" TargetMode="External"/><Relationship Id="rId7" Type="http://schemas.openxmlformats.org/officeDocument/2006/relationships/hyperlink" Target="http://www.nevo.co.il/law/70301/144"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0181627"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782188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413e"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10485614" TargetMode="External"/><Relationship Id="rId4" Type="http://schemas.openxmlformats.org/officeDocument/2006/relationships/footnotes" Target="footnotes.xml"/><Relationship Id="rId9" Type="http://schemas.openxmlformats.org/officeDocument/2006/relationships/hyperlink" Target="http://www.nevo.co.il/law/70301/413e"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2641</Words>
  <Characters>13206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15816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6357092</vt:i4>
      </vt:variant>
      <vt:variant>
        <vt:i4>45</vt:i4>
      </vt:variant>
      <vt:variant>
        <vt:i4>0</vt:i4>
      </vt:variant>
      <vt:variant>
        <vt:i4>5</vt:i4>
      </vt:variant>
      <vt:variant>
        <vt:lpwstr>http://www.nevo.co.il/law/70301/144</vt:lpwstr>
      </vt:variant>
      <vt:variant>
        <vt:lpwstr/>
      </vt:variant>
      <vt:variant>
        <vt:i4>4063349</vt:i4>
      </vt:variant>
      <vt:variant>
        <vt:i4>42</vt:i4>
      </vt:variant>
      <vt:variant>
        <vt:i4>0</vt:i4>
      </vt:variant>
      <vt:variant>
        <vt:i4>5</vt:i4>
      </vt:variant>
      <vt:variant>
        <vt:lpwstr>http://www.nevo.co.il/case/7821883</vt:lpwstr>
      </vt:variant>
      <vt:variant>
        <vt:lpwstr/>
      </vt:variant>
      <vt:variant>
        <vt:i4>3211386</vt:i4>
      </vt:variant>
      <vt:variant>
        <vt:i4>39</vt:i4>
      </vt:variant>
      <vt:variant>
        <vt:i4>0</vt:i4>
      </vt:variant>
      <vt:variant>
        <vt:i4>5</vt:i4>
      </vt:variant>
      <vt:variant>
        <vt:lpwstr>http://www.nevo.co.il/case/10485614</vt:lpwstr>
      </vt:variant>
      <vt:variant>
        <vt:lpwstr/>
      </vt:variant>
      <vt:variant>
        <vt:i4>3211386</vt:i4>
      </vt:variant>
      <vt:variant>
        <vt:i4>36</vt:i4>
      </vt:variant>
      <vt:variant>
        <vt:i4>0</vt:i4>
      </vt:variant>
      <vt:variant>
        <vt:i4>5</vt:i4>
      </vt:variant>
      <vt:variant>
        <vt:lpwstr>http://www.nevo.co.il/case/10485615</vt:lpwstr>
      </vt:variant>
      <vt:variant>
        <vt:lpwstr/>
      </vt:variant>
      <vt:variant>
        <vt:i4>3145850</vt:i4>
      </vt:variant>
      <vt:variant>
        <vt:i4>33</vt:i4>
      </vt:variant>
      <vt:variant>
        <vt:i4>0</vt:i4>
      </vt:variant>
      <vt:variant>
        <vt:i4>5</vt:i4>
      </vt:variant>
      <vt:variant>
        <vt:lpwstr>http://www.nevo.co.il/case/20181627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65618</vt:i4>
      </vt:variant>
      <vt:variant>
        <vt:i4>9</vt:i4>
      </vt:variant>
      <vt:variant>
        <vt:i4>0</vt:i4>
      </vt:variant>
      <vt:variant>
        <vt:i4>5</vt:i4>
      </vt:variant>
      <vt:variant>
        <vt:lpwstr>http://www.nevo.co.il/law/70301/413e</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57822</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פלוני;פלוני;פלוני;פלוני</vt:lpwstr>
  </property>
  <property fmtid="{D5CDD505-2E9C-101B-9397-08002B2CF9AE}" pid="10" name="LAWYER">
    <vt:lpwstr>אייל לידני;רפי ליטן;ירון גיגי</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20190704</vt:lpwstr>
  </property>
  <property fmtid="{D5CDD505-2E9C-101B-9397-08002B2CF9AE}" pid="14" name="TYPE_N_DATE">
    <vt:lpwstr>39020190704</vt:lpwstr>
  </property>
  <property fmtid="{D5CDD505-2E9C-101B-9397-08002B2CF9AE}" pid="15" name="WORDNUMPAGES">
    <vt:lpwstr>12</vt:lpwstr>
  </property>
  <property fmtid="{D5CDD505-2E9C-101B-9397-08002B2CF9AE}" pid="16" name="TYPE_ABS_DATE">
    <vt:lpwstr>390120190704</vt:lpwstr>
  </property>
  <property fmtid="{D5CDD505-2E9C-101B-9397-08002B2CF9AE}" pid="17" name="PADIMAIL">
    <vt:lpwstr>YES</vt:lpwstr>
  </property>
  <property fmtid="{D5CDD505-2E9C-101B-9397-08002B2CF9AE}" pid="18" name="ISABSTRACT">
    <vt:lpwstr>Y</vt:lpwstr>
  </property>
  <property fmtid="{D5CDD505-2E9C-101B-9397-08002B2CF9AE}" pid="19" name="NOSE1ID">
    <vt:lpwstr>77</vt:lpwstr>
  </property>
  <property fmtid="{D5CDD505-2E9C-101B-9397-08002B2CF9AE}" pid="20" name="NOSE2ID">
    <vt:lpwstr>1446</vt:lpwstr>
  </property>
  <property fmtid="{D5CDD505-2E9C-101B-9397-08002B2CF9AE}" pid="21" name="NOSE3ID">
    <vt:lpwstr>13800</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נשק</vt:lpwstr>
  </property>
  <property fmtid="{D5CDD505-2E9C-101B-9397-08002B2CF9AE}" pid="25" name="PADIDATE">
    <vt:lpwstr>20190811</vt:lpwstr>
  </property>
  <property fmtid="{D5CDD505-2E9C-101B-9397-08002B2CF9AE}" pid="26" name="METAKZER">
    <vt:lpwstr>שירי</vt:lpwstr>
  </property>
  <property fmtid="{D5CDD505-2E9C-101B-9397-08002B2CF9AE}" pid="27" name="CASESLISTTMP1">
    <vt:lpwstr>20181627;10485615;10485614;7821883</vt:lpwstr>
  </property>
  <property fmtid="{D5CDD505-2E9C-101B-9397-08002B2CF9AE}" pid="28" name="LAWLISTTMP1">
    <vt:lpwstr>70301/144;144.b;413e</vt:lpwstr>
  </property>
</Properties>
</file>