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5636B7" w:rsidRPr="005D20AB" w14:paraId="1445FC25" w14:textId="77777777" w:rsidTr="00B04440">
        <w:trPr>
          <w:trHeight w:hRule="exact" w:val="418"/>
          <w:jc w:val="center"/>
        </w:trPr>
        <w:tc>
          <w:tcPr>
            <w:tcW w:w="8721" w:type="dxa"/>
            <w:gridSpan w:val="2"/>
          </w:tcPr>
          <w:p w14:paraId="0BD20CE9" w14:textId="77777777" w:rsidR="005636B7" w:rsidRPr="005D20AB" w:rsidRDefault="005636B7" w:rsidP="00DD42DE">
            <w:pPr>
              <w:pStyle w:val="a3"/>
              <w:jc w:val="center"/>
              <w:rPr>
                <w:rFonts w:ascii="Tahoma" w:hAnsi="Tahoma" w:cs="Tahoma"/>
                <w:color w:val="000080"/>
                <w:rtl/>
              </w:rPr>
            </w:pPr>
            <w:bookmarkStart w:id="0" w:name="LastJudge"/>
            <w:r w:rsidRPr="005D20AB">
              <w:rPr>
                <w:rFonts w:ascii="Tahoma" w:hAnsi="Tahoma" w:cs="Tahoma"/>
                <w:b/>
                <w:bCs/>
                <w:color w:val="000080"/>
                <w:rtl/>
              </w:rPr>
              <w:t>בית המשפט המחוזי בחיפה</w:t>
            </w:r>
          </w:p>
        </w:tc>
      </w:tr>
      <w:tr w:rsidR="005636B7" w:rsidRPr="005D20AB" w14:paraId="232CE972" w14:textId="77777777" w:rsidTr="00B04440">
        <w:trPr>
          <w:trHeight w:val="337"/>
          <w:jc w:val="center"/>
        </w:trPr>
        <w:tc>
          <w:tcPr>
            <w:tcW w:w="5059" w:type="dxa"/>
          </w:tcPr>
          <w:p w14:paraId="5BE6E571" w14:textId="77777777" w:rsidR="005636B7" w:rsidRPr="005D20AB" w:rsidRDefault="005636B7" w:rsidP="00DD42DE">
            <w:pPr>
              <w:rPr>
                <w:rFonts w:cs="FrankRuehl"/>
                <w:sz w:val="28"/>
                <w:szCs w:val="28"/>
                <w:rtl/>
              </w:rPr>
            </w:pPr>
            <w:r w:rsidRPr="005D20AB">
              <w:rPr>
                <w:rFonts w:cs="FrankRuehl"/>
                <w:sz w:val="28"/>
                <w:szCs w:val="28"/>
                <w:rtl/>
              </w:rPr>
              <w:t>ת"פ</w:t>
            </w:r>
            <w:r w:rsidRPr="005D20AB">
              <w:rPr>
                <w:rFonts w:cs="FrankRuehl" w:hint="cs"/>
                <w:sz w:val="28"/>
                <w:szCs w:val="28"/>
                <w:rtl/>
              </w:rPr>
              <w:t xml:space="preserve"> </w:t>
            </w:r>
            <w:r w:rsidRPr="005D20AB">
              <w:rPr>
                <w:rFonts w:cs="FrankRuehl"/>
                <w:sz w:val="28"/>
                <w:szCs w:val="28"/>
                <w:rtl/>
              </w:rPr>
              <w:t>63018-05-18</w:t>
            </w:r>
            <w:r w:rsidRPr="005D20AB">
              <w:rPr>
                <w:rFonts w:cs="FrankRuehl" w:hint="cs"/>
                <w:sz w:val="28"/>
                <w:szCs w:val="28"/>
                <w:rtl/>
              </w:rPr>
              <w:t xml:space="preserve"> </w:t>
            </w:r>
            <w:r w:rsidRPr="005D20AB">
              <w:rPr>
                <w:rFonts w:cs="FrankRuehl"/>
                <w:sz w:val="28"/>
                <w:szCs w:val="28"/>
                <w:rtl/>
              </w:rPr>
              <w:t>מדינת ישראל נ' מחאמיד(עצור בפיקוח)</w:t>
            </w:r>
          </w:p>
          <w:p w14:paraId="43FCFD43" w14:textId="77777777" w:rsidR="005636B7" w:rsidRPr="005D20AB" w:rsidRDefault="005636B7" w:rsidP="00DD42DE">
            <w:pPr>
              <w:pStyle w:val="a3"/>
              <w:rPr>
                <w:rFonts w:cs="FrankRuehl"/>
                <w:sz w:val="28"/>
                <w:szCs w:val="28"/>
                <w:rtl/>
              </w:rPr>
            </w:pPr>
          </w:p>
          <w:p w14:paraId="5B8CCBAE" w14:textId="77777777" w:rsidR="005636B7" w:rsidRPr="005D20AB" w:rsidRDefault="005636B7" w:rsidP="00DD42DE">
            <w:pPr>
              <w:rPr>
                <w:rFonts w:cs="FrankRuehl"/>
                <w:sz w:val="28"/>
                <w:szCs w:val="28"/>
                <w:rtl/>
              </w:rPr>
            </w:pPr>
            <w:r w:rsidRPr="005D20AB">
              <w:rPr>
                <w:rFonts w:cs="FrankRuehl"/>
                <w:sz w:val="28"/>
                <w:szCs w:val="28"/>
                <w:rtl/>
              </w:rPr>
              <w:t>ת"פ</w:t>
            </w:r>
            <w:r w:rsidRPr="005D20AB">
              <w:rPr>
                <w:rFonts w:cs="FrankRuehl" w:hint="cs"/>
                <w:sz w:val="28"/>
                <w:szCs w:val="28"/>
                <w:rtl/>
              </w:rPr>
              <w:t xml:space="preserve"> </w:t>
            </w:r>
            <w:r w:rsidRPr="005D20AB">
              <w:rPr>
                <w:rFonts w:cs="FrankRuehl"/>
                <w:sz w:val="28"/>
                <w:szCs w:val="28"/>
                <w:rtl/>
              </w:rPr>
              <w:t>68160-05-18</w:t>
            </w:r>
            <w:r w:rsidRPr="005D20AB">
              <w:rPr>
                <w:rFonts w:cs="FrankRuehl" w:hint="cs"/>
                <w:sz w:val="28"/>
                <w:szCs w:val="28"/>
                <w:rtl/>
              </w:rPr>
              <w:t xml:space="preserve"> </w:t>
            </w:r>
            <w:r w:rsidRPr="005D20AB">
              <w:rPr>
                <w:rFonts w:cs="FrankRuehl"/>
                <w:sz w:val="28"/>
                <w:szCs w:val="28"/>
                <w:rtl/>
              </w:rPr>
              <w:t>מדינת ישראל נ' קבלאוי(עציר)</w:t>
            </w:r>
          </w:p>
          <w:p w14:paraId="436EB1F8" w14:textId="77777777" w:rsidR="005636B7" w:rsidRPr="005D20AB" w:rsidRDefault="005636B7" w:rsidP="00DD42DE">
            <w:pPr>
              <w:pStyle w:val="a3"/>
              <w:rPr>
                <w:rFonts w:cs="FrankRuehl"/>
                <w:sz w:val="28"/>
                <w:szCs w:val="28"/>
                <w:rtl/>
              </w:rPr>
            </w:pPr>
          </w:p>
        </w:tc>
        <w:tc>
          <w:tcPr>
            <w:tcW w:w="3662" w:type="dxa"/>
          </w:tcPr>
          <w:p w14:paraId="08AE562E" w14:textId="77777777" w:rsidR="005636B7" w:rsidRPr="005D20AB" w:rsidRDefault="005636B7" w:rsidP="00DD42DE">
            <w:pPr>
              <w:pStyle w:val="a3"/>
              <w:jc w:val="right"/>
              <w:rPr>
                <w:rFonts w:cs="FrankRuehl"/>
                <w:sz w:val="28"/>
                <w:szCs w:val="28"/>
                <w:rtl/>
              </w:rPr>
            </w:pPr>
          </w:p>
        </w:tc>
      </w:tr>
    </w:tbl>
    <w:p w14:paraId="0D047FE0" w14:textId="77777777" w:rsidR="005636B7" w:rsidRPr="005D20AB" w:rsidRDefault="005636B7" w:rsidP="005636B7">
      <w:pPr>
        <w:pStyle w:val="a3"/>
        <w:rPr>
          <w:rtl/>
        </w:rPr>
      </w:pPr>
      <w:r w:rsidRPr="005D20AB">
        <w:rPr>
          <w:rFonts w:hint="cs"/>
          <w:rtl/>
        </w:rPr>
        <w:t xml:space="preserve"> </w:t>
      </w:r>
    </w:p>
    <w:p w14:paraId="00AA7677" w14:textId="77777777" w:rsidR="005636B7" w:rsidRPr="005D20AB" w:rsidRDefault="005636B7" w:rsidP="005636B7">
      <w:pPr>
        <w:spacing w:line="360" w:lineRule="auto"/>
        <w:jc w:val="both"/>
        <w:rPr>
          <w:rFonts w:ascii="David" w:hAnsi="David"/>
          <w:sz w:val="6"/>
          <w:szCs w:val="6"/>
          <w:rtl/>
        </w:rPr>
      </w:pPr>
    </w:p>
    <w:p w14:paraId="268F6EA7" w14:textId="77777777" w:rsidR="005636B7" w:rsidRPr="005D20AB" w:rsidRDefault="005636B7" w:rsidP="005636B7">
      <w:pPr>
        <w:spacing w:line="360" w:lineRule="auto"/>
        <w:jc w:val="both"/>
        <w:rPr>
          <w:rFonts w:ascii="David" w:hAnsi="David"/>
          <w:sz w:val="6"/>
          <w:szCs w:val="6"/>
          <w:rtl/>
        </w:rPr>
      </w:pPr>
    </w:p>
    <w:tbl>
      <w:tblPr>
        <w:bidiVisual/>
        <w:tblW w:w="8802" w:type="dxa"/>
        <w:tblInd w:w="-28" w:type="dxa"/>
        <w:tblLook w:val="01E0" w:firstRow="1" w:lastRow="1" w:firstColumn="1" w:lastColumn="1" w:noHBand="0" w:noVBand="0"/>
      </w:tblPr>
      <w:tblGrid>
        <w:gridCol w:w="2880"/>
        <w:gridCol w:w="5838"/>
        <w:gridCol w:w="84"/>
      </w:tblGrid>
      <w:tr w:rsidR="005636B7" w:rsidRPr="005D20AB" w14:paraId="4E72B5E6" w14:textId="77777777" w:rsidTr="005636B7">
        <w:trPr>
          <w:gridAfter w:val="1"/>
          <w:wAfter w:w="56" w:type="dxa"/>
        </w:trPr>
        <w:tc>
          <w:tcPr>
            <w:tcW w:w="8718" w:type="dxa"/>
            <w:gridSpan w:val="2"/>
            <w:shd w:val="clear" w:color="auto" w:fill="auto"/>
          </w:tcPr>
          <w:p w14:paraId="6794B1B7" w14:textId="77777777" w:rsidR="005636B7" w:rsidRPr="005D20AB" w:rsidRDefault="005636B7" w:rsidP="005636B7">
            <w:pPr>
              <w:spacing w:line="360" w:lineRule="auto"/>
              <w:jc w:val="both"/>
              <w:rPr>
                <w:b/>
                <w:bCs/>
                <w:sz w:val="26"/>
                <w:szCs w:val="26"/>
                <w:rtl/>
              </w:rPr>
            </w:pPr>
            <w:r w:rsidRPr="005D20AB">
              <w:rPr>
                <w:rFonts w:hint="cs"/>
                <w:b/>
                <w:bCs/>
                <w:sz w:val="26"/>
                <w:szCs w:val="26"/>
                <w:rtl/>
              </w:rPr>
              <w:t>לפני כבוד השופטת רונית בש</w:t>
            </w:r>
            <w:r w:rsidRPr="005D20AB">
              <w:rPr>
                <w:rStyle w:val="TimesNewRomanTimesNewRoman"/>
                <w:rFonts w:hint="cs"/>
                <w:rtl/>
              </w:rPr>
              <w:t xml:space="preserve"> </w:t>
            </w:r>
          </w:p>
        </w:tc>
      </w:tr>
      <w:tr w:rsidR="005636B7" w:rsidRPr="005D20AB" w14:paraId="546B93FD" w14:textId="77777777" w:rsidTr="005636B7">
        <w:trPr>
          <w:cantSplit/>
          <w:trHeight w:val="724"/>
        </w:trPr>
        <w:tc>
          <w:tcPr>
            <w:tcW w:w="2880" w:type="dxa"/>
            <w:shd w:val="clear" w:color="auto" w:fill="auto"/>
          </w:tcPr>
          <w:p w14:paraId="21B916D1" w14:textId="77777777" w:rsidR="005636B7" w:rsidRPr="005D20AB" w:rsidRDefault="005636B7" w:rsidP="005636B7">
            <w:pPr>
              <w:ind w:left="26"/>
              <w:jc w:val="both"/>
              <w:rPr>
                <w:b/>
                <w:bCs/>
                <w:sz w:val="26"/>
                <w:szCs w:val="26"/>
                <w:rtl/>
              </w:rPr>
            </w:pPr>
            <w:bookmarkStart w:id="1" w:name="FirstAppellant"/>
          </w:p>
          <w:p w14:paraId="54AD16BB" w14:textId="77777777" w:rsidR="005636B7" w:rsidRPr="005D20AB" w:rsidRDefault="005636B7" w:rsidP="005636B7">
            <w:pPr>
              <w:ind w:left="26"/>
              <w:jc w:val="both"/>
              <w:rPr>
                <w:b/>
                <w:bCs/>
                <w:sz w:val="26"/>
                <w:szCs w:val="26"/>
                <w:rtl/>
              </w:rPr>
            </w:pPr>
            <w:r w:rsidRPr="005D20AB">
              <w:rPr>
                <w:rFonts w:hint="cs"/>
                <w:b/>
                <w:bCs/>
                <w:sz w:val="26"/>
                <w:szCs w:val="26"/>
                <w:rtl/>
              </w:rPr>
              <w:t>המאשימה</w:t>
            </w:r>
          </w:p>
        </w:tc>
        <w:tc>
          <w:tcPr>
            <w:tcW w:w="5922" w:type="dxa"/>
            <w:gridSpan w:val="2"/>
            <w:shd w:val="clear" w:color="auto" w:fill="auto"/>
          </w:tcPr>
          <w:p w14:paraId="0F4DF6BA" w14:textId="77777777" w:rsidR="005636B7" w:rsidRPr="005D20AB" w:rsidRDefault="005636B7" w:rsidP="005636B7">
            <w:pPr>
              <w:jc w:val="both"/>
              <w:rPr>
                <w:rtl/>
              </w:rPr>
            </w:pPr>
          </w:p>
          <w:p w14:paraId="3CFEFB89" w14:textId="77777777" w:rsidR="005636B7" w:rsidRPr="005D20AB" w:rsidRDefault="005636B7" w:rsidP="005636B7">
            <w:pPr>
              <w:jc w:val="both"/>
              <w:rPr>
                <w:b/>
                <w:bCs/>
                <w:sz w:val="26"/>
                <w:szCs w:val="26"/>
                <w:rtl/>
              </w:rPr>
            </w:pPr>
            <w:r w:rsidRPr="005D20AB">
              <w:rPr>
                <w:rtl/>
              </w:rPr>
              <w:t xml:space="preserve"> </w:t>
            </w:r>
            <w:r w:rsidRPr="005D20AB">
              <w:rPr>
                <w:rFonts w:hint="cs"/>
                <w:b/>
                <w:bCs/>
                <w:sz w:val="26"/>
                <w:szCs w:val="26"/>
                <w:rtl/>
              </w:rPr>
              <w:t>מדינת ישראל</w:t>
            </w:r>
          </w:p>
          <w:p w14:paraId="1D0498EE" w14:textId="77777777" w:rsidR="005636B7" w:rsidRPr="005D20AB" w:rsidRDefault="005636B7" w:rsidP="005636B7">
            <w:pPr>
              <w:jc w:val="both"/>
              <w:rPr>
                <w:b/>
                <w:bCs/>
                <w:sz w:val="26"/>
                <w:szCs w:val="26"/>
                <w:rtl/>
              </w:rPr>
            </w:pPr>
          </w:p>
        </w:tc>
      </w:tr>
      <w:bookmarkEnd w:id="1"/>
      <w:tr w:rsidR="005636B7" w:rsidRPr="005D20AB" w14:paraId="5F27680A" w14:textId="77777777" w:rsidTr="005636B7">
        <w:tc>
          <w:tcPr>
            <w:tcW w:w="8802" w:type="dxa"/>
            <w:gridSpan w:val="3"/>
            <w:shd w:val="clear" w:color="auto" w:fill="auto"/>
            <w:vAlign w:val="center"/>
          </w:tcPr>
          <w:p w14:paraId="3E192D39" w14:textId="77777777" w:rsidR="005636B7" w:rsidRPr="005D20AB" w:rsidRDefault="005636B7" w:rsidP="005636B7">
            <w:pPr>
              <w:jc w:val="center"/>
              <w:rPr>
                <w:rFonts w:ascii="Arial" w:hAnsi="Arial"/>
                <w:b/>
                <w:bCs/>
                <w:sz w:val="26"/>
                <w:szCs w:val="26"/>
                <w:rtl/>
              </w:rPr>
            </w:pPr>
          </w:p>
          <w:p w14:paraId="66E8B527" w14:textId="77777777" w:rsidR="005636B7" w:rsidRPr="005D20AB" w:rsidRDefault="005636B7" w:rsidP="005636B7">
            <w:pPr>
              <w:jc w:val="center"/>
              <w:rPr>
                <w:rFonts w:ascii="Arial" w:hAnsi="Arial"/>
                <w:b/>
                <w:bCs/>
                <w:sz w:val="26"/>
                <w:szCs w:val="26"/>
                <w:rtl/>
              </w:rPr>
            </w:pPr>
            <w:r w:rsidRPr="005D20AB">
              <w:rPr>
                <w:rFonts w:ascii="Arial" w:hAnsi="Arial" w:hint="cs"/>
                <w:b/>
                <w:bCs/>
                <w:sz w:val="26"/>
                <w:szCs w:val="26"/>
                <w:rtl/>
              </w:rPr>
              <w:t>נגד</w:t>
            </w:r>
          </w:p>
          <w:p w14:paraId="087A8405" w14:textId="77777777" w:rsidR="005636B7" w:rsidRPr="005D20AB" w:rsidRDefault="005636B7" w:rsidP="005636B7">
            <w:pPr>
              <w:jc w:val="center"/>
              <w:rPr>
                <w:rFonts w:ascii="Arial" w:hAnsi="Arial"/>
                <w:b/>
                <w:bCs/>
                <w:sz w:val="26"/>
                <w:szCs w:val="26"/>
                <w:rtl/>
              </w:rPr>
            </w:pPr>
          </w:p>
        </w:tc>
      </w:tr>
      <w:tr w:rsidR="005636B7" w:rsidRPr="005D20AB" w14:paraId="033739C6" w14:textId="77777777" w:rsidTr="005636B7">
        <w:tc>
          <w:tcPr>
            <w:tcW w:w="2880" w:type="dxa"/>
            <w:shd w:val="clear" w:color="auto" w:fill="auto"/>
          </w:tcPr>
          <w:p w14:paraId="05CF38A1" w14:textId="77777777" w:rsidR="005636B7" w:rsidRPr="005D20AB" w:rsidRDefault="005636B7" w:rsidP="005636B7">
            <w:pPr>
              <w:ind w:left="26"/>
              <w:jc w:val="both"/>
              <w:rPr>
                <w:b/>
                <w:bCs/>
                <w:sz w:val="26"/>
                <w:szCs w:val="26"/>
              </w:rPr>
            </w:pPr>
            <w:r w:rsidRPr="005D20AB">
              <w:rPr>
                <w:rFonts w:hint="cs"/>
                <w:b/>
                <w:bCs/>
                <w:sz w:val="26"/>
                <w:szCs w:val="26"/>
                <w:rtl/>
              </w:rPr>
              <w:t>הנאשמים</w:t>
            </w:r>
          </w:p>
        </w:tc>
        <w:tc>
          <w:tcPr>
            <w:tcW w:w="5922" w:type="dxa"/>
            <w:gridSpan w:val="2"/>
            <w:shd w:val="clear" w:color="auto" w:fill="auto"/>
          </w:tcPr>
          <w:p w14:paraId="79BC28AA" w14:textId="77777777" w:rsidR="005636B7" w:rsidRPr="005D20AB" w:rsidRDefault="005636B7" w:rsidP="005636B7">
            <w:pPr>
              <w:jc w:val="both"/>
              <w:rPr>
                <w:b/>
                <w:bCs/>
                <w:sz w:val="26"/>
                <w:szCs w:val="26"/>
                <w:rtl/>
              </w:rPr>
            </w:pPr>
            <w:r w:rsidRPr="005D20AB">
              <w:rPr>
                <w:rtl/>
              </w:rPr>
              <w:t xml:space="preserve"> </w:t>
            </w:r>
            <w:r w:rsidRPr="005D20AB">
              <w:rPr>
                <w:rFonts w:hint="cs"/>
                <w:b/>
                <w:bCs/>
                <w:sz w:val="26"/>
                <w:szCs w:val="26"/>
                <w:rtl/>
              </w:rPr>
              <w:t xml:space="preserve">1. אחמד מחאמיד (עצור בפיקוח) </w:t>
            </w:r>
          </w:p>
          <w:p w14:paraId="4270FA18" w14:textId="77777777" w:rsidR="005636B7" w:rsidRPr="005D20AB" w:rsidRDefault="005636B7" w:rsidP="005636B7">
            <w:pPr>
              <w:jc w:val="both"/>
              <w:rPr>
                <w:b/>
                <w:bCs/>
                <w:sz w:val="26"/>
                <w:szCs w:val="26"/>
                <w:rtl/>
              </w:rPr>
            </w:pPr>
            <w:r w:rsidRPr="005D20AB">
              <w:rPr>
                <w:rFonts w:hint="cs"/>
                <w:b/>
                <w:bCs/>
                <w:sz w:val="26"/>
                <w:szCs w:val="26"/>
                <w:rtl/>
              </w:rPr>
              <w:t xml:space="preserve"> 2. יחיא קבלאוי -נדון</w:t>
            </w:r>
          </w:p>
        </w:tc>
      </w:tr>
    </w:tbl>
    <w:p w14:paraId="78B0063E" w14:textId="77777777" w:rsidR="005636B7" w:rsidRPr="005D20AB" w:rsidRDefault="005636B7" w:rsidP="005636B7">
      <w:pPr>
        <w:spacing w:line="360" w:lineRule="auto"/>
        <w:jc w:val="both"/>
        <w:rPr>
          <w:rFonts w:ascii="David" w:hAnsi="David"/>
          <w:sz w:val="6"/>
          <w:szCs w:val="6"/>
          <w:rtl/>
        </w:rPr>
      </w:pPr>
    </w:p>
    <w:p w14:paraId="13EC63E7" w14:textId="77777777" w:rsidR="00B04440" w:rsidRPr="00B04440" w:rsidRDefault="00B04440" w:rsidP="00B04440">
      <w:pPr>
        <w:spacing w:after="120" w:line="240" w:lineRule="exact"/>
        <w:ind w:left="283" w:hanging="283"/>
        <w:jc w:val="both"/>
        <w:rPr>
          <w:rFonts w:ascii="FrankRuehl" w:hAnsi="FrankRuehl" w:cs="FrankRuehl"/>
          <w:rtl/>
        </w:rPr>
      </w:pPr>
      <w:r w:rsidRPr="00B04440">
        <w:rPr>
          <w:rFonts w:ascii="FrankRuehl" w:hAnsi="FrankRuehl" w:cs="FrankRuehl"/>
          <w:rtl/>
        </w:rPr>
        <w:t xml:space="preserve">חקיקה שאוזכרה: </w:t>
      </w:r>
    </w:p>
    <w:p w14:paraId="6EC14432" w14:textId="77777777" w:rsidR="00B04440" w:rsidRPr="00B04440" w:rsidRDefault="00B04440" w:rsidP="00B04440">
      <w:pPr>
        <w:spacing w:after="120" w:line="240" w:lineRule="exact"/>
        <w:ind w:left="283" w:hanging="283"/>
        <w:jc w:val="both"/>
        <w:rPr>
          <w:rFonts w:ascii="FrankRuehl" w:hAnsi="FrankRuehl" w:cs="FrankRuehl"/>
          <w:rtl/>
        </w:rPr>
      </w:pPr>
      <w:hyperlink r:id="rId7" w:history="1">
        <w:r w:rsidRPr="00B04440">
          <w:rPr>
            <w:rFonts w:ascii="FrankRuehl" w:hAnsi="FrankRuehl" w:cs="FrankRuehl"/>
            <w:color w:val="0000FF"/>
            <w:u w:val="single"/>
            <w:rtl/>
          </w:rPr>
          <w:t>חוק העונשין, תשל"ז-1977</w:t>
        </w:r>
      </w:hyperlink>
      <w:r w:rsidRPr="00B04440">
        <w:rPr>
          <w:rFonts w:ascii="FrankRuehl" w:hAnsi="FrankRuehl" w:cs="FrankRuehl"/>
          <w:rtl/>
        </w:rPr>
        <w:t xml:space="preserve">: סע'  </w:t>
      </w:r>
      <w:hyperlink r:id="rId8" w:history="1">
        <w:r w:rsidRPr="00B04440">
          <w:rPr>
            <w:rFonts w:ascii="FrankRuehl" w:hAnsi="FrankRuehl" w:cs="FrankRuehl"/>
            <w:color w:val="0000FF"/>
            <w:u w:val="single"/>
            <w:rtl/>
          </w:rPr>
          <w:t>29</w:t>
        </w:r>
      </w:hyperlink>
      <w:r w:rsidRPr="00B04440">
        <w:rPr>
          <w:rFonts w:ascii="FrankRuehl" w:hAnsi="FrankRuehl" w:cs="FrankRuehl"/>
          <w:rtl/>
        </w:rPr>
        <w:t xml:space="preserve">, </w:t>
      </w:r>
      <w:hyperlink r:id="rId9" w:history="1">
        <w:r w:rsidRPr="00B04440">
          <w:rPr>
            <w:rFonts w:ascii="FrankRuehl" w:hAnsi="FrankRuehl" w:cs="FrankRuehl"/>
            <w:color w:val="0000FF"/>
            <w:u w:val="single"/>
            <w:rtl/>
          </w:rPr>
          <w:t>40ב</w:t>
        </w:r>
      </w:hyperlink>
      <w:r w:rsidRPr="00B04440">
        <w:rPr>
          <w:rFonts w:ascii="FrankRuehl" w:hAnsi="FrankRuehl" w:cs="FrankRuehl"/>
          <w:rtl/>
        </w:rPr>
        <w:t xml:space="preserve">, </w:t>
      </w:r>
      <w:hyperlink r:id="rId10" w:history="1">
        <w:r w:rsidRPr="00B04440">
          <w:rPr>
            <w:rFonts w:ascii="FrankRuehl" w:hAnsi="FrankRuehl" w:cs="FrankRuehl"/>
            <w:color w:val="0000FF"/>
            <w:u w:val="single"/>
            <w:rtl/>
          </w:rPr>
          <w:t>40ג</w:t>
        </w:r>
      </w:hyperlink>
      <w:r w:rsidRPr="00B04440">
        <w:rPr>
          <w:rFonts w:ascii="FrankRuehl" w:hAnsi="FrankRuehl" w:cs="FrankRuehl"/>
          <w:rtl/>
        </w:rPr>
        <w:t xml:space="preserve">, </w:t>
      </w:r>
      <w:hyperlink r:id="rId11" w:history="1">
        <w:r w:rsidRPr="00B04440">
          <w:rPr>
            <w:rFonts w:ascii="FrankRuehl" w:hAnsi="FrankRuehl" w:cs="FrankRuehl"/>
            <w:color w:val="0000FF"/>
            <w:u w:val="single"/>
            <w:rtl/>
          </w:rPr>
          <w:t>40 ד(א)</w:t>
        </w:r>
      </w:hyperlink>
      <w:r w:rsidRPr="00B04440">
        <w:rPr>
          <w:rFonts w:ascii="FrankRuehl" w:hAnsi="FrankRuehl" w:cs="FrankRuehl"/>
          <w:rtl/>
        </w:rPr>
        <w:t xml:space="preserve">, </w:t>
      </w:r>
      <w:hyperlink r:id="rId12" w:history="1">
        <w:r w:rsidRPr="00B04440">
          <w:rPr>
            <w:rFonts w:ascii="FrankRuehl" w:hAnsi="FrankRuehl" w:cs="FrankRuehl"/>
            <w:color w:val="0000FF"/>
            <w:u w:val="single"/>
            <w:rtl/>
          </w:rPr>
          <w:t>40ט</w:t>
        </w:r>
      </w:hyperlink>
      <w:r w:rsidRPr="00B04440">
        <w:rPr>
          <w:rFonts w:ascii="FrankRuehl" w:hAnsi="FrankRuehl" w:cs="FrankRuehl"/>
          <w:rtl/>
        </w:rPr>
        <w:t xml:space="preserve">, </w:t>
      </w:r>
      <w:hyperlink r:id="rId13" w:history="1">
        <w:r w:rsidRPr="00B04440">
          <w:rPr>
            <w:rFonts w:ascii="FrankRuehl" w:hAnsi="FrankRuehl" w:cs="FrankRuehl"/>
            <w:color w:val="0000FF"/>
            <w:u w:val="single"/>
            <w:rtl/>
          </w:rPr>
          <w:t>144</w:t>
        </w:r>
      </w:hyperlink>
      <w:r w:rsidRPr="00B04440">
        <w:rPr>
          <w:rFonts w:ascii="FrankRuehl" w:hAnsi="FrankRuehl" w:cs="FrankRuehl"/>
          <w:rtl/>
        </w:rPr>
        <w:t xml:space="preserve">, </w:t>
      </w:r>
      <w:hyperlink r:id="rId14" w:history="1">
        <w:r w:rsidRPr="00B04440">
          <w:rPr>
            <w:rFonts w:ascii="FrankRuehl" w:hAnsi="FrankRuehl" w:cs="FrankRuehl"/>
            <w:color w:val="0000FF"/>
            <w:u w:val="single"/>
            <w:rtl/>
          </w:rPr>
          <w:t>144(א)</w:t>
        </w:r>
      </w:hyperlink>
      <w:r w:rsidRPr="00B04440">
        <w:rPr>
          <w:rFonts w:ascii="FrankRuehl" w:hAnsi="FrankRuehl" w:cs="FrankRuehl"/>
          <w:rtl/>
        </w:rPr>
        <w:t xml:space="preserve">, </w:t>
      </w:r>
      <w:hyperlink r:id="rId15" w:history="1">
        <w:r w:rsidRPr="00B04440">
          <w:rPr>
            <w:rFonts w:ascii="FrankRuehl" w:hAnsi="FrankRuehl" w:cs="FrankRuehl"/>
            <w:color w:val="0000FF"/>
            <w:u w:val="single"/>
            <w:rtl/>
          </w:rPr>
          <w:t>144(ב)</w:t>
        </w:r>
      </w:hyperlink>
      <w:r w:rsidRPr="00B04440">
        <w:rPr>
          <w:rFonts w:ascii="FrankRuehl" w:hAnsi="FrankRuehl" w:cs="FrankRuehl"/>
          <w:rtl/>
        </w:rPr>
        <w:t xml:space="preserve">, </w:t>
      </w:r>
      <w:hyperlink r:id="rId16" w:history="1">
        <w:r w:rsidRPr="00B04440">
          <w:rPr>
            <w:rFonts w:ascii="FrankRuehl" w:hAnsi="FrankRuehl" w:cs="FrankRuehl"/>
            <w:color w:val="0000FF"/>
            <w:u w:val="single"/>
            <w:rtl/>
          </w:rPr>
          <w:t>275</w:t>
        </w:r>
      </w:hyperlink>
      <w:r w:rsidRPr="00B04440">
        <w:rPr>
          <w:rFonts w:ascii="FrankRuehl" w:hAnsi="FrankRuehl" w:cs="FrankRuehl"/>
          <w:rtl/>
        </w:rPr>
        <w:t xml:space="preserve">, </w:t>
      </w:r>
      <w:hyperlink r:id="rId17" w:history="1">
        <w:r w:rsidRPr="00B04440">
          <w:rPr>
            <w:rFonts w:ascii="FrankRuehl" w:hAnsi="FrankRuehl" w:cs="FrankRuehl"/>
            <w:color w:val="0000FF"/>
            <w:u w:val="single"/>
            <w:rtl/>
          </w:rPr>
          <w:t>338(א)(1)</w:t>
        </w:r>
      </w:hyperlink>
      <w:r w:rsidRPr="00B04440">
        <w:rPr>
          <w:rFonts w:ascii="FrankRuehl" w:hAnsi="FrankRuehl" w:cs="FrankRuehl"/>
          <w:rtl/>
        </w:rPr>
        <w:t xml:space="preserve">, </w:t>
      </w:r>
      <w:hyperlink r:id="rId18" w:history="1">
        <w:r w:rsidRPr="00B04440">
          <w:rPr>
            <w:rFonts w:ascii="FrankRuehl" w:hAnsi="FrankRuehl" w:cs="FrankRuehl"/>
            <w:color w:val="0000FF"/>
            <w:u w:val="single"/>
            <w:rtl/>
          </w:rPr>
          <w:t>498</w:t>
        </w:r>
      </w:hyperlink>
      <w:r w:rsidRPr="00B04440">
        <w:rPr>
          <w:rFonts w:ascii="FrankRuehl" w:hAnsi="FrankRuehl" w:cs="FrankRuehl"/>
          <w:rtl/>
        </w:rPr>
        <w:t xml:space="preserve">, </w:t>
      </w:r>
      <w:hyperlink r:id="rId19" w:history="1">
        <w:r w:rsidRPr="00B04440">
          <w:rPr>
            <w:rFonts w:ascii="FrankRuehl" w:hAnsi="FrankRuehl" w:cs="FrankRuehl"/>
            <w:color w:val="0000FF"/>
            <w:u w:val="single"/>
            <w:rtl/>
          </w:rPr>
          <w:t>ג'</w:t>
        </w:r>
      </w:hyperlink>
    </w:p>
    <w:p w14:paraId="0762239C" w14:textId="77777777" w:rsidR="00B04440" w:rsidRPr="00B04440" w:rsidRDefault="00B04440" w:rsidP="00B04440">
      <w:pPr>
        <w:spacing w:after="120" w:line="240" w:lineRule="exact"/>
        <w:ind w:left="283" w:hanging="283"/>
        <w:jc w:val="both"/>
        <w:rPr>
          <w:rFonts w:ascii="FrankRuehl" w:hAnsi="FrankRuehl" w:cs="FrankRuehl"/>
          <w:rtl/>
        </w:rPr>
      </w:pPr>
      <w:hyperlink r:id="rId20" w:history="1">
        <w:r w:rsidRPr="00B04440">
          <w:rPr>
            <w:rFonts w:ascii="FrankRuehl" w:hAnsi="FrankRuehl" w:cs="FrankRuehl"/>
            <w:color w:val="0000FF"/>
            <w:u w:val="single"/>
            <w:rtl/>
          </w:rPr>
          <w:t>פקודת התעבורה [נוסח חדש]</w:t>
        </w:r>
      </w:hyperlink>
      <w:r w:rsidRPr="00B04440">
        <w:rPr>
          <w:rFonts w:ascii="FrankRuehl" w:hAnsi="FrankRuehl" w:cs="FrankRuehl"/>
          <w:rtl/>
        </w:rPr>
        <w:t xml:space="preserve">: סע'  </w:t>
      </w:r>
      <w:hyperlink r:id="rId21" w:history="1">
        <w:r w:rsidRPr="00B04440">
          <w:rPr>
            <w:rFonts w:ascii="FrankRuehl" w:hAnsi="FrankRuehl" w:cs="FrankRuehl"/>
            <w:color w:val="0000FF"/>
            <w:u w:val="single"/>
            <w:rtl/>
          </w:rPr>
          <w:t>43</w:t>
        </w:r>
      </w:hyperlink>
    </w:p>
    <w:p w14:paraId="5AFCCB72" w14:textId="77777777" w:rsidR="00B04440" w:rsidRPr="00B04440" w:rsidRDefault="00B04440" w:rsidP="00B04440">
      <w:pPr>
        <w:spacing w:after="120" w:line="240" w:lineRule="exact"/>
        <w:ind w:left="283" w:hanging="283"/>
        <w:jc w:val="both"/>
        <w:rPr>
          <w:rFonts w:ascii="FrankRuehl" w:hAnsi="FrankRuehl" w:cs="FrankRuehl"/>
          <w:rtl/>
        </w:rPr>
      </w:pPr>
      <w:hyperlink r:id="rId22" w:history="1">
        <w:r w:rsidRPr="00B04440">
          <w:rPr>
            <w:rFonts w:ascii="FrankRuehl" w:hAnsi="FrankRuehl" w:cs="FrankRuehl"/>
            <w:color w:val="0000FF"/>
            <w:u w:val="single"/>
            <w:rtl/>
          </w:rPr>
          <w:t>פקודת המבחן [נוסח חדש], תשכ"ט-1969</w:t>
        </w:r>
      </w:hyperlink>
    </w:p>
    <w:p w14:paraId="2F15C1F6" w14:textId="77777777" w:rsidR="005636B7" w:rsidRPr="005D20AB" w:rsidRDefault="005636B7" w:rsidP="005636B7">
      <w:pPr>
        <w:jc w:val="both"/>
      </w:pPr>
    </w:p>
    <w:p w14:paraId="70BEC345" w14:textId="77777777" w:rsidR="005636B7" w:rsidRPr="005D20AB" w:rsidRDefault="005636B7" w:rsidP="005636B7">
      <w:pPr>
        <w:jc w:val="both"/>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636B7" w:rsidRPr="005D20AB" w14:paraId="40B5D033" w14:textId="77777777" w:rsidTr="005636B7">
        <w:trPr>
          <w:trHeight w:val="355"/>
          <w:jc w:val="center"/>
        </w:trPr>
        <w:tc>
          <w:tcPr>
            <w:tcW w:w="8820" w:type="dxa"/>
            <w:tcBorders>
              <w:top w:val="nil"/>
              <w:left w:val="nil"/>
              <w:bottom w:val="nil"/>
              <w:right w:val="nil"/>
            </w:tcBorders>
            <w:shd w:val="clear" w:color="auto" w:fill="auto"/>
          </w:tcPr>
          <w:p w14:paraId="61562427" w14:textId="77777777" w:rsidR="005636B7" w:rsidRPr="005D20AB" w:rsidRDefault="005636B7" w:rsidP="005636B7">
            <w:pPr>
              <w:jc w:val="center"/>
              <w:rPr>
                <w:rFonts w:ascii="Arial" w:hAnsi="Arial" w:cs="FrankRuehl"/>
                <w:b/>
                <w:bCs/>
                <w:sz w:val="32"/>
                <w:szCs w:val="32"/>
                <w:rtl/>
              </w:rPr>
            </w:pPr>
            <w:bookmarkStart w:id="2" w:name="PsakDin"/>
            <w:r w:rsidRPr="005D20AB">
              <w:rPr>
                <w:rFonts w:ascii="Arial" w:hAnsi="Arial" w:cs="FrankRuehl" w:hint="cs"/>
                <w:b/>
                <w:bCs/>
                <w:sz w:val="32"/>
                <w:szCs w:val="32"/>
                <w:rtl/>
              </w:rPr>
              <w:t xml:space="preserve">גזר דין  </w:t>
            </w:r>
            <w:bookmarkEnd w:id="2"/>
            <w:r w:rsidRPr="005D20AB">
              <w:rPr>
                <w:rFonts w:ascii="Arial" w:hAnsi="Arial" w:cs="FrankRuehl" w:hint="cs"/>
                <w:b/>
                <w:bCs/>
                <w:sz w:val="32"/>
                <w:szCs w:val="32"/>
                <w:rtl/>
              </w:rPr>
              <w:t>נגד נאשם 1</w:t>
            </w:r>
          </w:p>
        </w:tc>
      </w:tr>
    </w:tbl>
    <w:p w14:paraId="1A00FAD0" w14:textId="77777777" w:rsidR="005636B7" w:rsidRPr="005D20AB" w:rsidRDefault="005636B7" w:rsidP="005636B7">
      <w:pPr>
        <w:jc w:val="both"/>
        <w:rPr>
          <w:rFonts w:ascii="Arial" w:hAnsi="Arial"/>
          <w:rtl/>
        </w:rPr>
      </w:pPr>
    </w:p>
    <w:p w14:paraId="32A2BF93" w14:textId="77777777" w:rsidR="005636B7" w:rsidRPr="005D20AB" w:rsidRDefault="005636B7" w:rsidP="005636B7">
      <w:pPr>
        <w:jc w:val="both"/>
        <w:rPr>
          <w:rtl/>
        </w:rPr>
      </w:pPr>
    </w:p>
    <w:p w14:paraId="289C4538" w14:textId="77777777" w:rsidR="005636B7" w:rsidRPr="005D20AB" w:rsidRDefault="005636B7" w:rsidP="005636B7">
      <w:pPr>
        <w:spacing w:line="360" w:lineRule="auto"/>
        <w:jc w:val="both"/>
        <w:rPr>
          <w:rtl/>
        </w:rPr>
      </w:pPr>
      <w:r w:rsidRPr="005D20AB">
        <w:rPr>
          <w:rFonts w:hint="cs"/>
          <w:rtl/>
        </w:rPr>
        <w:t>1.</w:t>
      </w:r>
      <w:r w:rsidRPr="005D20AB">
        <w:rPr>
          <w:rFonts w:hint="cs"/>
          <w:rtl/>
        </w:rPr>
        <w:tab/>
      </w:r>
      <w:bookmarkStart w:id="3" w:name="ABSTRACT_START"/>
      <w:bookmarkEnd w:id="3"/>
      <w:r w:rsidRPr="005D20AB">
        <w:rPr>
          <w:rFonts w:hint="cs"/>
          <w:rtl/>
        </w:rPr>
        <w:t xml:space="preserve">נאשם מספר 1 (להלן גם: </w:t>
      </w:r>
      <w:r w:rsidRPr="005D20AB">
        <w:rPr>
          <w:rFonts w:cs="Miriam" w:hint="cs"/>
          <w:rtl/>
        </w:rPr>
        <w:t>הנאשם</w:t>
      </w:r>
      <w:r w:rsidRPr="005D20AB">
        <w:rPr>
          <w:rFonts w:hint="cs"/>
          <w:rtl/>
        </w:rPr>
        <w:t xml:space="preserve">) הורשע בתיק זה, מכוח הודאתו בעובדות כתב האישום, בעבירה של נשיאה והובלה של נשק, לפי </w:t>
      </w:r>
      <w:hyperlink r:id="rId23" w:history="1">
        <w:r w:rsidR="00B04440" w:rsidRPr="00B04440">
          <w:rPr>
            <w:color w:val="0000FF"/>
            <w:u w:val="single"/>
            <w:rtl/>
          </w:rPr>
          <w:t>סעיף 144(ב)</w:t>
        </w:r>
      </w:hyperlink>
      <w:r w:rsidRPr="005D20AB">
        <w:rPr>
          <w:rFonts w:hint="cs"/>
          <w:rtl/>
        </w:rPr>
        <w:t xml:space="preserve"> רישא וסיפא בצירוף </w:t>
      </w:r>
      <w:hyperlink r:id="rId24" w:history="1">
        <w:r w:rsidR="00B04440" w:rsidRPr="00B04440">
          <w:rPr>
            <w:color w:val="0000FF"/>
            <w:u w:val="single"/>
            <w:rtl/>
          </w:rPr>
          <w:t>סעיף 29</w:t>
        </w:r>
      </w:hyperlink>
      <w:r w:rsidRPr="005D20AB">
        <w:rPr>
          <w:rFonts w:hint="cs"/>
          <w:rtl/>
        </w:rPr>
        <w:t xml:space="preserve"> ל</w:t>
      </w:r>
      <w:hyperlink r:id="rId25" w:history="1">
        <w:r w:rsidR="005D20AB" w:rsidRPr="005D20AB">
          <w:rPr>
            <w:color w:val="0000FF"/>
            <w:u w:val="single"/>
            <w:rtl/>
          </w:rPr>
          <w:t>חוק העונשין</w:t>
        </w:r>
      </w:hyperlink>
      <w:r w:rsidRPr="005D20AB">
        <w:rPr>
          <w:rFonts w:hint="cs"/>
          <w:rtl/>
        </w:rPr>
        <w:t xml:space="preserve">, התשל"ז-1977 (להלן: </w:t>
      </w:r>
      <w:r w:rsidRPr="005D20AB">
        <w:rPr>
          <w:rFonts w:cs="Miriam" w:hint="cs"/>
          <w:rtl/>
        </w:rPr>
        <w:t>חוק העונשין</w:t>
      </w:r>
      <w:r w:rsidRPr="005D20AB">
        <w:rPr>
          <w:rFonts w:hint="cs"/>
          <w:rtl/>
        </w:rPr>
        <w:t xml:space="preserve">) ובעבירה של הפרעה לשוטר בשעת מילוי תפקידו, לפי </w:t>
      </w:r>
      <w:hyperlink r:id="rId26" w:history="1">
        <w:r w:rsidR="00B04440" w:rsidRPr="00B04440">
          <w:rPr>
            <w:color w:val="0000FF"/>
            <w:u w:val="single"/>
            <w:rtl/>
          </w:rPr>
          <w:t>סעיף 275</w:t>
        </w:r>
      </w:hyperlink>
      <w:r w:rsidRPr="005D20AB">
        <w:rPr>
          <w:rFonts w:hint="cs"/>
          <w:rtl/>
        </w:rPr>
        <w:t xml:space="preserve"> לחוק העונשין. הנאשם הבהיר, במסגרת מתן הודאתו, בדיון ביום 7/11/18 , כי אינו מודה שעלה לרכב המצוין בכתב האישום וכן אינו מודה כי נאשם 2 הוא מי שנהג ברכב בו נסע. כמו כן, הסכימה המאשימה לא לטעון כי הנאשם עלה לרכב עם הנשקים הנזכרים בכתב האישום. כאן אציין, כי נאשם 2 הורשע בתיק זה, לאחר שהודה בעובדות כתב אישום מתוקן,  בעבירה של מתן אמצעים לביצוע פשע, עבירה לפי </w:t>
      </w:r>
      <w:hyperlink r:id="rId27" w:history="1">
        <w:r w:rsidR="00B04440" w:rsidRPr="00B04440">
          <w:rPr>
            <w:color w:val="0000FF"/>
            <w:u w:val="single"/>
            <w:rtl/>
          </w:rPr>
          <w:t>סעיף 498</w:t>
        </w:r>
      </w:hyperlink>
      <w:r w:rsidRPr="005D20AB">
        <w:rPr>
          <w:rFonts w:hint="cs"/>
          <w:rtl/>
        </w:rPr>
        <w:t xml:space="preserve"> ל</w:t>
      </w:r>
      <w:hyperlink r:id="rId28" w:history="1">
        <w:r w:rsidR="005D20AB" w:rsidRPr="005D20AB">
          <w:rPr>
            <w:color w:val="0000FF"/>
            <w:u w:val="single"/>
            <w:rtl/>
          </w:rPr>
          <w:t>חוק העונשין</w:t>
        </w:r>
      </w:hyperlink>
      <w:r w:rsidRPr="005D20AB">
        <w:rPr>
          <w:rFonts w:hint="cs"/>
          <w:rtl/>
        </w:rPr>
        <w:t xml:space="preserve"> ודינו נגזר לעונש של  6 חודשי מאסר  בפועל ו-5 ימים, בניכוי ימי מעצרו, וזאת לצד רכיב ענישה של מאסר מותנה.  עוד יצוין כי  נטען בכתב האישום המתוקן הנ"ל לגבי נאשם 2, כי הינו בעל הרכב הנזכר בכתב האישום וכי נתן  לנאשם 1 ולאחר את הרכב ביודעו כי הדבר עלול לשמש לביצוע פשע - נשיאה והובלת נשק. </w:t>
      </w:r>
      <w:bookmarkStart w:id="4" w:name="ABSTRACT_END"/>
      <w:bookmarkEnd w:id="4"/>
    </w:p>
    <w:p w14:paraId="0E182E84" w14:textId="77777777" w:rsidR="005636B7" w:rsidRPr="005D20AB" w:rsidRDefault="005636B7" w:rsidP="005636B7">
      <w:pPr>
        <w:spacing w:line="360" w:lineRule="auto"/>
        <w:jc w:val="both"/>
        <w:rPr>
          <w:rtl/>
        </w:rPr>
      </w:pPr>
    </w:p>
    <w:p w14:paraId="50BD4822" w14:textId="77777777" w:rsidR="005636B7" w:rsidRPr="005D20AB" w:rsidRDefault="005636B7" w:rsidP="005636B7">
      <w:pPr>
        <w:spacing w:line="360" w:lineRule="auto"/>
        <w:jc w:val="both"/>
        <w:rPr>
          <w:rtl/>
        </w:rPr>
      </w:pPr>
      <w:r w:rsidRPr="005D20AB">
        <w:rPr>
          <w:rFonts w:cs="Miriam" w:hint="cs"/>
          <w:rtl/>
        </w:rPr>
        <w:t xml:space="preserve">כתב האישום </w:t>
      </w:r>
    </w:p>
    <w:p w14:paraId="08851373" w14:textId="77777777" w:rsidR="005636B7" w:rsidRPr="005D20AB" w:rsidRDefault="005636B7" w:rsidP="005636B7">
      <w:pPr>
        <w:spacing w:line="360" w:lineRule="auto"/>
        <w:jc w:val="both"/>
        <w:rPr>
          <w:rtl/>
        </w:rPr>
      </w:pPr>
    </w:p>
    <w:p w14:paraId="7447E71C" w14:textId="77777777" w:rsidR="005636B7" w:rsidRPr="005D20AB" w:rsidRDefault="005636B7" w:rsidP="005636B7">
      <w:pPr>
        <w:spacing w:line="360" w:lineRule="auto"/>
        <w:jc w:val="both"/>
        <w:rPr>
          <w:rtl/>
        </w:rPr>
      </w:pPr>
      <w:r w:rsidRPr="005D20AB">
        <w:rPr>
          <w:rFonts w:hint="cs"/>
          <w:rtl/>
        </w:rPr>
        <w:lastRenderedPageBreak/>
        <w:t>2.</w:t>
      </w:r>
      <w:r w:rsidRPr="005D20AB">
        <w:rPr>
          <w:rFonts w:hint="cs"/>
          <w:rtl/>
        </w:rPr>
        <w:tab/>
        <w:t xml:space="preserve">נטען בכתב האישום כי ביום 16/05/18, עובר לשעה 08:20, נהג נאשם 2 בג'יפ גרנד צ'ירוקי שבבעלותו (להלן: </w:t>
      </w:r>
      <w:r w:rsidRPr="005D20AB">
        <w:rPr>
          <w:rFonts w:cs="Miriam" w:hint="cs"/>
          <w:rtl/>
        </w:rPr>
        <w:t>הרכב</w:t>
      </w:r>
      <w:r w:rsidRPr="005D20AB">
        <w:rPr>
          <w:rFonts w:hint="cs"/>
          <w:rtl/>
        </w:rPr>
        <w:t xml:space="preserve">), וזאת  בשביל עפר המוביל משכונת עין ג'ראר לשכונת אל עראייש (להלן: </w:t>
      </w:r>
      <w:r w:rsidRPr="005D20AB">
        <w:rPr>
          <w:rFonts w:cs="Miriam" w:hint="cs"/>
          <w:rtl/>
        </w:rPr>
        <w:t>דרך העפר</w:t>
      </w:r>
      <w:r w:rsidRPr="005D20AB">
        <w:rPr>
          <w:rFonts w:hint="cs"/>
          <w:rtl/>
        </w:rPr>
        <w:t>) באום אל פחם. במושב הקדמי שליד הנהג ישב הנאשם.</w:t>
      </w:r>
    </w:p>
    <w:p w14:paraId="057A1031" w14:textId="77777777" w:rsidR="005636B7" w:rsidRPr="005D20AB" w:rsidRDefault="005636B7" w:rsidP="005636B7">
      <w:pPr>
        <w:spacing w:line="360" w:lineRule="auto"/>
        <w:jc w:val="both"/>
        <w:rPr>
          <w:rtl/>
        </w:rPr>
      </w:pPr>
    </w:p>
    <w:p w14:paraId="36CBD462" w14:textId="77777777" w:rsidR="00B04440" w:rsidRDefault="005636B7" w:rsidP="005636B7">
      <w:pPr>
        <w:spacing w:line="360" w:lineRule="auto"/>
        <w:jc w:val="both"/>
        <w:rPr>
          <w:rtl/>
        </w:rPr>
      </w:pPr>
      <w:r w:rsidRPr="005D20AB">
        <w:rPr>
          <w:rFonts w:hint="cs"/>
          <w:rtl/>
        </w:rPr>
        <w:t>3.</w:t>
      </w:r>
      <w:r w:rsidRPr="005D20AB">
        <w:rPr>
          <w:rFonts w:hint="cs"/>
          <w:rtl/>
        </w:rPr>
        <w:tab/>
        <w:t xml:space="preserve">הנאשמים נסעו ברכב כשהם נושאים ומובילים, בצוותא חדא, בלא רשות על פי דין, נשק ארוך מסוג </w:t>
      </w:r>
      <w:r w:rsidRPr="005D20AB">
        <w:rPr>
          <w:rFonts w:hint="cs"/>
        </w:rPr>
        <w:t>M16</w:t>
      </w:r>
      <w:r w:rsidRPr="005D20AB">
        <w:rPr>
          <w:rFonts w:hint="cs"/>
          <w:rtl/>
        </w:rPr>
        <w:t>, קליבר 5.56 מ"מ, ובתוכו מחסנית עם 28 כדורים, וכן נשאו והובילו, בצוותא חדא,</w:t>
      </w:r>
      <w:bookmarkStart w:id="5" w:name="LawTable"/>
      <w:bookmarkEnd w:id="5"/>
    </w:p>
    <w:p w14:paraId="449F905D" w14:textId="77777777" w:rsidR="00B04440" w:rsidRPr="00B04440" w:rsidRDefault="00B04440" w:rsidP="00B04440">
      <w:pPr>
        <w:spacing w:after="120" w:line="240" w:lineRule="exact"/>
        <w:ind w:left="283" w:hanging="283"/>
        <w:jc w:val="both"/>
        <w:rPr>
          <w:rFonts w:ascii="FrankRuehl" w:hAnsi="FrankRuehl" w:cs="FrankRuehl"/>
          <w:rtl/>
        </w:rPr>
      </w:pPr>
    </w:p>
    <w:p w14:paraId="387214AE" w14:textId="77777777" w:rsidR="005D20AB" w:rsidRPr="005D20AB" w:rsidRDefault="005D20AB" w:rsidP="005D20AB">
      <w:pPr>
        <w:spacing w:line="360" w:lineRule="auto"/>
        <w:jc w:val="center"/>
        <w:rPr>
          <w:bCs/>
          <w:rtl/>
        </w:rPr>
      </w:pPr>
      <w:bookmarkStart w:id="6" w:name="LawTable_End"/>
      <w:bookmarkEnd w:id="0"/>
      <w:bookmarkEnd w:id="6"/>
      <w:r w:rsidRPr="005D20AB">
        <w:rPr>
          <w:bCs/>
          <w:rtl/>
        </w:rPr>
        <w:t>נשק ארוך מסוג "תבור", קליבר 5.56 מ"מ, ובתוכו מחסנית עם 28 כדורים. בנוסף,  הנאשם, בצוותא</w:t>
      </w:r>
    </w:p>
    <w:p w14:paraId="0B902956" w14:textId="77777777" w:rsidR="005636B7" w:rsidRDefault="005636B7" w:rsidP="005636B7">
      <w:pPr>
        <w:spacing w:line="360" w:lineRule="auto"/>
        <w:jc w:val="both"/>
        <w:rPr>
          <w:rtl/>
        </w:rPr>
      </w:pPr>
      <w:r>
        <w:rPr>
          <w:rFonts w:hint="cs"/>
          <w:rtl/>
        </w:rPr>
        <w:t xml:space="preserve">חדא עם נאשם 2, נשא והוביל בכיס המעיל שלבש, מחסנית נוספת עם 28 כדורים של </w:t>
      </w:r>
      <w:r>
        <w:t>M16</w:t>
      </w:r>
      <w:r>
        <w:rPr>
          <w:rFonts w:hint="cs"/>
          <w:rtl/>
        </w:rPr>
        <w:t>.</w:t>
      </w:r>
    </w:p>
    <w:p w14:paraId="348E7EB7" w14:textId="77777777" w:rsidR="005636B7" w:rsidRDefault="005636B7" w:rsidP="005636B7">
      <w:pPr>
        <w:spacing w:line="360" w:lineRule="auto"/>
        <w:jc w:val="both"/>
        <w:rPr>
          <w:rtl/>
        </w:rPr>
      </w:pPr>
    </w:p>
    <w:p w14:paraId="59A00E57" w14:textId="77777777" w:rsidR="005636B7" w:rsidRPr="00B05847" w:rsidRDefault="005636B7" w:rsidP="005636B7">
      <w:pPr>
        <w:spacing w:line="360" w:lineRule="auto"/>
        <w:jc w:val="both"/>
        <w:rPr>
          <w:rtl/>
        </w:rPr>
      </w:pPr>
      <w:r>
        <w:rPr>
          <w:rFonts w:hint="cs"/>
          <w:rtl/>
        </w:rPr>
        <w:t>4.</w:t>
      </w:r>
      <w:r>
        <w:rPr>
          <w:rFonts w:hint="cs"/>
          <w:rtl/>
        </w:rPr>
        <w:tab/>
        <w:t xml:space="preserve">עוד נטען כי בזמן שנסעו הנאשמים בדרך עפר הגיעה מולם ניידת משטרה ובה השוטרים מועתז עדוי, מוחמד ג'מאמעה ואיהאב עותמאן (להלן: </w:t>
      </w:r>
      <w:r w:rsidRPr="007D267B">
        <w:rPr>
          <w:rFonts w:cs="Miriam" w:hint="cs"/>
          <w:rtl/>
        </w:rPr>
        <w:t>השוטרים</w:t>
      </w:r>
      <w:r>
        <w:rPr>
          <w:rFonts w:hint="cs"/>
          <w:rtl/>
        </w:rPr>
        <w:t xml:space="preserve">). בהבחינם בניידת, עצר נאשם 2 את נסיעתו, ואז הנאשם יצא מהרכב והחל לברוח כשהוא נושא עמו את הנשקים, המחסניות והכדורים, זאת בלא רשות על פי דין. השוטרים החלו במרדף אחר הנאשם ואילו נאשם 2 נמלט מהמקום ברכב. תוך כדי בריחתו של הנאשם  מהשוטרים, השליך הנאשם את הנשקים על הקרקע. כל זאת עשו הנאשמים בכוונה להתחמק מהשוטרים ולהפריע להם מלמלא תפקידם כחוק או להכשילם בכך. </w:t>
      </w:r>
    </w:p>
    <w:p w14:paraId="6C5313F7" w14:textId="77777777" w:rsidR="005636B7" w:rsidRPr="00B05847" w:rsidRDefault="005636B7" w:rsidP="005636B7">
      <w:pPr>
        <w:jc w:val="both"/>
        <w:rPr>
          <w:rtl/>
        </w:rPr>
      </w:pPr>
    </w:p>
    <w:p w14:paraId="4A31EE4E" w14:textId="77777777" w:rsidR="005636B7" w:rsidRPr="00B05847" w:rsidRDefault="005636B7" w:rsidP="005636B7">
      <w:pPr>
        <w:jc w:val="both"/>
        <w:rPr>
          <w:rtl/>
        </w:rPr>
      </w:pPr>
    </w:p>
    <w:p w14:paraId="788FFEAC" w14:textId="77777777" w:rsidR="005636B7" w:rsidRPr="00A73424" w:rsidRDefault="005636B7" w:rsidP="005636B7">
      <w:pPr>
        <w:spacing w:line="360" w:lineRule="auto"/>
        <w:jc w:val="both"/>
        <w:rPr>
          <w:rFonts w:cs="Miriam"/>
          <w:u w:val="single"/>
          <w:rtl/>
        </w:rPr>
      </w:pPr>
      <w:r w:rsidRPr="00A73424">
        <w:rPr>
          <w:rFonts w:cs="Miriam" w:hint="cs"/>
          <w:u w:val="single"/>
          <w:rtl/>
        </w:rPr>
        <w:t>תסקירי שירות המבחן</w:t>
      </w:r>
    </w:p>
    <w:p w14:paraId="472A129B" w14:textId="77777777" w:rsidR="005636B7" w:rsidRPr="00B05847" w:rsidRDefault="005636B7" w:rsidP="005636B7">
      <w:pPr>
        <w:jc w:val="both"/>
        <w:rPr>
          <w:rtl/>
        </w:rPr>
      </w:pPr>
    </w:p>
    <w:p w14:paraId="3418A38B" w14:textId="77777777" w:rsidR="005636B7" w:rsidRDefault="005636B7" w:rsidP="005636B7">
      <w:pPr>
        <w:spacing w:line="360" w:lineRule="auto"/>
        <w:jc w:val="both"/>
        <w:rPr>
          <w:rtl/>
        </w:rPr>
      </w:pPr>
      <w:r>
        <w:rPr>
          <w:rFonts w:hint="cs"/>
          <w:rtl/>
        </w:rPr>
        <w:t>5.</w:t>
      </w:r>
      <w:r>
        <w:rPr>
          <w:rFonts w:hint="cs"/>
          <w:rtl/>
        </w:rPr>
        <w:tab/>
        <w:t xml:space="preserve">תסקירו הראשון של שרות המבחן שהוגש אודות הנאשם מלמד, כי הוא כבן 25, נשוי ואב לתינוקת. הנאשם שוהה במעצר בית מלא, באיזוק אלקטרוני, בבית דודתו מחודש דצמבר 2018 . טרם מעצרו, גילה הנאשם יציבות תעסוקתית. הוא עבד  כחמישה חודשים, יחד עם אביו, בעסק המשפחתי, העוסק בשיווק פיצוחים לחנויות, ולפני כן עבד  כשלוש וחצי שנים בחברת תאורה בבעלות גיסו. שירות המבחן התרשם כי הנאשם אינו בעל דפוסים עברייניים מושרשים והוא מצוי בשלב של ביסוס חייו בתחום המשפחתי והתעסוקתי. </w:t>
      </w:r>
    </w:p>
    <w:p w14:paraId="3046E02B" w14:textId="77777777" w:rsidR="005636B7" w:rsidRDefault="005636B7" w:rsidP="005636B7">
      <w:pPr>
        <w:spacing w:line="360" w:lineRule="auto"/>
        <w:jc w:val="both"/>
        <w:rPr>
          <w:rtl/>
        </w:rPr>
      </w:pPr>
    </w:p>
    <w:p w14:paraId="2A128ED7" w14:textId="77777777" w:rsidR="005636B7" w:rsidRDefault="005636B7" w:rsidP="005636B7">
      <w:pPr>
        <w:spacing w:line="360" w:lineRule="auto"/>
        <w:jc w:val="both"/>
        <w:rPr>
          <w:rtl/>
        </w:rPr>
      </w:pPr>
      <w:r>
        <w:rPr>
          <w:rFonts w:hint="cs"/>
          <w:rtl/>
        </w:rPr>
        <w:t>6.</w:t>
      </w:r>
      <w:r>
        <w:rPr>
          <w:rtl/>
        </w:rPr>
        <w:tab/>
      </w:r>
      <w:r>
        <w:rPr>
          <w:rFonts w:hint="cs"/>
          <w:rtl/>
        </w:rPr>
        <w:t xml:space="preserve">בהתייחס לביצוע העבירות, הנאשם נושא באחריות על מעשיו ואף הביע חרטה על התנהלותו. הנאשם שלל מעורבות בנשק וביטא הבנה לעניין החומרה הטמונה בעבירות אלו. שירות המבחן התרשם בתסקירו הראשון מקיומו של פער בין תפקודו הכללי של הנאשם ובין העבירות שבפנינו וקושי ליישב פער זה. עוד התרשם שירות המבחן, כי הנאשם נוטה להתמקד בחלקי חייו המתפקדים ובהצגת תכנים חיוביים, מרחיק עצמו מהמעשים ומתקשה בזיהוי קשיים וחולשות בתפקודו. צוין כי קושי זה לא אפשר העמקה בבירור מצבו של הנאשם והנסיבות שהובילו אותו לביצוע העבירות. שירות המבחן העריך בתסקיר הראשון כי גורמים אלו, בשילוב גילו הצעיר של </w:t>
      </w:r>
      <w:r>
        <w:rPr>
          <w:rFonts w:hint="cs"/>
          <w:rtl/>
        </w:rPr>
        <w:lastRenderedPageBreak/>
        <w:t>הנאשם והיותו בשלב של גיבוש זהות, לצד חומרת העבירות, מהווים גורמי סיכון ממשיים שאינם מאפשרים לשלול קיומו של סיכוי להישנות התנהלות עוברת חוק מצדו בעתיד. לפיכך, סבר שירות המבחן כי לא נותר בענייננו כל פתח לאפיק שיקומי בקהילה שבכוחו יהא להפחית את הסיכון להישנות עבירות נשק בעתיד ע"י הנאשם.</w:t>
      </w:r>
    </w:p>
    <w:p w14:paraId="24FE90F2" w14:textId="77777777" w:rsidR="005636B7" w:rsidRDefault="005636B7" w:rsidP="005636B7">
      <w:pPr>
        <w:spacing w:line="360" w:lineRule="auto"/>
        <w:jc w:val="both"/>
        <w:rPr>
          <w:rtl/>
        </w:rPr>
      </w:pPr>
    </w:p>
    <w:p w14:paraId="550B484A" w14:textId="77777777" w:rsidR="005636B7" w:rsidRDefault="005636B7" w:rsidP="005636B7">
      <w:pPr>
        <w:spacing w:line="360" w:lineRule="auto"/>
        <w:jc w:val="both"/>
        <w:rPr>
          <w:rtl/>
        </w:rPr>
      </w:pPr>
      <w:r>
        <w:rPr>
          <w:rFonts w:hint="cs"/>
          <w:rtl/>
        </w:rPr>
        <w:t>7.</w:t>
      </w:r>
      <w:r>
        <w:rPr>
          <w:rFonts w:hint="cs"/>
          <w:rtl/>
        </w:rPr>
        <w:tab/>
        <w:t>מהתסקיר השני עולה כי הנאשם הצליח להתבונן באופן ביקורתי על התנהלותו בעת ביצוע העבירה וכי חלה התקדמות ביכולת השיתוף שלו. כמו כן, צוין כי הנאשם ביטא רצון להיעזר בשירות המבחן לשם בחינת מצבו ולרכוש כלים להתמודדות במצבים בהם הוא מתקשה להפעיל שיקול  דעת. שירות המבחן העריך בתסקירו הנ"ל, כי הנאשם מסוגל להיתרם מקשר טיפולי והעריך כי השתלבותו בטיפול תסייע לו לבחון דפוסים באישיותו תוך רכישת כלים להתמודדות במצבי דחק, ובכך להפחית את הסיכון להישנות התנהגות עוברת חוק מצדו. עוד התרשם שרות המבחן כי הנאשם מגלה כיום יכולת התחלתית להירתם ולהיתרם מהליך טיפולי.</w:t>
      </w:r>
    </w:p>
    <w:p w14:paraId="2CE11773" w14:textId="77777777" w:rsidR="005636B7" w:rsidRDefault="005636B7" w:rsidP="005636B7">
      <w:pPr>
        <w:spacing w:line="360" w:lineRule="auto"/>
        <w:jc w:val="both"/>
        <w:rPr>
          <w:rtl/>
        </w:rPr>
      </w:pPr>
    </w:p>
    <w:p w14:paraId="524D6514" w14:textId="77777777" w:rsidR="005636B7" w:rsidRDefault="005636B7" w:rsidP="005636B7">
      <w:pPr>
        <w:spacing w:line="360" w:lineRule="auto"/>
        <w:jc w:val="both"/>
        <w:rPr>
          <w:rtl/>
        </w:rPr>
      </w:pPr>
      <w:r>
        <w:rPr>
          <w:rFonts w:hint="cs"/>
          <w:rtl/>
        </w:rPr>
        <w:t>8.</w:t>
      </w:r>
      <w:r>
        <w:rPr>
          <w:rFonts w:hint="cs"/>
          <w:rtl/>
        </w:rPr>
        <w:tab/>
        <w:t>לפיכך, ביכר שירות המבחן בתסקירו השני את האפיק השיקומי בעניינו של הנאשם והמליץ שלא למצות את הדין עמו ולהעמידו תחת צו מבחן למשך שנה, במהלכו ישתלב במערך הטיפולי של שירות המבחן, זאת לצד הטלת ענישה מוחשית של מאסר בעבודות שירות.</w:t>
      </w:r>
    </w:p>
    <w:p w14:paraId="7E2B82FC" w14:textId="77777777" w:rsidR="005636B7" w:rsidRDefault="005636B7" w:rsidP="005636B7">
      <w:pPr>
        <w:spacing w:line="360" w:lineRule="auto"/>
        <w:jc w:val="both"/>
        <w:rPr>
          <w:rtl/>
        </w:rPr>
      </w:pPr>
    </w:p>
    <w:p w14:paraId="664CEBC4" w14:textId="77777777" w:rsidR="005636B7" w:rsidRDefault="005636B7" w:rsidP="005636B7">
      <w:pPr>
        <w:spacing w:line="360" w:lineRule="auto"/>
        <w:jc w:val="both"/>
        <w:rPr>
          <w:rtl/>
        </w:rPr>
      </w:pPr>
      <w:r>
        <w:rPr>
          <w:rFonts w:hint="cs"/>
          <w:rtl/>
        </w:rPr>
        <w:t>9.</w:t>
      </w:r>
      <w:r>
        <w:rPr>
          <w:rFonts w:hint="cs"/>
          <w:rtl/>
        </w:rPr>
        <w:tab/>
        <w:t xml:space="preserve">מהתסקיר השלישי שהוגש ביום 11/9/19 לאחר בחינת אופן השתלבותו של הנאשם בהליך הטיפולי עולה, כי הנאשם הגיע לכל המפגשים, שיתף בתכניו האישיים וביטא מחויבות ורצינות בקשר עם שירות המבחן. שירות המבחן סבור, כי בשלב הנוכחי מתאים הנאשם להמשך טיפול במסגרתו  נוכח המוטיבציה שמגלה הנאשם. נוכח האמור לעיל, שב שירות המבחן על המלצתו בתסקיר השני וממליץ על העמדת הנאשם בצו מבחן למשך 18 חודשים, במהלכם ישולב בקבוצה טיפולית המותאמת לצרכיו. </w:t>
      </w:r>
    </w:p>
    <w:p w14:paraId="2FFD9F89" w14:textId="77777777" w:rsidR="005636B7" w:rsidRDefault="005636B7" w:rsidP="005636B7">
      <w:pPr>
        <w:spacing w:line="360" w:lineRule="auto"/>
        <w:jc w:val="both"/>
        <w:rPr>
          <w:rtl/>
        </w:rPr>
      </w:pPr>
    </w:p>
    <w:p w14:paraId="2FDE22BD" w14:textId="77777777" w:rsidR="005636B7" w:rsidRPr="007A6B6F" w:rsidRDefault="005636B7" w:rsidP="005636B7">
      <w:pPr>
        <w:spacing w:line="360" w:lineRule="auto"/>
        <w:jc w:val="both"/>
        <w:rPr>
          <w:rFonts w:ascii="Miriam" w:hAnsi="Miriam" w:cs="Miriam"/>
          <w:u w:val="single"/>
          <w:rtl/>
        </w:rPr>
      </w:pPr>
      <w:r w:rsidRPr="007A6B6F">
        <w:rPr>
          <w:rFonts w:ascii="Miriam" w:hAnsi="Miriam" w:cs="Miriam"/>
          <w:u w:val="single"/>
          <w:rtl/>
        </w:rPr>
        <w:t>טיעוני באי כוח הצדדים לעונש</w:t>
      </w:r>
    </w:p>
    <w:p w14:paraId="77E76993" w14:textId="77777777" w:rsidR="005636B7" w:rsidRDefault="005636B7" w:rsidP="005636B7">
      <w:pPr>
        <w:spacing w:line="360" w:lineRule="auto"/>
        <w:jc w:val="both"/>
        <w:rPr>
          <w:rtl/>
        </w:rPr>
      </w:pPr>
    </w:p>
    <w:p w14:paraId="03CA2018" w14:textId="77777777" w:rsidR="005636B7" w:rsidRDefault="005636B7" w:rsidP="005636B7">
      <w:pPr>
        <w:spacing w:line="360" w:lineRule="auto"/>
        <w:jc w:val="both"/>
        <w:rPr>
          <w:rtl/>
        </w:rPr>
      </w:pPr>
      <w:r>
        <w:rPr>
          <w:rFonts w:hint="cs"/>
          <w:rtl/>
        </w:rPr>
        <w:t xml:space="preserve">10. </w:t>
      </w:r>
      <w:r>
        <w:rPr>
          <w:rFonts w:hint="cs"/>
          <w:rtl/>
        </w:rPr>
        <w:tab/>
        <w:t xml:space="preserve">ב"כ המאשימה, בטיעוניו לעונש בדיון לפניי ביום 15/09/2019, טען כי נפגעים בענייננו ערכים של סיכון חיי אדם ושלטון החוק, וכן הדגיש  את היות כלי  הנשק, במקרה שבפנינו, בעלי אופי התקפי </w:t>
      </w:r>
      <w:r>
        <w:rPr>
          <w:rtl/>
        </w:rPr>
        <w:t>–</w:t>
      </w:r>
      <w:r>
        <w:rPr>
          <w:rFonts w:hint="cs"/>
          <w:rtl/>
        </w:rPr>
        <w:t xml:space="preserve"> רובי סער, מה גם שה"תבור" הוא נשק חדיש.  להמחשת המסוכנות  הטמונה בכלי הנשק, הוגשה תמונתם  (</w:t>
      </w:r>
      <w:r w:rsidRPr="00780920">
        <w:rPr>
          <w:rFonts w:ascii="Miriam" w:hAnsi="Miriam" w:cs="Miriam"/>
          <w:rtl/>
        </w:rPr>
        <w:t>ט/1</w:t>
      </w:r>
      <w:r>
        <w:rPr>
          <w:rFonts w:hint="cs"/>
          <w:rtl/>
        </w:rPr>
        <w:t>), תוך שנטען כי הנאשם נשא בנוסף לשני כלי הנשק, גם מחסנית, וכי הנשיאה הייתה באמצעות רכב.  עם זאת, אישר ב"כ המאשימה, ברוב הגינות,  כי עסקינן בנשיאה לא ארוכה של כלי הנשק, בשביל עפר. בסיכומו של דבר, ולאחר שהפנה לפסיקה (</w:t>
      </w:r>
      <w:r w:rsidRPr="00780920">
        <w:rPr>
          <w:rFonts w:ascii="Miriam" w:hAnsi="Miriam" w:cs="Miriam"/>
          <w:rtl/>
        </w:rPr>
        <w:t>ט/2</w:t>
      </w:r>
      <w:r>
        <w:rPr>
          <w:rFonts w:hint="cs"/>
          <w:rtl/>
        </w:rPr>
        <w:t xml:space="preserve">),  טען ב"כ המאשימה למתחם עונש הולם הנע בין  3 </w:t>
      </w:r>
      <w:r>
        <w:rPr>
          <w:rtl/>
        </w:rPr>
        <w:t>–</w:t>
      </w:r>
      <w:r>
        <w:rPr>
          <w:rFonts w:hint="cs"/>
          <w:rtl/>
        </w:rPr>
        <w:t xml:space="preserve"> 5 שנות מאסר בפועל, וביקש  להעמיד את עונשו של הנאשם בתחתית המתחם,  בהיותו בעל עבר נקי ובהינתן הודאתו בהזדמנות הראשונה, תסקירו החיובי והעובדה ששותפו (נאשם 2) נדון לעונש קל אם כי בעבירה הפחותה בהרבה  בחומרתה. ב"כ המאשימה ביקש שלא לסטות ממתחם העונש ההולם הנ"ל, תוך שטען  כי אין בנסיבות העניין שבפנינו נימוקים המצדיקים זאת.  </w:t>
      </w:r>
    </w:p>
    <w:p w14:paraId="7C3DFD93" w14:textId="77777777" w:rsidR="005636B7" w:rsidRDefault="005636B7" w:rsidP="005636B7">
      <w:pPr>
        <w:spacing w:line="360" w:lineRule="auto"/>
        <w:jc w:val="both"/>
        <w:rPr>
          <w:rtl/>
        </w:rPr>
      </w:pPr>
    </w:p>
    <w:p w14:paraId="7135EDD4" w14:textId="77777777" w:rsidR="005636B7" w:rsidRDefault="005636B7" w:rsidP="005636B7">
      <w:pPr>
        <w:spacing w:line="360" w:lineRule="auto"/>
        <w:jc w:val="both"/>
        <w:rPr>
          <w:rtl/>
        </w:rPr>
      </w:pPr>
      <w:r>
        <w:rPr>
          <w:rFonts w:hint="cs"/>
          <w:rtl/>
        </w:rPr>
        <w:t xml:space="preserve">11. </w:t>
      </w:r>
      <w:r>
        <w:rPr>
          <w:rFonts w:hint="cs"/>
          <w:rtl/>
        </w:rPr>
        <w:tab/>
        <w:t xml:space="preserve">הסנגור, בטיעוניו לעונש, טען כי יש מקום לסטות בתיק זה ממתחם העונש ההולם נוכח סיכויי שיקום של הנאשם, ותוך כך לאמץ את המלצות שירות המבחן.  הוטעם כי מדובר בנאשם בן 25, נשוי ואב לילדה, אשר אין לחובתו רישום פלילי קודם.  כן צוין כי כבר בתסקיר הראשון התרשם שירות המבחן מהעדר דפוסים עברייניים אצל הנאשם וכי מעצרו וההליך המשפטי מהווים עבורו גורם הרתעתי ומציב גבולות. עוד הפנה הסנגור לשני התסקירים האחרונים מהם עולה המלצה טיפולית בעניינו של הנאשם, אשר השתלב בהליך טיפולי ולוקח אחריות על מעשיו.  הסנגור הדגיש את העובדה שביום 5/5/19 הסכימה המאשימה לקבלת תסקיר משלים ולכך שתקופת הדחייה תנוצל לצורך המשך השתלבותו של הנאשם בהליך הטיפולי, וכך נעשה ע"י הנאשם שהפגין בגרות והביע מחויבות ורצינות באופן שנטל חלק בהליך הטיפולי. </w:t>
      </w:r>
    </w:p>
    <w:p w14:paraId="3CF1E0EA" w14:textId="77777777" w:rsidR="005636B7" w:rsidRDefault="005636B7" w:rsidP="005636B7">
      <w:pPr>
        <w:spacing w:line="360" w:lineRule="auto"/>
        <w:jc w:val="both"/>
        <w:rPr>
          <w:rtl/>
        </w:rPr>
      </w:pPr>
    </w:p>
    <w:p w14:paraId="264E5770" w14:textId="77777777" w:rsidR="005636B7" w:rsidRDefault="005636B7" w:rsidP="005636B7">
      <w:pPr>
        <w:spacing w:line="360" w:lineRule="auto"/>
        <w:jc w:val="both"/>
        <w:rPr>
          <w:rtl/>
        </w:rPr>
      </w:pPr>
      <w:r>
        <w:rPr>
          <w:rFonts w:hint="cs"/>
          <w:rtl/>
        </w:rPr>
        <w:t xml:space="preserve">12. </w:t>
      </w:r>
      <w:r>
        <w:rPr>
          <w:rFonts w:hint="cs"/>
          <w:rtl/>
        </w:rPr>
        <w:tab/>
        <w:t xml:space="preserve">הסנגור הוסיף וטען, כי הנאשם הודה בפתח משפטו מבלי שיעידו עדי התביעה. בנוסף, הפנה הסנגור להסכמת המאשימה לא לטעון כי הנאשם עלה לרכב עם כלי הנשק ולטענתה כי נשיאת הנשק ע"י הנאשם הייתה לפרק זמן קצר, דבר התואם את גרסתו, לפיה פעל, לבקשת נהג הרכב, עת שברח מהרכב וברשותו שני כלי הנשק. </w:t>
      </w:r>
    </w:p>
    <w:p w14:paraId="267D22C7" w14:textId="77777777" w:rsidR="005636B7" w:rsidRDefault="005636B7" w:rsidP="005636B7">
      <w:pPr>
        <w:spacing w:line="360" w:lineRule="auto"/>
        <w:jc w:val="both"/>
        <w:rPr>
          <w:rtl/>
        </w:rPr>
      </w:pPr>
    </w:p>
    <w:p w14:paraId="29AC03E3" w14:textId="77777777" w:rsidR="005636B7" w:rsidRDefault="005636B7" w:rsidP="005636B7">
      <w:pPr>
        <w:spacing w:line="360" w:lineRule="auto"/>
        <w:jc w:val="both"/>
        <w:rPr>
          <w:rtl/>
        </w:rPr>
      </w:pPr>
      <w:r>
        <w:rPr>
          <w:rFonts w:hint="cs"/>
          <w:rtl/>
        </w:rPr>
        <w:t xml:space="preserve">13. </w:t>
      </w:r>
      <w:r>
        <w:rPr>
          <w:rFonts w:hint="cs"/>
          <w:rtl/>
        </w:rPr>
        <w:tab/>
        <w:t xml:space="preserve">הסנגור הוסיף וציין כי הנאשם היה עצור במשך כחודש וחצי וכי ביום 4/7/18 נעצר באיזוק אלקטרוני, ומאז  הוא מקפיד למלא אחר תנאי השחרור, וזאת אף  בתקופה האחרונה, מיום 11/6/19, שאז הוסר האיזוק האלקטרוני וצומצם מעצר הבית של הנאשם בביתו לשעות הלילה על מנת שימשיך לעבוד ולפרנס את המשפחה. </w:t>
      </w:r>
    </w:p>
    <w:p w14:paraId="471DDBE7" w14:textId="77777777" w:rsidR="005636B7" w:rsidRDefault="005636B7" w:rsidP="005636B7">
      <w:pPr>
        <w:spacing w:line="360" w:lineRule="auto"/>
        <w:jc w:val="both"/>
        <w:rPr>
          <w:rtl/>
        </w:rPr>
      </w:pPr>
    </w:p>
    <w:p w14:paraId="5F8A0ED9" w14:textId="77777777" w:rsidR="005636B7" w:rsidRDefault="005636B7" w:rsidP="005636B7">
      <w:pPr>
        <w:spacing w:line="360" w:lineRule="auto"/>
        <w:jc w:val="both"/>
        <w:rPr>
          <w:rtl/>
        </w:rPr>
      </w:pPr>
      <w:r>
        <w:rPr>
          <w:rFonts w:hint="cs"/>
          <w:rtl/>
        </w:rPr>
        <w:t xml:space="preserve">14. </w:t>
      </w:r>
      <w:r>
        <w:rPr>
          <w:rFonts w:hint="cs"/>
          <w:rtl/>
        </w:rPr>
        <w:tab/>
        <w:t xml:space="preserve">הסנגור טען כי חרף סוגם של כלי הנשק הרי שאין עסקינן בתיק חמור של נשיאת  נשק, שכן מדובר, כאמור, בנשיאתו למרחק קצר ביותר למשך פרק זמן של מספר דקות בלבד. עוד ביקש הסנגור לתת את הדעת לעונשו של הנאשם האחר שנדון, כאמור, לעונש של כ- 6 חודשי מאסר בפועל. </w:t>
      </w:r>
    </w:p>
    <w:p w14:paraId="4E68842E" w14:textId="77777777" w:rsidR="005636B7" w:rsidRDefault="005636B7" w:rsidP="005636B7">
      <w:pPr>
        <w:spacing w:line="360" w:lineRule="auto"/>
        <w:jc w:val="both"/>
        <w:rPr>
          <w:rtl/>
        </w:rPr>
      </w:pPr>
    </w:p>
    <w:p w14:paraId="1AA3C163" w14:textId="77777777" w:rsidR="005636B7" w:rsidRDefault="005636B7" w:rsidP="005636B7">
      <w:pPr>
        <w:spacing w:line="360" w:lineRule="auto"/>
        <w:jc w:val="both"/>
        <w:rPr>
          <w:rtl/>
        </w:rPr>
      </w:pPr>
      <w:r>
        <w:rPr>
          <w:rFonts w:hint="cs"/>
          <w:rtl/>
        </w:rPr>
        <w:t xml:space="preserve">15. </w:t>
      </w:r>
      <w:r>
        <w:rPr>
          <w:rFonts w:hint="cs"/>
          <w:rtl/>
        </w:rPr>
        <w:tab/>
        <w:t>בסיכומו של דבר, ולאחר שהפנה לפסיקה (</w:t>
      </w:r>
      <w:r w:rsidRPr="004C3479">
        <w:rPr>
          <w:rFonts w:ascii="Miriam" w:hAnsi="Miriam" w:cs="Miriam"/>
          <w:rtl/>
        </w:rPr>
        <w:t>נ/1</w:t>
      </w:r>
      <w:r>
        <w:rPr>
          <w:rFonts w:hint="cs"/>
          <w:rtl/>
        </w:rPr>
        <w:t xml:space="preserve">), וכן טען כי נסיבות הפסיקה שהוגשה ע"י המאשימה חמורות  מנסיבותיו של תיק זה, ביקש הסנגור,  להימנע מהשתת עונש מאסר מאחורי סורג ובריח על הנאשם ולאמץ את המלצת שירות המבחן, בדרך של סטייה ממתחם העונש ההולם מטעמים של שיקום. </w:t>
      </w:r>
    </w:p>
    <w:p w14:paraId="173EC34A" w14:textId="77777777" w:rsidR="005636B7" w:rsidRDefault="005636B7" w:rsidP="005636B7">
      <w:pPr>
        <w:spacing w:line="360" w:lineRule="auto"/>
        <w:jc w:val="both"/>
        <w:rPr>
          <w:rtl/>
        </w:rPr>
      </w:pPr>
    </w:p>
    <w:p w14:paraId="5DD6BCEE" w14:textId="77777777" w:rsidR="005636B7" w:rsidRDefault="005636B7" w:rsidP="005636B7">
      <w:pPr>
        <w:spacing w:line="360" w:lineRule="auto"/>
        <w:jc w:val="both"/>
        <w:rPr>
          <w:rtl/>
        </w:rPr>
      </w:pPr>
    </w:p>
    <w:p w14:paraId="121AE881" w14:textId="77777777" w:rsidR="005636B7" w:rsidRDefault="005636B7" w:rsidP="005636B7">
      <w:pPr>
        <w:spacing w:line="360" w:lineRule="auto"/>
        <w:jc w:val="both"/>
        <w:rPr>
          <w:u w:val="single"/>
          <w:rtl/>
        </w:rPr>
      </w:pPr>
    </w:p>
    <w:p w14:paraId="2D5661E0" w14:textId="77777777" w:rsidR="005636B7" w:rsidRDefault="005636B7" w:rsidP="005636B7">
      <w:pPr>
        <w:spacing w:line="360" w:lineRule="auto"/>
        <w:jc w:val="both"/>
        <w:rPr>
          <w:u w:val="single"/>
          <w:rtl/>
        </w:rPr>
      </w:pPr>
    </w:p>
    <w:p w14:paraId="65F58D03" w14:textId="77777777" w:rsidR="005636B7" w:rsidRPr="007A6B6F" w:rsidRDefault="005636B7" w:rsidP="005636B7">
      <w:pPr>
        <w:spacing w:line="360" w:lineRule="auto"/>
        <w:jc w:val="both"/>
        <w:rPr>
          <w:rFonts w:ascii="Miriam" w:hAnsi="Miriam" w:cs="Miriam"/>
          <w:u w:val="single"/>
          <w:rtl/>
        </w:rPr>
      </w:pPr>
      <w:r w:rsidRPr="007A6B6F">
        <w:rPr>
          <w:rFonts w:ascii="Miriam" w:hAnsi="Miriam" w:cs="Miriam"/>
          <w:u w:val="single"/>
          <w:rtl/>
        </w:rPr>
        <w:t>דבר הנאשם</w:t>
      </w:r>
    </w:p>
    <w:p w14:paraId="182FA69A" w14:textId="77777777" w:rsidR="005636B7" w:rsidRDefault="005636B7" w:rsidP="005636B7">
      <w:pPr>
        <w:spacing w:line="360" w:lineRule="auto"/>
        <w:jc w:val="both"/>
        <w:rPr>
          <w:rtl/>
        </w:rPr>
      </w:pPr>
    </w:p>
    <w:p w14:paraId="771714BE" w14:textId="77777777" w:rsidR="005636B7" w:rsidRDefault="005636B7" w:rsidP="005636B7">
      <w:pPr>
        <w:spacing w:line="360" w:lineRule="auto"/>
        <w:jc w:val="both"/>
        <w:rPr>
          <w:rtl/>
        </w:rPr>
      </w:pPr>
      <w:r>
        <w:rPr>
          <w:rFonts w:hint="cs"/>
          <w:rtl/>
        </w:rPr>
        <w:t>16.</w:t>
      </w:r>
      <w:r>
        <w:rPr>
          <w:rFonts w:hint="cs"/>
          <w:rtl/>
        </w:rPr>
        <w:tab/>
        <w:t xml:space="preserve">להלן דברו של הנאשם בפני בית המשפט, כלשונו: </w:t>
      </w:r>
    </w:p>
    <w:p w14:paraId="4B83C312" w14:textId="77777777" w:rsidR="005636B7" w:rsidRDefault="005636B7" w:rsidP="005636B7">
      <w:pPr>
        <w:spacing w:line="360" w:lineRule="auto"/>
        <w:jc w:val="both"/>
        <w:rPr>
          <w:rtl/>
        </w:rPr>
      </w:pPr>
    </w:p>
    <w:p w14:paraId="18DF61BB" w14:textId="77777777" w:rsidR="005636B7" w:rsidRPr="0087371B" w:rsidRDefault="005636B7" w:rsidP="005636B7">
      <w:pPr>
        <w:spacing w:line="360" w:lineRule="auto"/>
        <w:ind w:left="1440"/>
        <w:jc w:val="both"/>
        <w:rPr>
          <w:rFonts w:ascii="Miriam" w:hAnsi="Miriam" w:cs="Miriam"/>
          <w:rtl/>
        </w:rPr>
      </w:pPr>
      <w:r w:rsidRPr="0087371B">
        <w:rPr>
          <w:rFonts w:ascii="Miriam" w:hAnsi="Miriam" w:cs="Miriam"/>
          <w:rtl/>
        </w:rPr>
        <w:t>"קודם כל אני יודע שאני טעיתי טעות גדולה , בחיים שלי הייתי כל הזמן מסודר, עובד, הייתי צריך ללכת ללמוד רופא וטרינר,</w:t>
      </w:r>
      <w:r w:rsidR="005D20AB">
        <w:rPr>
          <w:rFonts w:ascii="Miriam" w:hAnsi="Miriam" w:cs="Miriam"/>
          <w:rtl/>
        </w:rPr>
        <w:t xml:space="preserve"> </w:t>
      </w:r>
      <w:r w:rsidRPr="0087371B">
        <w:rPr>
          <w:rFonts w:ascii="Miriam" w:hAnsi="Miriam" w:cs="Miriam"/>
          <w:rtl/>
        </w:rPr>
        <w:t xml:space="preserve"> אני מצטער טעיתי.</w:t>
      </w:r>
      <w:r w:rsidR="005D20AB">
        <w:rPr>
          <w:rFonts w:ascii="Miriam" w:hAnsi="Miriam" w:cs="Miriam"/>
          <w:rtl/>
        </w:rPr>
        <w:t xml:space="preserve"> </w:t>
      </w:r>
      <w:r w:rsidRPr="0087371B">
        <w:rPr>
          <w:rFonts w:ascii="Miriam" w:hAnsi="Miriam" w:cs="Miriam"/>
          <w:rtl/>
        </w:rPr>
        <w:t xml:space="preserve"> כבר שנה אני בקשר עם קצינת המבחן והכל בסדר.</w:t>
      </w:r>
      <w:r w:rsidR="005D20AB">
        <w:rPr>
          <w:rFonts w:ascii="Miriam" w:hAnsi="Miriam" w:cs="Miriam"/>
          <w:rtl/>
        </w:rPr>
        <w:t xml:space="preserve"> </w:t>
      </w:r>
      <w:r w:rsidRPr="0087371B">
        <w:rPr>
          <w:rFonts w:ascii="Miriam" w:hAnsi="Miriam" w:cs="Miriam"/>
          <w:rtl/>
        </w:rPr>
        <w:t xml:space="preserve"> אני מתכנן ללמוד, כל המשפחה אצלנו</w:t>
      </w:r>
      <w:r w:rsidR="005D20AB">
        <w:rPr>
          <w:rFonts w:ascii="Miriam" w:hAnsi="Miriam" w:cs="Miriam"/>
          <w:rtl/>
        </w:rPr>
        <w:t xml:space="preserve"> </w:t>
      </w:r>
      <w:r w:rsidRPr="0087371B">
        <w:rPr>
          <w:rFonts w:ascii="Miriam" w:hAnsi="Miriam" w:cs="Miriam"/>
          <w:rtl/>
        </w:rPr>
        <w:t xml:space="preserve"> מלומדים.</w:t>
      </w:r>
      <w:r w:rsidR="005D20AB">
        <w:rPr>
          <w:rFonts w:ascii="Miriam" w:hAnsi="Miriam" w:cs="Miriam"/>
          <w:rtl/>
        </w:rPr>
        <w:t xml:space="preserve"> </w:t>
      </w:r>
      <w:r w:rsidRPr="0087371B">
        <w:rPr>
          <w:rFonts w:ascii="Miriam" w:hAnsi="Miriam" w:cs="Miriam"/>
          <w:rtl/>
        </w:rPr>
        <w:t xml:space="preserve"> אני רוצה להמשיך את החיים שלי, ללמוד, לא רוצה לחזור לכלא.</w:t>
      </w:r>
      <w:r w:rsidR="005D20AB">
        <w:rPr>
          <w:rFonts w:ascii="Miriam" w:hAnsi="Miriam" w:cs="Miriam"/>
          <w:rtl/>
        </w:rPr>
        <w:t xml:space="preserve"> </w:t>
      </w:r>
      <w:r w:rsidRPr="0087371B">
        <w:rPr>
          <w:rFonts w:ascii="Miriam" w:hAnsi="Miriam" w:cs="Miriam"/>
          <w:rtl/>
        </w:rPr>
        <w:t xml:space="preserve"> אני מתכוון שלא לחזור לכלא.</w:t>
      </w:r>
      <w:r w:rsidR="005D20AB">
        <w:rPr>
          <w:rFonts w:ascii="Miriam" w:hAnsi="Miriam" w:cs="Miriam"/>
          <w:rtl/>
        </w:rPr>
        <w:t xml:space="preserve"> </w:t>
      </w:r>
      <w:r w:rsidRPr="0087371B">
        <w:rPr>
          <w:rFonts w:ascii="Miriam" w:hAnsi="Miriam" w:cs="Miriam"/>
          <w:rtl/>
        </w:rPr>
        <w:t xml:space="preserve"> אני מצטער".</w:t>
      </w:r>
      <w:r w:rsidR="005D20AB">
        <w:rPr>
          <w:rFonts w:ascii="Miriam" w:hAnsi="Miriam" w:cs="Miriam"/>
          <w:rtl/>
        </w:rPr>
        <w:t xml:space="preserve"> </w:t>
      </w:r>
    </w:p>
    <w:p w14:paraId="4CB514C1" w14:textId="77777777" w:rsidR="005636B7" w:rsidRPr="0087371B" w:rsidRDefault="005636B7" w:rsidP="005636B7">
      <w:pPr>
        <w:spacing w:line="360" w:lineRule="auto"/>
        <w:jc w:val="both"/>
        <w:rPr>
          <w:rFonts w:ascii="Miriam" w:hAnsi="Miriam" w:cs="Miriam"/>
          <w:rtl/>
        </w:rPr>
      </w:pPr>
    </w:p>
    <w:p w14:paraId="59EA1770" w14:textId="77777777" w:rsidR="005636B7" w:rsidRPr="0087371B" w:rsidRDefault="005636B7" w:rsidP="005636B7">
      <w:pPr>
        <w:spacing w:line="360" w:lineRule="auto"/>
        <w:jc w:val="both"/>
        <w:rPr>
          <w:rFonts w:ascii="Miriam" w:hAnsi="Miriam" w:cs="Miriam"/>
          <w:u w:val="single"/>
          <w:rtl/>
        </w:rPr>
      </w:pPr>
      <w:r w:rsidRPr="0087371B">
        <w:rPr>
          <w:rFonts w:ascii="Miriam" w:hAnsi="Miriam" w:cs="Miriam"/>
          <w:u w:val="single"/>
          <w:rtl/>
        </w:rPr>
        <w:t>דיון והכרעה</w:t>
      </w:r>
    </w:p>
    <w:p w14:paraId="0492100A" w14:textId="77777777" w:rsidR="005636B7" w:rsidRDefault="005636B7" w:rsidP="005636B7">
      <w:pPr>
        <w:spacing w:line="360" w:lineRule="auto"/>
        <w:jc w:val="both"/>
        <w:rPr>
          <w:rtl/>
        </w:rPr>
      </w:pPr>
    </w:p>
    <w:p w14:paraId="727DF5C5" w14:textId="77777777" w:rsidR="005636B7" w:rsidRDefault="005636B7" w:rsidP="005636B7">
      <w:pPr>
        <w:spacing w:line="360" w:lineRule="auto"/>
        <w:jc w:val="both"/>
        <w:rPr>
          <w:rtl/>
        </w:rPr>
      </w:pPr>
      <w:r>
        <w:rPr>
          <w:rFonts w:hint="cs"/>
          <w:rtl/>
        </w:rPr>
        <w:t xml:space="preserve">17. </w:t>
      </w:r>
      <w:r>
        <w:rPr>
          <w:rtl/>
        </w:rPr>
        <w:tab/>
      </w:r>
      <w:r w:rsidRPr="003C5681">
        <w:rPr>
          <w:rtl/>
        </w:rPr>
        <w:t xml:space="preserve">תיקון מס' 113 מתווה את העיקרון המנחה כיום את ביהמ"ש בבואו לגזור דינו של נאשם, שהינו, לפי </w:t>
      </w:r>
      <w:hyperlink r:id="rId29" w:history="1">
        <w:r w:rsidR="00B04440" w:rsidRPr="00B04440">
          <w:rPr>
            <w:color w:val="0000FF"/>
            <w:u w:val="single"/>
            <w:rtl/>
          </w:rPr>
          <w:t>סעיף 40ב</w:t>
        </w:r>
      </w:hyperlink>
      <w:r w:rsidRPr="003C5681">
        <w:rPr>
          <w:rtl/>
        </w:rPr>
        <w:t xml:space="preserve"> ל</w:t>
      </w:r>
      <w:hyperlink r:id="rId30" w:history="1">
        <w:r w:rsidR="005D20AB" w:rsidRPr="005D20AB">
          <w:rPr>
            <w:color w:val="0000FF"/>
            <w:u w:val="single"/>
            <w:rtl/>
          </w:rPr>
          <w:t>חוק העונשין</w:t>
        </w:r>
      </w:hyperlink>
      <w:r w:rsidRPr="003C5681">
        <w:rPr>
          <w:rtl/>
        </w:rPr>
        <w:t xml:space="preserve">, עיקרון ההלימה, לפיו צריך להתקיים יחס הולם בין חומרת מעשה העבירה בנסיבותיו ומידת אשמו של הנאשם לבין סוג ומידת העונש המוטל עליו. יחס זה מבטא, למעשה, את עיקרון הגמול (ראו: </w:t>
      </w:r>
      <w:hyperlink r:id="rId31" w:history="1">
        <w:r w:rsidR="005D20AB" w:rsidRPr="005D20AB">
          <w:rPr>
            <w:color w:val="0000FF"/>
            <w:u w:val="single"/>
            <w:rtl/>
          </w:rPr>
          <w:t>ע.פ. 1523/10</w:t>
        </w:r>
      </w:hyperlink>
      <w:r w:rsidRPr="003C5681">
        <w:rPr>
          <w:rtl/>
        </w:rPr>
        <w:t xml:space="preserve"> </w:t>
      </w:r>
      <w:r w:rsidRPr="0087371B">
        <w:rPr>
          <w:rFonts w:ascii="Miriam" w:hAnsi="Miriam" w:cs="Miriam"/>
          <w:rtl/>
        </w:rPr>
        <w:t>פלוני נ' מדינת ישראל</w:t>
      </w:r>
      <w:r w:rsidRPr="003C5681">
        <w:rPr>
          <w:rtl/>
        </w:rPr>
        <w:t xml:space="preserve">, 18/4/12). </w:t>
      </w:r>
      <w:hyperlink r:id="rId32" w:history="1">
        <w:r w:rsidR="00B04440" w:rsidRPr="00B04440">
          <w:rPr>
            <w:color w:val="0000FF"/>
            <w:u w:val="single"/>
            <w:rtl/>
          </w:rPr>
          <w:t>סעיף 40ג</w:t>
        </w:r>
      </w:hyperlink>
      <w:r w:rsidRPr="003C5681">
        <w:rPr>
          <w:rtl/>
        </w:rPr>
        <w:t xml:space="preserve"> ל</w:t>
      </w:r>
      <w:hyperlink r:id="rId33" w:history="1">
        <w:r w:rsidR="005D20AB" w:rsidRPr="005D20AB">
          <w:rPr>
            <w:color w:val="0000FF"/>
            <w:u w:val="single"/>
            <w:rtl/>
          </w:rPr>
          <w:t>חוק העונשין</w:t>
        </w:r>
      </w:hyperlink>
      <w:r w:rsidRPr="003C5681">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34" w:history="1">
        <w:r w:rsidR="00B04440" w:rsidRPr="00B04440">
          <w:rPr>
            <w:color w:val="0000FF"/>
            <w:u w:val="single"/>
            <w:rtl/>
          </w:rPr>
          <w:t>בסעיף 40ט</w:t>
        </w:r>
      </w:hyperlink>
      <w:r w:rsidRPr="003C5681">
        <w:rPr>
          <w:rtl/>
        </w:rPr>
        <w:t xml:space="preserve"> ל</w:t>
      </w:r>
      <w:hyperlink r:id="rId35" w:history="1">
        <w:r w:rsidR="005D20AB" w:rsidRPr="005D20AB">
          <w:rPr>
            <w:color w:val="0000FF"/>
            <w:u w:val="single"/>
            <w:rtl/>
          </w:rPr>
          <w:t>חוק העונשין</w:t>
        </w:r>
      </w:hyperlink>
      <w:r w:rsidRPr="003C5681">
        <w:rPr>
          <w:rtl/>
        </w:rPr>
        <w:t xml:space="preserve">. </w:t>
      </w:r>
    </w:p>
    <w:p w14:paraId="654A71DD" w14:textId="77777777" w:rsidR="005636B7" w:rsidRDefault="005636B7" w:rsidP="005636B7">
      <w:pPr>
        <w:spacing w:line="360" w:lineRule="auto"/>
        <w:jc w:val="both"/>
        <w:rPr>
          <w:rtl/>
        </w:rPr>
      </w:pPr>
    </w:p>
    <w:p w14:paraId="73FF0951" w14:textId="77777777" w:rsidR="005636B7" w:rsidRDefault="005636B7" w:rsidP="005636B7">
      <w:pPr>
        <w:spacing w:line="360" w:lineRule="auto"/>
        <w:jc w:val="both"/>
        <w:rPr>
          <w:rtl/>
        </w:rPr>
      </w:pPr>
      <w:r>
        <w:rPr>
          <w:rFonts w:hint="cs"/>
          <w:rtl/>
        </w:rPr>
        <w:t xml:space="preserve">18. </w:t>
      </w:r>
      <w:r>
        <w:rPr>
          <w:rFonts w:hint="cs"/>
          <w:rtl/>
        </w:rPr>
        <w:tab/>
      </w:r>
      <w:r w:rsidRPr="003C5681">
        <w:rPr>
          <w:rtl/>
        </w:rPr>
        <w:t xml:space="preserve">הערך המוגן הנפגע כתוצאה מביצוע העבירה </w:t>
      </w:r>
      <w:r>
        <w:rPr>
          <w:rFonts w:hint="cs"/>
          <w:rtl/>
        </w:rPr>
        <w:t>של</w:t>
      </w:r>
      <w:r w:rsidRPr="003C5681">
        <w:rPr>
          <w:rtl/>
        </w:rPr>
        <w:t xml:space="preserve"> נשיאת </w:t>
      </w:r>
      <w:r>
        <w:rPr>
          <w:rFonts w:hint="cs"/>
          <w:rtl/>
        </w:rPr>
        <w:t xml:space="preserve">והובלת </w:t>
      </w:r>
      <w:r w:rsidRPr="003C5681">
        <w:rPr>
          <w:rtl/>
        </w:rPr>
        <w:t>נשק שלא כדין, הוא שלום הציבור ובטחונו. "</w:t>
      </w:r>
      <w:r w:rsidRPr="00800E1A">
        <w:rPr>
          <w:rFonts w:ascii="Miriam" w:hAnsi="Miriam" w:cs="Miriam"/>
          <w:rtl/>
        </w:rPr>
        <w:t>עבירות בנשק לסוגיהן מגלמות בתוכן סיכון ממשי לשלום הציבור ולביטחונו, שכן לא ניתן לדעת להיכן יתגלגלו כלי הנשק המוחזקים שלא כדין, ואיזה שימוש יעשה בהם בעתיד</w:t>
      </w:r>
      <w:r w:rsidRPr="003C5681">
        <w:rPr>
          <w:rtl/>
        </w:rPr>
        <w:t>" (</w:t>
      </w:r>
      <w:hyperlink r:id="rId36" w:history="1">
        <w:r w:rsidR="005D20AB" w:rsidRPr="005D20AB">
          <w:rPr>
            <w:color w:val="0000FF"/>
            <w:u w:val="single"/>
            <w:rtl/>
          </w:rPr>
          <w:t>ע"פ 7502/12</w:t>
        </w:r>
      </w:hyperlink>
      <w:r w:rsidRPr="003C5681">
        <w:rPr>
          <w:rtl/>
        </w:rPr>
        <w:t xml:space="preserve"> ‏</w:t>
      </w:r>
      <w:r w:rsidRPr="0087371B">
        <w:rPr>
          <w:rFonts w:ascii="Miriam" w:hAnsi="Miriam" w:cs="Miriam"/>
          <w:rtl/>
        </w:rPr>
        <w:t>כוויס נ' מדינת ישראל</w:t>
      </w:r>
      <w:r w:rsidRPr="003C5681">
        <w:rPr>
          <w:rtl/>
        </w:rPr>
        <w:t xml:space="preserve"> (25.6.2013)).</w:t>
      </w:r>
      <w:r w:rsidRPr="00B676E7">
        <w:rPr>
          <w:rtl/>
        </w:rPr>
        <w:t xml:space="preserve"> </w:t>
      </w:r>
      <w:r w:rsidRPr="003C5681">
        <w:rPr>
          <w:rtl/>
        </w:rPr>
        <w:t>דבריה הבאים של כב' השופטת ארבל שנאמרו ב</w:t>
      </w:r>
      <w:hyperlink r:id="rId37" w:history="1">
        <w:r w:rsidR="005D20AB" w:rsidRPr="005D20AB">
          <w:rPr>
            <w:color w:val="0000FF"/>
            <w:u w:val="single"/>
            <w:rtl/>
          </w:rPr>
          <w:t>ע"פ 4945/13</w:t>
        </w:r>
      </w:hyperlink>
      <w:r w:rsidRPr="003C5681">
        <w:rPr>
          <w:rtl/>
        </w:rPr>
        <w:t xml:space="preserve"> </w:t>
      </w:r>
      <w:r w:rsidRPr="007A538A">
        <w:rPr>
          <w:rFonts w:cs="Miriam"/>
          <w:rtl/>
        </w:rPr>
        <w:t>מדינת ישראל נ' עבד אלכרים סלימאן</w:t>
      </w:r>
      <w:r w:rsidRPr="003C5681">
        <w:rPr>
          <w:rtl/>
        </w:rPr>
        <w:t xml:space="preserve"> (19.01.14) </w:t>
      </w:r>
      <w:r>
        <w:rPr>
          <w:rFonts w:hint="cs"/>
          <w:rtl/>
        </w:rPr>
        <w:t xml:space="preserve"> (להלן: </w:t>
      </w:r>
      <w:r w:rsidRPr="00907B64">
        <w:rPr>
          <w:rFonts w:ascii="Miriam" w:hAnsi="Miriam" w:cs="Miriam"/>
          <w:rtl/>
        </w:rPr>
        <w:t>עניין סלימאן</w:t>
      </w:r>
      <w:r>
        <w:rPr>
          <w:rFonts w:hint="cs"/>
          <w:rtl/>
        </w:rPr>
        <w:t xml:space="preserve">) </w:t>
      </w:r>
      <w:r w:rsidRPr="003C5681">
        <w:rPr>
          <w:rtl/>
        </w:rPr>
        <w:t>ממחישים</w:t>
      </w:r>
      <w:r>
        <w:rPr>
          <w:rFonts w:hint="cs"/>
          <w:rtl/>
        </w:rPr>
        <w:t xml:space="preserve"> </w:t>
      </w:r>
      <w:r w:rsidRPr="003C5681">
        <w:rPr>
          <w:rtl/>
        </w:rPr>
        <w:t xml:space="preserve">את המסוכנות הפוטנציאלית הטמונה בעבירות </w:t>
      </w:r>
      <w:r>
        <w:rPr>
          <w:rFonts w:hint="cs"/>
          <w:rtl/>
        </w:rPr>
        <w:t>ה</w:t>
      </w:r>
      <w:r w:rsidRPr="003C5681">
        <w:rPr>
          <w:rtl/>
        </w:rPr>
        <w:t>נשק לשלום הציבור ובטחונו,</w:t>
      </w:r>
      <w:r>
        <w:rPr>
          <w:rFonts w:hint="cs"/>
          <w:rtl/>
        </w:rPr>
        <w:t xml:space="preserve"> וזאת כהאי לישנא</w:t>
      </w:r>
      <w:r w:rsidRPr="003C5681">
        <w:rPr>
          <w:rtl/>
        </w:rPr>
        <w:t xml:space="preserve">: </w:t>
      </w:r>
      <w:r w:rsidRPr="007A538A">
        <w:rPr>
          <w:rFonts w:cs="Miriam"/>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w:t>
      </w:r>
      <w:r w:rsidRPr="003C5681">
        <w:rPr>
          <w:rtl/>
        </w:rPr>
        <w:t>.</w:t>
      </w:r>
    </w:p>
    <w:p w14:paraId="1A15670F" w14:textId="77777777" w:rsidR="005636B7" w:rsidRDefault="005636B7" w:rsidP="005636B7">
      <w:pPr>
        <w:spacing w:line="360" w:lineRule="auto"/>
        <w:jc w:val="both"/>
        <w:rPr>
          <w:rtl/>
        </w:rPr>
      </w:pPr>
      <w:r>
        <w:rPr>
          <w:rFonts w:hint="cs"/>
          <w:rtl/>
        </w:rPr>
        <w:t>19.</w:t>
      </w:r>
      <w:r>
        <w:rPr>
          <w:rFonts w:hint="cs"/>
          <w:rtl/>
        </w:rPr>
        <w:tab/>
      </w:r>
      <w:r w:rsidRPr="003C5681">
        <w:rPr>
          <w:rtl/>
        </w:rPr>
        <w:t xml:space="preserve">לחובת הנאשם, יצוין כי עסקינן </w:t>
      </w:r>
      <w:r>
        <w:rPr>
          <w:rFonts w:hint="cs"/>
          <w:rtl/>
        </w:rPr>
        <w:t>ב</w:t>
      </w:r>
      <w:r>
        <w:rPr>
          <w:rtl/>
        </w:rPr>
        <w:t>נשק</w:t>
      </w:r>
      <w:r>
        <w:rPr>
          <w:rFonts w:hint="cs"/>
          <w:rtl/>
        </w:rPr>
        <w:t xml:space="preserve"> </w:t>
      </w:r>
      <w:r w:rsidRPr="002A7203">
        <w:rPr>
          <w:rtl/>
        </w:rPr>
        <w:t xml:space="preserve">ארוך מסוג </w:t>
      </w:r>
      <w:r w:rsidRPr="002A7203">
        <w:t>M16</w:t>
      </w:r>
      <w:r>
        <w:rPr>
          <w:rFonts w:hint="cs"/>
          <w:rtl/>
        </w:rPr>
        <w:t xml:space="preserve"> </w:t>
      </w:r>
      <w:r w:rsidRPr="002A7203">
        <w:rPr>
          <w:rtl/>
        </w:rPr>
        <w:t>קליבר 5.56 מ"מ, ובתו</w:t>
      </w:r>
      <w:r>
        <w:rPr>
          <w:rtl/>
        </w:rPr>
        <w:t xml:space="preserve">כו מחסנית עם 28 כדורים, וכן </w:t>
      </w:r>
      <w:r>
        <w:rPr>
          <w:rFonts w:hint="cs"/>
          <w:rtl/>
        </w:rPr>
        <w:t>ב</w:t>
      </w:r>
      <w:r w:rsidRPr="002A7203">
        <w:rPr>
          <w:rtl/>
        </w:rPr>
        <w:t xml:space="preserve">נשק ארוך </w:t>
      </w:r>
      <w:r>
        <w:rPr>
          <w:rFonts w:hint="cs"/>
          <w:rtl/>
        </w:rPr>
        <w:t xml:space="preserve">נוסף </w:t>
      </w:r>
      <w:r w:rsidRPr="002A7203">
        <w:rPr>
          <w:rtl/>
        </w:rPr>
        <w:t xml:space="preserve">מסוג "תבור", קליבר 5.56 מ"מ, ובתוכו מחסנית עם 28 כדורים. </w:t>
      </w:r>
      <w:r>
        <w:rPr>
          <w:rFonts w:hint="cs"/>
          <w:rtl/>
        </w:rPr>
        <w:t xml:space="preserve">ודוקו, הנאשם נשא שני כלי נשק טעונים בכדורים רבים, דבר המגביר את האפשרות לשימוש בהם לרעה ואת הסיכון לביטחון הציבור. כמו כן, נשא והוביל הנאשם </w:t>
      </w:r>
      <w:r w:rsidRPr="002A7203">
        <w:rPr>
          <w:rtl/>
        </w:rPr>
        <w:t xml:space="preserve">בכיס המעיל שלבש מחסנית נוספת עם 28 כדורים של </w:t>
      </w:r>
      <w:r w:rsidRPr="002A7203">
        <w:t>M16</w:t>
      </w:r>
      <w:r>
        <w:rPr>
          <w:rFonts w:hint="cs"/>
          <w:rtl/>
        </w:rPr>
        <w:t>, ואף נמלט מפני השוטרים כשברשותו כלי הנשק, דבר הממחיש את חלקו הפעיל באירוע ומוסיף נופך של חומרה להתנהלותו המגלמת בחובה גם זלזול בגורמי אכיפת החוק ובשלטון החוק.</w:t>
      </w:r>
    </w:p>
    <w:p w14:paraId="421F5D07" w14:textId="77777777" w:rsidR="005636B7" w:rsidRDefault="005636B7" w:rsidP="005636B7">
      <w:pPr>
        <w:spacing w:line="360" w:lineRule="auto"/>
        <w:jc w:val="both"/>
        <w:rPr>
          <w:rtl/>
        </w:rPr>
      </w:pPr>
    </w:p>
    <w:p w14:paraId="4840A052" w14:textId="77777777" w:rsidR="005636B7" w:rsidRDefault="005636B7" w:rsidP="005636B7">
      <w:pPr>
        <w:spacing w:line="360" w:lineRule="auto"/>
        <w:jc w:val="both"/>
        <w:rPr>
          <w:rtl/>
        </w:rPr>
      </w:pPr>
      <w:r>
        <w:rPr>
          <w:rFonts w:hint="cs"/>
          <w:rtl/>
        </w:rPr>
        <w:t xml:space="preserve">20. </w:t>
      </w:r>
      <w:r>
        <w:rPr>
          <w:rFonts w:hint="cs"/>
          <w:rtl/>
        </w:rPr>
        <w:tab/>
        <w:t xml:space="preserve">לטובת הנאשם אציין כי המאשימה אינה טוענת כי הנאשם עלה לרכב עם כלי הנשק והתחמושת הנ"ל וכן אוסיף, כי בסופו של יום, נתפסו כלי הנשק והתחמושת ע"י המשטרה בעקבות המרדף אחרי הנאשם. כאן ראוי לציין, בנוסף, לקולה, כי ב"כ המאשימה, בטיעוניו לעונש, אישר, כאמור, כי הנאשם נשא את הנשק נשיאה קצרה  בשביל עפר ולא מעבר לכך. </w:t>
      </w:r>
    </w:p>
    <w:p w14:paraId="72534E44" w14:textId="77777777" w:rsidR="005636B7" w:rsidRDefault="005636B7" w:rsidP="005636B7">
      <w:pPr>
        <w:spacing w:line="360" w:lineRule="auto"/>
        <w:jc w:val="both"/>
        <w:rPr>
          <w:rtl/>
        </w:rPr>
      </w:pPr>
    </w:p>
    <w:p w14:paraId="00EE76CD" w14:textId="77777777" w:rsidR="005636B7" w:rsidRDefault="005636B7" w:rsidP="005636B7">
      <w:pPr>
        <w:spacing w:line="360" w:lineRule="auto"/>
        <w:jc w:val="both"/>
        <w:rPr>
          <w:rtl/>
        </w:rPr>
      </w:pPr>
      <w:r>
        <w:rPr>
          <w:rFonts w:hint="cs"/>
          <w:rtl/>
        </w:rPr>
        <w:t xml:space="preserve">21. </w:t>
      </w:r>
      <w:r>
        <w:rPr>
          <w:rFonts w:hint="cs"/>
          <w:rtl/>
        </w:rPr>
        <w:tab/>
      </w:r>
      <w:r w:rsidRPr="003C5681">
        <w:rPr>
          <w:rtl/>
        </w:rPr>
        <w:t>במסגרת סקירת מדיניות הענישה הנהוגה ב</w:t>
      </w:r>
      <w:r>
        <w:rPr>
          <w:rFonts w:hint="cs"/>
          <w:rtl/>
        </w:rPr>
        <w:t>ע</w:t>
      </w:r>
      <w:r w:rsidRPr="003C5681">
        <w:rPr>
          <w:rtl/>
        </w:rPr>
        <w:t xml:space="preserve">בירה של נשיאת </w:t>
      </w:r>
      <w:r>
        <w:rPr>
          <w:rFonts w:hint="cs"/>
          <w:rtl/>
        </w:rPr>
        <w:t xml:space="preserve">והובלת </w:t>
      </w:r>
      <w:r>
        <w:rPr>
          <w:rtl/>
        </w:rPr>
        <w:t xml:space="preserve">נשק </w:t>
      </w:r>
      <w:r>
        <w:rPr>
          <w:rFonts w:hint="cs"/>
          <w:rtl/>
        </w:rPr>
        <w:t xml:space="preserve">שלא כדין </w:t>
      </w:r>
      <w:r>
        <w:rPr>
          <w:rtl/>
        </w:rPr>
        <w:t xml:space="preserve">אביא את הפסיקה הבאה: </w:t>
      </w:r>
    </w:p>
    <w:p w14:paraId="57503FC2" w14:textId="77777777" w:rsidR="005636B7" w:rsidRDefault="005636B7" w:rsidP="005636B7">
      <w:pPr>
        <w:spacing w:line="360" w:lineRule="auto"/>
        <w:jc w:val="both"/>
        <w:rPr>
          <w:rtl/>
        </w:rPr>
      </w:pPr>
    </w:p>
    <w:p w14:paraId="3CAAD28A" w14:textId="77777777" w:rsidR="005636B7" w:rsidRDefault="005636B7" w:rsidP="005636B7">
      <w:pPr>
        <w:pStyle w:val="a9"/>
        <w:numPr>
          <w:ilvl w:val="0"/>
          <w:numId w:val="1"/>
        </w:numPr>
        <w:spacing w:line="360" w:lineRule="auto"/>
        <w:jc w:val="both"/>
      </w:pPr>
      <w:r w:rsidRPr="003C5681">
        <w:rPr>
          <w:rtl/>
        </w:rPr>
        <w:t>ב</w:t>
      </w:r>
      <w:hyperlink r:id="rId38" w:history="1">
        <w:r w:rsidR="005D20AB" w:rsidRPr="005D20AB">
          <w:rPr>
            <w:color w:val="0000FF"/>
            <w:u w:val="single"/>
            <w:rtl/>
          </w:rPr>
          <w:t>ת"פ (מחוזי חיפה) 31862-05-13</w:t>
        </w:r>
      </w:hyperlink>
      <w:r w:rsidRPr="003C5681">
        <w:rPr>
          <w:rtl/>
        </w:rPr>
        <w:t xml:space="preserve"> </w:t>
      </w:r>
      <w:r w:rsidRPr="005B7D03">
        <w:rPr>
          <w:rFonts w:ascii="Miriam" w:hAnsi="Miriam" w:cs="Miriam"/>
          <w:rtl/>
        </w:rPr>
        <w:t>מ"י נ' מוחמד מחאמיד</w:t>
      </w:r>
      <w:r w:rsidRPr="003C5681">
        <w:rPr>
          <w:rtl/>
        </w:rPr>
        <w:t xml:space="preserve"> (1/10/13) הוטל על נאשם צעיר, בן פחות מ- 21, עונש של 21 חודשי מאסר בפועל בגין עבירה של נשיאת נשק (אקדח) שלא כדין </w:t>
      </w:r>
      <w:r>
        <w:rPr>
          <w:rFonts w:hint="cs"/>
          <w:rtl/>
        </w:rPr>
        <w:t>ל</w:t>
      </w:r>
      <w:r w:rsidRPr="003C5681">
        <w:rPr>
          <w:rtl/>
        </w:rPr>
        <w:t xml:space="preserve">צד עבירה של הפרעה לשוטר בשעת מילוי תפקידו כדין. </w:t>
      </w:r>
    </w:p>
    <w:p w14:paraId="005BCE01" w14:textId="77777777" w:rsidR="005636B7" w:rsidRPr="005B7D03" w:rsidRDefault="005636B7" w:rsidP="005636B7">
      <w:pPr>
        <w:pStyle w:val="a9"/>
        <w:spacing w:line="360" w:lineRule="auto"/>
        <w:ind w:left="420"/>
        <w:jc w:val="both"/>
      </w:pPr>
    </w:p>
    <w:p w14:paraId="5CFAB5FB" w14:textId="77777777" w:rsidR="005636B7" w:rsidRDefault="005636B7" w:rsidP="005636B7">
      <w:pPr>
        <w:pStyle w:val="a9"/>
        <w:numPr>
          <w:ilvl w:val="0"/>
          <w:numId w:val="1"/>
        </w:numPr>
        <w:spacing w:line="360" w:lineRule="auto"/>
        <w:jc w:val="both"/>
      </w:pPr>
      <w:r w:rsidRPr="003C5681">
        <w:rPr>
          <w:rtl/>
        </w:rPr>
        <w:t>ב</w:t>
      </w:r>
      <w:hyperlink r:id="rId39" w:history="1">
        <w:r w:rsidR="005D20AB" w:rsidRPr="005D20AB">
          <w:rPr>
            <w:color w:val="0000FF"/>
            <w:u w:val="single"/>
            <w:rtl/>
          </w:rPr>
          <w:t>ת"פ (מחוזי חיפה) 3451-02-14</w:t>
        </w:r>
      </w:hyperlink>
      <w:r w:rsidRPr="003C5681">
        <w:rPr>
          <w:rtl/>
        </w:rPr>
        <w:t xml:space="preserve"> </w:t>
      </w:r>
      <w:r w:rsidRPr="005B7D03">
        <w:rPr>
          <w:rFonts w:ascii="Miriam" w:hAnsi="Miriam" w:cs="Miriam"/>
          <w:rtl/>
        </w:rPr>
        <w:t>מדינת ישראל נ' עבד אלעאל</w:t>
      </w:r>
      <w:r w:rsidRPr="003C5681">
        <w:rPr>
          <w:rtl/>
        </w:rPr>
        <w:t xml:space="preserve"> (23/9/14) הושת על נאשם בן 21 בעל עבר נקי שהורשע, לאחר שמיעת ראיות, בביצוע עבירות של נשיאת והחזקת נשק (תת מקלע מאולתר ובתוכו מחסנית וכדורים), </w:t>
      </w:r>
      <w:r>
        <w:rPr>
          <w:rFonts w:hint="cs"/>
          <w:rtl/>
        </w:rPr>
        <w:t>ל</w:t>
      </w:r>
      <w:r w:rsidRPr="003C5681">
        <w:rPr>
          <w:rtl/>
        </w:rPr>
        <w:t>צד עבירה של הפרעה לשוטר במילוי תפקידו כדין, עונש של 18 חודשי מאסר בפועל, וכן ענישה נלווית.</w:t>
      </w:r>
    </w:p>
    <w:p w14:paraId="1924522D" w14:textId="77777777" w:rsidR="005636B7" w:rsidRDefault="005636B7" w:rsidP="005636B7">
      <w:pPr>
        <w:pStyle w:val="a9"/>
        <w:spacing w:line="360" w:lineRule="auto"/>
        <w:ind w:left="420"/>
        <w:jc w:val="both"/>
      </w:pPr>
    </w:p>
    <w:p w14:paraId="2171511B" w14:textId="77777777" w:rsidR="005636B7" w:rsidRDefault="005636B7" w:rsidP="005636B7">
      <w:pPr>
        <w:pStyle w:val="a9"/>
        <w:numPr>
          <w:ilvl w:val="0"/>
          <w:numId w:val="1"/>
        </w:numPr>
        <w:spacing w:line="360" w:lineRule="auto"/>
        <w:jc w:val="both"/>
      </w:pPr>
      <w:r w:rsidRPr="003C5681">
        <w:rPr>
          <w:rtl/>
        </w:rPr>
        <w:t>ב</w:t>
      </w:r>
      <w:hyperlink r:id="rId40" w:history="1">
        <w:r w:rsidR="005D20AB" w:rsidRPr="005D20AB">
          <w:rPr>
            <w:color w:val="0000FF"/>
            <w:u w:val="single"/>
            <w:rtl/>
          </w:rPr>
          <w:t>ת"פ 17520-03-14</w:t>
        </w:r>
      </w:hyperlink>
      <w:r w:rsidRPr="003C5681">
        <w:rPr>
          <w:rtl/>
        </w:rPr>
        <w:t xml:space="preserve"> </w:t>
      </w:r>
      <w:r w:rsidRPr="005B7D03">
        <w:rPr>
          <w:rFonts w:ascii="Miriam" w:hAnsi="Miriam" w:cs="Miriam"/>
          <w:rtl/>
        </w:rPr>
        <w:t>מדינת ישראל נ' אבו אלהווה</w:t>
      </w:r>
      <w:r w:rsidRPr="003C5681">
        <w:rPr>
          <w:rtl/>
        </w:rPr>
        <w:t xml:space="preserve"> (31/12/14) גזר בית המשפט המחוזי בירושלים על הנאשם עונש שעיקרו מאסר בפועל בן 20 חודשים לריצוי בפועל, בגין ביצועה של עבירה שעניינה הובלת נשק (תת מקלע מאולתר). </w:t>
      </w:r>
    </w:p>
    <w:p w14:paraId="13413A99" w14:textId="77777777" w:rsidR="005636B7" w:rsidRDefault="005636B7" w:rsidP="005636B7">
      <w:pPr>
        <w:pStyle w:val="a9"/>
        <w:rPr>
          <w:rtl/>
        </w:rPr>
      </w:pPr>
    </w:p>
    <w:p w14:paraId="4871C57D" w14:textId="77777777" w:rsidR="005636B7" w:rsidRDefault="005636B7" w:rsidP="005636B7">
      <w:pPr>
        <w:pStyle w:val="a9"/>
        <w:numPr>
          <w:ilvl w:val="0"/>
          <w:numId w:val="1"/>
        </w:numPr>
        <w:spacing w:line="360" w:lineRule="auto"/>
        <w:jc w:val="both"/>
      </w:pPr>
      <w:r w:rsidRPr="003C5681">
        <w:rPr>
          <w:rtl/>
        </w:rPr>
        <w:t>ב</w:t>
      </w:r>
      <w:hyperlink r:id="rId41" w:history="1">
        <w:r w:rsidR="005D20AB" w:rsidRPr="005D20AB">
          <w:rPr>
            <w:color w:val="0000FF"/>
            <w:u w:val="single"/>
            <w:rtl/>
          </w:rPr>
          <w:t>ת"פ (מחוזי באר שבע) 4338-04-13</w:t>
        </w:r>
      </w:hyperlink>
      <w:r w:rsidRPr="003C5681">
        <w:rPr>
          <w:rtl/>
        </w:rPr>
        <w:t xml:space="preserve"> </w:t>
      </w:r>
      <w:r w:rsidRPr="005B7D03">
        <w:rPr>
          <w:rFonts w:ascii="Miriam" w:hAnsi="Miriam" w:cs="Miriam"/>
          <w:rtl/>
        </w:rPr>
        <w:t>מדינת ישראל נ' אביעוז</w:t>
      </w:r>
      <w:r w:rsidRPr="003C5681">
        <w:rPr>
          <w:rtl/>
        </w:rPr>
        <w:t xml:space="preserve"> ( 11/12/16) הושת על נאשם שהורשע, לאחר שמיעת ראיות, בעבירה של תגרה ובעבירות של נשיאת והובלת נשק - עונש של 14 חודשי מאסר בפועל, בצירוף ענישה נלווית. במקרה הנ"ל דובר בנאשם שנשא במכנסיו מאחור אקדח מסוג ברטה, טעון במחסנית מלאה בכדורים ודרוך בכדור בבית הבליעה ובכיס מכנסיו של אותו נאשם נמצאה מחסנית נוספת, מלאה בכדורים. </w:t>
      </w:r>
    </w:p>
    <w:p w14:paraId="4FB2384E" w14:textId="77777777" w:rsidR="005636B7" w:rsidRDefault="005636B7" w:rsidP="005636B7">
      <w:pPr>
        <w:pStyle w:val="a9"/>
        <w:rPr>
          <w:rtl/>
        </w:rPr>
      </w:pPr>
    </w:p>
    <w:p w14:paraId="0326F7C2" w14:textId="77777777" w:rsidR="005636B7" w:rsidRDefault="005636B7" w:rsidP="005636B7">
      <w:pPr>
        <w:pStyle w:val="a9"/>
        <w:numPr>
          <w:ilvl w:val="0"/>
          <w:numId w:val="1"/>
        </w:numPr>
        <w:spacing w:line="360" w:lineRule="auto"/>
        <w:jc w:val="both"/>
      </w:pPr>
      <w:r w:rsidRPr="003C5681">
        <w:rPr>
          <w:rtl/>
        </w:rPr>
        <w:t>ב</w:t>
      </w:r>
      <w:hyperlink r:id="rId42" w:history="1">
        <w:r w:rsidR="005D20AB" w:rsidRPr="005D20AB">
          <w:rPr>
            <w:color w:val="0000FF"/>
            <w:u w:val="single"/>
            <w:rtl/>
          </w:rPr>
          <w:t>ת.פ. 31034-06-17</w:t>
        </w:r>
      </w:hyperlink>
      <w:r w:rsidRPr="003C5681">
        <w:rPr>
          <w:rtl/>
        </w:rPr>
        <w:t xml:space="preserve"> (מחוזי חיפה) </w:t>
      </w:r>
      <w:r w:rsidRPr="002C3BC5">
        <w:rPr>
          <w:rFonts w:ascii="Miriam" w:hAnsi="Miriam" w:cs="Miriam"/>
          <w:rtl/>
        </w:rPr>
        <w:t>מדינת ישראל נ' מסרי</w:t>
      </w:r>
      <w:r w:rsidRPr="003C5681">
        <w:rPr>
          <w:rtl/>
        </w:rPr>
        <w:t xml:space="preserve"> (17/4/18) הושת על נאשם בעל עבר נקי, שהורשע, מכוח הודאתו, בביצוע עבירה שעניינה נשיאת נשק מסוג תת-מקלע מאולתר ובתוכו מחסנית ובה כדור אחד, באזור מגורים, עונש של 18 חודשי מאסר בפועל, לצד רכיבי ענישה של מאסר </w:t>
      </w:r>
      <w:r>
        <w:rPr>
          <w:rtl/>
        </w:rPr>
        <w:t>מותנה וקנס בסך 3,000 ₪</w:t>
      </w:r>
      <w:r w:rsidRPr="003C5681">
        <w:rPr>
          <w:rtl/>
        </w:rPr>
        <w:t xml:space="preserve">. </w:t>
      </w:r>
    </w:p>
    <w:p w14:paraId="08FB84C7" w14:textId="77777777" w:rsidR="005636B7" w:rsidRDefault="005636B7" w:rsidP="005636B7">
      <w:pPr>
        <w:pStyle w:val="a9"/>
        <w:rPr>
          <w:rtl/>
        </w:rPr>
      </w:pPr>
    </w:p>
    <w:p w14:paraId="34217BB8" w14:textId="77777777" w:rsidR="005636B7" w:rsidRDefault="005636B7" w:rsidP="005636B7">
      <w:pPr>
        <w:spacing w:line="360" w:lineRule="auto"/>
        <w:jc w:val="both"/>
        <w:rPr>
          <w:rtl/>
        </w:rPr>
      </w:pPr>
      <w:r w:rsidRPr="002C3BC5">
        <w:rPr>
          <w:rFonts w:hint="cs"/>
          <w:rtl/>
        </w:rPr>
        <w:t xml:space="preserve">22. </w:t>
      </w:r>
      <w:r w:rsidRPr="002C3BC5">
        <w:rPr>
          <w:rFonts w:hint="cs"/>
          <w:rtl/>
        </w:rPr>
        <w:tab/>
        <w:t>בעניין סלימאן</w:t>
      </w:r>
      <w:r>
        <w:rPr>
          <w:rFonts w:hint="cs"/>
          <w:rtl/>
        </w:rPr>
        <w:t xml:space="preserve">, הנזכר בסעיף 18 לעיל, </w:t>
      </w:r>
      <w:r w:rsidRPr="002C3BC5">
        <w:rPr>
          <w:rFonts w:hint="cs"/>
          <w:rtl/>
        </w:rPr>
        <w:t>עסקינן במי ש</w:t>
      </w:r>
      <w:r w:rsidRPr="002C3BC5">
        <w:rPr>
          <w:rtl/>
        </w:rPr>
        <w:t>הורשע</w:t>
      </w:r>
      <w:r>
        <w:rPr>
          <w:rFonts w:hint="cs"/>
          <w:rtl/>
        </w:rPr>
        <w:t xml:space="preserve"> בערכאה הדיונית</w:t>
      </w:r>
      <w:r w:rsidRPr="002C3BC5">
        <w:rPr>
          <w:rFonts w:hint="cs"/>
          <w:rtl/>
        </w:rPr>
        <w:t>,</w:t>
      </w:r>
      <w:r w:rsidRPr="002C3BC5">
        <w:rPr>
          <w:rtl/>
        </w:rPr>
        <w:t xml:space="preserve"> לאחר שמיעת ראיות</w:t>
      </w:r>
      <w:r w:rsidRPr="002C3BC5">
        <w:rPr>
          <w:rFonts w:hint="cs"/>
          <w:rtl/>
        </w:rPr>
        <w:t>,</w:t>
      </w:r>
      <w:r w:rsidRPr="002C3BC5">
        <w:rPr>
          <w:rtl/>
        </w:rPr>
        <w:t xml:space="preserve"> בעבירות של רכישה והחזקת נשק לפי </w:t>
      </w:r>
      <w:hyperlink r:id="rId43" w:history="1">
        <w:r w:rsidR="00B04440" w:rsidRPr="00B04440">
          <w:rPr>
            <w:color w:val="0000FF"/>
            <w:u w:val="single"/>
            <w:rtl/>
          </w:rPr>
          <w:t>סעיף 144(א)</w:t>
        </w:r>
      </w:hyperlink>
      <w:r w:rsidRPr="002C3BC5">
        <w:rPr>
          <w:rtl/>
        </w:rPr>
        <w:t xml:space="preserve"> רישא ל</w:t>
      </w:r>
      <w:hyperlink r:id="rId44" w:history="1">
        <w:r w:rsidR="005D20AB" w:rsidRPr="005D20AB">
          <w:rPr>
            <w:color w:val="0000FF"/>
            <w:u w:val="single"/>
            <w:rtl/>
          </w:rPr>
          <w:t>חוק העונשין</w:t>
        </w:r>
      </w:hyperlink>
      <w:r w:rsidRPr="002C3BC5">
        <w:rPr>
          <w:rFonts w:hint="cs"/>
          <w:rtl/>
        </w:rPr>
        <w:t xml:space="preserve">, </w:t>
      </w:r>
      <w:r w:rsidRPr="002C3BC5">
        <w:rPr>
          <w:rtl/>
        </w:rPr>
        <w:t xml:space="preserve">רכישה והחזקת תחמושת לפי </w:t>
      </w:r>
      <w:hyperlink r:id="rId45" w:history="1">
        <w:r w:rsidR="00B04440" w:rsidRPr="00B04440">
          <w:rPr>
            <w:color w:val="0000FF"/>
            <w:u w:val="single"/>
            <w:rtl/>
          </w:rPr>
          <w:t>סעיף 144(א)</w:t>
        </w:r>
      </w:hyperlink>
      <w:r w:rsidRPr="002C3BC5">
        <w:rPr>
          <w:rtl/>
        </w:rPr>
        <w:t xml:space="preserve"> סיפא לחוק</w:t>
      </w:r>
      <w:r w:rsidRPr="002C3BC5">
        <w:rPr>
          <w:rFonts w:hint="cs"/>
          <w:rtl/>
        </w:rPr>
        <w:t xml:space="preserve"> העונשין</w:t>
      </w:r>
      <w:r w:rsidRPr="002C3BC5">
        <w:rPr>
          <w:rtl/>
        </w:rPr>
        <w:t xml:space="preserve">, נשיאה והובלת נשק לפי </w:t>
      </w:r>
      <w:hyperlink r:id="rId46" w:history="1">
        <w:r w:rsidR="00B04440" w:rsidRPr="00B04440">
          <w:rPr>
            <w:color w:val="0000FF"/>
            <w:u w:val="single"/>
            <w:rtl/>
          </w:rPr>
          <w:t>סעיף 144(ב)</w:t>
        </w:r>
      </w:hyperlink>
      <w:r w:rsidRPr="002C3BC5">
        <w:rPr>
          <w:rtl/>
        </w:rPr>
        <w:t xml:space="preserve"> רישא לחוק </w:t>
      </w:r>
      <w:r w:rsidRPr="002C3BC5">
        <w:rPr>
          <w:rFonts w:hint="cs"/>
          <w:rtl/>
        </w:rPr>
        <w:t xml:space="preserve">העונשין </w:t>
      </w:r>
      <w:r w:rsidRPr="002C3BC5">
        <w:rPr>
          <w:rtl/>
        </w:rPr>
        <w:t xml:space="preserve">ונשיאה והובלת תחמושת לפי </w:t>
      </w:r>
      <w:hyperlink r:id="rId47" w:history="1">
        <w:r w:rsidR="00B04440" w:rsidRPr="00B04440">
          <w:rPr>
            <w:color w:val="0000FF"/>
            <w:u w:val="single"/>
            <w:rtl/>
          </w:rPr>
          <w:t>סעיף 144(ב)</w:t>
        </w:r>
      </w:hyperlink>
      <w:r w:rsidRPr="002C3BC5">
        <w:rPr>
          <w:rtl/>
        </w:rPr>
        <w:t xml:space="preserve"> סיפא לחוק</w:t>
      </w:r>
      <w:r w:rsidRPr="002C3BC5">
        <w:rPr>
          <w:rFonts w:hint="cs"/>
          <w:rtl/>
        </w:rPr>
        <w:t xml:space="preserve"> העונשין</w:t>
      </w:r>
      <w:r w:rsidRPr="002C3BC5">
        <w:rPr>
          <w:rtl/>
        </w:rPr>
        <w:t xml:space="preserve">, </w:t>
      </w:r>
      <w:r w:rsidRPr="002C3BC5">
        <w:rPr>
          <w:rFonts w:hint="cs"/>
          <w:rtl/>
        </w:rPr>
        <w:t xml:space="preserve">וכן </w:t>
      </w:r>
      <w:r w:rsidRPr="002C3BC5">
        <w:rPr>
          <w:rtl/>
        </w:rPr>
        <w:t xml:space="preserve">הפרעה לשוטר במילוי תפקידו לפי </w:t>
      </w:r>
      <w:hyperlink r:id="rId48" w:history="1">
        <w:r w:rsidR="00B04440" w:rsidRPr="00B04440">
          <w:rPr>
            <w:color w:val="0000FF"/>
            <w:u w:val="single"/>
            <w:rtl/>
          </w:rPr>
          <w:t>סעיף 275</w:t>
        </w:r>
      </w:hyperlink>
      <w:r w:rsidRPr="002C3BC5">
        <w:rPr>
          <w:rtl/>
        </w:rPr>
        <w:t xml:space="preserve"> לחוק</w:t>
      </w:r>
      <w:r w:rsidRPr="002C3BC5">
        <w:rPr>
          <w:rFonts w:hint="cs"/>
          <w:rtl/>
        </w:rPr>
        <w:t xml:space="preserve"> העונשין</w:t>
      </w:r>
      <w:r w:rsidRPr="002C3BC5">
        <w:rPr>
          <w:rtl/>
        </w:rPr>
        <w:t xml:space="preserve">, מעשה פזיזות ורשלנות לפי </w:t>
      </w:r>
      <w:hyperlink r:id="rId49" w:history="1">
        <w:r w:rsidR="00B04440" w:rsidRPr="00B04440">
          <w:rPr>
            <w:color w:val="0000FF"/>
            <w:u w:val="single"/>
            <w:rtl/>
          </w:rPr>
          <w:t>סעיף 338(א)(1)</w:t>
        </w:r>
      </w:hyperlink>
      <w:r w:rsidRPr="002C3BC5">
        <w:rPr>
          <w:rtl/>
        </w:rPr>
        <w:t xml:space="preserve"> לחוק </w:t>
      </w:r>
      <w:r w:rsidRPr="002C3BC5">
        <w:rPr>
          <w:rFonts w:hint="cs"/>
          <w:rtl/>
        </w:rPr>
        <w:t xml:space="preserve">העונשין </w:t>
      </w:r>
      <w:r w:rsidRPr="002C3BC5">
        <w:rPr>
          <w:rtl/>
        </w:rPr>
        <w:t xml:space="preserve">והסתייעות ברכב לביצוע פשע לפי </w:t>
      </w:r>
      <w:hyperlink r:id="rId50" w:history="1">
        <w:r w:rsidR="00B04440" w:rsidRPr="00B04440">
          <w:rPr>
            <w:color w:val="0000FF"/>
            <w:u w:val="single"/>
            <w:rtl/>
          </w:rPr>
          <w:t>סעיף 43</w:t>
        </w:r>
      </w:hyperlink>
      <w:r w:rsidRPr="002C3BC5">
        <w:rPr>
          <w:rtl/>
        </w:rPr>
        <w:t xml:space="preserve"> ל</w:t>
      </w:r>
      <w:hyperlink r:id="rId51" w:history="1">
        <w:r w:rsidR="005D20AB" w:rsidRPr="005D20AB">
          <w:rPr>
            <w:color w:val="0000FF"/>
            <w:u w:val="single"/>
            <w:rtl/>
          </w:rPr>
          <w:t>פקודת התעבורה</w:t>
        </w:r>
      </w:hyperlink>
      <w:r w:rsidRPr="002C3BC5">
        <w:rPr>
          <w:rtl/>
        </w:rPr>
        <w:t xml:space="preserve"> [נוסח חדש], התשכ"א-1961. בהכרעת הדין נקבע </w:t>
      </w:r>
      <w:r>
        <w:rPr>
          <w:rFonts w:hint="cs"/>
          <w:rtl/>
        </w:rPr>
        <w:t xml:space="preserve">ע"י בית המשפט המחוזי, </w:t>
      </w:r>
      <w:r w:rsidRPr="002C3BC5">
        <w:rPr>
          <w:rtl/>
        </w:rPr>
        <w:t xml:space="preserve">כי </w:t>
      </w:r>
      <w:r>
        <w:rPr>
          <w:rFonts w:hint="cs"/>
          <w:rtl/>
        </w:rPr>
        <w:t xml:space="preserve">אותו נאשם </w:t>
      </w:r>
      <w:r w:rsidRPr="002C3BC5">
        <w:rPr>
          <w:rtl/>
        </w:rPr>
        <w:t>רכש מאדם שזהותו אינה ידועה נשק מסוג "קרל גוסטב" וכן מחסנית וכדורים. לאחר שרכש את הנשק והתחמושת, הגיע ה</w:t>
      </w:r>
      <w:r>
        <w:rPr>
          <w:rFonts w:hint="cs"/>
          <w:rtl/>
        </w:rPr>
        <w:t xml:space="preserve">נאשם </w:t>
      </w:r>
      <w:r>
        <w:rPr>
          <w:rtl/>
        </w:rPr>
        <w:t>לחורשה הסמוכה לישוב ציפורי, ירה ירייה אחת באוויר באמצעות הנשק ולאחר מכן הטמינו במקום מסתור סמוך לביתו. בהמשך, נהג ה</w:t>
      </w:r>
      <w:r>
        <w:rPr>
          <w:rFonts w:hint="cs"/>
          <w:rtl/>
        </w:rPr>
        <w:t>נאשם</w:t>
      </w:r>
      <w:r>
        <w:rPr>
          <w:rtl/>
        </w:rPr>
        <w:t xml:space="preserve"> ברכב בעיר נצרת בעודו נושא את הנשק והתחמושת בתא המטען. משהבחין בשוטרים המסיירים בשכונה, נטש את הרכב כאשר הוא מוּנע ונמלט מן המקום. הרכב התדרדר עד שנתקע באבנים ונעצר. </w:t>
      </w:r>
      <w:r>
        <w:rPr>
          <w:rFonts w:hint="cs"/>
          <w:rtl/>
        </w:rPr>
        <w:t xml:space="preserve">בית המשפט העליון קבע בעניין סלימאן בערעור שהגישה המדינה, </w:t>
      </w:r>
      <w:r>
        <w:rPr>
          <w:rtl/>
        </w:rPr>
        <w:t xml:space="preserve">כי מתחם העונש ההולם </w:t>
      </w:r>
      <w:r>
        <w:rPr>
          <w:rFonts w:hint="cs"/>
          <w:rtl/>
        </w:rPr>
        <w:t xml:space="preserve">גבוה יותר מזה שנקבע ע"י בית המשפט המחוזי והוא </w:t>
      </w:r>
      <w:r>
        <w:rPr>
          <w:rtl/>
        </w:rPr>
        <w:t>נע בין 12 ל- 36 חודשי מאסר בפועל</w:t>
      </w:r>
      <w:r>
        <w:rPr>
          <w:rFonts w:hint="cs"/>
          <w:rtl/>
        </w:rPr>
        <w:t xml:space="preserve">, אך הותיר על כנו עונש של 6 חודשי מאסר בפועל בעבודות שרות שהושת על הנאשם הנ"ל, בהיותו  בחור צעיר ונורמטיבי שלקח בסופו של דבר אחריות בפני שרות המבחן ונוכח </w:t>
      </w:r>
      <w:r>
        <w:rPr>
          <w:rtl/>
        </w:rPr>
        <w:t xml:space="preserve">פוטנציאל שיקום גבוה </w:t>
      </w:r>
      <w:r>
        <w:rPr>
          <w:rFonts w:hint="cs"/>
          <w:rtl/>
        </w:rPr>
        <w:t xml:space="preserve">שלו </w:t>
      </w:r>
      <w:r>
        <w:rPr>
          <w:rtl/>
        </w:rPr>
        <w:t xml:space="preserve">במידה </w:t>
      </w:r>
      <w:r>
        <w:rPr>
          <w:rFonts w:hint="cs"/>
          <w:rtl/>
        </w:rPr>
        <w:t>שה</w:t>
      </w:r>
      <w:r>
        <w:rPr>
          <w:rtl/>
        </w:rPr>
        <w:t xml:space="preserve">צדיקה </w:t>
      </w:r>
      <w:r>
        <w:rPr>
          <w:rFonts w:hint="cs"/>
          <w:rtl/>
        </w:rPr>
        <w:t>חריגה</w:t>
      </w:r>
      <w:r>
        <w:rPr>
          <w:rtl/>
        </w:rPr>
        <w:t xml:space="preserve"> מהמתחם.</w:t>
      </w:r>
      <w:r w:rsidRPr="00B62C58">
        <w:rPr>
          <w:rtl/>
        </w:rPr>
        <w:t xml:space="preserve"> </w:t>
      </w:r>
    </w:p>
    <w:p w14:paraId="03941FE0" w14:textId="77777777" w:rsidR="005636B7" w:rsidRDefault="005636B7" w:rsidP="005636B7">
      <w:pPr>
        <w:spacing w:line="360" w:lineRule="auto"/>
        <w:jc w:val="both"/>
        <w:rPr>
          <w:rtl/>
        </w:rPr>
      </w:pPr>
    </w:p>
    <w:p w14:paraId="64977707" w14:textId="77777777" w:rsidR="005636B7" w:rsidRDefault="005636B7" w:rsidP="005636B7">
      <w:pPr>
        <w:spacing w:line="360" w:lineRule="auto"/>
        <w:ind w:firstLine="720"/>
        <w:jc w:val="both"/>
        <w:rPr>
          <w:rtl/>
        </w:rPr>
      </w:pPr>
      <w:r>
        <w:rPr>
          <w:rFonts w:hint="cs"/>
          <w:rtl/>
        </w:rPr>
        <w:t xml:space="preserve">עוד </w:t>
      </w:r>
      <w:r w:rsidRPr="00B62C58">
        <w:rPr>
          <w:rtl/>
        </w:rPr>
        <w:t>אפנה</w:t>
      </w:r>
      <w:r>
        <w:rPr>
          <w:rFonts w:hint="cs"/>
          <w:rtl/>
        </w:rPr>
        <w:t xml:space="preserve"> </w:t>
      </w:r>
      <w:r w:rsidRPr="00B62C58">
        <w:rPr>
          <w:rtl/>
        </w:rPr>
        <w:t>לגזר הדין שניתן בבית משפט זה ע"י כב' השופט ליפשיץ ב</w:t>
      </w:r>
      <w:hyperlink r:id="rId52" w:history="1">
        <w:r w:rsidR="005D20AB" w:rsidRPr="005D20AB">
          <w:rPr>
            <w:color w:val="0000FF"/>
            <w:u w:val="single"/>
            <w:rtl/>
          </w:rPr>
          <w:t>ת.פ. 41276-06-17</w:t>
        </w:r>
      </w:hyperlink>
      <w:r w:rsidRPr="00B62C58">
        <w:rPr>
          <w:rtl/>
        </w:rPr>
        <w:t xml:space="preserve"> </w:t>
      </w:r>
      <w:r w:rsidRPr="00BB6208">
        <w:rPr>
          <w:rFonts w:ascii="Miriam" w:hAnsi="Miriam" w:cs="Miriam"/>
          <w:rtl/>
        </w:rPr>
        <w:t xml:space="preserve">מדינת ישראל נ' ג'בארין ואח' </w:t>
      </w:r>
      <w:r w:rsidRPr="00B62C58">
        <w:rPr>
          <w:rtl/>
        </w:rPr>
        <w:t xml:space="preserve">(17/7/18) (להלן: </w:t>
      </w:r>
      <w:r w:rsidRPr="00BB6208">
        <w:rPr>
          <w:rFonts w:ascii="Miriam" w:hAnsi="Miriam" w:cs="Miriam"/>
          <w:rtl/>
        </w:rPr>
        <w:t>עניין ג'בארין</w:t>
      </w:r>
      <w:r w:rsidRPr="00B62C58">
        <w:rPr>
          <w:rtl/>
        </w:rPr>
        <w:t xml:space="preserve">) (ראו </w:t>
      </w:r>
      <w:r w:rsidRPr="00BB6208">
        <w:rPr>
          <w:rFonts w:ascii="Miriam" w:hAnsi="Miriam" w:cs="Miriam"/>
          <w:rtl/>
        </w:rPr>
        <w:t>נ/1)</w:t>
      </w:r>
      <w:r w:rsidRPr="00B62C58">
        <w:rPr>
          <w:rtl/>
        </w:rPr>
        <w:t>. בעניין ג'בארין הורשעו שני הנאשמים, מכוח הודאתם, בעבירה שעניינה נשיאת נשק ותחמושת. השניים נשאו באזור מיוער נשק מסוג קרל גוסטב ומחסנית תואמת, תוך שנאשם 1 החזיק בכיסו 12 כדורי 9 מ"מ. יתרה מכך, אותם נאשמים גם ירו בנשק במקום בו שהו. בית המשפט ביכר בתיק הנ"ל את הפן השיקומי, בין היתר, בהתחשב בכך שנשיאת הנשק יוחסה לנאשמים רק לגבי שהייתם בשטח המיוער ולא נטען ע"י המאשימה כי הם הביאו את הנשק למקום. בסופו של דבר, אימץ בית המשפט את המלצות שירות המבחן והשית בתיק הנ"ל על כל אחד מהנאשמים עונש של מאסר בפועל בעבודות שרות, מאסרים על תנאי וצו מבחן.</w:t>
      </w:r>
    </w:p>
    <w:p w14:paraId="21BE34E7" w14:textId="77777777" w:rsidR="005636B7" w:rsidRPr="00B62C58" w:rsidRDefault="005636B7" w:rsidP="005636B7">
      <w:pPr>
        <w:spacing w:line="360" w:lineRule="auto"/>
        <w:ind w:firstLine="720"/>
        <w:jc w:val="both"/>
        <w:rPr>
          <w:rtl/>
        </w:rPr>
      </w:pPr>
    </w:p>
    <w:p w14:paraId="19004C8D" w14:textId="77777777" w:rsidR="005636B7" w:rsidRDefault="005636B7" w:rsidP="005636B7">
      <w:pPr>
        <w:spacing w:line="360" w:lineRule="auto"/>
        <w:jc w:val="both"/>
        <w:rPr>
          <w:rtl/>
        </w:rPr>
      </w:pPr>
      <w:r>
        <w:rPr>
          <w:rFonts w:hint="cs"/>
          <w:rtl/>
        </w:rPr>
        <w:t xml:space="preserve">23. </w:t>
      </w:r>
      <w:r>
        <w:rPr>
          <w:rFonts w:hint="cs"/>
          <w:rtl/>
        </w:rPr>
        <w:tab/>
      </w:r>
      <w:r>
        <w:rPr>
          <w:rtl/>
        </w:rPr>
        <w:t xml:space="preserve">לאחר שבחנתי, כאמור, את הערכים החברתיים שנפגעו כתוצאה מביצוע העבירות שבפנינו </w:t>
      </w:r>
      <w:r>
        <w:rPr>
          <w:rFonts w:hint="cs"/>
          <w:rtl/>
        </w:rPr>
        <w:t>כ</w:t>
      </w:r>
      <w:r>
        <w:rPr>
          <w:rtl/>
        </w:rPr>
        <w:t>שבראשן העבירה של נשיאת והובלת נשק, את נסיבות ביצוע העבירות</w:t>
      </w:r>
      <w:r>
        <w:rPr>
          <w:rFonts w:hint="cs"/>
          <w:rtl/>
        </w:rPr>
        <w:t>,</w:t>
      </w:r>
      <w:r>
        <w:rPr>
          <w:rtl/>
        </w:rPr>
        <w:t xml:space="preserve"> וכן נתתי דעתי למדיניות הענישה הנהוגה, הגעתי לכלל מסקנה, כי מתחם העונש ההולם בתיק זה נע בין עונש של 18 חודשי מאסר בפועל ל</w:t>
      </w:r>
      <w:r>
        <w:rPr>
          <w:rFonts w:hint="cs"/>
          <w:rtl/>
        </w:rPr>
        <w:t>עונש של 36</w:t>
      </w:r>
      <w:r>
        <w:rPr>
          <w:rtl/>
        </w:rPr>
        <w:t xml:space="preserve"> חודשי מאסר בפועל, וזאת לצד רכיב ענישה של מאסר מותנה. </w:t>
      </w:r>
    </w:p>
    <w:p w14:paraId="3B856D67" w14:textId="77777777" w:rsidR="005636B7" w:rsidRDefault="005636B7" w:rsidP="005636B7">
      <w:pPr>
        <w:spacing w:line="360" w:lineRule="auto"/>
        <w:jc w:val="both"/>
        <w:rPr>
          <w:rtl/>
        </w:rPr>
      </w:pPr>
    </w:p>
    <w:p w14:paraId="08C2DA65" w14:textId="77777777" w:rsidR="005636B7" w:rsidRDefault="005636B7" w:rsidP="005636B7">
      <w:pPr>
        <w:spacing w:line="360" w:lineRule="auto"/>
        <w:jc w:val="both"/>
        <w:rPr>
          <w:rtl/>
        </w:rPr>
      </w:pPr>
      <w:r>
        <w:rPr>
          <w:rFonts w:hint="cs"/>
          <w:rtl/>
        </w:rPr>
        <w:t xml:space="preserve">24. </w:t>
      </w:r>
      <w:r>
        <w:rPr>
          <w:rFonts w:hint="cs"/>
          <w:rtl/>
        </w:rPr>
        <w:tab/>
      </w:r>
      <w:r>
        <w:rPr>
          <w:rtl/>
        </w:rPr>
        <w:t>במסגרת בחינת הנסיבות שאינן קשורות בביצוע העבירות, אציין ראשית את הודאת הנאשם בעובדות כתב האישום, אשר חסכה מזמנו היקר של בית המשפט ו</w:t>
      </w:r>
      <w:r>
        <w:rPr>
          <w:rFonts w:hint="cs"/>
          <w:rtl/>
        </w:rPr>
        <w:t xml:space="preserve">כן </w:t>
      </w:r>
      <w:r>
        <w:rPr>
          <w:rtl/>
        </w:rPr>
        <w:t xml:space="preserve">את העדת עדי התביעה. </w:t>
      </w:r>
      <w:r>
        <w:rPr>
          <w:rFonts w:hint="cs"/>
          <w:rtl/>
        </w:rPr>
        <w:t xml:space="preserve">עוד </w:t>
      </w:r>
      <w:r>
        <w:rPr>
          <w:rtl/>
        </w:rPr>
        <w:t>אציין את עברו הנקי של הנאשם</w:t>
      </w:r>
      <w:r>
        <w:rPr>
          <w:rFonts w:hint="cs"/>
          <w:rtl/>
        </w:rPr>
        <w:t xml:space="preserve"> שהינו </w:t>
      </w:r>
      <w:r>
        <w:rPr>
          <w:rtl/>
        </w:rPr>
        <w:t xml:space="preserve">בחור צעיר </w:t>
      </w:r>
      <w:r>
        <w:rPr>
          <w:rFonts w:hint="cs"/>
          <w:rtl/>
        </w:rPr>
        <w:t xml:space="preserve">בן 25, נשוי ואב לילדה. כמו כן, יש לתת את הדעת, לקולה,  לכך שהנאשם היה נתון במעצר של ממש במשך חודש וחצי, וכן להיות הנאשם עצור באיזוק אלקטרוני במשך תקופה ממושכת של כשנה, כמו גם לעובדה שהנאשם הקפיד למלא אחר תנאי שחרורו ולא הפר אותם. עוד אוסיף </w:t>
      </w:r>
      <w:r>
        <w:rPr>
          <w:rtl/>
        </w:rPr>
        <w:t xml:space="preserve">את התרשמות שירות המבחן, </w:t>
      </w:r>
      <w:r>
        <w:rPr>
          <w:rFonts w:hint="cs"/>
          <w:rtl/>
        </w:rPr>
        <w:t>כי</w:t>
      </w:r>
      <w:r>
        <w:rPr>
          <w:rtl/>
        </w:rPr>
        <w:t xml:space="preserve"> הנאשם אינו בעל דפוסים עברייניים מושרשים והוא מצוי בשלב </w:t>
      </w:r>
      <w:r>
        <w:rPr>
          <w:rFonts w:hint="cs"/>
          <w:rtl/>
        </w:rPr>
        <w:t xml:space="preserve">של </w:t>
      </w:r>
      <w:r>
        <w:rPr>
          <w:rtl/>
        </w:rPr>
        <w:t xml:space="preserve">ביסוס חייו במישור המשפחתי והתעסוקתי. הנאשם אף קיבל אחריות לביצוע העבירות בפני שרות המבחן והביע חרטה. מהתסקיר השני עולה, כאמור, כי חלה </w:t>
      </w:r>
      <w:r>
        <w:rPr>
          <w:rFonts w:hint="cs"/>
          <w:rtl/>
        </w:rPr>
        <w:t>התקדמות</w:t>
      </w:r>
      <w:r>
        <w:rPr>
          <w:rtl/>
        </w:rPr>
        <w:t xml:space="preserve"> אצל הנאשם בשיתו</w:t>
      </w:r>
      <w:r>
        <w:rPr>
          <w:rFonts w:hint="cs"/>
          <w:rtl/>
        </w:rPr>
        <w:t>ף</w:t>
      </w:r>
      <w:r>
        <w:rPr>
          <w:rtl/>
        </w:rPr>
        <w:t xml:space="preserve"> </w:t>
      </w:r>
      <w:r>
        <w:rPr>
          <w:rFonts w:hint="cs"/>
          <w:rtl/>
        </w:rPr>
        <w:t xml:space="preserve">הפעולה עם </w:t>
      </w:r>
      <w:r>
        <w:rPr>
          <w:rtl/>
        </w:rPr>
        <w:t>שרות המבחן</w:t>
      </w:r>
      <w:r>
        <w:rPr>
          <w:rFonts w:hint="cs"/>
          <w:rtl/>
        </w:rPr>
        <w:t xml:space="preserve">. </w:t>
      </w:r>
      <w:r>
        <w:rPr>
          <w:rtl/>
        </w:rPr>
        <w:t xml:space="preserve">מהתסקיר העדכני עולה, כי הנאשם שיתף פעולה באופן מלא ובוגר בהליך הטיפולי בו שולב  וניכר כי הוא מבין כיום את השלכות מעשיו. התחזקה התרשמותו </w:t>
      </w:r>
      <w:r>
        <w:rPr>
          <w:rFonts w:hint="cs"/>
          <w:rtl/>
        </w:rPr>
        <w:t xml:space="preserve">של שרות המבחן </w:t>
      </w:r>
      <w:r>
        <w:rPr>
          <w:rtl/>
        </w:rPr>
        <w:t>לגבי נכונות הנאשם להשתלב במערך הטיפול</w:t>
      </w:r>
      <w:r>
        <w:rPr>
          <w:rFonts w:hint="cs"/>
          <w:rtl/>
        </w:rPr>
        <w:t>י</w:t>
      </w:r>
      <w:r>
        <w:rPr>
          <w:rtl/>
        </w:rPr>
        <w:t xml:space="preserve"> ב</w:t>
      </w:r>
      <w:r>
        <w:rPr>
          <w:rFonts w:hint="cs"/>
          <w:rtl/>
        </w:rPr>
        <w:t xml:space="preserve">מסגרתו </w:t>
      </w:r>
      <w:r>
        <w:rPr>
          <w:rtl/>
        </w:rPr>
        <w:t>ומומלץ, כאמור, לשלבו בקבוצה טיפולית</w:t>
      </w:r>
      <w:r>
        <w:rPr>
          <w:rFonts w:hint="cs"/>
          <w:rtl/>
        </w:rPr>
        <w:t xml:space="preserve"> נוספת</w:t>
      </w:r>
      <w:r>
        <w:rPr>
          <w:rtl/>
        </w:rPr>
        <w:t>.</w:t>
      </w:r>
    </w:p>
    <w:p w14:paraId="3640FD3B" w14:textId="77777777" w:rsidR="005636B7" w:rsidRDefault="005636B7" w:rsidP="005636B7">
      <w:pPr>
        <w:spacing w:line="360" w:lineRule="auto"/>
        <w:jc w:val="both"/>
        <w:rPr>
          <w:rtl/>
        </w:rPr>
      </w:pPr>
    </w:p>
    <w:p w14:paraId="763F7E2C" w14:textId="77777777" w:rsidR="005636B7" w:rsidRDefault="005636B7" w:rsidP="005636B7">
      <w:pPr>
        <w:spacing w:line="360" w:lineRule="auto"/>
        <w:jc w:val="both"/>
        <w:rPr>
          <w:rtl/>
        </w:rPr>
      </w:pPr>
      <w:r>
        <w:rPr>
          <w:rFonts w:hint="cs"/>
          <w:rtl/>
        </w:rPr>
        <w:t xml:space="preserve">25. </w:t>
      </w:r>
      <w:r>
        <w:rPr>
          <w:rFonts w:hint="cs"/>
          <w:rtl/>
        </w:rPr>
        <w:tab/>
      </w:r>
      <w:r>
        <w:rPr>
          <w:rtl/>
        </w:rPr>
        <w:t xml:space="preserve">קטיעת ההליך הטיפולי בו נתון הנאשם עלולה לפגוע לא רק באינטרס </w:t>
      </w:r>
      <w:r>
        <w:rPr>
          <w:rFonts w:hint="cs"/>
          <w:rtl/>
        </w:rPr>
        <w:t xml:space="preserve">האישי </w:t>
      </w:r>
      <w:r>
        <w:rPr>
          <w:rtl/>
        </w:rPr>
        <w:t>שלו כי אם גם באינטרס הציבור</w:t>
      </w:r>
      <w:r>
        <w:rPr>
          <w:rFonts w:hint="cs"/>
          <w:rtl/>
        </w:rPr>
        <w:t>י</w:t>
      </w:r>
      <w:r>
        <w:rPr>
          <w:rtl/>
        </w:rPr>
        <w:t xml:space="preserve"> בכללותו, לבל ישוב הנאשם ויסכן את ביטחון הציבור. השלמת ההליך הטיפולי בעניינו של הנאשם והצלחתו</w:t>
      </w:r>
      <w:r>
        <w:rPr>
          <w:rFonts w:hint="cs"/>
          <w:rtl/>
        </w:rPr>
        <w:t>,</w:t>
      </w:r>
      <w:r>
        <w:rPr>
          <w:rtl/>
        </w:rPr>
        <w:t xml:space="preserve"> יביאו להשתלבותו בחברה הנורמטיבית, ואילו שליחתו למאסר מאחורי סורג ובריח עלולה להביא, חלילה, לשילובו במעגל הפשיעה.</w:t>
      </w:r>
    </w:p>
    <w:p w14:paraId="7CD85198" w14:textId="77777777" w:rsidR="005636B7" w:rsidRDefault="005636B7" w:rsidP="005636B7">
      <w:pPr>
        <w:spacing w:line="360" w:lineRule="auto"/>
        <w:jc w:val="both"/>
        <w:rPr>
          <w:rtl/>
        </w:rPr>
      </w:pPr>
    </w:p>
    <w:p w14:paraId="11BF3EEA" w14:textId="77777777" w:rsidR="005636B7" w:rsidRDefault="005636B7" w:rsidP="005636B7">
      <w:pPr>
        <w:spacing w:line="360" w:lineRule="auto"/>
        <w:jc w:val="both"/>
        <w:rPr>
          <w:rFonts w:ascii="David" w:hAnsi="David"/>
          <w:rtl/>
        </w:rPr>
      </w:pPr>
      <w:r>
        <w:rPr>
          <w:rFonts w:hint="cs"/>
          <w:rtl/>
        </w:rPr>
        <w:t xml:space="preserve">26. </w:t>
      </w:r>
      <w:r>
        <w:rPr>
          <w:rFonts w:hint="cs"/>
          <w:rtl/>
        </w:rPr>
        <w:tab/>
      </w:r>
      <w:r>
        <w:rPr>
          <w:rFonts w:ascii="David" w:hAnsi="David"/>
          <w:rtl/>
        </w:rPr>
        <w:t>אי לכך, ובהינתן פ</w:t>
      </w:r>
      <w:r>
        <w:rPr>
          <w:rFonts w:ascii="David" w:hAnsi="David" w:hint="cs"/>
          <w:rtl/>
        </w:rPr>
        <w:t>ו</w:t>
      </w:r>
      <w:r>
        <w:rPr>
          <w:rFonts w:ascii="David" w:hAnsi="David"/>
          <w:rtl/>
        </w:rPr>
        <w:t>טנציאל השיקום הגבוה של הנאשם, אשר</w:t>
      </w:r>
      <w:r>
        <w:rPr>
          <w:rFonts w:ascii="David" w:hAnsi="David" w:hint="cs"/>
          <w:rtl/>
        </w:rPr>
        <w:t xml:space="preserve"> הביע גם בדיון בפניי צער על מעשיו וחרטה כנה ואמיתית</w:t>
      </w:r>
      <w:r>
        <w:rPr>
          <w:rFonts w:ascii="David" w:hAnsi="David"/>
          <w:rtl/>
        </w:rPr>
        <w:t>,</w:t>
      </w:r>
      <w:r>
        <w:rPr>
          <w:rFonts w:ascii="David" w:hAnsi="David" w:hint="cs"/>
          <w:rtl/>
        </w:rPr>
        <w:t xml:space="preserve"> הרי ש</w:t>
      </w:r>
      <w:r>
        <w:rPr>
          <w:rFonts w:ascii="David" w:hAnsi="David"/>
          <w:rtl/>
        </w:rPr>
        <w:t>מן הראוי לסטות בתיק זה ממתחם העונש ההולם מטעמים של שיקום,</w:t>
      </w:r>
      <w:r>
        <w:rPr>
          <w:rFonts w:ascii="David" w:hAnsi="David" w:hint="cs"/>
          <w:rtl/>
        </w:rPr>
        <w:t xml:space="preserve"> כמבוקש ע"י  הסנגור, </w:t>
      </w:r>
      <w:r>
        <w:rPr>
          <w:rFonts w:ascii="David" w:hAnsi="David"/>
          <w:rtl/>
        </w:rPr>
        <w:t xml:space="preserve"> וזאת מכוח סעיף </w:t>
      </w:r>
      <w:hyperlink r:id="rId53" w:history="1">
        <w:r w:rsidR="00B04440" w:rsidRPr="00B04440">
          <w:rPr>
            <w:rFonts w:ascii="David" w:hAnsi="David"/>
            <w:color w:val="0000FF"/>
            <w:u w:val="single"/>
            <w:rtl/>
          </w:rPr>
          <w:t>40 ד(א)</w:t>
        </w:r>
      </w:hyperlink>
      <w:r>
        <w:rPr>
          <w:rFonts w:ascii="David" w:hAnsi="David"/>
          <w:rtl/>
        </w:rPr>
        <w:t xml:space="preserve"> ל</w:t>
      </w:r>
      <w:hyperlink r:id="rId54" w:history="1">
        <w:r w:rsidR="005D20AB" w:rsidRPr="005D20AB">
          <w:rPr>
            <w:rFonts w:ascii="David" w:hAnsi="David"/>
            <w:color w:val="0000FF"/>
            <w:u w:val="single"/>
            <w:rtl/>
          </w:rPr>
          <w:t>חוק העונשין</w:t>
        </w:r>
      </w:hyperlink>
      <w:r>
        <w:rPr>
          <w:rFonts w:ascii="David" w:hAnsi="David"/>
          <w:rtl/>
        </w:rPr>
        <w:t xml:space="preserve">, הקובע, כהאי לישנא: </w:t>
      </w:r>
      <w:r>
        <w:rPr>
          <w:rFonts w:ascii="Miriam" w:hAnsi="Miriam" w:cs="Miriam"/>
          <w:rtl/>
        </w:rPr>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55" w:history="1">
        <w:r w:rsidR="005D20AB" w:rsidRPr="005D20AB">
          <w:rPr>
            <w:rFonts w:ascii="Miriam" w:hAnsi="Miriam" w:cs="Miriam"/>
            <w:color w:val="0000FF"/>
            <w:u w:val="single"/>
            <w:rtl/>
          </w:rPr>
          <w:t>פקודת המבחן</w:t>
        </w:r>
      </w:hyperlink>
      <w:r>
        <w:rPr>
          <w:rFonts w:ascii="Miriam" w:hAnsi="Miriam" w:cs="Miriam"/>
          <w:rtl/>
        </w:rPr>
        <w:t xml:space="preserve"> [נוסח חדש], התשכ"ט-1969</w:t>
      </w:r>
      <w:r>
        <w:rPr>
          <w:rFonts w:ascii="David" w:hAnsi="David"/>
          <w:rtl/>
        </w:rPr>
        <w:t xml:space="preserve">". </w:t>
      </w:r>
    </w:p>
    <w:p w14:paraId="70DD52DF" w14:textId="77777777" w:rsidR="005636B7" w:rsidRDefault="005636B7" w:rsidP="005636B7">
      <w:pPr>
        <w:spacing w:line="360" w:lineRule="auto"/>
        <w:jc w:val="both"/>
        <w:rPr>
          <w:rtl/>
        </w:rPr>
      </w:pPr>
      <w:r>
        <w:rPr>
          <w:rtl/>
        </w:rPr>
        <w:t xml:space="preserve"> </w:t>
      </w:r>
    </w:p>
    <w:p w14:paraId="75C13A3B" w14:textId="77777777" w:rsidR="005636B7" w:rsidRDefault="005636B7" w:rsidP="005636B7">
      <w:pPr>
        <w:spacing w:line="360" w:lineRule="auto"/>
        <w:jc w:val="both"/>
        <w:rPr>
          <w:rtl/>
        </w:rPr>
      </w:pPr>
      <w:r>
        <w:rPr>
          <w:rFonts w:hint="cs"/>
          <w:rtl/>
        </w:rPr>
        <w:t xml:space="preserve">27. </w:t>
      </w:r>
      <w:r>
        <w:rPr>
          <w:rFonts w:hint="cs"/>
          <w:rtl/>
        </w:rPr>
        <w:tab/>
        <w:t>רכיבי ענישה</w:t>
      </w:r>
      <w:r>
        <w:rPr>
          <w:rtl/>
        </w:rPr>
        <w:t xml:space="preserve"> של מאסר בפועל לתקופה של 9 חודשים בדרך של עבודות שרות</w:t>
      </w:r>
      <w:r>
        <w:rPr>
          <w:rFonts w:hint="cs"/>
          <w:rtl/>
        </w:rPr>
        <w:t xml:space="preserve"> ו</w:t>
      </w:r>
      <w:r>
        <w:rPr>
          <w:rtl/>
        </w:rPr>
        <w:t>מאסר מותנה</w:t>
      </w:r>
      <w:r>
        <w:rPr>
          <w:rFonts w:hint="cs"/>
          <w:rtl/>
        </w:rPr>
        <w:t xml:space="preserve"> </w:t>
      </w:r>
      <w:r>
        <w:rPr>
          <w:rtl/>
        </w:rPr>
        <w:t>מגלמים בחובם אלמנט של הרתעה</w:t>
      </w:r>
      <w:r>
        <w:rPr>
          <w:rFonts w:hint="cs"/>
          <w:rtl/>
        </w:rPr>
        <w:t xml:space="preserve"> לפרט ולרבים</w:t>
      </w:r>
      <w:r>
        <w:rPr>
          <w:rtl/>
        </w:rPr>
        <w:t xml:space="preserve">, </w:t>
      </w:r>
      <w:r>
        <w:rPr>
          <w:rFonts w:hint="cs"/>
          <w:rtl/>
        </w:rPr>
        <w:t>ו</w:t>
      </w:r>
      <w:r>
        <w:rPr>
          <w:rtl/>
        </w:rPr>
        <w:t>יוכלו לאפשר ל</w:t>
      </w:r>
      <w:r>
        <w:rPr>
          <w:rFonts w:hint="cs"/>
          <w:rtl/>
        </w:rPr>
        <w:t>נאשם</w:t>
      </w:r>
      <w:r>
        <w:rPr>
          <w:rtl/>
        </w:rPr>
        <w:t xml:space="preserve"> להשלים את ההליך הטיפולי</w:t>
      </w:r>
      <w:r>
        <w:rPr>
          <w:rFonts w:hint="cs"/>
          <w:rtl/>
        </w:rPr>
        <w:t xml:space="preserve"> ולהשתלב נאותה בחברה, מה גם שלצד רכיבי הענישה הנ"ל, יושת על הנאשם צו מבחן לתקופה משמעותית של 18 חודשים, דבר שיהווה, כשלעצמו, משום גורם נוסף של הרתעה כלפיו. </w:t>
      </w:r>
    </w:p>
    <w:p w14:paraId="10E3E824" w14:textId="77777777" w:rsidR="005636B7" w:rsidRDefault="005636B7" w:rsidP="005636B7">
      <w:pPr>
        <w:spacing w:line="360" w:lineRule="auto"/>
        <w:jc w:val="both"/>
        <w:rPr>
          <w:rtl/>
        </w:rPr>
      </w:pPr>
    </w:p>
    <w:p w14:paraId="124D668D" w14:textId="77777777" w:rsidR="005636B7" w:rsidRDefault="005636B7" w:rsidP="005636B7">
      <w:pPr>
        <w:spacing w:line="360" w:lineRule="auto"/>
        <w:jc w:val="both"/>
        <w:rPr>
          <w:rtl/>
        </w:rPr>
      </w:pPr>
      <w:r>
        <w:rPr>
          <w:rFonts w:hint="cs"/>
          <w:rtl/>
        </w:rPr>
        <w:t xml:space="preserve">28. </w:t>
      </w:r>
      <w:r>
        <w:rPr>
          <w:rFonts w:hint="cs"/>
          <w:rtl/>
        </w:rPr>
        <w:tab/>
      </w:r>
      <w:r>
        <w:rPr>
          <w:rtl/>
        </w:rPr>
        <w:t>בסיכומו של דבר,</w:t>
      </w:r>
      <w:r>
        <w:rPr>
          <w:rFonts w:hint="cs"/>
          <w:rtl/>
        </w:rPr>
        <w:t xml:space="preserve"> ולאחר שהחלטתי, כאמור, לסטות ממתחם העונש ההולם בעניינו של הנאשם, מטעמים של  שיקום, אני דנה אותו, כדלקמן: </w:t>
      </w:r>
    </w:p>
    <w:p w14:paraId="3E63EEEA" w14:textId="77777777" w:rsidR="005636B7" w:rsidRDefault="005636B7" w:rsidP="005636B7">
      <w:pPr>
        <w:spacing w:line="360" w:lineRule="auto"/>
        <w:jc w:val="both"/>
        <w:rPr>
          <w:rtl/>
        </w:rPr>
      </w:pPr>
    </w:p>
    <w:p w14:paraId="1AD1499F" w14:textId="77777777" w:rsidR="005636B7" w:rsidRPr="005636B7" w:rsidRDefault="005636B7" w:rsidP="005636B7">
      <w:pPr>
        <w:spacing w:after="160" w:line="360" w:lineRule="auto"/>
        <w:ind w:left="720"/>
        <w:jc w:val="both"/>
        <w:rPr>
          <w:rFonts w:ascii="Calibri" w:hAnsi="Calibri"/>
          <w:rtl/>
        </w:rPr>
      </w:pPr>
      <w:r w:rsidRPr="005636B7">
        <w:rPr>
          <w:rFonts w:ascii="Calibri" w:hAnsi="Calibri" w:cs="Arial"/>
          <w:sz w:val="22"/>
          <w:szCs w:val="22"/>
          <w:rtl/>
        </w:rPr>
        <w:t>א.</w:t>
      </w:r>
      <w:r w:rsidRPr="005636B7">
        <w:rPr>
          <w:rFonts w:ascii="Calibri" w:hAnsi="Calibri" w:cs="Arial"/>
          <w:sz w:val="22"/>
          <w:szCs w:val="22"/>
          <w:rtl/>
        </w:rPr>
        <w:tab/>
      </w:r>
      <w:r w:rsidRPr="005636B7">
        <w:rPr>
          <w:rFonts w:ascii="Calibri" w:hAnsi="Calibri"/>
          <w:rtl/>
        </w:rPr>
        <w:t>למאסר בפועל לתקופה של</w:t>
      </w:r>
      <w:r w:rsidRPr="005636B7">
        <w:rPr>
          <w:rFonts w:ascii="Calibri" w:hAnsi="Calibri" w:hint="cs"/>
          <w:rtl/>
        </w:rPr>
        <w:t xml:space="preserve"> 9</w:t>
      </w:r>
      <w:r w:rsidRPr="005636B7">
        <w:rPr>
          <w:rFonts w:ascii="Calibri" w:hAnsi="Calibri"/>
          <w:rtl/>
        </w:rPr>
        <w:t xml:space="preserve"> חודשים.  המאסר הנ"ל ירוצה על ידי הנאשם בדרך של עבודות שירות, כאמור בחוות דעת הממונה על עבודות השירות, היינו </w:t>
      </w:r>
      <w:r w:rsidRPr="005636B7">
        <w:rPr>
          <w:rFonts w:ascii="Calibri" w:hAnsi="Calibri" w:hint="cs"/>
          <w:rtl/>
        </w:rPr>
        <w:t>בחברת קדישא ברחוב רוטשילד 19 בחדרה.</w:t>
      </w:r>
    </w:p>
    <w:p w14:paraId="6A021E98" w14:textId="77777777" w:rsidR="005636B7" w:rsidRPr="005636B7" w:rsidRDefault="005636B7" w:rsidP="005636B7">
      <w:pPr>
        <w:spacing w:after="160" w:line="360" w:lineRule="auto"/>
        <w:ind w:left="720" w:firstLine="720"/>
        <w:jc w:val="both"/>
        <w:rPr>
          <w:rFonts w:ascii="Calibri" w:hAnsi="Calibri"/>
          <w:rtl/>
        </w:rPr>
      </w:pPr>
      <w:r w:rsidRPr="005636B7">
        <w:rPr>
          <w:rFonts w:ascii="Calibri" w:hAnsi="Calibri"/>
          <w:rtl/>
        </w:rPr>
        <w:t>הנאשם יתייצב ביום</w:t>
      </w:r>
      <w:r w:rsidRPr="005636B7">
        <w:rPr>
          <w:rFonts w:ascii="Calibri" w:hAnsi="Calibri" w:hint="cs"/>
          <w:rtl/>
        </w:rPr>
        <w:t xml:space="preserve"> 8/1/20 ב</w:t>
      </w:r>
      <w:r w:rsidRPr="005636B7">
        <w:rPr>
          <w:rFonts w:ascii="Calibri" w:hAnsi="Calibri"/>
          <w:rtl/>
        </w:rPr>
        <w:t>שעה 8:00 לצורך קליטה והצבה, בתאריך תחילת עבודות השירות, ביחידת עבודות שירות, מפקדת צפון, בכתובת</w:t>
      </w:r>
      <w:r w:rsidRPr="005636B7">
        <w:rPr>
          <w:rFonts w:ascii="Calibri" w:hAnsi="Calibri" w:hint="cs"/>
          <w:rtl/>
        </w:rPr>
        <w:t xml:space="preserve"> רחוב</w:t>
      </w:r>
      <w:r w:rsidRPr="005636B7">
        <w:rPr>
          <w:rFonts w:ascii="Calibri" w:hAnsi="Calibri"/>
          <w:rtl/>
        </w:rPr>
        <w:t xml:space="preserve"> הציונות 14 טבריה. </w:t>
      </w:r>
    </w:p>
    <w:p w14:paraId="6E5C9225" w14:textId="77777777" w:rsidR="005636B7" w:rsidRPr="005636B7" w:rsidRDefault="005636B7" w:rsidP="005636B7">
      <w:pPr>
        <w:spacing w:after="160" w:line="360" w:lineRule="auto"/>
        <w:ind w:left="720" w:firstLine="720"/>
        <w:jc w:val="both"/>
        <w:rPr>
          <w:rFonts w:ascii="Calibri" w:hAnsi="Calibri"/>
          <w:rtl/>
        </w:rPr>
      </w:pPr>
      <w:r w:rsidRPr="005636B7">
        <w:rPr>
          <w:rFonts w:ascii="Calibri" w:hAnsi="Calibri"/>
          <w:rtl/>
        </w:rPr>
        <w:t xml:space="preserve">הנאשם מוזהר בזה, לבקשת הממונה על עבודות שרות, כי עסקינן בתנאי העסקה קפדניים במסגרת עבודות השירות, וכי הפרת תנאים אלה עלולה להוביל להפסקת עבודות השירות ולריצוי </w:t>
      </w:r>
      <w:r w:rsidRPr="005636B7">
        <w:rPr>
          <w:rFonts w:ascii="Calibri" w:hAnsi="Calibri" w:hint="cs"/>
          <w:rtl/>
        </w:rPr>
        <w:t xml:space="preserve">יתרת </w:t>
      </w:r>
      <w:r w:rsidRPr="005636B7">
        <w:rPr>
          <w:rFonts w:ascii="Calibri" w:hAnsi="Calibri"/>
          <w:rtl/>
        </w:rPr>
        <w:t>העונש במאסר של ממש.</w:t>
      </w:r>
    </w:p>
    <w:p w14:paraId="705F88FA" w14:textId="77777777" w:rsidR="005636B7" w:rsidRPr="005636B7" w:rsidRDefault="005636B7" w:rsidP="005636B7">
      <w:pPr>
        <w:spacing w:after="160" w:line="360" w:lineRule="auto"/>
        <w:ind w:left="720"/>
        <w:jc w:val="both"/>
        <w:rPr>
          <w:rFonts w:ascii="Calibri" w:hAnsi="Calibri"/>
          <w:rtl/>
        </w:rPr>
      </w:pPr>
      <w:r w:rsidRPr="005636B7">
        <w:rPr>
          <w:rFonts w:ascii="Calibri" w:hAnsi="Calibri"/>
          <w:rtl/>
        </w:rPr>
        <w:t>ב.</w:t>
      </w:r>
      <w:r w:rsidRPr="005636B7">
        <w:rPr>
          <w:rFonts w:ascii="Calibri" w:hAnsi="Calibri"/>
          <w:rtl/>
        </w:rPr>
        <w:tab/>
        <w:t xml:space="preserve">למאסר על תנאי לתקופה של 12 חודשים למשך 3 שנים, והתנאי הוא כי הנאשם לא יעבור עבירה מסוג פשע לפי </w:t>
      </w:r>
      <w:hyperlink r:id="rId56" w:history="1">
        <w:r w:rsidR="00B04440" w:rsidRPr="00B04440">
          <w:rPr>
            <w:rFonts w:ascii="Calibri" w:hAnsi="Calibri" w:hint="eastAsia"/>
            <w:color w:val="0000FF"/>
            <w:u w:val="single"/>
            <w:rtl/>
          </w:rPr>
          <w:t>סעיף</w:t>
        </w:r>
        <w:r w:rsidR="00B04440" w:rsidRPr="00B04440">
          <w:rPr>
            <w:rFonts w:ascii="Calibri" w:hAnsi="Calibri"/>
            <w:color w:val="0000FF"/>
            <w:u w:val="single"/>
            <w:rtl/>
          </w:rPr>
          <w:t xml:space="preserve"> 144</w:t>
        </w:r>
      </w:hyperlink>
      <w:r w:rsidRPr="005636B7">
        <w:rPr>
          <w:rFonts w:ascii="Calibri" w:hAnsi="Calibri"/>
          <w:rtl/>
        </w:rPr>
        <w:t xml:space="preserve"> ל</w:t>
      </w:r>
      <w:hyperlink r:id="rId57" w:history="1">
        <w:r w:rsidR="005D20AB" w:rsidRPr="005D20AB">
          <w:rPr>
            <w:rFonts w:ascii="Calibri" w:hAnsi="Calibri" w:hint="eastAsia"/>
            <w:color w:val="0000FF"/>
            <w:u w:val="single"/>
            <w:rtl/>
          </w:rPr>
          <w:t>חוק</w:t>
        </w:r>
        <w:r w:rsidR="005D20AB" w:rsidRPr="005D20AB">
          <w:rPr>
            <w:rFonts w:ascii="Calibri" w:hAnsi="Calibri"/>
            <w:color w:val="0000FF"/>
            <w:u w:val="single"/>
            <w:rtl/>
          </w:rPr>
          <w:t xml:space="preserve"> </w:t>
        </w:r>
        <w:r w:rsidR="005D20AB" w:rsidRPr="005D20AB">
          <w:rPr>
            <w:rFonts w:ascii="Calibri" w:hAnsi="Calibri" w:hint="eastAsia"/>
            <w:color w:val="0000FF"/>
            <w:u w:val="single"/>
            <w:rtl/>
          </w:rPr>
          <w:t>העונשין</w:t>
        </w:r>
      </w:hyperlink>
      <w:r w:rsidRPr="005636B7">
        <w:rPr>
          <w:rFonts w:ascii="Calibri" w:hAnsi="Calibri"/>
          <w:rtl/>
        </w:rPr>
        <w:t>, התשל"ז – 1977.</w:t>
      </w:r>
    </w:p>
    <w:p w14:paraId="1C16E29F" w14:textId="77777777" w:rsidR="005636B7" w:rsidRPr="005636B7" w:rsidRDefault="005636B7" w:rsidP="005636B7">
      <w:pPr>
        <w:spacing w:after="160" w:line="360" w:lineRule="auto"/>
        <w:ind w:left="720"/>
        <w:jc w:val="both"/>
        <w:rPr>
          <w:rFonts w:ascii="Calibri" w:hAnsi="Calibri"/>
          <w:rtl/>
        </w:rPr>
      </w:pPr>
      <w:r w:rsidRPr="005636B7">
        <w:rPr>
          <w:rFonts w:ascii="Calibri" w:hAnsi="Calibri"/>
          <w:rtl/>
        </w:rPr>
        <w:t>ג.</w:t>
      </w:r>
      <w:r w:rsidRPr="005636B7">
        <w:rPr>
          <w:rFonts w:ascii="Calibri" w:hAnsi="Calibri"/>
          <w:rtl/>
        </w:rPr>
        <w:tab/>
        <w:t xml:space="preserve">למאסר על תנאי לתקופה של 6 חודשים למשך 3 שנים, והתנאי הוא כי הנאשם לא יעבור עבירה מסוג עוון לפי </w:t>
      </w:r>
      <w:hyperlink r:id="rId58" w:history="1">
        <w:r w:rsidR="00B04440" w:rsidRPr="00B04440">
          <w:rPr>
            <w:rFonts w:ascii="Calibri" w:hAnsi="Calibri" w:hint="eastAsia"/>
            <w:color w:val="0000FF"/>
            <w:u w:val="single"/>
            <w:rtl/>
          </w:rPr>
          <w:t>סעיף</w:t>
        </w:r>
        <w:r w:rsidR="00B04440" w:rsidRPr="00B04440">
          <w:rPr>
            <w:rFonts w:ascii="Calibri" w:hAnsi="Calibri"/>
            <w:color w:val="0000FF"/>
            <w:u w:val="single"/>
            <w:rtl/>
          </w:rPr>
          <w:t xml:space="preserve"> 144</w:t>
        </w:r>
      </w:hyperlink>
      <w:r w:rsidRPr="005636B7">
        <w:rPr>
          <w:rFonts w:ascii="Calibri" w:hAnsi="Calibri"/>
          <w:rtl/>
        </w:rPr>
        <w:t xml:space="preserve"> ל</w:t>
      </w:r>
      <w:hyperlink r:id="rId59" w:history="1">
        <w:r w:rsidR="005D20AB" w:rsidRPr="005D20AB">
          <w:rPr>
            <w:rFonts w:ascii="Calibri" w:hAnsi="Calibri" w:hint="eastAsia"/>
            <w:color w:val="0000FF"/>
            <w:u w:val="single"/>
            <w:rtl/>
          </w:rPr>
          <w:t>חוק</w:t>
        </w:r>
        <w:r w:rsidR="005D20AB" w:rsidRPr="005D20AB">
          <w:rPr>
            <w:rFonts w:ascii="Calibri" w:hAnsi="Calibri"/>
            <w:color w:val="0000FF"/>
            <w:u w:val="single"/>
            <w:rtl/>
          </w:rPr>
          <w:t xml:space="preserve"> </w:t>
        </w:r>
        <w:r w:rsidR="005D20AB" w:rsidRPr="005D20AB">
          <w:rPr>
            <w:rFonts w:ascii="Calibri" w:hAnsi="Calibri" w:hint="eastAsia"/>
            <w:color w:val="0000FF"/>
            <w:u w:val="single"/>
            <w:rtl/>
          </w:rPr>
          <w:t>העונשין</w:t>
        </w:r>
      </w:hyperlink>
      <w:r w:rsidRPr="005636B7">
        <w:rPr>
          <w:rFonts w:ascii="Calibri" w:hAnsi="Calibri"/>
          <w:rtl/>
        </w:rPr>
        <w:t>, התשל"ז – 1977</w:t>
      </w:r>
      <w:r w:rsidRPr="005636B7">
        <w:rPr>
          <w:rFonts w:ascii="Calibri" w:hAnsi="Calibri" w:hint="cs"/>
          <w:rtl/>
        </w:rPr>
        <w:t xml:space="preserve"> או עבירה לפי </w:t>
      </w:r>
      <w:hyperlink r:id="rId60" w:history="1">
        <w:r w:rsidR="00B04440" w:rsidRPr="00B04440">
          <w:rPr>
            <w:rFonts w:ascii="Calibri" w:hAnsi="Calibri" w:hint="eastAsia"/>
            <w:color w:val="0000FF"/>
            <w:u w:val="single"/>
            <w:rtl/>
          </w:rPr>
          <w:t>סימן</w:t>
        </w:r>
        <w:r w:rsidR="00B04440" w:rsidRPr="00B04440">
          <w:rPr>
            <w:rFonts w:ascii="Calibri" w:hAnsi="Calibri"/>
            <w:color w:val="0000FF"/>
            <w:u w:val="single"/>
            <w:rtl/>
          </w:rPr>
          <w:t xml:space="preserve"> </w:t>
        </w:r>
        <w:r w:rsidR="00B04440" w:rsidRPr="00B04440">
          <w:rPr>
            <w:rFonts w:ascii="Calibri" w:hAnsi="Calibri" w:hint="eastAsia"/>
            <w:color w:val="0000FF"/>
            <w:u w:val="single"/>
            <w:rtl/>
          </w:rPr>
          <w:t>ג</w:t>
        </w:r>
        <w:r w:rsidR="00B04440" w:rsidRPr="00B04440">
          <w:rPr>
            <w:rFonts w:ascii="Calibri" w:hAnsi="Calibri"/>
            <w:color w:val="0000FF"/>
            <w:u w:val="single"/>
            <w:rtl/>
          </w:rPr>
          <w:t>'</w:t>
        </w:r>
      </w:hyperlink>
      <w:r w:rsidRPr="005636B7">
        <w:rPr>
          <w:rFonts w:ascii="Calibri" w:hAnsi="Calibri" w:hint="cs"/>
          <w:rtl/>
        </w:rPr>
        <w:t xml:space="preserve"> לפרק ט' לחוק הנ"ל.</w:t>
      </w:r>
    </w:p>
    <w:p w14:paraId="3500B4B8" w14:textId="77777777" w:rsidR="005636B7" w:rsidRDefault="005636B7" w:rsidP="005636B7">
      <w:pPr>
        <w:spacing w:after="160" w:line="360" w:lineRule="auto"/>
        <w:ind w:left="720"/>
        <w:jc w:val="both"/>
        <w:rPr>
          <w:rtl/>
        </w:rPr>
      </w:pPr>
      <w:r w:rsidRPr="005636B7">
        <w:rPr>
          <w:rFonts w:ascii="Calibri" w:hAnsi="Calibri" w:hint="cs"/>
          <w:rtl/>
        </w:rPr>
        <w:t xml:space="preserve">ד. </w:t>
      </w:r>
      <w:r w:rsidRPr="005636B7">
        <w:rPr>
          <w:rFonts w:ascii="Calibri" w:hAnsi="Calibri" w:hint="cs"/>
          <w:rtl/>
        </w:rPr>
        <w:tab/>
      </w:r>
      <w:r w:rsidRPr="005636B7">
        <w:rPr>
          <w:rFonts w:ascii="Calibri" w:hAnsi="Calibri"/>
          <w:rtl/>
        </w:rPr>
        <w:t xml:space="preserve">אני מורה על הטלת צו מבחן על הנאשם לתקופה של </w:t>
      </w:r>
      <w:r>
        <w:rPr>
          <w:rFonts w:hint="cs"/>
          <w:rtl/>
        </w:rPr>
        <w:t xml:space="preserve">18 חודשים, במהלכם ישולב הנאשם בקבוצה טיפולית המותאמת לצרכיו, תוך מתן הדעת לכך שהוא עתיד לבצע עבודות שרות ולפיכך מתבקש שילובו בקבוצה טיפולית אחר הצהריים. </w:t>
      </w:r>
    </w:p>
    <w:p w14:paraId="7721D134" w14:textId="77777777" w:rsidR="005636B7" w:rsidRPr="005636B7" w:rsidRDefault="005636B7" w:rsidP="005636B7">
      <w:pPr>
        <w:spacing w:line="360" w:lineRule="auto"/>
        <w:jc w:val="both"/>
        <w:rPr>
          <w:rFonts w:ascii="Calibri" w:hAnsi="Calibri"/>
          <w:rtl/>
        </w:rPr>
      </w:pPr>
    </w:p>
    <w:p w14:paraId="6763BA57" w14:textId="77777777" w:rsidR="005636B7" w:rsidRPr="005636B7" w:rsidRDefault="005636B7" w:rsidP="005636B7">
      <w:pPr>
        <w:spacing w:line="360" w:lineRule="auto"/>
        <w:ind w:left="720"/>
        <w:jc w:val="both"/>
        <w:rPr>
          <w:rFonts w:ascii="Calibri" w:hAnsi="Calibri"/>
          <w:rtl/>
        </w:rPr>
      </w:pPr>
      <w:r w:rsidRPr="005636B7">
        <w:rPr>
          <w:rFonts w:ascii="Calibri" w:hAnsi="Calibri"/>
          <w:rtl/>
        </w:rPr>
        <w:t xml:space="preserve">הנאשם מוזהר בזה, כי במידה שלא יעמוד בתנאי צו המבחן או יבצע עבירה נוספת בתקופת הצו והצו יופקע, אזי הוא יהא צפוי לגזירת דינו מחדש, לחומרה. </w:t>
      </w:r>
    </w:p>
    <w:p w14:paraId="77F07E95" w14:textId="77777777" w:rsidR="005636B7" w:rsidRPr="005636B7" w:rsidRDefault="005636B7" w:rsidP="005636B7">
      <w:pPr>
        <w:spacing w:line="360" w:lineRule="auto"/>
        <w:jc w:val="both"/>
        <w:rPr>
          <w:rFonts w:ascii="Calibri" w:hAnsi="Calibri"/>
          <w:rtl/>
        </w:rPr>
      </w:pPr>
    </w:p>
    <w:p w14:paraId="6035184E" w14:textId="77777777" w:rsidR="005636B7" w:rsidRPr="005636B7" w:rsidRDefault="005636B7" w:rsidP="005636B7">
      <w:pPr>
        <w:spacing w:line="360" w:lineRule="auto"/>
        <w:jc w:val="both"/>
        <w:rPr>
          <w:rFonts w:ascii="Calibri" w:hAnsi="Calibri"/>
          <w:rtl/>
        </w:rPr>
      </w:pPr>
      <w:r w:rsidRPr="005636B7">
        <w:rPr>
          <w:rFonts w:ascii="Calibri" w:hAnsi="Calibri"/>
          <w:rtl/>
        </w:rPr>
        <w:t>המזכירות תמציא העתק מגזר הדין לשרות המבחן ולממונה על עבודות שרות.</w:t>
      </w:r>
    </w:p>
    <w:p w14:paraId="6FF2640A" w14:textId="77777777" w:rsidR="005636B7" w:rsidRPr="005636B7" w:rsidRDefault="005636B7" w:rsidP="005636B7">
      <w:pPr>
        <w:spacing w:line="360" w:lineRule="auto"/>
        <w:jc w:val="both"/>
        <w:rPr>
          <w:rFonts w:ascii="Calibri" w:hAnsi="Calibri"/>
          <w:rtl/>
        </w:rPr>
      </w:pPr>
    </w:p>
    <w:p w14:paraId="40F4CF91" w14:textId="77777777" w:rsidR="005636B7" w:rsidRPr="005636B7" w:rsidRDefault="005636B7" w:rsidP="005636B7">
      <w:pPr>
        <w:spacing w:line="360" w:lineRule="auto"/>
        <w:jc w:val="both"/>
        <w:rPr>
          <w:rFonts w:ascii="Calibri" w:hAnsi="Calibri"/>
          <w:b/>
          <w:bCs/>
          <w:u w:val="single"/>
          <w:rtl/>
        </w:rPr>
      </w:pPr>
      <w:r w:rsidRPr="005636B7">
        <w:rPr>
          <w:rFonts w:ascii="Calibri" w:hAnsi="Calibri"/>
          <w:b/>
          <w:bCs/>
          <w:u w:val="single"/>
          <w:rtl/>
        </w:rPr>
        <w:t>זכות ערעור לבית המשפט העליון תוך 45 יום.</w:t>
      </w:r>
    </w:p>
    <w:p w14:paraId="0ACBB1F0" w14:textId="77777777" w:rsidR="005636B7" w:rsidRDefault="005636B7" w:rsidP="005636B7">
      <w:pPr>
        <w:spacing w:line="360" w:lineRule="auto"/>
        <w:jc w:val="both"/>
        <w:rPr>
          <w:rtl/>
        </w:rPr>
      </w:pPr>
    </w:p>
    <w:p w14:paraId="437609DF" w14:textId="77777777" w:rsidR="005636B7" w:rsidRDefault="005636B7" w:rsidP="005636B7">
      <w:pPr>
        <w:pStyle w:val="a9"/>
        <w:spacing w:line="360" w:lineRule="auto"/>
        <w:ind w:left="420"/>
        <w:jc w:val="both"/>
        <w:rPr>
          <w:rtl/>
        </w:rPr>
      </w:pPr>
    </w:p>
    <w:p w14:paraId="22658701" w14:textId="77777777" w:rsidR="005636B7" w:rsidRDefault="005D20AB" w:rsidP="005636B7">
      <w:pPr>
        <w:spacing w:line="360" w:lineRule="auto"/>
        <w:jc w:val="both"/>
        <w:rPr>
          <w:rFonts w:ascii="Arial" w:hAnsi="Arial"/>
        </w:rPr>
      </w:pPr>
      <w:bookmarkStart w:id="7" w:name="Nitan"/>
      <w:r w:rsidRPr="005D20AB">
        <w:rPr>
          <w:rFonts w:ascii="Arial" w:hAnsi="Arial"/>
          <w:color w:val="FFFFFF"/>
          <w:sz w:val="2"/>
          <w:szCs w:val="2"/>
          <w:rtl/>
        </w:rPr>
        <w:t>5129371</w:t>
      </w:r>
      <w:r>
        <w:rPr>
          <w:rFonts w:ascii="Arial" w:hAnsi="Arial"/>
          <w:rtl/>
        </w:rPr>
        <w:t xml:space="preserve">ניתן היום,  כ"ה תשרי תש"פ, 24 אוקטובר 2019, במעמד ב"כ המאשימה, עו"ד עינב איטסקו גולד, </w:t>
      </w:r>
      <w:bookmarkEnd w:id="7"/>
      <w:r w:rsidR="005636B7">
        <w:rPr>
          <w:rFonts w:ascii="Arial" w:hAnsi="Arial" w:hint="cs"/>
          <w:rtl/>
        </w:rPr>
        <w:t>ב"כ הנאשם, עו"ד בויראת וכן הנאשם בעצמו.</w:t>
      </w:r>
    </w:p>
    <w:p w14:paraId="2BF906C8" w14:textId="77777777" w:rsidR="005636B7" w:rsidRPr="005D20AB" w:rsidRDefault="005D20AB" w:rsidP="005636B7">
      <w:pPr>
        <w:jc w:val="both"/>
        <w:rPr>
          <w:rFonts w:cs="FrankRuehl"/>
          <w:color w:val="FFFFFF"/>
          <w:sz w:val="2"/>
          <w:szCs w:val="2"/>
          <w:rtl/>
        </w:rPr>
      </w:pPr>
      <w:r w:rsidRPr="005D20AB">
        <w:rPr>
          <w:rFonts w:cs="FrankRuehl"/>
          <w:color w:val="FFFFFF"/>
          <w:sz w:val="2"/>
          <w:szCs w:val="2"/>
          <w:rtl/>
        </w:rPr>
        <w:t>54678313</w:t>
      </w:r>
    </w:p>
    <w:p w14:paraId="0B860332" w14:textId="77777777" w:rsidR="005636B7" w:rsidRDefault="005636B7" w:rsidP="005D20AB">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F355527" w14:textId="77777777" w:rsidR="005636B7" w:rsidRDefault="005636B7" w:rsidP="005636B7">
      <w:pPr>
        <w:jc w:val="both"/>
        <w:rPr>
          <w:rFonts w:ascii="Arial" w:hAnsi="Arial" w:cs="FrankRuehl"/>
          <w:sz w:val="28"/>
          <w:szCs w:val="28"/>
          <w:rtl/>
        </w:rPr>
      </w:pPr>
    </w:p>
    <w:p w14:paraId="2C1097A7" w14:textId="77777777" w:rsidR="005636B7" w:rsidRDefault="005636B7" w:rsidP="005636B7">
      <w:pPr>
        <w:jc w:val="both"/>
        <w:rPr>
          <w:rFonts w:cs="FrankRuehl"/>
          <w:sz w:val="28"/>
          <w:szCs w:val="28"/>
          <w:rtl/>
        </w:rPr>
      </w:pPr>
    </w:p>
    <w:p w14:paraId="1396BD62" w14:textId="77777777" w:rsidR="005636B7" w:rsidRPr="00B04440" w:rsidRDefault="00B04440" w:rsidP="005636B7">
      <w:pPr>
        <w:pStyle w:val="a3"/>
        <w:jc w:val="both"/>
        <w:rPr>
          <w:color w:val="FFFFFF"/>
          <w:sz w:val="2"/>
          <w:szCs w:val="2"/>
          <w:rtl/>
        </w:rPr>
      </w:pPr>
      <w:r w:rsidRPr="00B04440">
        <w:rPr>
          <w:color w:val="FFFFFF"/>
          <w:sz w:val="2"/>
          <w:szCs w:val="2"/>
          <w:rtl/>
        </w:rPr>
        <w:t>5129371</w:t>
      </w:r>
    </w:p>
    <w:p w14:paraId="18EC18AB" w14:textId="77777777" w:rsidR="000F7736" w:rsidRPr="00B04440" w:rsidRDefault="00B04440" w:rsidP="005D20AB">
      <w:pPr>
        <w:keepNext/>
        <w:rPr>
          <w:rFonts w:ascii="David" w:hAnsi="David"/>
          <w:color w:val="FFFFFF"/>
          <w:sz w:val="2"/>
          <w:szCs w:val="2"/>
          <w:rtl/>
        </w:rPr>
      </w:pPr>
      <w:r w:rsidRPr="00B04440">
        <w:rPr>
          <w:rFonts w:ascii="David" w:hAnsi="David"/>
          <w:color w:val="FFFFFF"/>
          <w:sz w:val="2"/>
          <w:szCs w:val="2"/>
          <w:rtl/>
        </w:rPr>
        <w:t>54678313</w:t>
      </w:r>
    </w:p>
    <w:p w14:paraId="347B1736" w14:textId="77777777" w:rsidR="005D20AB" w:rsidRDefault="005D20AB" w:rsidP="005D20AB">
      <w:pPr>
        <w:rPr>
          <w:rtl/>
        </w:rPr>
      </w:pPr>
    </w:p>
    <w:p w14:paraId="71364A35" w14:textId="77777777" w:rsidR="005D20AB" w:rsidRDefault="005D20AB" w:rsidP="005D20AB">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4AC9BA0E" w14:textId="77777777" w:rsidR="00B04440" w:rsidRPr="00B04440" w:rsidRDefault="00B04440" w:rsidP="00B04440">
      <w:pPr>
        <w:keepNext/>
        <w:rPr>
          <w:rFonts w:ascii="David" w:hAnsi="David"/>
          <w:color w:val="000000"/>
          <w:sz w:val="22"/>
          <w:szCs w:val="22"/>
          <w:rtl/>
        </w:rPr>
      </w:pPr>
    </w:p>
    <w:p w14:paraId="37F38D05" w14:textId="77777777" w:rsidR="00B04440" w:rsidRPr="00B04440" w:rsidRDefault="00B04440" w:rsidP="00B04440">
      <w:pPr>
        <w:keepNext/>
        <w:rPr>
          <w:rFonts w:ascii="David" w:hAnsi="David"/>
          <w:color w:val="000000"/>
          <w:sz w:val="22"/>
          <w:szCs w:val="22"/>
          <w:rtl/>
        </w:rPr>
      </w:pPr>
      <w:r w:rsidRPr="00B04440">
        <w:rPr>
          <w:rFonts w:ascii="David" w:hAnsi="David"/>
          <w:color w:val="000000"/>
          <w:sz w:val="22"/>
          <w:szCs w:val="22"/>
          <w:rtl/>
        </w:rPr>
        <w:t>רונית בש 54678313-/</w:t>
      </w:r>
    </w:p>
    <w:p w14:paraId="1575BBCE" w14:textId="77777777" w:rsidR="005D20AB" w:rsidRPr="005D20AB" w:rsidRDefault="00B04440" w:rsidP="00B04440">
      <w:pPr>
        <w:rPr>
          <w:color w:val="0000FF"/>
          <w:u w:val="single"/>
        </w:rPr>
      </w:pPr>
      <w:r w:rsidRPr="00B04440">
        <w:rPr>
          <w:color w:val="000000"/>
          <w:u w:val="single"/>
          <w:rtl/>
        </w:rPr>
        <w:t>נוסח מסמך זה כפוף לשינויי ניסוח ועריכה</w:t>
      </w:r>
    </w:p>
    <w:sectPr w:rsidR="005D20AB" w:rsidRPr="005D20AB" w:rsidSect="00B04440">
      <w:headerReference w:type="even" r:id="rId62"/>
      <w:headerReference w:type="default" r:id="rId63"/>
      <w:footerReference w:type="even" r:id="rId64"/>
      <w:footerReference w:type="default" r:id="rId6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C2B8B" w14:textId="77777777" w:rsidR="00A27FBD" w:rsidRDefault="00A27FBD" w:rsidP="00F13D60">
      <w:r>
        <w:separator/>
      </w:r>
    </w:p>
  </w:endnote>
  <w:endnote w:type="continuationSeparator" w:id="0">
    <w:p w14:paraId="649C37BE" w14:textId="77777777" w:rsidR="00A27FBD" w:rsidRDefault="00A27FBD" w:rsidP="00F13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E2333" w14:textId="77777777" w:rsidR="00B04440" w:rsidRDefault="00B04440" w:rsidP="00B0444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8690F15" w14:textId="77777777" w:rsidR="00DD42DE" w:rsidRPr="00B04440" w:rsidRDefault="00B04440" w:rsidP="00B04440">
    <w:pPr>
      <w:pStyle w:val="a5"/>
      <w:pBdr>
        <w:top w:val="single" w:sz="4" w:space="1" w:color="auto"/>
        <w:between w:val="single" w:sz="4" w:space="0" w:color="auto"/>
      </w:pBdr>
      <w:spacing w:after="60"/>
      <w:jc w:val="center"/>
      <w:rPr>
        <w:rFonts w:ascii="FrankRuehl" w:hAnsi="FrankRuehl" w:cs="FrankRuehl"/>
        <w:color w:val="000000"/>
      </w:rPr>
    </w:pPr>
    <w:r w:rsidRPr="00B0444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A7B8D" w14:textId="77777777" w:rsidR="00B04440" w:rsidRDefault="00B04440" w:rsidP="00B0444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C3A50">
      <w:rPr>
        <w:rFonts w:ascii="FrankRuehl" w:hAnsi="FrankRuehl" w:cs="FrankRuehl"/>
        <w:noProof/>
        <w:rtl/>
      </w:rPr>
      <w:t>1</w:t>
    </w:r>
    <w:r>
      <w:rPr>
        <w:rFonts w:ascii="FrankRuehl" w:hAnsi="FrankRuehl" w:cs="FrankRuehl"/>
        <w:rtl/>
      </w:rPr>
      <w:fldChar w:fldCharType="end"/>
    </w:r>
  </w:p>
  <w:p w14:paraId="01129ED4" w14:textId="77777777" w:rsidR="00DD42DE" w:rsidRPr="00B04440" w:rsidRDefault="00B04440" w:rsidP="00B04440">
    <w:pPr>
      <w:pStyle w:val="a5"/>
      <w:pBdr>
        <w:top w:val="single" w:sz="4" w:space="1" w:color="auto"/>
        <w:between w:val="single" w:sz="4" w:space="0" w:color="auto"/>
      </w:pBdr>
      <w:spacing w:after="60"/>
      <w:jc w:val="center"/>
      <w:rPr>
        <w:rFonts w:ascii="FrankRuehl" w:hAnsi="FrankRuehl" w:cs="FrankRuehl"/>
        <w:color w:val="000000"/>
      </w:rPr>
    </w:pPr>
    <w:r w:rsidRPr="00B04440">
      <w:rPr>
        <w:rFonts w:ascii="FrankRuehl" w:hAnsi="FrankRuehl" w:cs="FrankRuehl"/>
        <w:color w:val="000000"/>
      </w:rPr>
      <w:pict w14:anchorId="6CE01A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0D221" w14:textId="77777777" w:rsidR="00A27FBD" w:rsidRDefault="00A27FBD" w:rsidP="00F13D60">
      <w:r>
        <w:separator/>
      </w:r>
    </w:p>
  </w:footnote>
  <w:footnote w:type="continuationSeparator" w:id="0">
    <w:p w14:paraId="10A64A50" w14:textId="77777777" w:rsidR="00A27FBD" w:rsidRDefault="00A27FBD" w:rsidP="00F13D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F1EDE" w14:textId="77777777" w:rsidR="005D20AB" w:rsidRPr="00B04440" w:rsidRDefault="00B04440" w:rsidP="00B0444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63018-05-18</w:t>
    </w:r>
    <w:r>
      <w:rPr>
        <w:rFonts w:ascii="David" w:hAnsi="David"/>
        <w:color w:val="000000"/>
        <w:sz w:val="22"/>
        <w:szCs w:val="22"/>
        <w:rtl/>
      </w:rPr>
      <w:tab/>
      <w:t xml:space="preserve"> מדינת ישראל נ' אחמד מחאמיד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9D8CF" w14:textId="77777777" w:rsidR="005D20AB" w:rsidRPr="00B04440" w:rsidRDefault="00B04440" w:rsidP="00B0444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63018-05-18</w:t>
    </w:r>
    <w:r>
      <w:rPr>
        <w:rFonts w:ascii="David" w:hAnsi="David"/>
        <w:color w:val="000000"/>
        <w:sz w:val="22"/>
        <w:szCs w:val="22"/>
        <w:rtl/>
      </w:rPr>
      <w:tab/>
      <w:t xml:space="preserve"> מדינת ישראל נ' אחמד מחאמיד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063B5"/>
    <w:multiLevelType w:val="hybridMultilevel"/>
    <w:tmpl w:val="C690239C"/>
    <w:lvl w:ilvl="0" w:tplc="CE8A1FFE">
      <w:start w:val="9"/>
      <w:numFmt w:val="bullet"/>
      <w:lvlText w:val=""/>
      <w:lvlJc w:val="left"/>
      <w:pPr>
        <w:ind w:left="780" w:hanging="360"/>
      </w:pPr>
      <w:rPr>
        <w:rFonts w:ascii="Symbol" w:eastAsia="Times New Roman" w:hAnsi="Symbol" w:cs="David"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523052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636B7"/>
    <w:rsid w:val="0006466E"/>
    <w:rsid w:val="000C3A50"/>
    <w:rsid w:val="000F7736"/>
    <w:rsid w:val="00381020"/>
    <w:rsid w:val="005636B7"/>
    <w:rsid w:val="005D20AB"/>
    <w:rsid w:val="00A27FBD"/>
    <w:rsid w:val="00B04440"/>
    <w:rsid w:val="00DD42DE"/>
    <w:rsid w:val="00F13D60"/>
    <w:rsid w:val="00F436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913B46"/>
  <w15:chartTrackingRefBased/>
  <w15:docId w15:val="{3355482D-9587-496A-AC73-B47B15ED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636B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636B7"/>
    <w:pPr>
      <w:tabs>
        <w:tab w:val="center" w:pos="4153"/>
        <w:tab w:val="right" w:pos="8306"/>
      </w:tabs>
    </w:pPr>
  </w:style>
  <w:style w:type="character" w:customStyle="1" w:styleId="a4">
    <w:name w:val="כותרת עליונה תו"/>
    <w:link w:val="a3"/>
    <w:rsid w:val="005636B7"/>
    <w:rPr>
      <w:rFonts w:ascii="Times New Roman" w:eastAsia="Times New Roman" w:hAnsi="Times New Roman" w:cs="David"/>
      <w:sz w:val="24"/>
      <w:szCs w:val="24"/>
    </w:rPr>
  </w:style>
  <w:style w:type="paragraph" w:styleId="a5">
    <w:name w:val="footer"/>
    <w:basedOn w:val="a"/>
    <w:link w:val="a6"/>
    <w:rsid w:val="005636B7"/>
    <w:pPr>
      <w:tabs>
        <w:tab w:val="center" w:pos="4153"/>
        <w:tab w:val="right" w:pos="8306"/>
      </w:tabs>
    </w:pPr>
  </w:style>
  <w:style w:type="character" w:customStyle="1" w:styleId="a6">
    <w:name w:val="כותרת תחתונה תו"/>
    <w:link w:val="a5"/>
    <w:rsid w:val="005636B7"/>
    <w:rPr>
      <w:rFonts w:ascii="Times New Roman" w:eastAsia="Times New Roman" w:hAnsi="Times New Roman" w:cs="David"/>
      <w:sz w:val="24"/>
      <w:szCs w:val="24"/>
    </w:rPr>
  </w:style>
  <w:style w:type="table" w:styleId="a7">
    <w:name w:val="Table Grid"/>
    <w:basedOn w:val="a1"/>
    <w:rsid w:val="005636B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636B7"/>
  </w:style>
  <w:style w:type="character" w:customStyle="1" w:styleId="TimesNewRomanTimesNewRoman">
    <w:name w:val="סגנון (לטיני) Times New Roman (עברית ושפות אחרות) Times New Roman..."/>
    <w:rsid w:val="005636B7"/>
    <w:rPr>
      <w:rFonts w:ascii="Times New Roman" w:hAnsi="Times New Roman" w:cs="David" w:hint="default"/>
      <w:b/>
      <w:bCs/>
      <w:sz w:val="26"/>
      <w:szCs w:val="26"/>
    </w:rPr>
  </w:style>
  <w:style w:type="paragraph" w:styleId="a9">
    <w:name w:val="List Paragraph"/>
    <w:basedOn w:val="a"/>
    <w:qFormat/>
    <w:rsid w:val="005636B7"/>
    <w:pPr>
      <w:ind w:left="720"/>
      <w:contextualSpacing/>
    </w:pPr>
  </w:style>
  <w:style w:type="character" w:styleId="Hyperlink">
    <w:name w:val="Hyperlink"/>
    <w:rsid w:val="005636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75" TargetMode="External"/><Relationship Id="rId21" Type="http://schemas.openxmlformats.org/officeDocument/2006/relationships/hyperlink" Target="http://www.nevo.co.il/law/5227/43" TargetMode="External"/><Relationship Id="rId34" Type="http://schemas.openxmlformats.org/officeDocument/2006/relationships/hyperlink" Target="http://www.nevo.co.il/law/70301/40i" TargetMode="External"/><Relationship Id="rId42" Type="http://schemas.openxmlformats.org/officeDocument/2006/relationships/hyperlink" Target="http://www.nevo.co.il/case/22733878" TargetMode="External"/><Relationship Id="rId47" Type="http://schemas.openxmlformats.org/officeDocument/2006/relationships/hyperlink" Target="http://www.nevo.co.il/law/70301/144.b" TargetMode="External"/><Relationship Id="rId50" Type="http://schemas.openxmlformats.org/officeDocument/2006/relationships/hyperlink" Target="http://www.nevo.co.il/law/5227/43" TargetMode="External"/><Relationship Id="rId55" Type="http://schemas.openxmlformats.org/officeDocument/2006/relationships/hyperlink" Target="http://www.nevo.co.il/law/71553" TargetMode="External"/><Relationship Id="rId63"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75" TargetMode="External"/><Relationship Id="rId29" Type="http://schemas.openxmlformats.org/officeDocument/2006/relationships/hyperlink" Target="http://www.nevo.co.il/law/70301/40b" TargetMode="External"/><Relationship Id="rId11" Type="http://schemas.openxmlformats.org/officeDocument/2006/relationships/hyperlink" Target="http://www.nevo.co.il/law/70301/40d.a" TargetMode="External"/><Relationship Id="rId24" Type="http://schemas.openxmlformats.org/officeDocument/2006/relationships/hyperlink" Target="http://www.nevo.co.il/law/70301/29" TargetMode="External"/><Relationship Id="rId32" Type="http://schemas.openxmlformats.org/officeDocument/2006/relationships/hyperlink" Target="http://www.nevo.co.il/law/70301/40c" TargetMode="External"/><Relationship Id="rId37" Type="http://schemas.openxmlformats.org/officeDocument/2006/relationships/hyperlink" Target="http://www.nevo.co.il/case/7791493" TargetMode="External"/><Relationship Id="rId40" Type="http://schemas.openxmlformats.org/officeDocument/2006/relationships/hyperlink" Target="http://www.nevo.co.il/case/13042005" TargetMode="External"/><Relationship Id="rId45" Type="http://schemas.openxmlformats.org/officeDocument/2006/relationships/hyperlink" Target="http://www.nevo.co.il/law/70301/144.a" TargetMode="External"/><Relationship Id="rId53" Type="http://schemas.openxmlformats.org/officeDocument/2006/relationships/hyperlink" Target="http://www.nevo.co.il/law/70301/40d.a" TargetMode="External"/><Relationship Id="rId58" Type="http://schemas.openxmlformats.org/officeDocument/2006/relationships/hyperlink" Target="http://www.nevo.co.il/law/70301/144"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70301/iCcS"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1553" TargetMode="External"/><Relationship Id="rId27" Type="http://schemas.openxmlformats.org/officeDocument/2006/relationships/hyperlink" Target="http://www.nevo.co.il/law/70301/498"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144.a" TargetMode="External"/><Relationship Id="rId48" Type="http://schemas.openxmlformats.org/officeDocument/2006/relationships/hyperlink" Target="http://www.nevo.co.il/law/70301/275" TargetMode="External"/><Relationship Id="rId56" Type="http://schemas.openxmlformats.org/officeDocument/2006/relationships/hyperlink" Target="http://www.nevo.co.il/law/70301/144" TargetMode="External"/><Relationship Id="rId64" Type="http://schemas.openxmlformats.org/officeDocument/2006/relationships/footer" Target="footer1.xml"/><Relationship Id="rId8" Type="http://schemas.openxmlformats.org/officeDocument/2006/relationships/hyperlink" Target="http://www.nevo.co.il/law/70301/29" TargetMode="External"/><Relationship Id="rId51" Type="http://schemas.openxmlformats.org/officeDocument/2006/relationships/hyperlink" Target="http://www.nevo.co.il/law/5227"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70301/338.a.1"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7840699" TargetMode="External"/><Relationship Id="rId46" Type="http://schemas.openxmlformats.org/officeDocument/2006/relationships/hyperlink" Target="http://www.nevo.co.il/law/70301/144.b" TargetMode="External"/><Relationship Id="rId59" Type="http://schemas.openxmlformats.org/officeDocument/2006/relationships/hyperlink" Target="http://www.nevo.co.il/law/70301" TargetMode="External"/><Relationship Id="rId67" Type="http://schemas.openxmlformats.org/officeDocument/2006/relationships/theme" Target="theme/theme1.xml"/><Relationship Id="rId20" Type="http://schemas.openxmlformats.org/officeDocument/2006/relationships/hyperlink" Target="http://www.nevo.co.il/law/5227" TargetMode="External"/><Relationship Id="rId41" Type="http://schemas.openxmlformats.org/officeDocument/2006/relationships/hyperlink" Target="http://www.nevo.co.il/case/6864329" TargetMode="External"/><Relationship Id="rId54" Type="http://schemas.openxmlformats.org/officeDocument/2006/relationships/hyperlink" Target="http://www.nevo.co.il/law/70301"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5601503" TargetMode="External"/><Relationship Id="rId49" Type="http://schemas.openxmlformats.org/officeDocument/2006/relationships/hyperlink" Target="http://www.nevo.co.il/law/70301/338.a.1"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40c" TargetMode="External"/><Relationship Id="rId31" Type="http://schemas.openxmlformats.org/officeDocument/2006/relationships/hyperlink" Target="http://www.nevo.co.il/case/6243627"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22746666" TargetMode="External"/><Relationship Id="rId60" Type="http://schemas.openxmlformats.org/officeDocument/2006/relationships/hyperlink" Target="http://www.nevo.co.il/law/70301/iCcS"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3" Type="http://schemas.openxmlformats.org/officeDocument/2006/relationships/hyperlink" Target="http://www.nevo.co.il/law/70301/144" TargetMode="External"/><Relationship Id="rId18" Type="http://schemas.openxmlformats.org/officeDocument/2006/relationships/hyperlink" Target="http://www.nevo.co.il/law/70301/498" TargetMode="External"/><Relationship Id="rId39" Type="http://schemas.openxmlformats.org/officeDocument/2006/relationships/hyperlink" Target="http://www.nevo.co.il/case/1128954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3455</Words>
  <Characters>17278</Characters>
  <Application>Microsoft Office Word</Application>
  <DocSecurity>0</DocSecurity>
  <Lines>143</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20692</CharactersWithSpaces>
  <SharedDoc>false</SharedDoc>
  <HLinks>
    <vt:vector size="330" baseType="variant">
      <vt:variant>
        <vt:i4>393283</vt:i4>
      </vt:variant>
      <vt:variant>
        <vt:i4>162</vt:i4>
      </vt:variant>
      <vt:variant>
        <vt:i4>0</vt:i4>
      </vt:variant>
      <vt:variant>
        <vt:i4>5</vt:i4>
      </vt:variant>
      <vt:variant>
        <vt:lpwstr>http://www.nevo.co.il/advertisements/nevo-100.doc</vt:lpwstr>
      </vt:variant>
      <vt:variant>
        <vt:lpwstr/>
      </vt:variant>
      <vt:variant>
        <vt:i4>4522079</vt:i4>
      </vt:variant>
      <vt:variant>
        <vt:i4>159</vt:i4>
      </vt:variant>
      <vt:variant>
        <vt:i4>0</vt:i4>
      </vt:variant>
      <vt:variant>
        <vt:i4>5</vt:i4>
      </vt:variant>
      <vt:variant>
        <vt:lpwstr>http://www.nevo.co.il/law/70301/iCcS</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6357092</vt:i4>
      </vt:variant>
      <vt:variant>
        <vt:i4>153</vt:i4>
      </vt:variant>
      <vt:variant>
        <vt:i4>0</vt:i4>
      </vt:variant>
      <vt:variant>
        <vt:i4>5</vt:i4>
      </vt:variant>
      <vt:variant>
        <vt:lpwstr>http://www.nevo.co.il/law/70301/144</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6357092</vt:i4>
      </vt:variant>
      <vt:variant>
        <vt:i4>147</vt:i4>
      </vt:variant>
      <vt:variant>
        <vt:i4>0</vt:i4>
      </vt:variant>
      <vt:variant>
        <vt:i4>5</vt:i4>
      </vt:variant>
      <vt:variant>
        <vt:lpwstr>http://www.nevo.co.il/law/70301/144</vt:lpwstr>
      </vt:variant>
      <vt:variant>
        <vt:lpwstr/>
      </vt:variant>
      <vt:variant>
        <vt:i4>8257634</vt:i4>
      </vt:variant>
      <vt:variant>
        <vt:i4>144</vt:i4>
      </vt:variant>
      <vt:variant>
        <vt:i4>0</vt:i4>
      </vt:variant>
      <vt:variant>
        <vt:i4>5</vt:i4>
      </vt:variant>
      <vt:variant>
        <vt:lpwstr>http://www.nevo.co.il/law/71553</vt:lpwstr>
      </vt:variant>
      <vt:variant>
        <vt:lpwstr/>
      </vt:variant>
      <vt:variant>
        <vt:i4>7995492</vt:i4>
      </vt:variant>
      <vt:variant>
        <vt:i4>141</vt:i4>
      </vt:variant>
      <vt:variant>
        <vt:i4>0</vt:i4>
      </vt:variant>
      <vt:variant>
        <vt:i4>5</vt:i4>
      </vt:variant>
      <vt:variant>
        <vt:lpwstr>http://www.nevo.co.il/law/70301</vt:lpwstr>
      </vt:variant>
      <vt:variant>
        <vt:lpwstr/>
      </vt:variant>
      <vt:variant>
        <vt:i4>4915205</vt:i4>
      </vt:variant>
      <vt:variant>
        <vt:i4>138</vt:i4>
      </vt:variant>
      <vt:variant>
        <vt:i4>0</vt:i4>
      </vt:variant>
      <vt:variant>
        <vt:i4>5</vt:i4>
      </vt:variant>
      <vt:variant>
        <vt:lpwstr>http://www.nevo.co.il/law/70301/40d.a</vt:lpwstr>
      </vt:variant>
      <vt:variant>
        <vt:lpwstr/>
      </vt:variant>
      <vt:variant>
        <vt:i4>3473524</vt:i4>
      </vt:variant>
      <vt:variant>
        <vt:i4>135</vt:i4>
      </vt:variant>
      <vt:variant>
        <vt:i4>0</vt:i4>
      </vt:variant>
      <vt:variant>
        <vt:i4>5</vt:i4>
      </vt:variant>
      <vt:variant>
        <vt:lpwstr>http://www.nevo.co.il/case/22746666</vt:lpwstr>
      </vt:variant>
      <vt:variant>
        <vt:lpwstr/>
      </vt:variant>
      <vt:variant>
        <vt:i4>8323175</vt:i4>
      </vt:variant>
      <vt:variant>
        <vt:i4>132</vt:i4>
      </vt:variant>
      <vt:variant>
        <vt:i4>0</vt:i4>
      </vt:variant>
      <vt:variant>
        <vt:i4>5</vt:i4>
      </vt:variant>
      <vt:variant>
        <vt:lpwstr>http://www.nevo.co.il/law/5227</vt:lpwstr>
      </vt:variant>
      <vt:variant>
        <vt:lpwstr/>
      </vt:variant>
      <vt:variant>
        <vt:i4>4915272</vt:i4>
      </vt:variant>
      <vt:variant>
        <vt:i4>129</vt:i4>
      </vt:variant>
      <vt:variant>
        <vt:i4>0</vt:i4>
      </vt:variant>
      <vt:variant>
        <vt:i4>5</vt:i4>
      </vt:variant>
      <vt:variant>
        <vt:lpwstr>http://www.nevo.co.il/law/5227/43</vt:lpwstr>
      </vt:variant>
      <vt:variant>
        <vt:lpwstr/>
      </vt:variant>
      <vt:variant>
        <vt:i4>6684735</vt:i4>
      </vt:variant>
      <vt:variant>
        <vt:i4>126</vt:i4>
      </vt:variant>
      <vt:variant>
        <vt:i4>0</vt:i4>
      </vt:variant>
      <vt:variant>
        <vt:i4>5</vt:i4>
      </vt:variant>
      <vt:variant>
        <vt:lpwstr>http://www.nevo.co.il/law/70301/338.a.1</vt:lpwstr>
      </vt:variant>
      <vt:variant>
        <vt:lpwstr/>
      </vt:variant>
      <vt:variant>
        <vt:i4>6422631</vt:i4>
      </vt:variant>
      <vt:variant>
        <vt:i4>123</vt:i4>
      </vt:variant>
      <vt:variant>
        <vt:i4>0</vt:i4>
      </vt:variant>
      <vt:variant>
        <vt:i4>5</vt:i4>
      </vt:variant>
      <vt:variant>
        <vt:lpwstr>http://www.nevo.co.il/law/70301/275</vt:lpwstr>
      </vt:variant>
      <vt:variant>
        <vt:lpwstr/>
      </vt:variant>
      <vt:variant>
        <vt:i4>5177424</vt:i4>
      </vt:variant>
      <vt:variant>
        <vt:i4>120</vt:i4>
      </vt:variant>
      <vt:variant>
        <vt:i4>0</vt:i4>
      </vt:variant>
      <vt:variant>
        <vt:i4>5</vt:i4>
      </vt:variant>
      <vt:variant>
        <vt:lpwstr>http://www.nevo.co.il/law/70301/144.b</vt:lpwstr>
      </vt:variant>
      <vt:variant>
        <vt:lpwstr/>
      </vt:variant>
      <vt:variant>
        <vt:i4>5177424</vt:i4>
      </vt:variant>
      <vt:variant>
        <vt:i4>117</vt:i4>
      </vt:variant>
      <vt:variant>
        <vt:i4>0</vt:i4>
      </vt:variant>
      <vt:variant>
        <vt:i4>5</vt:i4>
      </vt:variant>
      <vt:variant>
        <vt:lpwstr>http://www.nevo.co.il/law/70301/144.b</vt:lpwstr>
      </vt:variant>
      <vt:variant>
        <vt:lpwstr/>
      </vt:variant>
      <vt:variant>
        <vt:i4>5177424</vt:i4>
      </vt:variant>
      <vt:variant>
        <vt:i4>114</vt:i4>
      </vt:variant>
      <vt:variant>
        <vt:i4>0</vt:i4>
      </vt:variant>
      <vt:variant>
        <vt:i4>5</vt:i4>
      </vt:variant>
      <vt:variant>
        <vt:lpwstr>http://www.nevo.co.il/law/70301/144.a</vt:lpwstr>
      </vt:variant>
      <vt:variant>
        <vt:lpwstr/>
      </vt:variant>
      <vt:variant>
        <vt:i4>7995492</vt:i4>
      </vt:variant>
      <vt:variant>
        <vt:i4>111</vt:i4>
      </vt:variant>
      <vt:variant>
        <vt:i4>0</vt:i4>
      </vt:variant>
      <vt:variant>
        <vt:i4>5</vt:i4>
      </vt:variant>
      <vt:variant>
        <vt:lpwstr>http://www.nevo.co.il/law/70301</vt:lpwstr>
      </vt:variant>
      <vt:variant>
        <vt:lpwstr/>
      </vt:variant>
      <vt:variant>
        <vt:i4>5177424</vt:i4>
      </vt:variant>
      <vt:variant>
        <vt:i4>108</vt:i4>
      </vt:variant>
      <vt:variant>
        <vt:i4>0</vt:i4>
      </vt:variant>
      <vt:variant>
        <vt:i4>5</vt:i4>
      </vt:variant>
      <vt:variant>
        <vt:lpwstr>http://www.nevo.co.il/law/70301/144.a</vt:lpwstr>
      </vt:variant>
      <vt:variant>
        <vt:lpwstr/>
      </vt:variant>
      <vt:variant>
        <vt:i4>3211389</vt:i4>
      </vt:variant>
      <vt:variant>
        <vt:i4>105</vt:i4>
      </vt:variant>
      <vt:variant>
        <vt:i4>0</vt:i4>
      </vt:variant>
      <vt:variant>
        <vt:i4>5</vt:i4>
      </vt:variant>
      <vt:variant>
        <vt:lpwstr>http://www.nevo.co.il/case/22733878</vt:lpwstr>
      </vt:variant>
      <vt:variant>
        <vt:lpwstr/>
      </vt:variant>
      <vt:variant>
        <vt:i4>3801210</vt:i4>
      </vt:variant>
      <vt:variant>
        <vt:i4>102</vt:i4>
      </vt:variant>
      <vt:variant>
        <vt:i4>0</vt:i4>
      </vt:variant>
      <vt:variant>
        <vt:i4>5</vt:i4>
      </vt:variant>
      <vt:variant>
        <vt:lpwstr>http://www.nevo.co.il/case/6864329</vt:lpwstr>
      </vt:variant>
      <vt:variant>
        <vt:lpwstr/>
      </vt:variant>
      <vt:variant>
        <vt:i4>3342451</vt:i4>
      </vt:variant>
      <vt:variant>
        <vt:i4>99</vt:i4>
      </vt:variant>
      <vt:variant>
        <vt:i4>0</vt:i4>
      </vt:variant>
      <vt:variant>
        <vt:i4>5</vt:i4>
      </vt:variant>
      <vt:variant>
        <vt:lpwstr>http://www.nevo.co.il/case/13042005</vt:lpwstr>
      </vt:variant>
      <vt:variant>
        <vt:lpwstr/>
      </vt:variant>
      <vt:variant>
        <vt:i4>4063352</vt:i4>
      </vt:variant>
      <vt:variant>
        <vt:i4>96</vt:i4>
      </vt:variant>
      <vt:variant>
        <vt:i4>0</vt:i4>
      </vt:variant>
      <vt:variant>
        <vt:i4>5</vt:i4>
      </vt:variant>
      <vt:variant>
        <vt:lpwstr>http://www.nevo.co.il/case/11289545</vt:lpwstr>
      </vt:variant>
      <vt:variant>
        <vt:lpwstr/>
      </vt:variant>
      <vt:variant>
        <vt:i4>3932277</vt:i4>
      </vt:variant>
      <vt:variant>
        <vt:i4>93</vt:i4>
      </vt:variant>
      <vt:variant>
        <vt:i4>0</vt:i4>
      </vt:variant>
      <vt:variant>
        <vt:i4>5</vt:i4>
      </vt:variant>
      <vt:variant>
        <vt:lpwstr>http://www.nevo.co.il/case/7840699</vt:lpwstr>
      </vt:variant>
      <vt:variant>
        <vt:lpwstr/>
      </vt:variant>
      <vt:variant>
        <vt:i4>3735675</vt:i4>
      </vt:variant>
      <vt:variant>
        <vt:i4>90</vt:i4>
      </vt:variant>
      <vt:variant>
        <vt:i4>0</vt:i4>
      </vt:variant>
      <vt:variant>
        <vt:i4>5</vt:i4>
      </vt:variant>
      <vt:variant>
        <vt:lpwstr>http://www.nevo.co.il/case/7791493</vt:lpwstr>
      </vt:variant>
      <vt:variant>
        <vt:lpwstr/>
      </vt:variant>
      <vt:variant>
        <vt:i4>3342451</vt:i4>
      </vt:variant>
      <vt:variant>
        <vt:i4>87</vt:i4>
      </vt:variant>
      <vt:variant>
        <vt:i4>0</vt:i4>
      </vt:variant>
      <vt:variant>
        <vt:i4>5</vt:i4>
      </vt:variant>
      <vt:variant>
        <vt:lpwstr>http://www.nevo.co.il/case/5601503</vt:lpwstr>
      </vt:variant>
      <vt:variant>
        <vt:lpwstr/>
      </vt:variant>
      <vt:variant>
        <vt:i4>7995492</vt:i4>
      </vt:variant>
      <vt:variant>
        <vt:i4>84</vt:i4>
      </vt:variant>
      <vt:variant>
        <vt:i4>0</vt:i4>
      </vt:variant>
      <vt:variant>
        <vt:i4>5</vt:i4>
      </vt:variant>
      <vt:variant>
        <vt:lpwstr>http://www.nevo.co.il/law/70301</vt:lpwstr>
      </vt:variant>
      <vt:variant>
        <vt:lpwstr/>
      </vt:variant>
      <vt:variant>
        <vt:i4>6619233</vt:i4>
      </vt:variant>
      <vt:variant>
        <vt:i4>81</vt:i4>
      </vt:variant>
      <vt:variant>
        <vt:i4>0</vt:i4>
      </vt:variant>
      <vt:variant>
        <vt:i4>5</vt:i4>
      </vt:variant>
      <vt:variant>
        <vt:lpwstr>http://www.nevo.co.il/law/70301/40i</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http://www.nevo.co.il/law/70301/40c</vt:lpwstr>
      </vt:variant>
      <vt:variant>
        <vt:lpwstr/>
      </vt:variant>
      <vt:variant>
        <vt:i4>3342455</vt:i4>
      </vt:variant>
      <vt:variant>
        <vt:i4>72</vt:i4>
      </vt:variant>
      <vt:variant>
        <vt:i4>0</vt:i4>
      </vt:variant>
      <vt:variant>
        <vt:i4>5</vt:i4>
      </vt:variant>
      <vt:variant>
        <vt:lpwstr>http://www.nevo.co.il/case/6243627</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http://www.nevo.co.il/law/70301/40b</vt:lpwstr>
      </vt:variant>
      <vt:variant>
        <vt:lpwstr/>
      </vt:variant>
      <vt:variant>
        <vt:i4>7995492</vt:i4>
      </vt:variant>
      <vt:variant>
        <vt:i4>63</vt:i4>
      </vt:variant>
      <vt:variant>
        <vt:i4>0</vt:i4>
      </vt:variant>
      <vt:variant>
        <vt:i4>5</vt:i4>
      </vt:variant>
      <vt:variant>
        <vt:lpwstr>http://www.nevo.co.il/law/70301</vt:lpwstr>
      </vt:variant>
      <vt:variant>
        <vt:lpwstr/>
      </vt:variant>
      <vt:variant>
        <vt:i4>7077985</vt:i4>
      </vt:variant>
      <vt:variant>
        <vt:i4>60</vt:i4>
      </vt:variant>
      <vt:variant>
        <vt:i4>0</vt:i4>
      </vt:variant>
      <vt:variant>
        <vt:i4>5</vt:i4>
      </vt:variant>
      <vt:variant>
        <vt:lpwstr>http://www.nevo.co.il/law/70301/498</vt:lpwstr>
      </vt:variant>
      <vt:variant>
        <vt:lpwstr/>
      </vt:variant>
      <vt:variant>
        <vt:i4>6422631</vt:i4>
      </vt:variant>
      <vt:variant>
        <vt:i4>57</vt:i4>
      </vt:variant>
      <vt:variant>
        <vt:i4>0</vt:i4>
      </vt:variant>
      <vt:variant>
        <vt:i4>5</vt:i4>
      </vt:variant>
      <vt:variant>
        <vt:lpwstr>http://www.nevo.co.il/law/70301/275</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8257634</vt:i4>
      </vt:variant>
      <vt:variant>
        <vt:i4>45</vt:i4>
      </vt:variant>
      <vt:variant>
        <vt:i4>0</vt:i4>
      </vt:variant>
      <vt:variant>
        <vt:i4>5</vt:i4>
      </vt:variant>
      <vt:variant>
        <vt:lpwstr>http://www.nevo.co.il/law/71553</vt:lpwstr>
      </vt:variant>
      <vt:variant>
        <vt:lpwstr/>
      </vt:variant>
      <vt:variant>
        <vt:i4>4915272</vt:i4>
      </vt:variant>
      <vt:variant>
        <vt:i4>42</vt:i4>
      </vt:variant>
      <vt:variant>
        <vt:i4>0</vt:i4>
      </vt:variant>
      <vt:variant>
        <vt:i4>5</vt:i4>
      </vt:variant>
      <vt:variant>
        <vt:lpwstr>http://www.nevo.co.il/law/5227/43</vt:lpwstr>
      </vt:variant>
      <vt:variant>
        <vt:lpwstr/>
      </vt:variant>
      <vt:variant>
        <vt:i4>8323175</vt:i4>
      </vt:variant>
      <vt:variant>
        <vt:i4>39</vt:i4>
      </vt:variant>
      <vt:variant>
        <vt:i4>0</vt:i4>
      </vt:variant>
      <vt:variant>
        <vt:i4>5</vt:i4>
      </vt:variant>
      <vt:variant>
        <vt:lpwstr>http://www.nevo.co.il/law/5227</vt:lpwstr>
      </vt:variant>
      <vt:variant>
        <vt:lpwstr/>
      </vt:variant>
      <vt:variant>
        <vt:i4>4522079</vt:i4>
      </vt:variant>
      <vt:variant>
        <vt:i4>36</vt:i4>
      </vt:variant>
      <vt:variant>
        <vt:i4>0</vt:i4>
      </vt:variant>
      <vt:variant>
        <vt:i4>5</vt:i4>
      </vt:variant>
      <vt:variant>
        <vt:lpwstr>http://www.nevo.co.il/law/70301/iCcS</vt:lpwstr>
      </vt:variant>
      <vt:variant>
        <vt:lpwstr/>
      </vt:variant>
      <vt:variant>
        <vt:i4>7077985</vt:i4>
      </vt:variant>
      <vt:variant>
        <vt:i4>33</vt:i4>
      </vt:variant>
      <vt:variant>
        <vt:i4>0</vt:i4>
      </vt:variant>
      <vt:variant>
        <vt:i4>5</vt:i4>
      </vt:variant>
      <vt:variant>
        <vt:lpwstr>http://www.nevo.co.il/law/70301/498</vt:lpwstr>
      </vt:variant>
      <vt:variant>
        <vt:lpwstr/>
      </vt:variant>
      <vt:variant>
        <vt:i4>6684735</vt:i4>
      </vt:variant>
      <vt:variant>
        <vt:i4>30</vt:i4>
      </vt:variant>
      <vt:variant>
        <vt:i4>0</vt:i4>
      </vt:variant>
      <vt:variant>
        <vt:i4>5</vt:i4>
      </vt:variant>
      <vt:variant>
        <vt:lpwstr>http://www.nevo.co.il/law/70301/338.a.1</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6357092</vt:i4>
      </vt:variant>
      <vt:variant>
        <vt:i4>18</vt:i4>
      </vt:variant>
      <vt:variant>
        <vt:i4>0</vt:i4>
      </vt:variant>
      <vt:variant>
        <vt:i4>5</vt:i4>
      </vt:variant>
      <vt:variant>
        <vt:lpwstr>http://www.nevo.co.il/law/70301/144</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2025-04-25T10:43:00Z</dcterms:created>
  <dcterms:modified xsi:type="dcterms:W3CDTF">2025-04-25T10:43:00Z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63018;68160</vt:lpwstr>
  </property>
  <property fmtid="{D5CDD505-2E9C-101B-9397-08002B2CF9AE}" pid="6" name="NEWPARTB">
    <vt:lpwstr>05;05</vt:lpwstr>
  </property>
  <property fmtid="{D5CDD505-2E9C-101B-9397-08002B2CF9AE}" pid="7" name="NEWPARTC">
    <vt:lpwstr>18;18</vt:lpwstr>
  </property>
  <property fmtid="{D5CDD505-2E9C-101B-9397-08002B2CF9AE}" pid="8" name="APPELLANT">
    <vt:lpwstr>מדינת ישראל</vt:lpwstr>
  </property>
  <property fmtid="{D5CDD505-2E9C-101B-9397-08002B2CF9AE}" pid="9" name="APPELLEE">
    <vt:lpwstr>אחמד מחאמיד;יחיא קבלאוי</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20191024</vt:lpwstr>
  </property>
  <property fmtid="{D5CDD505-2E9C-101B-9397-08002B2CF9AE}" pid="13" name="TYPE_N_DATE">
    <vt:lpwstr>39020191024</vt:lpwstr>
  </property>
  <property fmtid="{D5CDD505-2E9C-101B-9397-08002B2CF9AE}" pid="14" name="CASESLISTTMP1">
    <vt:lpwstr>6243627;5601503;7791493;7840699;11289545;13042005;6864329;22733878;22746666</vt:lpwstr>
  </property>
  <property fmtid="{D5CDD505-2E9C-101B-9397-08002B2CF9AE}" pid="15" name="WORDNUMPAGES">
    <vt:lpwstr>9</vt:lpwstr>
  </property>
  <property fmtid="{D5CDD505-2E9C-101B-9397-08002B2CF9AE}" pid="16" name="TYPE_ABS_DATE">
    <vt:lpwstr>390020191024</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70301/144.b:2;029;275;498;040b;040c;040i;144.a:2;338.a.1;040d.a;144:2;iCcS</vt:lpwstr>
  </property>
  <property fmtid="{D5CDD505-2E9C-101B-9397-08002B2CF9AE}" pid="37" name="LAWLISTTMP2">
    <vt:lpwstr>5227/043</vt:lpwstr>
  </property>
  <property fmtid="{D5CDD505-2E9C-101B-9397-08002B2CF9AE}" pid="38" name="LAWLISTTMP3">
    <vt:lpwstr>71553</vt:lpwstr>
  </property>
</Properties>
</file>