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72"/>
        <w:gridCol w:w="2833"/>
      </w:tblGrid>
      <w:tr w:rsidR="00573C4B" w:rsidRPr="00F67167" w14:paraId="7F5F71DE" w14:textId="77777777" w:rsidTr="00140FEE">
        <w:trPr>
          <w:trHeight w:hRule="exact" w:val="418"/>
          <w:jc w:val="center"/>
        </w:trPr>
        <w:tc>
          <w:tcPr>
            <w:tcW w:w="8505" w:type="dxa"/>
            <w:gridSpan w:val="2"/>
          </w:tcPr>
          <w:p w14:paraId="7C4BB4AE" w14:textId="77777777" w:rsidR="00573C4B" w:rsidRPr="00F67167" w:rsidRDefault="00573C4B" w:rsidP="00140FEE">
            <w:pPr>
              <w:pStyle w:val="a3"/>
              <w:jc w:val="center"/>
              <w:rPr>
                <w:rFonts w:ascii="Tahoma" w:hAnsi="Tahoma" w:cs="Tahoma"/>
                <w:color w:val="000080"/>
                <w:rtl/>
              </w:rPr>
            </w:pPr>
            <w:bookmarkStart w:id="0" w:name="LastJudge"/>
            <w:r w:rsidRPr="00F67167">
              <w:rPr>
                <w:rFonts w:ascii="Tahoma" w:hAnsi="Tahoma" w:cs="Tahoma"/>
                <w:b/>
                <w:bCs/>
                <w:color w:val="000080"/>
                <w:rtl/>
              </w:rPr>
              <w:t>בית המשפט המחוזי בירושלים</w:t>
            </w:r>
          </w:p>
        </w:tc>
      </w:tr>
      <w:tr w:rsidR="00573C4B" w:rsidRPr="00F67167" w14:paraId="10DCC913" w14:textId="77777777" w:rsidTr="00140FEE">
        <w:trPr>
          <w:trHeight w:val="337"/>
          <w:jc w:val="center"/>
        </w:trPr>
        <w:tc>
          <w:tcPr>
            <w:tcW w:w="5672" w:type="dxa"/>
          </w:tcPr>
          <w:p w14:paraId="0BA04FC2" w14:textId="77777777" w:rsidR="00573C4B" w:rsidRPr="00F67167" w:rsidRDefault="00573C4B" w:rsidP="00140FEE">
            <w:pPr>
              <w:rPr>
                <w:rFonts w:cs="FrankRuehl"/>
                <w:sz w:val="28"/>
                <w:szCs w:val="28"/>
                <w:rtl/>
              </w:rPr>
            </w:pPr>
            <w:r w:rsidRPr="00F67167">
              <w:rPr>
                <w:rFonts w:cs="FrankRuehl"/>
                <w:sz w:val="28"/>
                <w:szCs w:val="28"/>
                <w:rtl/>
              </w:rPr>
              <w:t>ת"פ</w:t>
            </w:r>
            <w:r w:rsidRPr="00F67167">
              <w:rPr>
                <w:rFonts w:cs="FrankRuehl" w:hint="cs"/>
                <w:sz w:val="28"/>
                <w:szCs w:val="28"/>
                <w:rtl/>
              </w:rPr>
              <w:t xml:space="preserve"> </w:t>
            </w:r>
            <w:r w:rsidRPr="00F67167">
              <w:rPr>
                <w:rFonts w:cs="FrankRuehl"/>
                <w:sz w:val="28"/>
                <w:szCs w:val="28"/>
                <w:rtl/>
              </w:rPr>
              <w:t>21971-07-18</w:t>
            </w:r>
            <w:r w:rsidRPr="00F67167">
              <w:rPr>
                <w:rFonts w:cs="FrankRuehl" w:hint="cs"/>
                <w:sz w:val="28"/>
                <w:szCs w:val="28"/>
                <w:rtl/>
              </w:rPr>
              <w:t xml:space="preserve"> </w:t>
            </w:r>
            <w:r w:rsidRPr="00F67167">
              <w:rPr>
                <w:rFonts w:cs="FrankRuehl"/>
                <w:sz w:val="28"/>
                <w:szCs w:val="28"/>
                <w:rtl/>
              </w:rPr>
              <w:t>מדינת ישראל נ' גווילס(עציר) ואח'</w:t>
            </w:r>
          </w:p>
          <w:p w14:paraId="20206D91" w14:textId="77777777" w:rsidR="00573C4B" w:rsidRPr="00F67167" w:rsidRDefault="00573C4B" w:rsidP="00140FEE">
            <w:pPr>
              <w:pStyle w:val="a3"/>
              <w:rPr>
                <w:rFonts w:cs="FrankRuehl"/>
                <w:sz w:val="28"/>
                <w:szCs w:val="28"/>
                <w:rtl/>
              </w:rPr>
            </w:pPr>
          </w:p>
        </w:tc>
        <w:tc>
          <w:tcPr>
            <w:tcW w:w="2833" w:type="dxa"/>
          </w:tcPr>
          <w:p w14:paraId="17180DF9" w14:textId="77777777" w:rsidR="00573C4B" w:rsidRPr="00F67167" w:rsidRDefault="00573C4B" w:rsidP="00140FEE">
            <w:pPr>
              <w:pStyle w:val="a3"/>
              <w:jc w:val="right"/>
              <w:rPr>
                <w:rFonts w:cs="FrankRuehl"/>
                <w:sz w:val="28"/>
                <w:szCs w:val="28"/>
                <w:rtl/>
              </w:rPr>
            </w:pPr>
          </w:p>
        </w:tc>
      </w:tr>
    </w:tbl>
    <w:p w14:paraId="011A998D" w14:textId="77777777" w:rsidR="00573C4B" w:rsidRPr="00F67167" w:rsidRDefault="00573C4B" w:rsidP="00573C4B">
      <w:pPr>
        <w:pStyle w:val="a3"/>
        <w:rPr>
          <w:rtl/>
        </w:rPr>
      </w:pPr>
      <w:r w:rsidRPr="00F67167">
        <w:rPr>
          <w:rFonts w:hint="cs"/>
          <w:rtl/>
        </w:rPr>
        <w:t xml:space="preserve"> </w:t>
      </w:r>
    </w:p>
    <w:p w14:paraId="748159D0" w14:textId="77777777" w:rsidR="00573C4B" w:rsidRPr="00F67167" w:rsidRDefault="00573C4B" w:rsidP="00573C4B">
      <w:pPr>
        <w:rPr>
          <w:rtl/>
        </w:rPr>
      </w:pPr>
    </w:p>
    <w:tbl>
      <w:tblPr>
        <w:bidiVisual/>
        <w:tblW w:w="85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3999"/>
        <w:gridCol w:w="3652"/>
      </w:tblGrid>
      <w:tr w:rsidR="00573C4B" w:rsidRPr="00F67167" w14:paraId="14AD1AC9" w14:textId="77777777" w:rsidTr="00573C4B">
        <w:trPr>
          <w:trHeight w:val="295"/>
          <w:jc w:val="center"/>
        </w:trPr>
        <w:tc>
          <w:tcPr>
            <w:tcW w:w="606" w:type="dxa"/>
            <w:tcBorders>
              <w:top w:val="nil"/>
              <w:left w:val="nil"/>
              <w:bottom w:val="nil"/>
              <w:right w:val="nil"/>
            </w:tcBorders>
            <w:shd w:val="clear" w:color="auto" w:fill="auto"/>
          </w:tcPr>
          <w:p w14:paraId="215F651F" w14:textId="77777777" w:rsidR="00573C4B" w:rsidRPr="00F67167" w:rsidRDefault="00573C4B" w:rsidP="00573C4B">
            <w:pPr>
              <w:jc w:val="both"/>
              <w:rPr>
                <w:rFonts w:ascii="Arial" w:hAnsi="Arial" w:cs="FrankRuehl"/>
                <w:sz w:val="28"/>
                <w:szCs w:val="28"/>
              </w:rPr>
            </w:pPr>
            <w:r w:rsidRPr="00F67167">
              <w:rPr>
                <w:rFonts w:ascii="Arial" w:hAnsi="Arial" w:cs="FrankRuehl" w:hint="cs"/>
                <w:sz w:val="28"/>
                <w:szCs w:val="28"/>
                <w:rtl/>
              </w:rPr>
              <w:t>ל</w:t>
            </w:r>
            <w:r w:rsidRPr="00F6716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3B70C22" w14:textId="77777777" w:rsidR="00573C4B" w:rsidRPr="00F67167" w:rsidRDefault="00573C4B" w:rsidP="00140FEE">
            <w:pPr>
              <w:rPr>
                <w:rFonts w:ascii="Arial" w:hAnsi="Arial"/>
                <w:b/>
                <w:bCs/>
                <w:rtl/>
              </w:rPr>
            </w:pPr>
            <w:r w:rsidRPr="00F67167">
              <w:rPr>
                <w:rFonts w:ascii="Arial" w:hAnsi="Arial" w:hint="cs"/>
                <w:b/>
                <w:bCs/>
                <w:rtl/>
              </w:rPr>
              <w:t>כבוד ה</w:t>
            </w:r>
            <w:r w:rsidRPr="00F67167">
              <w:rPr>
                <w:rFonts w:ascii="Arial" w:hAnsi="Arial"/>
                <w:b/>
                <w:bCs/>
                <w:rtl/>
              </w:rPr>
              <w:t>שופט</w:t>
            </w:r>
            <w:r w:rsidRPr="00F67167">
              <w:rPr>
                <w:rFonts w:ascii="Arial" w:hAnsi="Arial" w:hint="cs"/>
                <w:b/>
                <w:bCs/>
                <w:rtl/>
              </w:rPr>
              <w:t xml:space="preserve">  </w:t>
            </w:r>
            <w:r w:rsidRPr="00F67167">
              <w:rPr>
                <w:rFonts w:ascii="Arial" w:hAnsi="Arial"/>
                <w:b/>
                <w:bCs/>
                <w:rtl/>
              </w:rPr>
              <w:t>אלי אברבנאל</w:t>
            </w:r>
          </w:p>
          <w:p w14:paraId="00596533" w14:textId="77777777" w:rsidR="00573C4B" w:rsidRPr="00F67167" w:rsidRDefault="00573C4B" w:rsidP="00140FEE">
            <w:pPr>
              <w:rPr>
                <w:rtl/>
              </w:rPr>
            </w:pPr>
          </w:p>
          <w:p w14:paraId="008BF7C6" w14:textId="77777777" w:rsidR="00573C4B" w:rsidRPr="00F67167" w:rsidRDefault="00573C4B" w:rsidP="00573C4B">
            <w:pPr>
              <w:jc w:val="both"/>
              <w:rPr>
                <w:rFonts w:ascii="Arial" w:hAnsi="Arial" w:cs="FrankRuehl"/>
                <w:sz w:val="28"/>
                <w:szCs w:val="28"/>
              </w:rPr>
            </w:pPr>
          </w:p>
        </w:tc>
      </w:tr>
      <w:tr w:rsidR="00573C4B" w:rsidRPr="00F67167" w14:paraId="6DC4F458" w14:textId="77777777" w:rsidTr="00573C4B">
        <w:trPr>
          <w:trHeight w:val="355"/>
          <w:jc w:val="center"/>
        </w:trPr>
        <w:tc>
          <w:tcPr>
            <w:tcW w:w="606" w:type="dxa"/>
            <w:tcBorders>
              <w:top w:val="nil"/>
              <w:left w:val="nil"/>
              <w:bottom w:val="nil"/>
              <w:right w:val="nil"/>
            </w:tcBorders>
            <w:shd w:val="clear" w:color="auto" w:fill="auto"/>
          </w:tcPr>
          <w:p w14:paraId="4FE9472E" w14:textId="77777777" w:rsidR="00573C4B" w:rsidRPr="00F67167" w:rsidRDefault="00573C4B" w:rsidP="00573C4B">
            <w:pPr>
              <w:jc w:val="both"/>
              <w:rPr>
                <w:rFonts w:ascii="Arial" w:hAnsi="Arial" w:cs="FrankRuehl"/>
                <w:sz w:val="28"/>
                <w:szCs w:val="28"/>
              </w:rPr>
            </w:pPr>
            <w:bookmarkStart w:id="1" w:name="FirstAppellant"/>
            <w:bookmarkStart w:id="2" w:name="FirstLawyer"/>
            <w:r w:rsidRPr="00F6716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435C8AAD" w14:textId="77777777" w:rsidR="00573C4B" w:rsidRPr="00F67167" w:rsidRDefault="00573C4B" w:rsidP="00140FEE">
            <w:pPr>
              <w:rPr>
                <w:b/>
                <w:bCs/>
                <w:rtl/>
              </w:rPr>
            </w:pPr>
            <w:r w:rsidRPr="00F67167">
              <w:rPr>
                <w:rFonts w:ascii="Arial" w:hAnsi="Arial" w:cs="FrankRuehl"/>
                <w:b/>
                <w:bCs/>
                <w:sz w:val="28"/>
                <w:szCs w:val="28"/>
                <w:rtl/>
              </w:rPr>
              <w:t>מדינת ישראל</w:t>
            </w:r>
          </w:p>
          <w:p w14:paraId="5040D5F4" w14:textId="77777777" w:rsidR="00573C4B" w:rsidRPr="00F67167" w:rsidRDefault="00573C4B" w:rsidP="00140FEE">
            <w:pPr>
              <w:rPr>
                <w:rtl/>
              </w:rPr>
            </w:pPr>
            <w:r w:rsidRPr="00F67167">
              <w:rPr>
                <w:rFonts w:hint="cs"/>
                <w:rtl/>
              </w:rPr>
              <w:t>באמצעות פרקליטות מחוז ירושלים (פלילי)</w:t>
            </w:r>
          </w:p>
          <w:p w14:paraId="625CD9F0" w14:textId="77777777" w:rsidR="00573C4B" w:rsidRPr="00F67167" w:rsidRDefault="00573C4B" w:rsidP="00140FEE">
            <w:r w:rsidRPr="00F67167">
              <w:rPr>
                <w:rFonts w:hint="cs"/>
                <w:rtl/>
              </w:rPr>
              <w:t>ע"י ב"כ עו"ד אביעד דואק</w:t>
            </w:r>
          </w:p>
        </w:tc>
        <w:tc>
          <w:tcPr>
            <w:tcW w:w="3771" w:type="dxa"/>
            <w:tcBorders>
              <w:top w:val="nil"/>
              <w:left w:val="nil"/>
              <w:bottom w:val="nil"/>
              <w:right w:val="nil"/>
            </w:tcBorders>
            <w:shd w:val="clear" w:color="auto" w:fill="auto"/>
          </w:tcPr>
          <w:p w14:paraId="1F21C666" w14:textId="77777777" w:rsidR="00573C4B" w:rsidRPr="00F67167" w:rsidRDefault="00573C4B" w:rsidP="00573C4B">
            <w:pPr>
              <w:jc w:val="both"/>
              <w:rPr>
                <w:rFonts w:ascii="Arial" w:hAnsi="Arial" w:cs="FrankRuehl"/>
                <w:sz w:val="28"/>
                <w:szCs w:val="28"/>
              </w:rPr>
            </w:pPr>
          </w:p>
        </w:tc>
      </w:tr>
      <w:bookmarkEnd w:id="1"/>
      <w:bookmarkEnd w:id="2"/>
      <w:tr w:rsidR="00573C4B" w:rsidRPr="00F67167" w14:paraId="20091EF6" w14:textId="77777777" w:rsidTr="00573C4B">
        <w:trPr>
          <w:trHeight w:val="355"/>
          <w:jc w:val="center"/>
        </w:trPr>
        <w:tc>
          <w:tcPr>
            <w:tcW w:w="606" w:type="dxa"/>
            <w:tcBorders>
              <w:top w:val="nil"/>
              <w:left w:val="nil"/>
              <w:bottom w:val="nil"/>
              <w:right w:val="nil"/>
            </w:tcBorders>
            <w:shd w:val="clear" w:color="auto" w:fill="auto"/>
          </w:tcPr>
          <w:p w14:paraId="37DEC423" w14:textId="77777777" w:rsidR="00573C4B" w:rsidRPr="00F67167" w:rsidRDefault="00573C4B" w:rsidP="00573C4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8174967" w14:textId="77777777" w:rsidR="00573C4B" w:rsidRPr="00F67167" w:rsidRDefault="00573C4B" w:rsidP="00573C4B">
            <w:pPr>
              <w:jc w:val="both"/>
              <w:rPr>
                <w:rtl/>
              </w:rPr>
            </w:pPr>
          </w:p>
        </w:tc>
        <w:tc>
          <w:tcPr>
            <w:tcW w:w="3771" w:type="dxa"/>
            <w:tcBorders>
              <w:top w:val="nil"/>
              <w:left w:val="nil"/>
              <w:bottom w:val="nil"/>
              <w:right w:val="nil"/>
            </w:tcBorders>
            <w:shd w:val="clear" w:color="auto" w:fill="auto"/>
          </w:tcPr>
          <w:p w14:paraId="3067FAB1" w14:textId="77777777" w:rsidR="00573C4B" w:rsidRPr="00F67167" w:rsidRDefault="00573C4B" w:rsidP="00140FEE">
            <w:pPr>
              <w:rPr>
                <w:rFonts w:ascii="Arial" w:hAnsi="Arial" w:cs="FrankRuehl"/>
                <w:b/>
                <w:bCs/>
                <w:sz w:val="28"/>
                <w:szCs w:val="28"/>
                <w:rtl/>
              </w:rPr>
            </w:pPr>
            <w:r w:rsidRPr="00F67167">
              <w:rPr>
                <w:rFonts w:ascii="Arial" w:hAnsi="Arial" w:cs="FrankRuehl" w:hint="cs"/>
                <w:b/>
                <w:bCs/>
                <w:sz w:val="28"/>
                <w:szCs w:val="28"/>
                <w:rtl/>
              </w:rPr>
              <w:t>ה</w:t>
            </w:r>
            <w:r w:rsidRPr="00F67167">
              <w:rPr>
                <w:rFonts w:ascii="Arial" w:hAnsi="Arial" w:cs="FrankRuehl"/>
                <w:b/>
                <w:bCs/>
                <w:sz w:val="28"/>
                <w:szCs w:val="28"/>
                <w:rtl/>
              </w:rPr>
              <w:t>מאשימה</w:t>
            </w:r>
          </w:p>
        </w:tc>
      </w:tr>
      <w:tr w:rsidR="00573C4B" w:rsidRPr="00F67167" w14:paraId="18E6E849" w14:textId="77777777" w:rsidTr="00573C4B">
        <w:trPr>
          <w:trHeight w:val="355"/>
          <w:jc w:val="center"/>
        </w:trPr>
        <w:tc>
          <w:tcPr>
            <w:tcW w:w="606" w:type="dxa"/>
            <w:tcBorders>
              <w:top w:val="nil"/>
              <w:left w:val="nil"/>
              <w:bottom w:val="nil"/>
              <w:right w:val="nil"/>
            </w:tcBorders>
            <w:shd w:val="clear" w:color="auto" w:fill="auto"/>
          </w:tcPr>
          <w:p w14:paraId="18F581DC" w14:textId="77777777" w:rsidR="00573C4B" w:rsidRPr="00F67167" w:rsidRDefault="00573C4B" w:rsidP="00573C4B">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D839B22" w14:textId="77777777" w:rsidR="00573C4B" w:rsidRPr="00F67167" w:rsidRDefault="00573C4B" w:rsidP="00573C4B">
            <w:pPr>
              <w:jc w:val="center"/>
              <w:rPr>
                <w:rFonts w:ascii="Arial" w:hAnsi="Arial" w:cs="FrankRuehl"/>
                <w:b/>
                <w:bCs/>
                <w:sz w:val="28"/>
                <w:szCs w:val="28"/>
                <w:rtl/>
              </w:rPr>
            </w:pPr>
          </w:p>
          <w:p w14:paraId="5CE32265" w14:textId="77777777" w:rsidR="00573C4B" w:rsidRPr="00F67167" w:rsidRDefault="00573C4B" w:rsidP="00573C4B">
            <w:pPr>
              <w:jc w:val="center"/>
              <w:rPr>
                <w:rFonts w:ascii="Arial" w:hAnsi="Arial" w:cs="FrankRuehl"/>
                <w:b/>
                <w:bCs/>
                <w:sz w:val="28"/>
                <w:szCs w:val="28"/>
                <w:rtl/>
              </w:rPr>
            </w:pPr>
            <w:r w:rsidRPr="00F67167">
              <w:rPr>
                <w:rFonts w:ascii="Arial" w:hAnsi="Arial" w:cs="FrankRuehl"/>
                <w:b/>
                <w:bCs/>
                <w:sz w:val="28"/>
                <w:szCs w:val="28"/>
                <w:rtl/>
              </w:rPr>
              <w:t>נגד</w:t>
            </w:r>
          </w:p>
          <w:p w14:paraId="10AB5BA1" w14:textId="77777777" w:rsidR="00573C4B" w:rsidRPr="00F67167" w:rsidRDefault="00573C4B" w:rsidP="00573C4B">
            <w:pPr>
              <w:jc w:val="both"/>
              <w:rPr>
                <w:rFonts w:ascii="Arial" w:hAnsi="Arial" w:cs="FrankRuehl"/>
                <w:sz w:val="28"/>
                <w:szCs w:val="28"/>
              </w:rPr>
            </w:pPr>
          </w:p>
        </w:tc>
      </w:tr>
      <w:tr w:rsidR="00573C4B" w:rsidRPr="00F67167" w14:paraId="58708509" w14:textId="77777777" w:rsidTr="00573C4B">
        <w:trPr>
          <w:trHeight w:val="355"/>
          <w:jc w:val="center"/>
        </w:trPr>
        <w:tc>
          <w:tcPr>
            <w:tcW w:w="606" w:type="dxa"/>
            <w:tcBorders>
              <w:top w:val="nil"/>
              <w:left w:val="nil"/>
              <w:bottom w:val="nil"/>
              <w:right w:val="nil"/>
            </w:tcBorders>
            <w:shd w:val="clear" w:color="auto" w:fill="auto"/>
          </w:tcPr>
          <w:p w14:paraId="6D6A0638" w14:textId="77777777" w:rsidR="00573C4B" w:rsidRPr="00F67167" w:rsidRDefault="00573C4B" w:rsidP="00140FEE">
            <w:pPr>
              <w:rPr>
                <w:rFonts w:ascii="Arial" w:hAnsi="Arial" w:cs="FrankRuehl"/>
                <w:sz w:val="28"/>
                <w:szCs w:val="28"/>
                <w:rtl/>
              </w:rPr>
            </w:pPr>
          </w:p>
        </w:tc>
        <w:tc>
          <w:tcPr>
            <w:tcW w:w="4126" w:type="dxa"/>
            <w:tcBorders>
              <w:top w:val="nil"/>
              <w:left w:val="nil"/>
              <w:bottom w:val="nil"/>
              <w:right w:val="nil"/>
            </w:tcBorders>
            <w:shd w:val="clear" w:color="auto" w:fill="auto"/>
          </w:tcPr>
          <w:p w14:paraId="177D7A0C" w14:textId="77777777" w:rsidR="00573C4B" w:rsidRPr="00F67167" w:rsidRDefault="00573C4B" w:rsidP="00140FEE">
            <w:pPr>
              <w:rPr>
                <w:rtl/>
              </w:rPr>
            </w:pPr>
            <w:r w:rsidRPr="00F67167">
              <w:rPr>
                <w:rFonts w:ascii="Arial" w:hAnsi="Arial" w:cs="FrankRuehl"/>
                <w:sz w:val="28"/>
                <w:szCs w:val="28"/>
                <w:rtl/>
              </w:rPr>
              <w:t>1</w:t>
            </w:r>
            <w:r w:rsidRPr="00F67167">
              <w:rPr>
                <w:rFonts w:ascii="Arial" w:hAnsi="Arial" w:cs="FrankRuehl" w:hint="cs"/>
                <w:sz w:val="28"/>
                <w:szCs w:val="28"/>
                <w:rtl/>
              </w:rPr>
              <w:t>.</w:t>
            </w:r>
            <w:r w:rsidRPr="00F67167">
              <w:rPr>
                <w:rFonts w:ascii="Arial" w:hAnsi="Arial" w:cs="FrankRuehl" w:hint="cs"/>
                <w:b/>
                <w:bCs/>
                <w:sz w:val="28"/>
                <w:szCs w:val="28"/>
                <w:rtl/>
              </w:rPr>
              <w:t xml:space="preserve"> </w:t>
            </w:r>
            <w:r w:rsidRPr="00F67167">
              <w:rPr>
                <w:rFonts w:ascii="Arial" w:hAnsi="Arial" w:cs="FrankRuehl"/>
                <w:b/>
                <w:bCs/>
                <w:sz w:val="28"/>
                <w:szCs w:val="28"/>
                <w:rtl/>
              </w:rPr>
              <w:t>סאלם גווילס (עציר)</w:t>
            </w:r>
          </w:p>
          <w:p w14:paraId="43BFE0D2" w14:textId="77777777" w:rsidR="00573C4B" w:rsidRPr="00F67167" w:rsidRDefault="00573C4B" w:rsidP="00140FEE">
            <w:pPr>
              <w:rPr>
                <w:rtl/>
              </w:rPr>
            </w:pPr>
            <w:r w:rsidRPr="00F67167">
              <w:rPr>
                <w:rFonts w:hint="cs"/>
                <w:rtl/>
              </w:rPr>
              <w:t xml:space="preserve">     ע"י ב"כ עו"ד רמי רושרוש</w:t>
            </w:r>
          </w:p>
          <w:p w14:paraId="3320B68D" w14:textId="77777777" w:rsidR="00573C4B" w:rsidRPr="00F67167" w:rsidRDefault="00573C4B" w:rsidP="00140FEE">
            <w:pPr>
              <w:rPr>
                <w:rtl/>
              </w:rPr>
            </w:pPr>
          </w:p>
          <w:p w14:paraId="09080609" w14:textId="77777777" w:rsidR="00573C4B" w:rsidRPr="00F67167" w:rsidRDefault="00573C4B" w:rsidP="00140FEE">
            <w:pPr>
              <w:rPr>
                <w:b/>
                <w:bCs/>
                <w:rtl/>
              </w:rPr>
            </w:pPr>
            <w:r w:rsidRPr="00F67167">
              <w:rPr>
                <w:rFonts w:ascii="Arial" w:hAnsi="Arial" w:cs="FrankRuehl"/>
                <w:sz w:val="28"/>
                <w:szCs w:val="28"/>
                <w:rtl/>
              </w:rPr>
              <w:t>2</w:t>
            </w:r>
            <w:r w:rsidRPr="00F67167">
              <w:rPr>
                <w:rFonts w:ascii="Arial" w:hAnsi="Arial" w:cs="FrankRuehl" w:hint="cs"/>
                <w:sz w:val="28"/>
                <w:szCs w:val="28"/>
                <w:rtl/>
              </w:rPr>
              <w:t>.</w:t>
            </w:r>
            <w:r w:rsidRPr="00F67167">
              <w:rPr>
                <w:rFonts w:ascii="Arial" w:hAnsi="Arial" w:cs="FrankRuehl" w:hint="cs"/>
                <w:b/>
                <w:bCs/>
                <w:sz w:val="28"/>
                <w:szCs w:val="28"/>
                <w:rtl/>
              </w:rPr>
              <w:t xml:space="preserve"> </w:t>
            </w:r>
            <w:r w:rsidRPr="00F67167">
              <w:rPr>
                <w:rFonts w:ascii="Arial" w:hAnsi="Arial" w:cs="FrankRuehl"/>
                <w:b/>
                <w:bCs/>
                <w:sz w:val="28"/>
                <w:szCs w:val="28"/>
                <w:rtl/>
              </w:rPr>
              <w:t>חמדי עבדאלקאדר (עציר)</w:t>
            </w:r>
          </w:p>
          <w:p w14:paraId="13DC2D56" w14:textId="77777777" w:rsidR="00573C4B" w:rsidRPr="00F67167" w:rsidRDefault="00573C4B" w:rsidP="00140FEE">
            <w:pPr>
              <w:rPr>
                <w:rtl/>
              </w:rPr>
            </w:pPr>
            <w:r w:rsidRPr="00F67167">
              <w:rPr>
                <w:rFonts w:ascii="Arial" w:hAnsi="Arial" w:cs="FrankRuehl"/>
                <w:sz w:val="28"/>
                <w:szCs w:val="28"/>
                <w:rtl/>
              </w:rPr>
              <w:t>3</w:t>
            </w:r>
            <w:r w:rsidRPr="00F67167">
              <w:rPr>
                <w:rFonts w:ascii="Arial" w:hAnsi="Arial" w:cs="FrankRuehl" w:hint="cs"/>
                <w:b/>
                <w:bCs/>
                <w:sz w:val="28"/>
                <w:szCs w:val="28"/>
                <w:rtl/>
              </w:rPr>
              <w:t xml:space="preserve">. </w:t>
            </w:r>
            <w:r w:rsidRPr="00F67167">
              <w:rPr>
                <w:rFonts w:ascii="Arial" w:hAnsi="Arial" w:cs="FrankRuehl"/>
                <w:b/>
                <w:bCs/>
                <w:sz w:val="28"/>
                <w:szCs w:val="28"/>
                <w:rtl/>
              </w:rPr>
              <w:t>חסאם עבדאלקארד (עציר)</w:t>
            </w:r>
          </w:p>
          <w:p w14:paraId="00C3FA36" w14:textId="77777777" w:rsidR="00573C4B" w:rsidRPr="00F67167" w:rsidRDefault="00573C4B" w:rsidP="00140FEE">
            <w:pPr>
              <w:rPr>
                <w:rtl/>
              </w:rPr>
            </w:pPr>
            <w:r w:rsidRPr="00F67167">
              <w:rPr>
                <w:rFonts w:hint="cs"/>
                <w:rtl/>
              </w:rPr>
              <w:t xml:space="preserve">     ע"י ב"כ עו"ד אמיר נבון</w:t>
            </w:r>
          </w:p>
        </w:tc>
        <w:tc>
          <w:tcPr>
            <w:tcW w:w="3771" w:type="dxa"/>
            <w:tcBorders>
              <w:top w:val="nil"/>
              <w:left w:val="nil"/>
              <w:bottom w:val="nil"/>
              <w:right w:val="nil"/>
            </w:tcBorders>
            <w:shd w:val="clear" w:color="auto" w:fill="auto"/>
          </w:tcPr>
          <w:p w14:paraId="7962A568" w14:textId="77777777" w:rsidR="00573C4B" w:rsidRPr="00F67167" w:rsidRDefault="00573C4B" w:rsidP="00573C4B">
            <w:pPr>
              <w:jc w:val="right"/>
              <w:rPr>
                <w:rFonts w:ascii="Arial" w:hAnsi="Arial" w:cs="FrankRuehl"/>
                <w:sz w:val="28"/>
                <w:szCs w:val="28"/>
              </w:rPr>
            </w:pPr>
          </w:p>
        </w:tc>
      </w:tr>
      <w:tr w:rsidR="00573C4B" w:rsidRPr="00F67167" w14:paraId="6AE65602" w14:textId="77777777" w:rsidTr="00573C4B">
        <w:trPr>
          <w:trHeight w:val="355"/>
          <w:jc w:val="center"/>
        </w:trPr>
        <w:tc>
          <w:tcPr>
            <w:tcW w:w="606" w:type="dxa"/>
            <w:tcBorders>
              <w:top w:val="nil"/>
              <w:left w:val="nil"/>
              <w:bottom w:val="nil"/>
              <w:right w:val="nil"/>
            </w:tcBorders>
            <w:shd w:val="clear" w:color="auto" w:fill="auto"/>
          </w:tcPr>
          <w:p w14:paraId="6FAC9231" w14:textId="77777777" w:rsidR="00573C4B" w:rsidRPr="00F67167" w:rsidRDefault="00573C4B" w:rsidP="00573C4B">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4A715F88" w14:textId="77777777" w:rsidR="00573C4B" w:rsidRPr="00F67167" w:rsidRDefault="00573C4B" w:rsidP="00573C4B">
            <w:pPr>
              <w:jc w:val="both"/>
              <w:rPr>
                <w:rtl/>
              </w:rPr>
            </w:pPr>
          </w:p>
        </w:tc>
        <w:tc>
          <w:tcPr>
            <w:tcW w:w="3771" w:type="dxa"/>
            <w:tcBorders>
              <w:top w:val="nil"/>
              <w:left w:val="nil"/>
              <w:bottom w:val="nil"/>
              <w:right w:val="nil"/>
            </w:tcBorders>
            <w:shd w:val="clear" w:color="auto" w:fill="auto"/>
          </w:tcPr>
          <w:p w14:paraId="7A6AB673" w14:textId="77777777" w:rsidR="00573C4B" w:rsidRPr="00F67167" w:rsidRDefault="00573C4B" w:rsidP="00140FEE">
            <w:pPr>
              <w:rPr>
                <w:rFonts w:ascii="Arial" w:hAnsi="Arial" w:cs="FrankRuehl"/>
                <w:b/>
                <w:bCs/>
                <w:sz w:val="28"/>
                <w:szCs w:val="28"/>
              </w:rPr>
            </w:pPr>
            <w:r w:rsidRPr="00F67167">
              <w:rPr>
                <w:rFonts w:ascii="Arial" w:hAnsi="Arial" w:cs="FrankRuehl" w:hint="cs"/>
                <w:b/>
                <w:bCs/>
                <w:sz w:val="28"/>
                <w:szCs w:val="28"/>
                <w:rtl/>
              </w:rPr>
              <w:t>ה</w:t>
            </w:r>
            <w:r w:rsidRPr="00F67167">
              <w:rPr>
                <w:rFonts w:ascii="Arial" w:hAnsi="Arial" w:cs="FrankRuehl"/>
                <w:b/>
                <w:bCs/>
                <w:sz w:val="28"/>
                <w:szCs w:val="28"/>
                <w:rtl/>
              </w:rPr>
              <w:t>נאשמים</w:t>
            </w:r>
          </w:p>
        </w:tc>
      </w:tr>
    </w:tbl>
    <w:p w14:paraId="217E6ADD" w14:textId="77777777" w:rsidR="008A0647" w:rsidRDefault="008A0647" w:rsidP="00573C4B">
      <w:pPr>
        <w:rPr>
          <w:rtl/>
        </w:rPr>
      </w:pPr>
      <w:bookmarkStart w:id="3" w:name="LawTable"/>
      <w:bookmarkEnd w:id="3"/>
    </w:p>
    <w:p w14:paraId="09D65590" w14:textId="77777777" w:rsidR="008A0647" w:rsidRPr="008A0647" w:rsidRDefault="008A0647" w:rsidP="008A0647">
      <w:pPr>
        <w:spacing w:after="120" w:line="240" w:lineRule="exact"/>
        <w:ind w:left="283" w:hanging="283"/>
        <w:jc w:val="both"/>
        <w:rPr>
          <w:rFonts w:ascii="FrankRuehl" w:hAnsi="FrankRuehl" w:cs="FrankRuehl"/>
          <w:rtl/>
        </w:rPr>
      </w:pPr>
    </w:p>
    <w:p w14:paraId="7E9D2E68" w14:textId="77777777" w:rsidR="008A0647" w:rsidRPr="008A0647" w:rsidRDefault="008A0647" w:rsidP="008A0647">
      <w:pPr>
        <w:spacing w:after="120" w:line="240" w:lineRule="exact"/>
        <w:ind w:left="283" w:hanging="283"/>
        <w:jc w:val="both"/>
        <w:rPr>
          <w:rFonts w:ascii="FrankRuehl" w:hAnsi="FrankRuehl" w:cs="FrankRuehl"/>
          <w:rtl/>
        </w:rPr>
      </w:pPr>
      <w:r w:rsidRPr="008A0647">
        <w:rPr>
          <w:rFonts w:ascii="FrankRuehl" w:hAnsi="FrankRuehl" w:cs="FrankRuehl"/>
          <w:rtl/>
        </w:rPr>
        <w:t xml:space="preserve">חקיקה שאוזכרה: </w:t>
      </w:r>
    </w:p>
    <w:p w14:paraId="6F0A355A" w14:textId="77777777" w:rsidR="008A0647" w:rsidRPr="008A0647" w:rsidRDefault="008A0647" w:rsidP="008A0647">
      <w:pPr>
        <w:spacing w:after="120" w:line="240" w:lineRule="exact"/>
        <w:ind w:left="283" w:hanging="283"/>
        <w:jc w:val="both"/>
        <w:rPr>
          <w:rFonts w:ascii="FrankRuehl" w:hAnsi="FrankRuehl" w:cs="FrankRuehl"/>
          <w:rtl/>
        </w:rPr>
      </w:pPr>
      <w:hyperlink r:id="rId6" w:history="1">
        <w:r w:rsidRPr="008A0647">
          <w:rPr>
            <w:rFonts w:ascii="FrankRuehl" w:hAnsi="FrankRuehl" w:cs="FrankRuehl"/>
            <w:color w:val="0000FF"/>
            <w:u w:val="single"/>
            <w:rtl/>
          </w:rPr>
          <w:t>חוק העונשין, תשל"ז-1977</w:t>
        </w:r>
      </w:hyperlink>
      <w:r w:rsidRPr="008A0647">
        <w:rPr>
          <w:rFonts w:ascii="FrankRuehl" w:hAnsi="FrankRuehl" w:cs="FrankRuehl"/>
          <w:rtl/>
        </w:rPr>
        <w:t xml:space="preserve">: סע'  </w:t>
      </w:r>
      <w:hyperlink r:id="rId7" w:history="1">
        <w:r w:rsidRPr="008A0647">
          <w:rPr>
            <w:rFonts w:ascii="FrankRuehl" w:hAnsi="FrankRuehl" w:cs="FrankRuehl"/>
            <w:color w:val="0000FF"/>
            <w:u w:val="single"/>
            <w:rtl/>
          </w:rPr>
          <w:t>25</w:t>
        </w:r>
      </w:hyperlink>
      <w:r w:rsidRPr="008A0647">
        <w:rPr>
          <w:rFonts w:ascii="FrankRuehl" w:hAnsi="FrankRuehl" w:cs="FrankRuehl"/>
          <w:rtl/>
        </w:rPr>
        <w:t xml:space="preserve">, </w:t>
      </w:r>
      <w:hyperlink r:id="rId8" w:history="1">
        <w:r w:rsidRPr="008A0647">
          <w:rPr>
            <w:rFonts w:ascii="FrankRuehl" w:hAnsi="FrankRuehl" w:cs="FrankRuehl"/>
            <w:color w:val="0000FF"/>
            <w:u w:val="single"/>
            <w:rtl/>
          </w:rPr>
          <w:t>31</w:t>
        </w:r>
      </w:hyperlink>
      <w:r w:rsidRPr="008A0647">
        <w:rPr>
          <w:rFonts w:ascii="FrankRuehl" w:hAnsi="FrankRuehl" w:cs="FrankRuehl"/>
          <w:rtl/>
        </w:rPr>
        <w:t xml:space="preserve">, </w:t>
      </w:r>
      <w:hyperlink r:id="rId9" w:history="1">
        <w:r w:rsidRPr="008A0647">
          <w:rPr>
            <w:rFonts w:ascii="FrankRuehl" w:hAnsi="FrankRuehl" w:cs="FrankRuehl"/>
            <w:color w:val="0000FF"/>
            <w:u w:val="single"/>
            <w:rtl/>
          </w:rPr>
          <w:t>144</w:t>
        </w:r>
      </w:hyperlink>
      <w:r w:rsidRPr="008A0647">
        <w:rPr>
          <w:rFonts w:ascii="FrankRuehl" w:hAnsi="FrankRuehl" w:cs="FrankRuehl"/>
          <w:rtl/>
        </w:rPr>
        <w:t xml:space="preserve">, </w:t>
      </w:r>
      <w:hyperlink r:id="rId10" w:history="1">
        <w:r w:rsidRPr="008A0647">
          <w:rPr>
            <w:rFonts w:ascii="FrankRuehl" w:hAnsi="FrankRuehl" w:cs="FrankRuehl"/>
            <w:color w:val="0000FF"/>
            <w:u w:val="single"/>
            <w:rtl/>
          </w:rPr>
          <w:t>144(ב)</w:t>
        </w:r>
      </w:hyperlink>
      <w:r w:rsidRPr="008A0647">
        <w:rPr>
          <w:rFonts w:ascii="FrankRuehl" w:hAnsi="FrankRuehl" w:cs="FrankRuehl"/>
          <w:rtl/>
        </w:rPr>
        <w:t xml:space="preserve">, </w:t>
      </w:r>
      <w:hyperlink r:id="rId11" w:history="1">
        <w:r w:rsidRPr="008A0647">
          <w:rPr>
            <w:rFonts w:ascii="FrankRuehl" w:hAnsi="FrankRuehl" w:cs="FrankRuehl"/>
            <w:color w:val="0000FF"/>
            <w:u w:val="single"/>
            <w:rtl/>
          </w:rPr>
          <w:t>144(ב2)</w:t>
        </w:r>
      </w:hyperlink>
      <w:r w:rsidRPr="008A0647">
        <w:rPr>
          <w:rFonts w:ascii="FrankRuehl" w:hAnsi="FrankRuehl" w:cs="FrankRuehl"/>
          <w:rtl/>
        </w:rPr>
        <w:t xml:space="preserve">, </w:t>
      </w:r>
      <w:hyperlink r:id="rId12" w:history="1">
        <w:r w:rsidRPr="008A0647">
          <w:rPr>
            <w:rFonts w:ascii="FrankRuehl" w:hAnsi="FrankRuehl" w:cs="FrankRuehl"/>
            <w:color w:val="0000FF"/>
            <w:u w:val="single"/>
            <w:rtl/>
          </w:rPr>
          <w:t>144(ב3)</w:t>
        </w:r>
      </w:hyperlink>
      <w:r w:rsidRPr="008A0647">
        <w:rPr>
          <w:rFonts w:ascii="FrankRuehl" w:hAnsi="FrankRuehl" w:cs="FrankRuehl"/>
          <w:rtl/>
        </w:rPr>
        <w:t xml:space="preserve">, </w:t>
      </w:r>
      <w:hyperlink r:id="rId13" w:history="1">
        <w:r w:rsidRPr="008A0647">
          <w:rPr>
            <w:rFonts w:ascii="FrankRuehl" w:hAnsi="FrankRuehl" w:cs="FrankRuehl"/>
            <w:color w:val="0000FF"/>
            <w:u w:val="single"/>
            <w:rtl/>
          </w:rPr>
          <w:t>499(א)(1)</w:t>
        </w:r>
      </w:hyperlink>
    </w:p>
    <w:p w14:paraId="75ADBB59" w14:textId="77777777" w:rsidR="008A0647" w:rsidRPr="008A0647" w:rsidRDefault="008A0647" w:rsidP="008A0647">
      <w:pPr>
        <w:spacing w:after="120" w:line="240" w:lineRule="exact"/>
        <w:ind w:left="283" w:hanging="283"/>
        <w:jc w:val="both"/>
        <w:rPr>
          <w:rFonts w:ascii="FrankRuehl" w:hAnsi="FrankRuehl" w:cs="FrankRuehl"/>
          <w:rtl/>
        </w:rPr>
      </w:pPr>
    </w:p>
    <w:p w14:paraId="24F936B3" w14:textId="77777777" w:rsidR="008A0647" w:rsidRPr="008A0647" w:rsidRDefault="008A0647" w:rsidP="00573C4B">
      <w:pPr>
        <w:rPr>
          <w:rtl/>
        </w:rPr>
      </w:pPr>
      <w:bookmarkStart w:id="4" w:name="LawTable_End"/>
      <w:bookmarkEnd w:id="4"/>
    </w:p>
    <w:p w14:paraId="07B44420" w14:textId="77777777" w:rsidR="00F67167" w:rsidRPr="00F67167" w:rsidRDefault="00F67167" w:rsidP="00573C4B">
      <w:pPr>
        <w:rPr>
          <w:rtl/>
        </w:rPr>
      </w:pPr>
    </w:p>
    <w:p w14:paraId="29A643F6" w14:textId="77777777" w:rsidR="00F67167" w:rsidRPr="00F67167" w:rsidRDefault="00F67167" w:rsidP="00573C4B">
      <w:pPr>
        <w:rPr>
          <w:rtl/>
        </w:rPr>
      </w:pPr>
    </w:p>
    <w:p w14:paraId="6A8A0104" w14:textId="77777777" w:rsidR="00573C4B" w:rsidRPr="00F67167" w:rsidRDefault="00573C4B" w:rsidP="00573C4B"/>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73C4B" w14:paraId="3330C6F3" w14:textId="77777777" w:rsidTr="00573C4B">
        <w:trPr>
          <w:trHeight w:val="355"/>
          <w:jc w:val="center"/>
        </w:trPr>
        <w:tc>
          <w:tcPr>
            <w:tcW w:w="8820" w:type="dxa"/>
            <w:tcBorders>
              <w:top w:val="nil"/>
              <w:left w:val="nil"/>
              <w:bottom w:val="nil"/>
              <w:right w:val="nil"/>
            </w:tcBorders>
            <w:shd w:val="clear" w:color="auto" w:fill="auto"/>
          </w:tcPr>
          <w:p w14:paraId="4B55EFB0" w14:textId="77777777" w:rsidR="00F67167" w:rsidRPr="00F67167" w:rsidRDefault="00F67167" w:rsidP="00F67167">
            <w:pPr>
              <w:jc w:val="center"/>
              <w:rPr>
                <w:rFonts w:ascii="Arial" w:hAnsi="Arial" w:cs="FrankRuehl"/>
                <w:b/>
                <w:bCs/>
                <w:sz w:val="32"/>
                <w:szCs w:val="32"/>
                <w:u w:val="single"/>
                <w:rtl/>
              </w:rPr>
            </w:pPr>
            <w:bookmarkStart w:id="5" w:name="PsakDin" w:colFirst="0" w:colLast="0"/>
            <w:bookmarkEnd w:id="0"/>
            <w:r w:rsidRPr="00F67167">
              <w:rPr>
                <w:rFonts w:ascii="Arial" w:hAnsi="Arial" w:cs="FrankRuehl"/>
                <w:b/>
                <w:bCs/>
                <w:sz w:val="32"/>
                <w:szCs w:val="32"/>
                <w:u w:val="single"/>
                <w:rtl/>
              </w:rPr>
              <w:t>גזר דין</w:t>
            </w:r>
          </w:p>
          <w:p w14:paraId="3AD908BB" w14:textId="77777777" w:rsidR="00573C4B" w:rsidRPr="00F67167" w:rsidRDefault="00573C4B" w:rsidP="00F67167">
            <w:pPr>
              <w:jc w:val="center"/>
              <w:rPr>
                <w:rFonts w:ascii="Arial" w:hAnsi="Arial" w:cs="FrankRuehl"/>
                <w:bCs/>
                <w:sz w:val="32"/>
                <w:szCs w:val="32"/>
                <w:u w:val="single"/>
                <w:rtl/>
              </w:rPr>
            </w:pPr>
          </w:p>
        </w:tc>
      </w:tr>
      <w:bookmarkEnd w:id="5"/>
    </w:tbl>
    <w:p w14:paraId="714D2A05" w14:textId="77777777" w:rsidR="00573C4B" w:rsidRPr="00B05847" w:rsidRDefault="00573C4B" w:rsidP="00573C4B">
      <w:pPr>
        <w:rPr>
          <w:rFonts w:ascii="Arial" w:hAnsi="Arial"/>
          <w:rtl/>
        </w:rPr>
      </w:pPr>
    </w:p>
    <w:p w14:paraId="3852088A" w14:textId="77777777" w:rsidR="00573C4B" w:rsidRDefault="00573C4B" w:rsidP="00573C4B">
      <w:pPr>
        <w:rPr>
          <w:rFonts w:ascii="Arial" w:hAnsi="Arial"/>
          <w:rtl/>
        </w:rPr>
      </w:pPr>
    </w:p>
    <w:p w14:paraId="3E1E6063" w14:textId="77777777" w:rsidR="00573C4B" w:rsidRDefault="00573C4B" w:rsidP="00573C4B">
      <w:pPr>
        <w:spacing w:line="360" w:lineRule="auto"/>
        <w:jc w:val="both"/>
        <w:rPr>
          <w:rFonts w:ascii="Miriam" w:hAnsi="Miriam" w:cs="Miriam"/>
        </w:rPr>
      </w:pPr>
      <w:r>
        <w:rPr>
          <w:rFonts w:ascii="Miriam" w:hAnsi="Miriam" w:cs="Miriam" w:hint="cs"/>
          <w:rtl/>
        </w:rPr>
        <w:t>עיקרי הכרעת הדין</w:t>
      </w:r>
    </w:p>
    <w:p w14:paraId="2E649008" w14:textId="77777777" w:rsidR="00573C4B" w:rsidRDefault="00573C4B" w:rsidP="00573C4B">
      <w:pPr>
        <w:spacing w:line="360" w:lineRule="auto"/>
        <w:jc w:val="both"/>
        <w:rPr>
          <w:rFonts w:ascii="FrankRuehl" w:hAnsi="FrankRuehl" w:cs="FrankRuehl"/>
          <w:sz w:val="28"/>
          <w:szCs w:val="28"/>
          <w:rtl/>
        </w:rPr>
      </w:pPr>
    </w:p>
    <w:p w14:paraId="62F6431E"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1.</w:t>
      </w:r>
      <w:r>
        <w:rPr>
          <w:rFonts w:ascii="FrankRuehl" w:hAnsi="FrankRuehl" w:cs="FrankRuehl" w:hint="cs"/>
          <w:sz w:val="28"/>
          <w:szCs w:val="28"/>
          <w:rtl/>
        </w:rPr>
        <w:tab/>
      </w:r>
      <w:bookmarkStart w:id="6" w:name="ABSTRACT_START"/>
      <w:bookmarkEnd w:id="6"/>
      <w:r>
        <w:rPr>
          <w:rFonts w:ascii="FrankRuehl" w:hAnsi="FrankRuehl" w:cs="FrankRuehl" w:hint="cs"/>
          <w:sz w:val="28"/>
          <w:szCs w:val="28"/>
          <w:rtl/>
        </w:rPr>
        <w:t xml:space="preserve">ביום 4.12.2018 וביום 13.12.2018 הורשעו הנאשמים על פי הודאותיהם, שניתנו במסגרת הסדר טיעון, בעבירות שלהלן: </w:t>
      </w:r>
    </w:p>
    <w:p w14:paraId="1C79C94A" w14:textId="77777777" w:rsidR="00573C4B" w:rsidRDefault="00573C4B" w:rsidP="00573C4B">
      <w:pPr>
        <w:spacing w:line="360" w:lineRule="auto"/>
        <w:jc w:val="both"/>
        <w:rPr>
          <w:rFonts w:ascii="FrankRuehl" w:hAnsi="FrankRuehl" w:cs="FrankRuehl"/>
          <w:sz w:val="28"/>
          <w:szCs w:val="28"/>
          <w:rtl/>
        </w:rPr>
      </w:pPr>
    </w:p>
    <w:p w14:paraId="072BEB3C"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lastRenderedPageBreak/>
        <w:tab/>
        <w:t xml:space="preserve">בגין האישום הראשון – הורשעו נאשמים 1 ו-2 בעבירת סחר בנשק לפי </w:t>
      </w:r>
      <w:hyperlink r:id="rId14" w:history="1">
        <w:r w:rsidR="008A0647" w:rsidRPr="008A0647">
          <w:rPr>
            <w:rFonts w:ascii="FrankRuehl" w:hAnsi="FrankRuehl" w:cs="FrankRuehl"/>
            <w:color w:val="0000FF"/>
            <w:sz w:val="28"/>
            <w:szCs w:val="28"/>
            <w:u w:val="single"/>
            <w:rtl/>
          </w:rPr>
          <w:t>סעיף 144(ב2)</w:t>
        </w:r>
      </w:hyperlink>
      <w:r>
        <w:rPr>
          <w:rFonts w:ascii="FrankRuehl" w:hAnsi="FrankRuehl" w:cs="FrankRuehl" w:hint="cs"/>
          <w:sz w:val="28"/>
          <w:szCs w:val="28"/>
          <w:rtl/>
        </w:rPr>
        <w:t xml:space="preserve"> ל</w:t>
      </w:r>
      <w:hyperlink r:id="rId15" w:history="1">
        <w:r w:rsidR="00F67167" w:rsidRPr="00F67167">
          <w:rPr>
            <w:rStyle w:val="Hyperlink"/>
            <w:rFonts w:ascii="FrankRuehl" w:hAnsi="FrankRuehl" w:cs="FrankRuehl" w:hint="eastAsia"/>
            <w:color w:val="0000FF"/>
            <w:sz w:val="28"/>
            <w:szCs w:val="28"/>
            <w:rtl/>
          </w:rPr>
          <w:t>חוק</w:t>
        </w:r>
        <w:r w:rsidR="00F67167" w:rsidRPr="00F67167">
          <w:rPr>
            <w:rStyle w:val="Hyperlink"/>
            <w:rFonts w:ascii="FrankRuehl" w:hAnsi="FrankRuehl" w:cs="FrankRuehl"/>
            <w:color w:val="0000FF"/>
            <w:sz w:val="28"/>
            <w:szCs w:val="28"/>
            <w:rtl/>
          </w:rPr>
          <w:t xml:space="preserve"> העונשין</w:t>
        </w:r>
      </w:hyperlink>
      <w:r>
        <w:rPr>
          <w:rFonts w:ascii="FrankRuehl" w:hAnsi="FrankRuehl" w:cs="FrankRuehl" w:hint="cs"/>
          <w:sz w:val="28"/>
          <w:szCs w:val="28"/>
          <w:rtl/>
        </w:rPr>
        <w:t xml:space="preserve"> תשל"ז-1977 (להלן: החוק); בנוסף לכך נאשם 2 הורשע בעבירת נשיאה והובלת נשק לפי </w:t>
      </w:r>
      <w:hyperlink r:id="rId16" w:history="1">
        <w:r w:rsidR="008A0647" w:rsidRPr="008A0647">
          <w:rPr>
            <w:rFonts w:ascii="FrankRuehl" w:hAnsi="FrankRuehl" w:cs="FrankRuehl"/>
            <w:color w:val="0000FF"/>
            <w:sz w:val="28"/>
            <w:szCs w:val="28"/>
            <w:u w:val="single"/>
            <w:rtl/>
          </w:rPr>
          <w:t>סעיף 144(ב)</w:t>
        </w:r>
      </w:hyperlink>
      <w:r>
        <w:rPr>
          <w:rFonts w:ascii="FrankRuehl" w:hAnsi="FrankRuehl" w:cs="FrankRuehl" w:hint="cs"/>
          <w:sz w:val="28"/>
          <w:szCs w:val="28"/>
          <w:rtl/>
        </w:rPr>
        <w:t xml:space="preserve"> לחוק.</w:t>
      </w:r>
    </w:p>
    <w:p w14:paraId="3AEC1DFC" w14:textId="77777777" w:rsidR="00573C4B" w:rsidRDefault="00573C4B" w:rsidP="00573C4B">
      <w:pPr>
        <w:spacing w:line="360" w:lineRule="auto"/>
        <w:jc w:val="both"/>
        <w:rPr>
          <w:rFonts w:ascii="FrankRuehl" w:hAnsi="FrankRuehl" w:cs="FrankRuehl"/>
          <w:sz w:val="28"/>
          <w:szCs w:val="28"/>
          <w:rtl/>
        </w:rPr>
      </w:pPr>
    </w:p>
    <w:p w14:paraId="0F472770"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בגין האישום השני – נאשם 1 הורשע בעבירת ניסיון לקשירת קשר לפשע לפי </w:t>
      </w:r>
      <w:hyperlink r:id="rId17" w:history="1">
        <w:r w:rsidR="008A0647" w:rsidRPr="008A0647">
          <w:rPr>
            <w:rFonts w:ascii="FrankRuehl" w:hAnsi="FrankRuehl" w:cs="FrankRuehl"/>
            <w:color w:val="0000FF"/>
            <w:sz w:val="28"/>
            <w:szCs w:val="28"/>
            <w:u w:val="single"/>
            <w:rtl/>
          </w:rPr>
          <w:t>סעיף 499(א)(1)</w:t>
        </w:r>
      </w:hyperlink>
      <w:r>
        <w:rPr>
          <w:rFonts w:ascii="FrankRuehl" w:hAnsi="FrankRuehl" w:cs="FrankRuehl" w:hint="cs"/>
          <w:sz w:val="28"/>
          <w:szCs w:val="28"/>
          <w:rtl/>
        </w:rPr>
        <w:t xml:space="preserve"> לחוק בצירוף </w:t>
      </w:r>
      <w:hyperlink r:id="rId18" w:history="1">
        <w:r w:rsidR="008A0647" w:rsidRPr="008A0647">
          <w:rPr>
            <w:rFonts w:ascii="FrankRuehl" w:hAnsi="FrankRuehl" w:cs="FrankRuehl"/>
            <w:color w:val="0000FF"/>
            <w:sz w:val="28"/>
            <w:szCs w:val="28"/>
            <w:u w:val="single"/>
            <w:rtl/>
          </w:rPr>
          <w:t>סעיף 25</w:t>
        </w:r>
      </w:hyperlink>
      <w:r>
        <w:rPr>
          <w:rFonts w:ascii="FrankRuehl" w:hAnsi="FrankRuehl" w:cs="FrankRuehl" w:hint="cs"/>
          <w:sz w:val="28"/>
          <w:szCs w:val="28"/>
          <w:rtl/>
        </w:rPr>
        <w:t xml:space="preserve"> לחוק; נאשם 2 הורשע בעבירת קשירת קשר לפשע לפי </w:t>
      </w:r>
      <w:hyperlink r:id="rId19" w:history="1">
        <w:r w:rsidR="008A0647" w:rsidRPr="008A0647">
          <w:rPr>
            <w:rFonts w:ascii="FrankRuehl" w:hAnsi="FrankRuehl" w:cs="FrankRuehl"/>
            <w:color w:val="0000FF"/>
            <w:sz w:val="28"/>
            <w:szCs w:val="28"/>
            <w:u w:val="single"/>
            <w:rtl/>
          </w:rPr>
          <w:t>סעיף 499(א)(1)</w:t>
        </w:r>
      </w:hyperlink>
      <w:r>
        <w:rPr>
          <w:rFonts w:ascii="FrankRuehl" w:hAnsi="FrankRuehl" w:cs="FrankRuehl" w:hint="cs"/>
          <w:sz w:val="28"/>
          <w:szCs w:val="28"/>
          <w:rtl/>
        </w:rPr>
        <w:t xml:space="preserve"> לחוק; נאשם 3 הורשע בעבירת סיוע לניסיון סחר בנשק לפי </w:t>
      </w:r>
      <w:hyperlink r:id="rId20" w:history="1">
        <w:r w:rsidR="008A0647" w:rsidRPr="008A0647">
          <w:rPr>
            <w:rFonts w:ascii="FrankRuehl" w:hAnsi="FrankRuehl" w:cs="FrankRuehl"/>
            <w:color w:val="0000FF"/>
            <w:sz w:val="28"/>
            <w:szCs w:val="28"/>
            <w:u w:val="single"/>
            <w:rtl/>
          </w:rPr>
          <w:t>סעיף 144(ב3)</w:t>
        </w:r>
      </w:hyperlink>
      <w:r>
        <w:rPr>
          <w:rFonts w:ascii="FrankRuehl" w:hAnsi="FrankRuehl" w:cs="FrankRuehl" w:hint="cs"/>
          <w:sz w:val="28"/>
          <w:szCs w:val="28"/>
          <w:rtl/>
        </w:rPr>
        <w:t xml:space="preserve"> בצירוף </w:t>
      </w:r>
      <w:hyperlink r:id="rId21" w:history="1">
        <w:r w:rsidR="008A0647" w:rsidRPr="008A0647">
          <w:rPr>
            <w:rFonts w:ascii="FrankRuehl" w:hAnsi="FrankRuehl" w:cs="FrankRuehl"/>
            <w:color w:val="0000FF"/>
            <w:sz w:val="28"/>
            <w:szCs w:val="28"/>
            <w:u w:val="single"/>
            <w:rtl/>
          </w:rPr>
          <w:t>סעיף 25</w:t>
        </w:r>
      </w:hyperlink>
      <w:r>
        <w:rPr>
          <w:rFonts w:ascii="FrankRuehl" w:hAnsi="FrankRuehl" w:cs="FrankRuehl" w:hint="cs"/>
          <w:sz w:val="28"/>
          <w:szCs w:val="28"/>
          <w:rtl/>
        </w:rPr>
        <w:t xml:space="preserve"> ובצירוף </w:t>
      </w:r>
      <w:hyperlink r:id="rId22" w:history="1">
        <w:r w:rsidR="008A0647" w:rsidRPr="008A0647">
          <w:rPr>
            <w:rFonts w:ascii="FrankRuehl" w:hAnsi="FrankRuehl" w:cs="FrankRuehl"/>
            <w:color w:val="0000FF"/>
            <w:sz w:val="28"/>
            <w:szCs w:val="28"/>
            <w:u w:val="single"/>
            <w:rtl/>
          </w:rPr>
          <w:t>סעיף 31</w:t>
        </w:r>
      </w:hyperlink>
      <w:r>
        <w:rPr>
          <w:rFonts w:ascii="FrankRuehl" w:hAnsi="FrankRuehl" w:cs="FrankRuehl" w:hint="cs"/>
          <w:sz w:val="28"/>
          <w:szCs w:val="28"/>
          <w:rtl/>
        </w:rPr>
        <w:t xml:space="preserve"> לחוק, ובגין עבירת נשיאה והובלת נשק לפי </w:t>
      </w:r>
      <w:hyperlink r:id="rId23" w:history="1">
        <w:r w:rsidR="008A0647" w:rsidRPr="008A0647">
          <w:rPr>
            <w:rFonts w:ascii="FrankRuehl" w:hAnsi="FrankRuehl" w:cs="FrankRuehl"/>
            <w:color w:val="0000FF"/>
            <w:sz w:val="28"/>
            <w:szCs w:val="28"/>
            <w:u w:val="single"/>
            <w:rtl/>
          </w:rPr>
          <w:t>סעיף 144(ב)</w:t>
        </w:r>
      </w:hyperlink>
      <w:r>
        <w:rPr>
          <w:rFonts w:ascii="FrankRuehl" w:hAnsi="FrankRuehl" w:cs="FrankRuehl" w:hint="cs"/>
          <w:sz w:val="28"/>
          <w:szCs w:val="28"/>
          <w:rtl/>
        </w:rPr>
        <w:t xml:space="preserve"> לחוק.</w:t>
      </w:r>
    </w:p>
    <w:p w14:paraId="37C0B3D4" w14:textId="77777777" w:rsidR="00573C4B" w:rsidRDefault="00573C4B" w:rsidP="00573C4B">
      <w:pPr>
        <w:spacing w:line="360" w:lineRule="auto"/>
        <w:jc w:val="both"/>
        <w:rPr>
          <w:rFonts w:ascii="FrankRuehl" w:hAnsi="FrankRuehl" w:cs="FrankRuehl"/>
          <w:sz w:val="28"/>
          <w:szCs w:val="28"/>
          <w:rtl/>
        </w:rPr>
      </w:pPr>
    </w:p>
    <w:p w14:paraId="76BF9212" w14:textId="77777777" w:rsidR="00573C4B" w:rsidRPr="00573C4B" w:rsidRDefault="00573C4B" w:rsidP="00573C4B">
      <w:pPr>
        <w:spacing w:line="360" w:lineRule="auto"/>
        <w:jc w:val="both"/>
        <w:rPr>
          <w:rFonts w:ascii="Calibri" w:hAnsi="Calibri" w:cs="FrankRuehl"/>
          <w:sz w:val="28"/>
          <w:szCs w:val="28"/>
          <w:rtl/>
        </w:rPr>
      </w:pPr>
      <w:r>
        <w:rPr>
          <w:rFonts w:ascii="FrankRuehl" w:hAnsi="FrankRuehl" w:cs="FrankRuehl" w:hint="cs"/>
          <w:sz w:val="28"/>
          <w:szCs w:val="28"/>
          <w:rtl/>
        </w:rPr>
        <w:t>2.</w:t>
      </w:r>
      <w:r>
        <w:rPr>
          <w:rFonts w:ascii="FrankRuehl" w:hAnsi="FrankRuehl" w:cs="FrankRuehl" w:hint="cs"/>
          <w:sz w:val="28"/>
          <w:szCs w:val="28"/>
          <w:rtl/>
        </w:rPr>
        <w:tab/>
        <w:t xml:space="preserve">על פי עובדות האישום הראשון שבכתב האישום המתוקן, </w:t>
      </w:r>
      <w:r>
        <w:rPr>
          <w:rFonts w:cs="FrankRuehl" w:hint="cs"/>
          <w:sz w:val="28"/>
          <w:szCs w:val="28"/>
          <w:rtl/>
        </w:rPr>
        <w:t xml:space="preserve">בחודש אפריל 2017, פנה סוכן משטרתי סמוי, שבינו לבין נאשמים 1 ו-2 היכרות רבת שנים (להלן: הסוכן), אל נאשם 1 והתעניין ברכישת אקדח. נאשם 1 השיב כי יבדוק את העניין. לקראת סוף חודש אפריל 2017 פנה נאשם 1 </w:t>
      </w:r>
    </w:p>
    <w:p w14:paraId="2E53B660" w14:textId="77777777" w:rsidR="00573C4B" w:rsidRDefault="00573C4B" w:rsidP="00573C4B">
      <w:pPr>
        <w:pStyle w:val="David"/>
        <w:ind w:left="-58"/>
        <w:rPr>
          <w:rFonts w:cs="FrankRuehl"/>
          <w:sz w:val="28"/>
          <w:szCs w:val="28"/>
        </w:rPr>
      </w:pPr>
      <w:r>
        <w:rPr>
          <w:rFonts w:cs="FrankRuehl" w:hint="cs"/>
          <w:sz w:val="28"/>
          <w:szCs w:val="28"/>
          <w:rtl/>
        </w:rPr>
        <w:t xml:space="preserve">אל הסוכן והציע לו להצטרף אליו לנסיעה לרמאללה, שם פגשו השניים את מוחמד אבו סוהייב (להלן: מוחמד), אשר הציג בפניהם רובה מסוג </w:t>
      </w:r>
      <w:r>
        <w:rPr>
          <w:rFonts w:cs="FrankRuehl"/>
          <w:sz w:val="28"/>
          <w:szCs w:val="28"/>
        </w:rPr>
        <w:t>M16</w:t>
      </w:r>
      <w:r>
        <w:rPr>
          <w:rFonts w:cs="FrankRuehl" w:hint="cs"/>
          <w:sz w:val="28"/>
          <w:szCs w:val="28"/>
          <w:rtl/>
        </w:rPr>
        <w:t xml:space="preserve"> ואקדח מסוג "גלוק", שאותם הציע למכירה. מוחמד ציין כי מחיר ה"גלוק" 30,000 ₪. בהמשך לכך פגשו הסוכן ונאשם 1 פעם נוספת את מוחמד, שהציג בפניהם תצלומי כלי נשק המוצעים גם הם למכירה. בסופו של דבר, לא יצאה העסקה עם מוחמד אל הפועל. </w:t>
      </w:r>
    </w:p>
    <w:p w14:paraId="5C8841D6" w14:textId="77777777" w:rsidR="00573C4B" w:rsidRDefault="00573C4B" w:rsidP="00573C4B">
      <w:pPr>
        <w:pStyle w:val="David"/>
        <w:ind w:left="720" w:hanging="720"/>
        <w:rPr>
          <w:rFonts w:cs="FrankRuehl"/>
          <w:sz w:val="28"/>
          <w:szCs w:val="28"/>
          <w:rtl/>
        </w:rPr>
      </w:pPr>
    </w:p>
    <w:p w14:paraId="72529B16" w14:textId="77777777" w:rsidR="00573C4B" w:rsidRDefault="00573C4B" w:rsidP="00573C4B">
      <w:pPr>
        <w:pStyle w:val="David"/>
        <w:ind w:firstLine="720"/>
        <w:rPr>
          <w:rFonts w:cs="FrankRuehl"/>
          <w:sz w:val="28"/>
          <w:szCs w:val="28"/>
          <w:rtl/>
        </w:rPr>
      </w:pPr>
      <w:bookmarkStart w:id="7" w:name="ABSTRACT_END"/>
      <w:bookmarkEnd w:id="7"/>
      <w:r>
        <w:rPr>
          <w:rFonts w:cs="FrankRuehl" w:hint="cs"/>
          <w:sz w:val="28"/>
          <w:szCs w:val="28"/>
          <w:rtl/>
        </w:rPr>
        <w:t>ביום 4.5.17 טלפן נאשם 1 לנאשם 2 ומסר לו כי הוא מחפש אקדח למכירה עבור לקוח. נאשם 2 הסכים להשתתף בעסקה האמורה, ולשם כך פנה לאדם נוסף (להלן: "</w:t>
      </w:r>
      <w:r>
        <w:rPr>
          <w:rFonts w:cs="FrankRuehl" w:hint="cs"/>
          <w:b/>
          <w:bCs/>
          <w:sz w:val="28"/>
          <w:szCs w:val="28"/>
          <w:rtl/>
        </w:rPr>
        <w:t>האחר</w:t>
      </w:r>
      <w:r>
        <w:rPr>
          <w:rFonts w:cs="FrankRuehl" w:hint="cs"/>
          <w:sz w:val="28"/>
          <w:szCs w:val="28"/>
          <w:rtl/>
        </w:rPr>
        <w:t xml:space="preserve">") ועדכן אותו כי נאשם 1 מוכן לרכוש אקדח במחיר של 20,000 ₪. בהמשך לכך, הודיע נאשם 1 לסוכן כי איתר עבורו אקדח לרכישה, והציע לסוכן לראותו. על פי תיאום מראש נפגשו הסוכן ונאשמים 1 ו-2 בכניסה למחנה הפליטים קלנדיה שבירושלים. בהגיעם לקלנדיה נכנס נאשם 2 לביתו, וחזר ממנו כשברשותו אקדח. נאשם 2 מסר את האקדח לסוכן, אשר בדק אותו בירי של מספר כדורים. בין הסוכן לבין נאשם 2 סוכם כי האקדח יימכר תמורת 21,000 ₪. הסוכן אמר כי יבדוק עם הרוכש מטעמו את המחיר וימסור לנאשם 2 תשובה סופית בעניין. לאחר שעזבו את המקום ביקש נאשם 1 מהסוכן סך של 3,000 ₪ עבור תיווכו בעסקה. </w:t>
      </w:r>
    </w:p>
    <w:p w14:paraId="66148DDB" w14:textId="77777777" w:rsidR="00573C4B" w:rsidRDefault="00573C4B" w:rsidP="00573C4B">
      <w:pPr>
        <w:pStyle w:val="David"/>
        <w:ind w:left="720" w:hanging="720"/>
        <w:rPr>
          <w:rFonts w:cs="FrankRuehl"/>
          <w:sz w:val="28"/>
          <w:szCs w:val="28"/>
          <w:rtl/>
        </w:rPr>
      </w:pPr>
    </w:p>
    <w:p w14:paraId="3D92F5EE" w14:textId="77777777" w:rsidR="00573C4B" w:rsidRDefault="00573C4B" w:rsidP="00573C4B">
      <w:pPr>
        <w:pStyle w:val="David"/>
        <w:rPr>
          <w:rFonts w:cs="FrankRuehl"/>
          <w:sz w:val="28"/>
          <w:szCs w:val="28"/>
          <w:rtl/>
        </w:rPr>
      </w:pPr>
      <w:r>
        <w:rPr>
          <w:rFonts w:cs="FrankRuehl" w:hint="cs"/>
          <w:sz w:val="28"/>
          <w:szCs w:val="28"/>
          <w:rtl/>
        </w:rPr>
        <w:tab/>
        <w:t xml:space="preserve">ביום 8.5.17 נפגש הסוכן עם נאשמים 1 ו-2. הסוכן שילם לנאשם 1 סך של 3,000 ₪ עבור חלקו בעסקה. </w:t>
      </w:r>
    </w:p>
    <w:p w14:paraId="49F19077" w14:textId="77777777" w:rsidR="00573C4B" w:rsidRDefault="00573C4B" w:rsidP="00573C4B">
      <w:pPr>
        <w:pStyle w:val="David"/>
        <w:rPr>
          <w:rFonts w:cs="FrankRuehl"/>
          <w:sz w:val="28"/>
          <w:szCs w:val="28"/>
          <w:rtl/>
        </w:rPr>
      </w:pPr>
    </w:p>
    <w:p w14:paraId="533FF960" w14:textId="77777777" w:rsidR="00573C4B" w:rsidRDefault="00573C4B" w:rsidP="00573C4B">
      <w:pPr>
        <w:pStyle w:val="David"/>
        <w:ind w:firstLine="720"/>
        <w:rPr>
          <w:rFonts w:cs="FrankRuehl"/>
          <w:sz w:val="28"/>
          <w:szCs w:val="28"/>
          <w:rtl/>
        </w:rPr>
      </w:pPr>
      <w:r>
        <w:rPr>
          <w:rFonts w:cs="FrankRuehl" w:hint="cs"/>
          <w:sz w:val="28"/>
          <w:szCs w:val="28"/>
          <w:rtl/>
        </w:rPr>
        <w:t xml:space="preserve">בהגיעם לקלנדיה, ירד נאשם 2 מביתו כשהוא נושא על גופו אקדח חצי אוטומטי מסוג </w:t>
      </w:r>
      <w:r>
        <w:rPr>
          <w:rFonts w:cs="FrankRuehl"/>
          <w:sz w:val="28"/>
          <w:szCs w:val="28"/>
        </w:rPr>
        <w:t xml:space="preserve">FN </w:t>
      </w:r>
      <w:r>
        <w:rPr>
          <w:rFonts w:cs="FrankRuehl" w:hint="cs"/>
          <w:sz w:val="28"/>
          <w:szCs w:val="28"/>
          <w:rtl/>
        </w:rPr>
        <w:t xml:space="preserve"> קליבר 9 מ"מ על גופו, ועלה למכוניתו של הסוכן. השלושה נסעו לחורשה סמוכה, שם מסר נאשם 2 את האקדח לידי הסוכן, אשר בדק את תקינותו בירי של מספר כדורים. נאשם 2 מסר לסוכן את האקדח האמור, וקיבל מידיו את תמורתו בסך 20,000 ₪. בכך נשלמה העסקה.</w:t>
      </w:r>
    </w:p>
    <w:p w14:paraId="584EB10A" w14:textId="77777777" w:rsidR="00573C4B" w:rsidRDefault="00573C4B" w:rsidP="00573C4B">
      <w:pPr>
        <w:pStyle w:val="David"/>
        <w:rPr>
          <w:rFonts w:cs="FrankRuehl"/>
          <w:sz w:val="28"/>
          <w:szCs w:val="28"/>
          <w:rtl/>
        </w:rPr>
      </w:pPr>
    </w:p>
    <w:p w14:paraId="5DEAAC51" w14:textId="77777777" w:rsidR="00573C4B" w:rsidRDefault="00573C4B" w:rsidP="00573C4B">
      <w:pPr>
        <w:pStyle w:val="David"/>
        <w:rPr>
          <w:rFonts w:cs="FrankRuehl"/>
          <w:sz w:val="28"/>
          <w:szCs w:val="28"/>
          <w:rtl/>
        </w:rPr>
      </w:pPr>
      <w:r>
        <w:rPr>
          <w:rFonts w:cs="FrankRuehl" w:hint="cs"/>
          <w:sz w:val="28"/>
          <w:szCs w:val="28"/>
          <w:rtl/>
        </w:rPr>
        <w:t>3.</w:t>
      </w:r>
      <w:r>
        <w:rPr>
          <w:rFonts w:cs="FrankRuehl" w:hint="cs"/>
          <w:sz w:val="28"/>
          <w:szCs w:val="28"/>
          <w:rtl/>
        </w:rPr>
        <w:tab/>
        <w:t xml:space="preserve">על פי עובדות האישום השני בכתב האישום המתוקן, על רקע האמור באישום הראשון, בחודש ינואר 2018 פגש הסוכן את נאשם 1. במהלך המפגש, הראה נאשם 1 לסוכן תמונה של נשק מסוג </w:t>
      </w:r>
      <w:r>
        <w:rPr>
          <w:rFonts w:cs="FrankRuehl"/>
          <w:sz w:val="28"/>
          <w:szCs w:val="28"/>
        </w:rPr>
        <w:t>M-16</w:t>
      </w:r>
      <w:r>
        <w:rPr>
          <w:rFonts w:cs="FrankRuehl" w:hint="cs"/>
          <w:sz w:val="28"/>
          <w:szCs w:val="28"/>
          <w:rtl/>
        </w:rPr>
        <w:t xml:space="preserve"> ושאל אותו האם הוא מעוניין בו. הסוכן אמר כי יבדוק אם יש לקוח המעוניין בנשק, וכאשר חזר עם תשובה חיובית, אמר לו נאשם 1 כי הוא עסוק בימים אלו, ומשכך מסר לסוכן את מספר הטלפון של נאשם 2, לצורך התקשרות ישירה אמו. </w:t>
      </w:r>
    </w:p>
    <w:p w14:paraId="0EE1778B" w14:textId="77777777" w:rsidR="00573C4B" w:rsidRDefault="00573C4B" w:rsidP="00573C4B">
      <w:pPr>
        <w:pStyle w:val="David"/>
        <w:rPr>
          <w:rFonts w:cs="FrankRuehl"/>
          <w:sz w:val="28"/>
          <w:szCs w:val="28"/>
          <w:rtl/>
        </w:rPr>
      </w:pPr>
    </w:p>
    <w:p w14:paraId="7AB3DA59" w14:textId="77777777" w:rsidR="00573C4B" w:rsidRDefault="00573C4B" w:rsidP="00573C4B">
      <w:pPr>
        <w:pStyle w:val="David"/>
        <w:ind w:firstLine="720"/>
        <w:rPr>
          <w:rFonts w:cs="FrankRuehl"/>
          <w:sz w:val="28"/>
          <w:szCs w:val="28"/>
          <w:rtl/>
        </w:rPr>
      </w:pPr>
      <w:r>
        <w:rPr>
          <w:rFonts w:cs="FrankRuehl" w:hint="cs"/>
          <w:sz w:val="28"/>
          <w:szCs w:val="28"/>
          <w:rtl/>
        </w:rPr>
        <w:t xml:space="preserve">בעקבות זאת יצר הסוכן קשר עם נאשם 2, ובמפגש ביניהם נאשם 2 הציג לו רובה מסוג </w:t>
      </w:r>
      <w:r>
        <w:rPr>
          <w:rFonts w:cs="FrankRuehl"/>
          <w:sz w:val="28"/>
          <w:szCs w:val="28"/>
        </w:rPr>
        <w:t>M-16</w:t>
      </w:r>
      <w:r>
        <w:rPr>
          <w:rFonts w:cs="FrankRuehl" w:hint="cs"/>
          <w:sz w:val="28"/>
          <w:szCs w:val="28"/>
          <w:rtl/>
        </w:rPr>
        <w:t xml:space="preserve">, ומסר לו כי מחירו 42,000. משהודיע הסוכן למחרת היום כי הלקוח שלו מעוניין בעסקה, הסכימו השניים להיפגש כדי להוציא את העסקה אל הפועל. מיד לאחר מכן התקשר נאשם 2 לאדם נוסף שהיה מעורב בעסקה (להלן: האחר), וזה הורה לו לדחות את הפגישה ולחסום את מספר הטלפון של הסוכן. זמן מה לאחר מכן טלפן האחר לסוכן ומסר לו כי המחיר שנקב בו נאשם 2 אינו נכון, וכי מחיר הנשק הוא 43,000 ₪. מספר דקות לאחר מכן שב הסוכן וחייג לאחר, ונתן את הסכמתו לביצוע העסקה במחיר האמור. </w:t>
      </w:r>
    </w:p>
    <w:p w14:paraId="60CC73C7" w14:textId="77777777" w:rsidR="00573C4B" w:rsidRDefault="00573C4B" w:rsidP="00573C4B">
      <w:pPr>
        <w:pStyle w:val="David"/>
        <w:ind w:firstLine="720"/>
        <w:rPr>
          <w:rFonts w:cs="FrankRuehl"/>
          <w:sz w:val="28"/>
          <w:szCs w:val="28"/>
          <w:rtl/>
        </w:rPr>
      </w:pPr>
    </w:p>
    <w:p w14:paraId="1E82856B" w14:textId="77777777" w:rsidR="00573C4B" w:rsidRDefault="00573C4B" w:rsidP="00573C4B">
      <w:pPr>
        <w:pStyle w:val="David"/>
        <w:ind w:firstLine="720"/>
        <w:rPr>
          <w:rFonts w:cs="FrankRuehl"/>
          <w:sz w:val="28"/>
          <w:szCs w:val="28"/>
          <w:rtl/>
        </w:rPr>
      </w:pPr>
      <w:r>
        <w:rPr>
          <w:rFonts w:cs="FrankRuehl" w:hint="cs"/>
          <w:sz w:val="28"/>
          <w:szCs w:val="28"/>
          <w:rtl/>
        </w:rPr>
        <w:t xml:space="preserve">בהמשך לכך הורה האחר לסוכן להגיע לקלנדיה. ביום 18.1.2018 סמוך לשעה 19:00 הגיע הסוכן לקלנדיה שם פגש בנאשם 3, שהגיע למקום ביחד עם אדם נוסף, והורה לסוכן לנסוע אחריו למקום סמוך. נאשם 3 עלה למכוניתו של הסוכן וביקש לספור את הכסף. משביקש הסוכן לראות את הנשק יצא נאשם 3 מהמכונית, ושב אליה כשהנשק ברשותו. לבקשת הסוכן נאשם 3 בדק את הנשק בירי. לאחר ירי של מספר כדורים, הסביר נאשם 3 לסוכן כי קיימת תקלה בנשק, ולאחר שניסה לתקן את התקלה והדבר לא עלה בידו, מסר לו כי יחליף את קנה הרובה, ולמחרת הנשק יהיה מוכן. בסמוך לשעה 21:40 עדכן האחר את הסוכן כי הנשק יהיה תקין רק למחרת. בהמשך לכך שוחח הסוכן פעם נוספת עם האחר והודיע לו כי בשל התקלה בנשק, הוא אינו מעוניין עוד בביצוע העסקה. </w:t>
      </w:r>
    </w:p>
    <w:p w14:paraId="10451179" w14:textId="77777777" w:rsidR="00573C4B" w:rsidRDefault="00573C4B" w:rsidP="00573C4B">
      <w:pPr>
        <w:pStyle w:val="David"/>
        <w:rPr>
          <w:rFonts w:cs="FrankRuehl"/>
          <w:sz w:val="28"/>
          <w:szCs w:val="28"/>
          <w:rtl/>
        </w:rPr>
      </w:pPr>
    </w:p>
    <w:p w14:paraId="44BBF9E4" w14:textId="77777777" w:rsidR="00573C4B" w:rsidRDefault="00573C4B" w:rsidP="00573C4B">
      <w:pPr>
        <w:pStyle w:val="David"/>
        <w:rPr>
          <w:rFonts w:cs="FrankRuehl"/>
          <w:sz w:val="28"/>
          <w:szCs w:val="28"/>
          <w:rtl/>
        </w:rPr>
      </w:pPr>
      <w:r>
        <w:rPr>
          <w:rFonts w:cs="FrankRuehl" w:hint="cs"/>
          <w:sz w:val="28"/>
          <w:szCs w:val="28"/>
          <w:rtl/>
        </w:rPr>
        <w:t>4.</w:t>
      </w:r>
      <w:r>
        <w:rPr>
          <w:rFonts w:cs="FrankRuehl" w:hint="cs"/>
          <w:sz w:val="28"/>
          <w:szCs w:val="28"/>
          <w:rtl/>
        </w:rPr>
        <w:tab/>
        <w:t>הסדר הטיעון לא כלל הסכמה לעונש.</w:t>
      </w:r>
    </w:p>
    <w:p w14:paraId="7A6E7CBC" w14:textId="77777777" w:rsidR="00573C4B" w:rsidRDefault="00573C4B" w:rsidP="00573C4B">
      <w:pPr>
        <w:pStyle w:val="David"/>
        <w:rPr>
          <w:rFonts w:cs="FrankRuehl"/>
          <w:sz w:val="28"/>
          <w:szCs w:val="28"/>
          <w:rtl/>
        </w:rPr>
      </w:pPr>
    </w:p>
    <w:p w14:paraId="7BB4417D" w14:textId="77777777" w:rsidR="00573C4B" w:rsidRDefault="00573C4B" w:rsidP="00573C4B">
      <w:pPr>
        <w:pStyle w:val="David"/>
        <w:rPr>
          <w:rFonts w:cs="FrankRuehl"/>
          <w:sz w:val="28"/>
          <w:szCs w:val="28"/>
          <w:rtl/>
        </w:rPr>
      </w:pPr>
    </w:p>
    <w:p w14:paraId="4D4148BA" w14:textId="77777777" w:rsidR="00573C4B" w:rsidRDefault="00573C4B" w:rsidP="00573C4B">
      <w:pPr>
        <w:pStyle w:val="David"/>
        <w:rPr>
          <w:rFonts w:cs="FrankRuehl"/>
          <w:sz w:val="28"/>
          <w:szCs w:val="28"/>
          <w:rtl/>
        </w:rPr>
      </w:pPr>
    </w:p>
    <w:p w14:paraId="5C8FEC33" w14:textId="77777777" w:rsidR="00573C4B" w:rsidRDefault="00573C4B" w:rsidP="00573C4B">
      <w:pPr>
        <w:spacing w:line="360" w:lineRule="auto"/>
        <w:jc w:val="both"/>
        <w:rPr>
          <w:rFonts w:ascii="FrankRuehl" w:hAnsi="FrankRuehl" w:cs="FrankRuehl"/>
          <w:sz w:val="28"/>
          <w:szCs w:val="28"/>
          <w:rtl/>
        </w:rPr>
      </w:pPr>
    </w:p>
    <w:p w14:paraId="18653832" w14:textId="77777777" w:rsidR="00573C4B" w:rsidRDefault="00573C4B" w:rsidP="00573C4B">
      <w:pPr>
        <w:spacing w:line="360" w:lineRule="auto"/>
        <w:jc w:val="both"/>
        <w:rPr>
          <w:rFonts w:ascii="Miriam" w:hAnsi="Miriam" w:cs="Miriam"/>
          <w:rtl/>
        </w:rPr>
      </w:pPr>
      <w:r>
        <w:rPr>
          <w:rFonts w:ascii="Miriam" w:hAnsi="Miriam" w:cs="Miriam" w:hint="cs"/>
          <w:rtl/>
        </w:rPr>
        <w:t>הראיות לעונש</w:t>
      </w:r>
    </w:p>
    <w:p w14:paraId="7E299D91" w14:textId="77777777" w:rsidR="00573C4B" w:rsidRDefault="00573C4B" w:rsidP="00573C4B">
      <w:pPr>
        <w:spacing w:line="360" w:lineRule="auto"/>
        <w:jc w:val="both"/>
        <w:rPr>
          <w:rFonts w:ascii="Miriam" w:hAnsi="Miriam" w:cs="Miriam"/>
          <w:rtl/>
        </w:rPr>
      </w:pPr>
    </w:p>
    <w:p w14:paraId="1D8EC7DA"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t>המאשימה הגישה גיליון הרשעות קודמות של נאשם 1, וממנו עולה כי בשנת 2016 הורשע בעבירה של התפרצות לבית מגורים וקשירת קשר לפשע, ונדון בין היתר לארבעה חודשי מאסר לריצוי בעבודות שירות.</w:t>
      </w:r>
    </w:p>
    <w:p w14:paraId="0995B98F" w14:textId="77777777" w:rsidR="00573C4B" w:rsidRDefault="00573C4B" w:rsidP="00573C4B">
      <w:pPr>
        <w:spacing w:line="360" w:lineRule="auto"/>
        <w:jc w:val="both"/>
        <w:rPr>
          <w:rFonts w:ascii="FrankRuehl" w:hAnsi="FrankRuehl" w:cs="FrankRuehl"/>
          <w:sz w:val="28"/>
          <w:szCs w:val="28"/>
          <w:rtl/>
        </w:rPr>
      </w:pPr>
    </w:p>
    <w:p w14:paraId="4FFC61BD"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הנאשמים לא ביקשו להורות על הגשת תסקירי קצין מבחן בעניינם.</w:t>
      </w:r>
    </w:p>
    <w:p w14:paraId="203E71BE" w14:textId="77777777" w:rsidR="00573C4B" w:rsidRDefault="00573C4B" w:rsidP="00573C4B">
      <w:pPr>
        <w:spacing w:line="360" w:lineRule="auto"/>
        <w:jc w:val="both"/>
        <w:rPr>
          <w:rFonts w:ascii="FrankRuehl" w:hAnsi="FrankRuehl" w:cs="FrankRuehl"/>
          <w:sz w:val="28"/>
          <w:szCs w:val="28"/>
          <w:rtl/>
        </w:rPr>
      </w:pPr>
    </w:p>
    <w:p w14:paraId="169E56F3" w14:textId="77777777" w:rsidR="00573C4B" w:rsidRDefault="00573C4B" w:rsidP="00573C4B">
      <w:pPr>
        <w:spacing w:line="360" w:lineRule="auto"/>
        <w:jc w:val="both"/>
        <w:rPr>
          <w:rFonts w:ascii="Miriam" w:hAnsi="Miriam" w:cs="Miriam"/>
          <w:rtl/>
        </w:rPr>
      </w:pPr>
      <w:r>
        <w:rPr>
          <w:rFonts w:ascii="Miriam" w:hAnsi="Miriam" w:cs="Miriam" w:hint="cs"/>
          <w:rtl/>
        </w:rPr>
        <w:t>טיעוני הצדדים</w:t>
      </w:r>
    </w:p>
    <w:p w14:paraId="537A6259" w14:textId="77777777" w:rsidR="00573C4B" w:rsidRDefault="00573C4B" w:rsidP="00573C4B">
      <w:pPr>
        <w:spacing w:line="360" w:lineRule="auto"/>
        <w:jc w:val="both"/>
        <w:rPr>
          <w:rFonts w:ascii="Miriam" w:hAnsi="Miriam" w:cs="Miriam"/>
          <w:rtl/>
        </w:rPr>
      </w:pPr>
    </w:p>
    <w:p w14:paraId="191BC168"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t xml:space="preserve">המאשימה טוענת כי חלקו של נאשם 1 באירוע המתואר באישום הראשון מרכזי, שהרי הוא שימש בעסקה כ"מעין מתווך", ובפועל "חולל" את העבירה. </w:t>
      </w:r>
    </w:p>
    <w:p w14:paraId="58D77AC9" w14:textId="77777777" w:rsidR="00573C4B" w:rsidRDefault="00573C4B" w:rsidP="00573C4B">
      <w:pPr>
        <w:spacing w:line="360" w:lineRule="auto"/>
        <w:jc w:val="both"/>
        <w:rPr>
          <w:rFonts w:ascii="FrankRuehl" w:hAnsi="FrankRuehl" w:cs="FrankRuehl"/>
          <w:sz w:val="28"/>
          <w:szCs w:val="28"/>
          <w:rtl/>
        </w:rPr>
      </w:pPr>
    </w:p>
    <w:p w14:paraId="5D8E6036"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באשר לנאשם 2 – עומדת המאשימה על כך שבאירוע המתואר באישום הראשון נאשם 2 הוא שמכר בפועל את האקדח ואת התחמושת; הוא שנשא את האקדח לביתו והחזיק בו בביתו; והוא שביצע את בדיקת התקינות באקדח, ולשם כך ירה מספר כדורים. באישום השני חלקו קטן יחסית, ואולם הוא השתתף בקשר למכירת הנשק, הציג לפני הסוכן תמונות של כלי נשק וסיכם את פרטי העסקה בין המעורבים בה.</w:t>
      </w:r>
    </w:p>
    <w:p w14:paraId="3A0DE6BD" w14:textId="77777777" w:rsidR="00573C4B" w:rsidRDefault="00573C4B" w:rsidP="00573C4B">
      <w:pPr>
        <w:spacing w:line="360" w:lineRule="auto"/>
        <w:ind w:firstLine="720"/>
        <w:jc w:val="both"/>
        <w:rPr>
          <w:rFonts w:ascii="FrankRuehl" w:hAnsi="FrankRuehl" w:cs="FrankRuehl"/>
          <w:sz w:val="28"/>
          <w:szCs w:val="28"/>
          <w:rtl/>
        </w:rPr>
      </w:pPr>
    </w:p>
    <w:p w14:paraId="4259A273"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באשר לנאשם 3, המעורב באישום השני בלבד - חלקו הינו סיוע למוכר הנשק, ומשכך מעשיו עולים בחומרתם אף על אלה של נאשם 2. המאשימה עומדת על כך שנאשם 2 הוביל את הנשק אל מקום ביצוע העסקה וממנו לאחר שהעסקה לא הושלמה, וכן מדגישה כי נאשם 3 ביצע ירי מהנשק. המאשימה מוסיפה כי הנשק נשוא האישום השני לא אותר, ומשכך פוטנציאל השימוש העברייני בו עדיין קיים.</w:t>
      </w:r>
    </w:p>
    <w:p w14:paraId="03B9DBB0" w14:textId="77777777" w:rsidR="00573C4B" w:rsidRDefault="00573C4B" w:rsidP="00573C4B">
      <w:pPr>
        <w:spacing w:line="360" w:lineRule="auto"/>
        <w:ind w:firstLine="720"/>
        <w:jc w:val="both"/>
        <w:rPr>
          <w:rFonts w:ascii="FrankRuehl" w:hAnsi="FrankRuehl" w:cs="FrankRuehl"/>
          <w:sz w:val="28"/>
          <w:szCs w:val="28"/>
          <w:rtl/>
        </w:rPr>
      </w:pPr>
    </w:p>
    <w:p w14:paraId="0C2DB479"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נוכח האמור לעיל עותרת המאשימה לקביעת מתחם עונש הולם למעשיו של נאשם 1 לתקופת מאסר שבין שלוש לבין שש שנות מאסר; למעשיו של נאשם 2 לתקופת מאסר שבין ארבע לבין שבע שנות מאסר; ולמעשיו של נאשם 3 לתקופת מאסר שבין שנתיים וחצי לבין שלוש שנות מאסר. את עונשם של נאשמים 2 ו-3 מבקשת המאשימה לקבוע בחלקו התחתון של המתחם; ואילו את עונשו של נאשם 1 בשליש הראשון של המתחם.</w:t>
      </w:r>
    </w:p>
    <w:p w14:paraId="50714F03" w14:textId="77777777" w:rsidR="00573C4B" w:rsidRDefault="00573C4B" w:rsidP="00573C4B">
      <w:pPr>
        <w:spacing w:line="360" w:lineRule="auto"/>
        <w:jc w:val="both"/>
        <w:rPr>
          <w:rFonts w:ascii="FrankRuehl" w:hAnsi="FrankRuehl" w:cs="FrankRuehl"/>
          <w:sz w:val="28"/>
          <w:szCs w:val="28"/>
          <w:rtl/>
        </w:rPr>
      </w:pPr>
    </w:p>
    <w:p w14:paraId="25F103C1"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7.</w:t>
      </w:r>
      <w:r>
        <w:rPr>
          <w:rFonts w:ascii="FrankRuehl" w:hAnsi="FrankRuehl" w:cs="FrankRuehl" w:hint="cs"/>
          <w:sz w:val="28"/>
          <w:szCs w:val="28"/>
          <w:rtl/>
        </w:rPr>
        <w:tab/>
        <w:t xml:space="preserve">ב"כ נאשם 1  טען כי בחירת סעיף העבירה בנוגע למרשו בנוגע לאישום הראשון נבעה מכך שאין בעבירות נשק עבירה של "עסקה אחרת", ומשכך נאלצה המאשימה לבחור בסעיף אישום של סחר בנשק בעניינו, אף שיש לראות בו מתווך. </w:t>
      </w:r>
    </w:p>
    <w:p w14:paraId="2A29B88A" w14:textId="77777777" w:rsidR="00573C4B" w:rsidRDefault="00573C4B" w:rsidP="00573C4B">
      <w:pPr>
        <w:spacing w:line="360" w:lineRule="auto"/>
        <w:jc w:val="both"/>
        <w:rPr>
          <w:rFonts w:ascii="FrankRuehl" w:hAnsi="FrankRuehl" w:cs="FrankRuehl"/>
          <w:sz w:val="28"/>
          <w:szCs w:val="28"/>
          <w:rtl/>
        </w:rPr>
      </w:pPr>
    </w:p>
    <w:p w14:paraId="1D994D2B"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ab/>
        <w:t>ב"כ נאשם 1 הדגיש את העובדה כי בין נאשם 1 לבין הסוכן קשרי חברות של עשרות שנים, וכי בין הסוכן לנאשם 2 הכרות עצמאית שלא באמצעות נאשם 1.</w:t>
      </w:r>
    </w:p>
    <w:p w14:paraId="1D322598" w14:textId="77777777" w:rsidR="00573C4B" w:rsidRDefault="00573C4B" w:rsidP="00573C4B">
      <w:pPr>
        <w:spacing w:line="360" w:lineRule="auto"/>
        <w:jc w:val="both"/>
        <w:rPr>
          <w:rFonts w:ascii="FrankRuehl" w:hAnsi="FrankRuehl" w:cs="FrankRuehl"/>
          <w:sz w:val="28"/>
          <w:szCs w:val="28"/>
          <w:rtl/>
        </w:rPr>
      </w:pPr>
    </w:p>
    <w:p w14:paraId="27D8E9D3"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ab/>
        <w:t>ב"כ נאשם 1 הוסיף וטען כי באישום השני מעורבותו של מרשו מעטה, וכי נכון להבחין בין חלקיהם של המעורבים כמידת חלקם באירוע.</w:t>
      </w:r>
    </w:p>
    <w:p w14:paraId="478F0092" w14:textId="77777777" w:rsidR="00573C4B" w:rsidRDefault="00573C4B" w:rsidP="00573C4B">
      <w:pPr>
        <w:spacing w:line="360" w:lineRule="auto"/>
        <w:jc w:val="both"/>
        <w:rPr>
          <w:rFonts w:ascii="FrankRuehl" w:hAnsi="FrankRuehl" w:cs="FrankRuehl"/>
          <w:sz w:val="28"/>
          <w:szCs w:val="28"/>
          <w:rtl/>
        </w:rPr>
      </w:pPr>
    </w:p>
    <w:p w14:paraId="5415AE5D"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8.</w:t>
      </w:r>
      <w:r>
        <w:rPr>
          <w:rFonts w:ascii="FrankRuehl" w:hAnsi="FrankRuehl" w:cs="FrankRuehl" w:hint="cs"/>
          <w:sz w:val="28"/>
          <w:szCs w:val="28"/>
          <w:rtl/>
        </w:rPr>
        <w:tab/>
        <w:t>ב"כ נאשמים 2 ו-3 טען כי בצדק טענה המאשימה לקביעת מתחם אחד לשתי עסקאות המבוצעות עם סוכן אחד, דבר המצדיק התייחסות לשני האירועים כמקשה אחת.</w:t>
      </w:r>
    </w:p>
    <w:p w14:paraId="5ECF1102" w14:textId="77777777" w:rsidR="00573C4B" w:rsidRDefault="00573C4B" w:rsidP="00573C4B">
      <w:pPr>
        <w:spacing w:line="360" w:lineRule="auto"/>
        <w:jc w:val="both"/>
        <w:rPr>
          <w:rFonts w:ascii="FrankRuehl" w:hAnsi="FrankRuehl" w:cs="FrankRuehl"/>
          <w:sz w:val="28"/>
          <w:szCs w:val="28"/>
          <w:rtl/>
        </w:rPr>
      </w:pPr>
    </w:p>
    <w:p w14:paraId="48CC50CB"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ab/>
        <w:t>לטענתו כל המעשים שבהם הורשע נאשם 2 הינם מעשי תיווך. באשר לעבירת נשיאת נשק, יש לראות בה עבירה "הנבלעת" בעבירת הסחר.</w:t>
      </w:r>
    </w:p>
    <w:p w14:paraId="61445822" w14:textId="77777777" w:rsidR="00573C4B" w:rsidRDefault="00573C4B" w:rsidP="00573C4B">
      <w:pPr>
        <w:spacing w:line="360" w:lineRule="auto"/>
        <w:jc w:val="both"/>
        <w:rPr>
          <w:rFonts w:ascii="FrankRuehl" w:hAnsi="FrankRuehl" w:cs="FrankRuehl"/>
          <w:sz w:val="28"/>
          <w:szCs w:val="28"/>
          <w:rtl/>
        </w:rPr>
      </w:pPr>
    </w:p>
    <w:p w14:paraId="15F5E8C5" w14:textId="77777777" w:rsidR="00573C4B" w:rsidRDefault="00573C4B" w:rsidP="00573C4B">
      <w:pPr>
        <w:spacing w:line="360" w:lineRule="auto"/>
        <w:jc w:val="both"/>
        <w:rPr>
          <w:rFonts w:ascii="Miriam" w:hAnsi="Miriam" w:cs="Miriam"/>
          <w:rtl/>
        </w:rPr>
      </w:pPr>
      <w:r>
        <w:rPr>
          <w:rFonts w:ascii="FrankRuehl" w:hAnsi="FrankRuehl" w:cs="FrankRuehl" w:hint="cs"/>
          <w:sz w:val="28"/>
          <w:szCs w:val="28"/>
          <w:rtl/>
        </w:rPr>
        <w:tab/>
        <w:t xml:space="preserve">לטענתו חלקו של נאשם 3 בעסקה נשוא האישום השני מועט - </w:t>
      </w:r>
      <w:r>
        <w:rPr>
          <w:rFonts w:ascii="Miriam" w:hAnsi="Miriam" w:cs="Miriam" w:hint="cs"/>
          <w:rtl/>
        </w:rPr>
        <w:t>"הוא לא מתאם ולא קושר את הקשר ולא עושה כלום והוא בכלל לא היה אמור לפגוש אותו... הסיוע בהשלמת העסקה היא בעצם בהיותו מעין בלדר".</w:t>
      </w:r>
    </w:p>
    <w:p w14:paraId="15EF8DEF" w14:textId="77777777" w:rsidR="00573C4B" w:rsidRDefault="00573C4B" w:rsidP="00573C4B">
      <w:pPr>
        <w:spacing w:line="360" w:lineRule="auto"/>
        <w:jc w:val="both"/>
        <w:rPr>
          <w:rFonts w:ascii="FrankRuehl" w:hAnsi="FrankRuehl" w:cs="FrankRuehl"/>
          <w:sz w:val="28"/>
          <w:szCs w:val="28"/>
          <w:rtl/>
        </w:rPr>
      </w:pPr>
    </w:p>
    <w:p w14:paraId="2224BE6D"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ב"כ נאשמים 2 ו-3 מוסיף וטוען כי</w:t>
      </w:r>
      <w:r>
        <w:rPr>
          <w:rFonts w:ascii="Miriam" w:hAnsi="Miriam" w:cs="Miriam" w:hint="cs"/>
          <w:rtl/>
        </w:rPr>
        <w:t xml:space="preserve"> "נכון שהייתה מגמת החמרה בענישה כזאת אך היא נעצרה בערך בחודש נובמבר השנה", </w:t>
      </w:r>
      <w:r>
        <w:rPr>
          <w:rFonts w:ascii="FrankRuehl" w:hAnsi="FrankRuehl" w:cs="FrankRuehl" w:hint="cs"/>
          <w:sz w:val="28"/>
          <w:szCs w:val="28"/>
          <w:rtl/>
        </w:rPr>
        <w:t>זאת על פי ניתוח גזרי דין שניתנו לאחרונה בבית משפט זה.</w:t>
      </w:r>
    </w:p>
    <w:p w14:paraId="76AA22B4" w14:textId="77777777" w:rsidR="00573C4B" w:rsidRDefault="00573C4B" w:rsidP="00573C4B">
      <w:pPr>
        <w:spacing w:line="360" w:lineRule="auto"/>
        <w:jc w:val="both"/>
        <w:rPr>
          <w:rFonts w:ascii="FrankRuehl" w:hAnsi="FrankRuehl" w:cs="FrankRuehl"/>
          <w:sz w:val="28"/>
          <w:szCs w:val="28"/>
          <w:rtl/>
        </w:rPr>
      </w:pPr>
    </w:p>
    <w:p w14:paraId="78023BB0" w14:textId="77777777" w:rsidR="00573C4B" w:rsidRDefault="00573C4B" w:rsidP="00573C4B">
      <w:pPr>
        <w:spacing w:line="360" w:lineRule="auto"/>
        <w:jc w:val="both"/>
        <w:rPr>
          <w:rFonts w:ascii="FrankRuehl" w:hAnsi="FrankRuehl" w:cs="FrankRuehl"/>
          <w:sz w:val="28"/>
          <w:szCs w:val="28"/>
          <w:rtl/>
        </w:rPr>
      </w:pPr>
    </w:p>
    <w:p w14:paraId="08B8C926" w14:textId="77777777" w:rsidR="00573C4B" w:rsidRDefault="00573C4B" w:rsidP="00573C4B">
      <w:pPr>
        <w:spacing w:line="360" w:lineRule="auto"/>
        <w:jc w:val="both"/>
        <w:rPr>
          <w:rFonts w:ascii="FrankRuehl" w:hAnsi="FrankRuehl" w:cs="FrankRuehl"/>
          <w:sz w:val="28"/>
          <w:szCs w:val="28"/>
          <w:rtl/>
        </w:rPr>
      </w:pPr>
    </w:p>
    <w:p w14:paraId="3409742C" w14:textId="77777777" w:rsidR="00573C4B" w:rsidRDefault="00573C4B" w:rsidP="00573C4B">
      <w:pPr>
        <w:spacing w:line="360" w:lineRule="auto"/>
        <w:jc w:val="both"/>
        <w:rPr>
          <w:rFonts w:ascii="FrankRuehl" w:hAnsi="FrankRuehl" w:cs="FrankRuehl"/>
          <w:sz w:val="28"/>
          <w:szCs w:val="28"/>
          <w:rtl/>
        </w:rPr>
      </w:pPr>
    </w:p>
    <w:p w14:paraId="69BA8CC1" w14:textId="77777777" w:rsidR="00573C4B" w:rsidRDefault="00573C4B" w:rsidP="00573C4B">
      <w:pPr>
        <w:spacing w:line="360" w:lineRule="auto"/>
        <w:jc w:val="both"/>
        <w:rPr>
          <w:rFonts w:ascii="Miriam" w:hAnsi="Miriam" w:cs="Miriam"/>
          <w:rtl/>
        </w:rPr>
      </w:pPr>
      <w:r>
        <w:rPr>
          <w:rFonts w:ascii="Miriam" w:hAnsi="Miriam" w:cs="Miriam" w:hint="cs"/>
          <w:rtl/>
        </w:rPr>
        <w:t>דיון והכרעה</w:t>
      </w:r>
    </w:p>
    <w:p w14:paraId="34B6C0F9" w14:textId="77777777" w:rsidR="00573C4B" w:rsidRDefault="00573C4B" w:rsidP="00573C4B">
      <w:pPr>
        <w:spacing w:line="360" w:lineRule="auto"/>
        <w:jc w:val="both"/>
        <w:rPr>
          <w:rFonts w:ascii="FrankRuehl" w:hAnsi="FrankRuehl" w:cs="FrankRuehl"/>
          <w:sz w:val="28"/>
          <w:szCs w:val="28"/>
          <w:rtl/>
        </w:rPr>
      </w:pPr>
    </w:p>
    <w:p w14:paraId="6215E9C5"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t>נאשם 1 כבן 32, נשוי ואב לשניים; בשל מעצרו בתיק זה את ביתו הצעירה ראה לראשונה בבית המשפט; בעברו הרשעה אחת בעבירת התפרצות, שבגינה ריצה ארבעה חודשי מאסר בעבודות שירות.</w:t>
      </w:r>
    </w:p>
    <w:p w14:paraId="7DB6182F" w14:textId="77777777" w:rsidR="00573C4B" w:rsidRDefault="00573C4B" w:rsidP="00573C4B">
      <w:pPr>
        <w:spacing w:line="360" w:lineRule="auto"/>
        <w:jc w:val="both"/>
        <w:rPr>
          <w:rFonts w:ascii="FrankRuehl" w:hAnsi="FrankRuehl" w:cs="FrankRuehl"/>
          <w:sz w:val="28"/>
          <w:szCs w:val="28"/>
          <w:rtl/>
        </w:rPr>
      </w:pPr>
    </w:p>
    <w:p w14:paraId="4DCAB950"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ab/>
        <w:t>נאשמים 2 ו-3 אחים. נאשם 2 כבן 25, נשוי ואב לשניים. נאשם 3 כבן 23, רווק. עברם נקי. בעת שהיו ילדים נפגע אביהם בתאונה בראשו, ולטענת בא-כחם מאז הוא סובל מהפרעות נפשיות ו"מסוג של פיגור", ובשל כך השניים מסייעים בפרנסת המשפחה.</w:t>
      </w:r>
    </w:p>
    <w:p w14:paraId="7533FDD0" w14:textId="77777777" w:rsidR="00573C4B" w:rsidRDefault="00573C4B" w:rsidP="00573C4B">
      <w:pPr>
        <w:spacing w:line="360" w:lineRule="auto"/>
        <w:jc w:val="both"/>
        <w:rPr>
          <w:rFonts w:ascii="FrankRuehl" w:hAnsi="FrankRuehl" w:cs="FrankRuehl"/>
          <w:sz w:val="28"/>
          <w:szCs w:val="28"/>
          <w:rtl/>
        </w:rPr>
      </w:pPr>
    </w:p>
    <w:p w14:paraId="669D06E7"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10.</w:t>
      </w:r>
      <w:r>
        <w:rPr>
          <w:rFonts w:ascii="FrankRuehl" w:hAnsi="FrankRuehl" w:cs="FrankRuehl" w:hint="cs"/>
          <w:sz w:val="28"/>
          <w:szCs w:val="28"/>
          <w:rtl/>
        </w:rPr>
        <w:tab/>
        <w:t xml:space="preserve">נאשם 1 הורשע במסגרת האישום הראשון בעבירה אחת של סחר באקדח. משפנה אליו סוכן משטרתי והתעניין ברכישת אקדח, פעל נאשם 1 כמתווך, על מנת לאתר אקדח ולהביא למכירתו. נאשם 1 הפגיש את הסוכן עם אדם שהציג בפניו רובה מסוג </w:t>
      </w:r>
      <w:r>
        <w:rPr>
          <w:rFonts w:ascii="FrankRuehl" w:hAnsi="FrankRuehl" w:cs="FrankRuehl" w:hint="cs"/>
          <w:sz w:val="28"/>
          <w:szCs w:val="28"/>
        </w:rPr>
        <w:t>M16</w:t>
      </w:r>
      <w:r>
        <w:rPr>
          <w:rFonts w:ascii="FrankRuehl" w:hAnsi="FrankRuehl" w:cs="FrankRuehl" w:hint="cs"/>
          <w:sz w:val="28"/>
          <w:szCs w:val="28"/>
          <w:rtl/>
        </w:rPr>
        <w:t xml:space="preserve"> וכן אקדח, ולאחר מכן עם אדם נוסף שממנו קנה הסוכן בסופו של דבר אקדח ותמורתו שילם 21,000 ₪. נאשם 1 נהנה משכר תיווך בסך 3000 ₪. בנוסף לכך הורשע נאשם 1 בעבירת לקשירת קשר לפשע, בכך שלאחר שהראה לסוכן תמונה של רובה מסוג </w:t>
      </w:r>
      <w:r>
        <w:rPr>
          <w:rFonts w:ascii="FrankRuehl" w:hAnsi="FrankRuehl" w:cs="FrankRuehl" w:hint="cs"/>
          <w:sz w:val="28"/>
          <w:szCs w:val="28"/>
        </w:rPr>
        <w:t>M16</w:t>
      </w:r>
      <w:r>
        <w:rPr>
          <w:rFonts w:ascii="FrankRuehl" w:hAnsi="FrankRuehl" w:cs="FrankRuehl" w:hint="cs"/>
          <w:sz w:val="28"/>
          <w:szCs w:val="28"/>
          <w:rtl/>
        </w:rPr>
        <w:t xml:space="preserve"> וקיבל את תשובתו החיובית לרכישת הנשק, מסר לו נאשם 1 את מספר הטלפון של נאשם 2 על מנת שיסייע לו בכך, ובכך סיים את חלקו בעניין. מעשיו של נאשם 1 מלמדים על מעורבות שאינה אקראית בשוק כלי הנשק הבלתי חוקיים. נאשם 1 הוכיח התמצאות בכלי הנשק ויכולת להשיגם בקלות רבה, ולא היסס לתרום את תרומתו להפצתם של אקדח 9 מ"מ ורובה </w:t>
      </w:r>
      <w:r>
        <w:rPr>
          <w:rFonts w:ascii="FrankRuehl" w:hAnsi="FrankRuehl" w:cs="FrankRuehl" w:hint="cs"/>
          <w:sz w:val="28"/>
          <w:szCs w:val="28"/>
        </w:rPr>
        <w:t>M16</w:t>
      </w:r>
      <w:r>
        <w:rPr>
          <w:rFonts w:ascii="FrankRuehl" w:hAnsi="FrankRuehl" w:cs="FrankRuehl" w:hint="cs"/>
          <w:sz w:val="28"/>
          <w:szCs w:val="28"/>
          <w:rtl/>
        </w:rPr>
        <w:t xml:space="preserve"> לכל המרבה במחיר.</w:t>
      </w:r>
    </w:p>
    <w:p w14:paraId="311EACF4" w14:textId="77777777" w:rsidR="00573C4B" w:rsidRDefault="00573C4B" w:rsidP="00573C4B">
      <w:pPr>
        <w:spacing w:line="360" w:lineRule="auto"/>
        <w:ind w:firstLine="720"/>
        <w:jc w:val="both"/>
        <w:rPr>
          <w:rFonts w:ascii="FrankRuehl" w:hAnsi="FrankRuehl" w:cs="FrankRuehl"/>
          <w:sz w:val="28"/>
          <w:szCs w:val="28"/>
          <w:rtl/>
        </w:rPr>
      </w:pPr>
    </w:p>
    <w:p w14:paraId="00DDC8BD"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נאשם 2 הורשע במסגרת האישום הראשון בעבירה של סחר בנשק והובלתו לשם כך. משפנה אליו נאשם 1 ומסר לו כי הוא מחפש אקדח למכירה, נענה נאשם 2 להצעה ופעל לאתר מוכר. נאשם 2 הפגיש בין המעורבים, ניהל בין הצדדים משא ומתן, ובסופו של דבר הוא שהציג את האקדח לסוכן, לאחר שבדק אותו בירי, והוא שבהמשך מסר את האקדח לסוכן תמורת 21,000 ₪ שקיבל לידיו. במסגרת האישום השני הורשע נאשם 2 בקשירת קשר לפשע, בכך שהציג לפני הסוכן תמונות של כלי נשק שאותם הציע למכירה, ומשהביע הסוכן התעניינות ברובה מסוג </w:t>
      </w:r>
      <w:r>
        <w:rPr>
          <w:rFonts w:ascii="FrankRuehl" w:hAnsi="FrankRuehl" w:cs="FrankRuehl" w:hint="cs"/>
          <w:sz w:val="28"/>
          <w:szCs w:val="28"/>
        </w:rPr>
        <w:t>M16</w:t>
      </w:r>
      <w:r>
        <w:rPr>
          <w:rFonts w:ascii="FrankRuehl" w:hAnsi="FrankRuehl" w:cs="FrankRuehl" w:hint="cs"/>
          <w:sz w:val="28"/>
          <w:szCs w:val="28"/>
          <w:rtl/>
        </w:rPr>
        <w:t xml:space="preserve"> הציג לפניו נשק מהסוג האמור. </w:t>
      </w:r>
    </w:p>
    <w:p w14:paraId="576AA1B2" w14:textId="77777777" w:rsidR="00573C4B" w:rsidRDefault="00573C4B" w:rsidP="00573C4B">
      <w:pPr>
        <w:spacing w:line="360" w:lineRule="auto"/>
        <w:ind w:firstLine="720"/>
        <w:jc w:val="both"/>
        <w:rPr>
          <w:rFonts w:ascii="FrankRuehl" w:hAnsi="FrankRuehl" w:cs="FrankRuehl"/>
          <w:sz w:val="28"/>
          <w:szCs w:val="28"/>
          <w:rtl/>
        </w:rPr>
      </w:pPr>
    </w:p>
    <w:p w14:paraId="30CA1BDB"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נאשם 2 פעל לקדם את העסקה בין הסוכן לבין בעל הנשק, ובתוך כך היה פעיל במשא ומתן</w:t>
      </w:r>
      <w:r>
        <w:rPr>
          <w:rFonts w:ascii="FrankRuehl" w:hAnsi="FrankRuehl" w:cs="FrankRuehl" w:hint="cs"/>
          <w:sz w:val="28"/>
          <w:szCs w:val="28"/>
        </w:rPr>
        <w:t xml:space="preserve"> </w:t>
      </w:r>
      <w:r>
        <w:rPr>
          <w:rFonts w:ascii="FrankRuehl" w:hAnsi="FrankRuehl" w:cs="FrankRuehl" w:hint="cs"/>
          <w:sz w:val="28"/>
          <w:szCs w:val="28"/>
          <w:rtl/>
        </w:rPr>
        <w:t xml:space="preserve"> שהתנהל ביניהם, ותאם את מפגשם לצורך השלמת העסקה. עסקת הנשק שבאישום השני הייתה קרובה לכדי השלמה ומשכך משקלה של העובדה כי העסקה לא הושלמה אינו גבוה. כנאשם 1, גם מעשיו של נאשם 2, מלמדים על מעורבות שאינה אקראית בשוק כלי הנשק הבלתי חוקיים. בשתי הזדמנויות היה נאשם 2 גורם פעיל ודומיננטי בעסקאות למכירת כלי הנשק האמורים.</w:t>
      </w:r>
    </w:p>
    <w:p w14:paraId="549B7EF8" w14:textId="77777777" w:rsidR="00573C4B" w:rsidRDefault="00573C4B" w:rsidP="00573C4B">
      <w:pPr>
        <w:spacing w:line="360" w:lineRule="auto"/>
        <w:ind w:firstLine="720"/>
        <w:jc w:val="both"/>
        <w:rPr>
          <w:rFonts w:ascii="FrankRuehl" w:hAnsi="FrankRuehl" w:cs="FrankRuehl"/>
          <w:sz w:val="28"/>
          <w:szCs w:val="28"/>
          <w:rtl/>
        </w:rPr>
      </w:pPr>
    </w:p>
    <w:p w14:paraId="6C62C4D6"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נאשם 3 הורשע במסגרת האישום השני בסיוע לניסיון סחר בנשק וכן בנשיאת נשק והובלתו, בכך שהגיע למקום המפגש לביצוע עסקת מכירת הרובה האמור, הציג את הרובה לסוכן, ביצע בדיקת תקינות בנשק, שבמהלכה ניסה להתגבר על תקלה והתחייב לתיקון התקלה על מנת שניתן יהיה להשלים את העסקה למחרת היום. מעורבותו של נאשם 3 באירוע לא הייתה שולית. גם הוא, כנאשם 2, היה דמות דומיננטית בעסקה ותרם ככל יכולתו לקידומה. </w:t>
      </w:r>
    </w:p>
    <w:p w14:paraId="2426304B" w14:textId="77777777" w:rsidR="00573C4B" w:rsidRDefault="00573C4B" w:rsidP="00573C4B">
      <w:pPr>
        <w:spacing w:line="360" w:lineRule="auto"/>
        <w:jc w:val="both"/>
        <w:rPr>
          <w:rFonts w:ascii="FrankRuehl" w:hAnsi="FrankRuehl" w:cs="FrankRuehl"/>
          <w:sz w:val="28"/>
          <w:szCs w:val="28"/>
          <w:rtl/>
        </w:rPr>
      </w:pPr>
    </w:p>
    <w:p w14:paraId="68176C1C"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11.</w:t>
      </w:r>
      <w:r>
        <w:rPr>
          <w:rFonts w:ascii="FrankRuehl" w:hAnsi="FrankRuehl" w:cs="FrankRuehl" w:hint="cs"/>
          <w:sz w:val="28"/>
          <w:szCs w:val="28"/>
          <w:rtl/>
        </w:rPr>
        <w:tab/>
        <w:t xml:space="preserve">עבירות סחר בנשק, והעבירות הנלוות להן חמורות ויש בהן כדי לפגוע בערכים חברתיים בעלי חשיבות גבוהה – הגנה על שלמות הגוף ועל חיי אדם, וכן הגנה על הביטחון האישי והציבורי. זאת ועוד, במכירתם של כלי נשק לאחרים, גורמים המוכרים להעברתם של כלי נשק לידיים זרות, ומאבדים כל שליטה על השימוש בהם. המתווכים בעסקאות אלה תורמים אף הם תרומה ממשית לתופעה זו, ומהווים גורם שבלעדיו אין להתרחשותה. </w:t>
      </w:r>
    </w:p>
    <w:p w14:paraId="659B5738" w14:textId="77777777" w:rsidR="00573C4B" w:rsidRDefault="00573C4B" w:rsidP="00573C4B">
      <w:pPr>
        <w:spacing w:line="360" w:lineRule="auto"/>
        <w:jc w:val="both"/>
        <w:rPr>
          <w:rFonts w:ascii="FrankRuehl" w:hAnsi="FrankRuehl" w:cs="FrankRuehl"/>
          <w:sz w:val="28"/>
          <w:szCs w:val="28"/>
          <w:rtl/>
        </w:rPr>
      </w:pPr>
    </w:p>
    <w:p w14:paraId="136DF283"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בשל נפיצותה הרבה של תופעת הסחר בכלי נשק שלא כדין, ובשל הפוטנציאל לפגיעה בחיי אדם כתוצאה מהשימוש בנשק, מן הראוי להחמיר בדינם של המורשעים בעבירות אלה. משכך, בעשור האחרון חלה מגמת החמרה במדיניות הענישה בתחום זה. </w:t>
      </w:r>
    </w:p>
    <w:p w14:paraId="7BFD4608" w14:textId="77777777" w:rsidR="00573C4B" w:rsidRDefault="00573C4B" w:rsidP="00573C4B">
      <w:pPr>
        <w:spacing w:line="360" w:lineRule="auto"/>
        <w:jc w:val="both"/>
        <w:rPr>
          <w:rFonts w:ascii="FrankRuehl" w:hAnsi="FrankRuehl" w:cs="FrankRuehl"/>
          <w:sz w:val="28"/>
          <w:szCs w:val="28"/>
          <w:rtl/>
        </w:rPr>
      </w:pPr>
    </w:p>
    <w:p w14:paraId="3E7494D2" w14:textId="77777777" w:rsidR="00573C4B" w:rsidRDefault="00573C4B" w:rsidP="00573C4B">
      <w:pPr>
        <w:spacing w:line="360" w:lineRule="auto"/>
        <w:ind w:firstLine="720"/>
        <w:jc w:val="both"/>
        <w:rPr>
          <w:rFonts w:cs="FrankRuehl"/>
          <w:sz w:val="28"/>
          <w:szCs w:val="28"/>
          <w:rtl/>
          <w:lang w:eastAsia="he-IL"/>
        </w:rPr>
      </w:pPr>
      <w:r>
        <w:rPr>
          <w:rFonts w:cs="FrankRuehl" w:hint="cs"/>
          <w:sz w:val="28"/>
          <w:szCs w:val="28"/>
          <w:rtl/>
          <w:lang w:eastAsia="he-IL"/>
        </w:rPr>
        <w:t>ב</w:t>
      </w:r>
      <w:hyperlink r:id="rId24" w:history="1">
        <w:r w:rsidR="00F67167" w:rsidRPr="00F67167">
          <w:rPr>
            <w:rStyle w:val="Hyperlink"/>
            <w:rFonts w:cs="FrankRuehl" w:hint="eastAsia"/>
            <w:color w:val="0000FF"/>
            <w:sz w:val="28"/>
            <w:szCs w:val="28"/>
            <w:rtl/>
            <w:lang w:eastAsia="he-IL"/>
          </w:rPr>
          <w:t>ע</w:t>
        </w:r>
        <w:r w:rsidR="00F67167" w:rsidRPr="00F67167">
          <w:rPr>
            <w:rStyle w:val="Hyperlink"/>
            <w:rFonts w:cs="FrankRuehl"/>
            <w:color w:val="0000FF"/>
            <w:sz w:val="28"/>
            <w:szCs w:val="28"/>
            <w:rtl/>
            <w:lang w:eastAsia="he-IL"/>
          </w:rPr>
          <w:t>"פ 8045/17</w:t>
        </w:r>
      </w:hyperlink>
      <w:r>
        <w:rPr>
          <w:rFonts w:cs="FrankRuehl" w:hint="cs"/>
          <w:sz w:val="28"/>
          <w:szCs w:val="28"/>
          <w:rtl/>
          <w:lang w:eastAsia="he-IL"/>
        </w:rPr>
        <w:t xml:space="preserve"> </w:t>
      </w:r>
      <w:r>
        <w:rPr>
          <w:rFonts w:ascii="Miriam" w:hAnsi="Miriam" w:cs="Miriam" w:hint="cs"/>
          <w:rtl/>
          <w:lang w:eastAsia="he-IL"/>
        </w:rPr>
        <w:t>בראנסי נ' מדינת ישראל</w:t>
      </w:r>
      <w:r>
        <w:rPr>
          <w:rFonts w:cs="FrankRuehl" w:hint="cs"/>
          <w:sz w:val="28"/>
          <w:szCs w:val="28"/>
          <w:rtl/>
          <w:lang w:eastAsia="he-IL"/>
        </w:rPr>
        <w:t xml:space="preserve"> (16.8.18) קבע בית המשפט העליון:</w:t>
      </w:r>
    </w:p>
    <w:p w14:paraId="197E1621" w14:textId="77777777" w:rsidR="00573C4B" w:rsidRDefault="00573C4B" w:rsidP="00573C4B">
      <w:pPr>
        <w:spacing w:line="360" w:lineRule="auto"/>
        <w:jc w:val="both"/>
        <w:rPr>
          <w:rFonts w:cs="FrankRuehl"/>
          <w:sz w:val="28"/>
          <w:szCs w:val="28"/>
          <w:rtl/>
          <w:lang w:eastAsia="he-IL"/>
        </w:rPr>
      </w:pPr>
    </w:p>
    <w:p w14:paraId="1523C1AA" w14:textId="77777777" w:rsidR="00573C4B" w:rsidRDefault="00573C4B" w:rsidP="00573C4B">
      <w:pPr>
        <w:spacing w:line="360" w:lineRule="auto"/>
        <w:ind w:left="720" w:right="709"/>
        <w:jc w:val="both"/>
        <w:rPr>
          <w:rFonts w:ascii="Miriam" w:hAnsi="Miriam" w:cs="Miriam"/>
          <w:rtl/>
          <w:lang w:eastAsia="he-IL"/>
        </w:rPr>
      </w:pPr>
      <w:r>
        <w:rPr>
          <w:rFonts w:ascii="Miriam" w:hAnsi="Miriam" w:cs="Miriam" w:hint="cs"/>
          <w:rtl/>
        </w:rPr>
        <w:t>"החומרה היתרה הכרוכה בעבירות נשק והסיכון הנשקף מביצוען לציבור, מקבלים משנה תוקף בשים לב להיקפיה של התופעה ואופן התפשטותה. כמענה לכך, מסתמנת בפסיקה מגמה עקבית להחמיר את הענישה בגין עבירות אלו, באופן שיהלום את מידת פגיעתן בערכים המוגנים ויקדם את מיגור התופעה... משכך, חרף עיקרון הענישה האינדיבידואלית והמשקל שיש ליתן לנסיבותיו האישיות של כל נאשם לגופו, בבואו לגזור את דינו של מי שהורשע בביצוע עבירות חמורות אלו, על בית המשפט לתת בכורה לשיקולי ההרתעה והאינטרס הציבורי”.</w:t>
      </w:r>
    </w:p>
    <w:p w14:paraId="17C949C9" w14:textId="77777777" w:rsidR="00573C4B" w:rsidRDefault="00573C4B" w:rsidP="00573C4B">
      <w:pPr>
        <w:spacing w:line="360" w:lineRule="auto"/>
        <w:jc w:val="both"/>
        <w:rPr>
          <w:rFonts w:cs="FrankRuehl"/>
          <w:sz w:val="28"/>
          <w:szCs w:val="28"/>
          <w:rtl/>
          <w:lang w:eastAsia="he-IL"/>
        </w:rPr>
      </w:pPr>
    </w:p>
    <w:p w14:paraId="2020723F" w14:textId="77777777" w:rsidR="00573C4B" w:rsidRDefault="00573C4B" w:rsidP="00573C4B">
      <w:pPr>
        <w:spacing w:line="360" w:lineRule="auto"/>
        <w:ind w:firstLine="720"/>
        <w:jc w:val="both"/>
        <w:rPr>
          <w:rFonts w:cs="FrankRuehl"/>
          <w:sz w:val="28"/>
          <w:szCs w:val="28"/>
          <w:rtl/>
          <w:lang w:eastAsia="he-IL"/>
        </w:rPr>
      </w:pPr>
      <w:r>
        <w:rPr>
          <w:rFonts w:cs="FrankRuehl" w:hint="cs"/>
          <w:sz w:val="28"/>
          <w:szCs w:val="28"/>
          <w:rtl/>
          <w:lang w:eastAsia="he-IL"/>
        </w:rPr>
        <w:t>בקביעת מתחם העונש ההולם מעשה של מכירת נשק שלא כדין, יש להביא בחשבון את טיבו של כלי הנשק, את מחירו, את חלקו של הנאשם בהתרחשות ואת יתר נסיבות העניין.</w:t>
      </w:r>
    </w:p>
    <w:p w14:paraId="17CBA6A4" w14:textId="77777777" w:rsidR="00573C4B" w:rsidRDefault="00573C4B" w:rsidP="00573C4B">
      <w:pPr>
        <w:spacing w:line="360" w:lineRule="auto"/>
        <w:ind w:firstLine="720"/>
        <w:jc w:val="both"/>
        <w:rPr>
          <w:rFonts w:cs="FrankRuehl"/>
          <w:sz w:val="28"/>
          <w:szCs w:val="28"/>
          <w:rtl/>
          <w:lang w:eastAsia="he-IL"/>
        </w:rPr>
      </w:pPr>
    </w:p>
    <w:p w14:paraId="7AC4AD8D" w14:textId="77777777" w:rsidR="00573C4B" w:rsidRDefault="00573C4B" w:rsidP="00573C4B">
      <w:pPr>
        <w:spacing w:line="360" w:lineRule="auto"/>
        <w:ind w:firstLine="720"/>
        <w:jc w:val="both"/>
        <w:rPr>
          <w:rFonts w:cs="FrankRuehl"/>
          <w:sz w:val="28"/>
          <w:szCs w:val="28"/>
          <w:lang w:eastAsia="he-IL"/>
        </w:rPr>
      </w:pPr>
      <w:r>
        <w:rPr>
          <w:rFonts w:cs="FrankRuehl" w:hint="cs"/>
          <w:sz w:val="28"/>
          <w:szCs w:val="28"/>
          <w:rtl/>
          <w:lang w:eastAsia="he-IL"/>
        </w:rPr>
        <w:t xml:space="preserve">בעניין </w:t>
      </w:r>
      <w:r>
        <w:rPr>
          <w:rFonts w:ascii="Miriam" w:hAnsi="Miriam" w:cs="Miriam" w:hint="cs"/>
          <w:rtl/>
          <w:lang w:eastAsia="he-IL"/>
        </w:rPr>
        <w:t>בראנסי</w:t>
      </w:r>
      <w:r>
        <w:rPr>
          <w:rFonts w:cs="FrankRuehl" w:hint="cs"/>
          <w:sz w:val="28"/>
          <w:szCs w:val="28"/>
          <w:rtl/>
          <w:lang w:eastAsia="he-IL"/>
        </w:rPr>
        <w:t>, דן בית המשפט העליון במתחמי ענישה, שנקבעו בשורה של תיקים שהתנהלו בבתי המשפט המחוזיים. בסעיף 37 לפסק הדין נדונה מכירת אקדח ותחמושת תואמת תמורת 21,000 ₪. בית המשפט המחוזי קבע כי מתחם העונש ההולם למעשה עומד על 18 – 48 חודשי מאסר בפועל.  בסעיף 46 לפסק הדין נדונה מכירת תת מקלע מאולתר מסוג קרלו ותחמושת תואמת תמורת 7000 ₪, וכן עבירות סמים והחזקת סכין. בגין עבירת מכירת הנשק קבע בית המשפט המחוזי כי מתחם העונש ההולם למעשה עומד על 2 – 5 שנות מאסר בפועל. בסעיף 54 לפסק הדין נדונו שתי מכירות של אקדחים בתמורה כוללת של 72,000 ₪. בית המשפט המחוזי קבע כי מתחם העונש ההולם בגין כל אחד משני האירועים עומד על 2 – 4 שנות מאסר בפועל. בסעיף 62 לפסק הדין נדונו שתי עסקאות בנשק שבהן נמכרו תת מקלע מסוג קרלו ורובה קלצ'ניקוב, תמורת סך כולל של 44,300 ₪. בית המשפט המחוזי קבע כי מתחם העונש ההולם לכל אחת מהעסקאות עומד על 2 – 5 שנות מאסר בפועל. בסעיף 77 לפסק הדין נדונה עבירה של סיוע למכירת רובה מסוג קלצ'ניקוב ומחסניות תואמות תמורת 35,000 ₪. נקבע כי חלקו של המערער היה מינורי. בית המשפט המחוזי קבע כי מתחם העונש ההולם למעשה עומד על 8 – 20 חודשי מאסר בפועל. בסעיף 86 לפסק הדין נדונו מכירות של שני אקדחים בתמורה כוללת של 70,000 ₪. בית המשפט המחוזי קבע כי מתחם העונש ההולם לשתי העסקאות עומד על 3 – 5 שנות מאסר בפועל. בסעיף 92 נדונו שתי מכירות של תתי מקלע מסוג קרלו תמורת סך כולל של 13,900 ₪. בית המשפט המחוזי קבע כי מתחם העונש ההולם לשתי העסקאות עומד על 3 – 6 שנות מאסר בפועל.</w:t>
      </w:r>
    </w:p>
    <w:p w14:paraId="66430177" w14:textId="77777777" w:rsidR="00573C4B" w:rsidRDefault="00573C4B" w:rsidP="00573C4B">
      <w:pPr>
        <w:spacing w:line="360" w:lineRule="auto"/>
        <w:ind w:firstLine="720"/>
        <w:jc w:val="both"/>
        <w:rPr>
          <w:rFonts w:cs="FrankRuehl"/>
          <w:sz w:val="28"/>
          <w:szCs w:val="28"/>
          <w:rtl/>
          <w:lang w:eastAsia="he-IL"/>
        </w:rPr>
      </w:pPr>
    </w:p>
    <w:p w14:paraId="339C2D30" w14:textId="77777777" w:rsidR="00573C4B" w:rsidRDefault="00573C4B" w:rsidP="00573C4B">
      <w:pPr>
        <w:spacing w:line="360" w:lineRule="auto"/>
        <w:ind w:firstLine="720"/>
        <w:jc w:val="both"/>
        <w:rPr>
          <w:rFonts w:cs="FrankRuehl"/>
          <w:sz w:val="28"/>
          <w:szCs w:val="28"/>
          <w:rtl/>
          <w:lang w:eastAsia="he-IL"/>
        </w:rPr>
      </w:pPr>
      <w:r>
        <w:rPr>
          <w:rFonts w:cs="FrankRuehl" w:hint="cs"/>
          <w:sz w:val="28"/>
          <w:szCs w:val="28"/>
          <w:rtl/>
          <w:lang w:eastAsia="he-IL"/>
        </w:rPr>
        <w:t>בית המשפט העליון דחה את ערעוריהם של שני הצדדים על גזרי הדין האמורים, אף שבנוגע לסעיפים 54 ו-86 ציין כי מתחמי העונש ההולם נקבעו על הצד המקל.</w:t>
      </w:r>
    </w:p>
    <w:p w14:paraId="097E670D" w14:textId="77777777" w:rsidR="00573C4B" w:rsidRDefault="00573C4B" w:rsidP="00573C4B">
      <w:pPr>
        <w:spacing w:line="360" w:lineRule="auto"/>
        <w:ind w:firstLine="720"/>
        <w:jc w:val="both"/>
        <w:rPr>
          <w:rFonts w:cs="FrankRuehl"/>
          <w:sz w:val="28"/>
          <w:szCs w:val="28"/>
          <w:rtl/>
          <w:lang w:eastAsia="he-IL"/>
        </w:rPr>
      </w:pPr>
    </w:p>
    <w:p w14:paraId="514424AE" w14:textId="77777777" w:rsidR="00573C4B" w:rsidRDefault="00573C4B" w:rsidP="00573C4B">
      <w:pPr>
        <w:spacing w:line="360" w:lineRule="auto"/>
        <w:jc w:val="both"/>
        <w:rPr>
          <w:rFonts w:cs="FrankRuehl"/>
          <w:sz w:val="28"/>
          <w:szCs w:val="28"/>
          <w:lang w:eastAsia="he-IL"/>
        </w:rPr>
      </w:pPr>
      <w:r>
        <w:rPr>
          <w:rFonts w:cs="FrankRuehl" w:hint="cs"/>
          <w:sz w:val="28"/>
          <w:szCs w:val="28"/>
          <w:rtl/>
          <w:lang w:eastAsia="he-IL"/>
        </w:rPr>
        <w:t>12.</w:t>
      </w:r>
      <w:r>
        <w:rPr>
          <w:rFonts w:cs="FrankRuehl" w:hint="cs"/>
          <w:sz w:val="28"/>
          <w:szCs w:val="28"/>
          <w:rtl/>
          <w:lang w:eastAsia="he-IL"/>
        </w:rPr>
        <w:tab/>
        <w:t xml:space="preserve">בהתאם לפסיקה האמורה ולמגמת ההחמרה העולה ממנה, ובשים לב לכך שנאשם 1 היה דומיננטי בעסקת מכירת האקדח נשוא האישום הראשון, ובהזדמנות נפרדת אף יזם מכירת רובה מסוג </w:t>
      </w:r>
      <w:r>
        <w:rPr>
          <w:rFonts w:cs="FrankRuehl"/>
          <w:sz w:val="28"/>
          <w:szCs w:val="28"/>
          <w:lang w:eastAsia="he-IL"/>
        </w:rPr>
        <w:t>M16</w:t>
      </w:r>
      <w:r>
        <w:rPr>
          <w:rFonts w:cs="FrankRuehl" w:hint="cs"/>
          <w:sz w:val="28"/>
          <w:szCs w:val="28"/>
          <w:rtl/>
          <w:lang w:eastAsia="he-IL"/>
        </w:rPr>
        <w:t xml:space="preserve"> כאמור באישום השני, אף שהורשע בעבירת ניסיון לקשר לפשע בלבד בגין זאת, עומד מתחם העונש ההולם למעשיו על 30 - 60 חודשי מאסר בפועל. </w:t>
      </w:r>
    </w:p>
    <w:p w14:paraId="3E400193" w14:textId="77777777" w:rsidR="00573C4B" w:rsidRDefault="00573C4B" w:rsidP="00573C4B">
      <w:pPr>
        <w:spacing w:line="360" w:lineRule="auto"/>
        <w:ind w:firstLine="720"/>
        <w:jc w:val="both"/>
        <w:rPr>
          <w:rFonts w:cs="FrankRuehl"/>
          <w:sz w:val="28"/>
          <w:szCs w:val="28"/>
          <w:rtl/>
          <w:lang w:eastAsia="he-IL"/>
        </w:rPr>
      </w:pPr>
    </w:p>
    <w:p w14:paraId="3889407D" w14:textId="77777777" w:rsidR="00573C4B" w:rsidRDefault="00573C4B" w:rsidP="00573C4B">
      <w:pPr>
        <w:spacing w:line="360" w:lineRule="auto"/>
        <w:ind w:firstLine="720"/>
        <w:jc w:val="both"/>
        <w:rPr>
          <w:rFonts w:cs="FrankRuehl"/>
          <w:sz w:val="28"/>
          <w:szCs w:val="28"/>
          <w:rtl/>
          <w:lang w:eastAsia="he-IL"/>
        </w:rPr>
      </w:pPr>
      <w:r>
        <w:rPr>
          <w:rFonts w:cs="FrankRuehl" w:hint="cs"/>
          <w:sz w:val="28"/>
          <w:szCs w:val="28"/>
          <w:rtl/>
          <w:lang w:eastAsia="he-IL"/>
        </w:rPr>
        <w:t>בהתאם לכך והיות שנאשם 2 היה דומיננטי בשתי עסקאות למכירת נשק, מתחם העונש ההולם למעשיו עומד על שלוש עד שש שנות מאסר בפועל.</w:t>
      </w:r>
    </w:p>
    <w:p w14:paraId="047BDE52" w14:textId="77777777" w:rsidR="00573C4B" w:rsidRDefault="00573C4B" w:rsidP="00573C4B">
      <w:pPr>
        <w:spacing w:line="360" w:lineRule="auto"/>
        <w:ind w:firstLine="720"/>
        <w:jc w:val="both"/>
        <w:rPr>
          <w:rFonts w:cs="FrankRuehl"/>
          <w:sz w:val="28"/>
          <w:szCs w:val="28"/>
          <w:rtl/>
          <w:lang w:eastAsia="he-IL"/>
        </w:rPr>
      </w:pPr>
    </w:p>
    <w:p w14:paraId="1F0C9A47" w14:textId="77777777" w:rsidR="00573C4B" w:rsidRDefault="00573C4B" w:rsidP="00573C4B">
      <w:pPr>
        <w:spacing w:line="360" w:lineRule="auto"/>
        <w:ind w:firstLine="720"/>
        <w:jc w:val="both"/>
        <w:rPr>
          <w:rFonts w:cs="FrankRuehl"/>
          <w:sz w:val="28"/>
          <w:szCs w:val="28"/>
          <w:rtl/>
          <w:lang w:eastAsia="he-IL"/>
        </w:rPr>
      </w:pPr>
      <w:r>
        <w:rPr>
          <w:rFonts w:cs="FrankRuehl" w:hint="cs"/>
          <w:sz w:val="28"/>
          <w:szCs w:val="28"/>
          <w:rtl/>
          <w:lang w:eastAsia="he-IL"/>
        </w:rPr>
        <w:t xml:space="preserve">בהתאם לכך והיות שנאשם 3 היה דומיננטי בעסקת מכירת רובה </w:t>
      </w:r>
      <w:r>
        <w:rPr>
          <w:rFonts w:cs="FrankRuehl"/>
          <w:sz w:val="28"/>
          <w:szCs w:val="28"/>
          <w:lang w:eastAsia="he-IL"/>
        </w:rPr>
        <w:t>M16</w:t>
      </w:r>
      <w:r>
        <w:rPr>
          <w:rFonts w:cs="FrankRuehl" w:hint="cs"/>
          <w:sz w:val="28"/>
          <w:szCs w:val="28"/>
          <w:rtl/>
          <w:lang w:eastAsia="he-IL"/>
        </w:rPr>
        <w:t>, שבסופו של דבר, בשל נסיבות שאינן נוגעות לו, לא יצאה אל הפועל, מתחם העונש ההולם למעשיו עומד על שנתיים עד ארבע שנות מאסר בפועל.</w:t>
      </w:r>
    </w:p>
    <w:p w14:paraId="418748E5" w14:textId="77777777" w:rsidR="00573C4B" w:rsidRDefault="00573C4B" w:rsidP="00573C4B">
      <w:pPr>
        <w:spacing w:line="360" w:lineRule="auto"/>
        <w:jc w:val="both"/>
        <w:rPr>
          <w:rFonts w:cs="FrankRuehl"/>
          <w:sz w:val="28"/>
          <w:szCs w:val="28"/>
          <w:rtl/>
          <w:lang w:eastAsia="he-IL"/>
        </w:rPr>
      </w:pPr>
    </w:p>
    <w:p w14:paraId="7E044E62" w14:textId="77777777" w:rsidR="00573C4B" w:rsidRDefault="00573C4B" w:rsidP="00573C4B">
      <w:pPr>
        <w:spacing w:line="360" w:lineRule="auto"/>
        <w:jc w:val="both"/>
        <w:rPr>
          <w:rFonts w:cs="FrankRuehl"/>
          <w:sz w:val="28"/>
          <w:szCs w:val="28"/>
          <w:rtl/>
          <w:lang w:eastAsia="he-IL"/>
        </w:rPr>
      </w:pPr>
      <w:r>
        <w:rPr>
          <w:rFonts w:cs="FrankRuehl" w:hint="cs"/>
          <w:sz w:val="28"/>
          <w:szCs w:val="28"/>
          <w:rtl/>
          <w:lang w:eastAsia="he-IL"/>
        </w:rPr>
        <w:t>13.</w:t>
      </w:r>
      <w:r>
        <w:rPr>
          <w:rFonts w:cs="FrankRuehl" w:hint="cs"/>
          <w:sz w:val="28"/>
          <w:szCs w:val="28"/>
          <w:rtl/>
          <w:lang w:eastAsia="he-IL"/>
        </w:rPr>
        <w:tab/>
        <w:t>בקביעת עונשם של הנאשמים יש להתחשב בהודאתם, בנטילת אחריות מלאה והבעת חרטה על מעשיהם, וכן בעניינם של נאשמים 2 ו-3 בעברם הנקי. כמו כן יש להביא בחשבון את הפגיעה הקשה הצפויה לבני משפחתם של נאשמים 1 ו-2 כתוצאה מהטלת עונש מאסר עליהם.</w:t>
      </w:r>
    </w:p>
    <w:p w14:paraId="063FF39A" w14:textId="77777777" w:rsidR="00573C4B" w:rsidRDefault="00573C4B" w:rsidP="00573C4B">
      <w:pPr>
        <w:spacing w:line="360" w:lineRule="auto"/>
        <w:jc w:val="both"/>
        <w:rPr>
          <w:rFonts w:cs="FrankRuehl"/>
          <w:sz w:val="28"/>
          <w:szCs w:val="28"/>
          <w:rtl/>
          <w:lang w:eastAsia="he-IL"/>
        </w:rPr>
      </w:pPr>
    </w:p>
    <w:p w14:paraId="5E7100EF" w14:textId="77777777" w:rsidR="00573C4B" w:rsidRDefault="00573C4B" w:rsidP="00573C4B">
      <w:pPr>
        <w:spacing w:line="360" w:lineRule="auto"/>
        <w:jc w:val="both"/>
        <w:rPr>
          <w:rFonts w:cs="FrankRuehl"/>
          <w:sz w:val="28"/>
          <w:szCs w:val="28"/>
          <w:rtl/>
          <w:lang w:eastAsia="he-IL"/>
        </w:rPr>
      </w:pPr>
      <w:r>
        <w:rPr>
          <w:rFonts w:cs="FrankRuehl" w:hint="cs"/>
          <w:sz w:val="28"/>
          <w:szCs w:val="28"/>
          <w:rtl/>
          <w:lang w:eastAsia="he-IL"/>
        </w:rPr>
        <w:tab/>
        <w:t>נוכח האמור לעיל יש לקבוע את עונשם של נאשמים 2 ו-3 בתחתית המתחמים שנקבעו בעניינם. בשל הרשעתו הקודמת של נאשם 1, יש לקבוע את עונשו בחלק התחתון של המתחם שנקבע בעניינו אך לא ברף התחתון שבו.</w:t>
      </w:r>
    </w:p>
    <w:p w14:paraId="303DAE30" w14:textId="77777777" w:rsidR="00573C4B" w:rsidRPr="00573C4B" w:rsidRDefault="00573C4B" w:rsidP="00573C4B">
      <w:pPr>
        <w:spacing w:line="360" w:lineRule="auto"/>
        <w:jc w:val="both"/>
        <w:rPr>
          <w:rFonts w:ascii="FrankRuehl" w:eastAsia="Calibri" w:hAnsi="FrankRuehl" w:cs="FrankRuehl"/>
          <w:sz w:val="28"/>
          <w:szCs w:val="28"/>
          <w:rtl/>
        </w:rPr>
      </w:pPr>
    </w:p>
    <w:p w14:paraId="4950275A" w14:textId="77777777" w:rsidR="00573C4B" w:rsidRDefault="00573C4B" w:rsidP="00573C4B">
      <w:pPr>
        <w:spacing w:line="360" w:lineRule="auto"/>
        <w:jc w:val="both"/>
        <w:rPr>
          <w:rFonts w:ascii="Miriam" w:hAnsi="Miriam" w:cs="Miriam"/>
          <w:rtl/>
        </w:rPr>
      </w:pPr>
      <w:r>
        <w:rPr>
          <w:rFonts w:ascii="Miriam" w:hAnsi="Miriam" w:cs="Miriam" w:hint="cs"/>
          <w:rtl/>
        </w:rPr>
        <w:t>סוף דבר</w:t>
      </w:r>
    </w:p>
    <w:p w14:paraId="23027F37" w14:textId="77777777" w:rsidR="00573C4B" w:rsidRDefault="00573C4B" w:rsidP="00573C4B">
      <w:pPr>
        <w:spacing w:line="360" w:lineRule="auto"/>
        <w:jc w:val="both"/>
        <w:rPr>
          <w:rFonts w:ascii="FrankRuehl" w:hAnsi="FrankRuehl" w:cs="FrankRuehl"/>
          <w:sz w:val="28"/>
          <w:szCs w:val="28"/>
          <w:rtl/>
        </w:rPr>
      </w:pPr>
    </w:p>
    <w:p w14:paraId="31D71A74"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דינם של הנאשמים נגזר כלהלן:</w:t>
      </w:r>
    </w:p>
    <w:p w14:paraId="241E93D5" w14:textId="77777777" w:rsidR="00573C4B" w:rsidRDefault="00573C4B" w:rsidP="00573C4B">
      <w:pPr>
        <w:spacing w:line="360" w:lineRule="auto"/>
        <w:jc w:val="both"/>
        <w:rPr>
          <w:rFonts w:ascii="FrankRuehl" w:hAnsi="FrankRuehl" w:cs="FrankRuehl"/>
          <w:sz w:val="28"/>
          <w:szCs w:val="28"/>
          <w:rtl/>
        </w:rPr>
      </w:pPr>
    </w:p>
    <w:p w14:paraId="441A14FE"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ab/>
        <w:t xml:space="preserve">נאשם 1 יידון ל-33 חודשי מאסר בפועל החל ביום מעצרו 2.7.2018. </w:t>
      </w:r>
    </w:p>
    <w:p w14:paraId="37A41A1C" w14:textId="77777777" w:rsidR="00573C4B" w:rsidRDefault="00573C4B" w:rsidP="00573C4B">
      <w:pPr>
        <w:spacing w:line="360" w:lineRule="auto"/>
        <w:jc w:val="both"/>
        <w:rPr>
          <w:rFonts w:ascii="FrankRuehl" w:hAnsi="FrankRuehl" w:cs="FrankRuehl"/>
          <w:sz w:val="28"/>
          <w:szCs w:val="28"/>
          <w:rtl/>
        </w:rPr>
      </w:pPr>
    </w:p>
    <w:p w14:paraId="2D8A62BD"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בנוסף לכך יידון נאשם 1 לשישה חודשי מאסר על תנאי לשלוש שנים, שלא יעבור על עבירה מסוג פשע לפי </w:t>
      </w:r>
      <w:hyperlink r:id="rId25" w:history="1">
        <w:r w:rsidR="008A0647" w:rsidRPr="008A0647">
          <w:rPr>
            <w:rFonts w:ascii="FrankRuehl" w:hAnsi="FrankRuehl" w:cs="FrankRuehl"/>
            <w:color w:val="0000FF"/>
            <w:sz w:val="28"/>
            <w:szCs w:val="28"/>
            <w:u w:val="single"/>
            <w:rtl/>
          </w:rPr>
          <w:t>סעיף 144</w:t>
        </w:r>
      </w:hyperlink>
      <w:r>
        <w:rPr>
          <w:rFonts w:ascii="FrankRuehl" w:hAnsi="FrankRuehl" w:cs="FrankRuehl" w:hint="cs"/>
          <w:sz w:val="28"/>
          <w:szCs w:val="28"/>
          <w:rtl/>
        </w:rPr>
        <w:t xml:space="preserve"> ל</w:t>
      </w:r>
      <w:hyperlink r:id="rId26" w:history="1">
        <w:r w:rsidR="00F67167" w:rsidRPr="00F67167">
          <w:rPr>
            <w:rStyle w:val="Hyperlink"/>
            <w:rFonts w:ascii="FrankRuehl" w:hAnsi="FrankRuehl" w:cs="FrankRuehl" w:hint="eastAsia"/>
            <w:color w:val="0000FF"/>
            <w:sz w:val="28"/>
            <w:szCs w:val="28"/>
            <w:rtl/>
          </w:rPr>
          <w:t>חוק</w:t>
        </w:r>
        <w:r w:rsidR="00F67167" w:rsidRPr="00F67167">
          <w:rPr>
            <w:rStyle w:val="Hyperlink"/>
            <w:rFonts w:ascii="FrankRuehl" w:hAnsi="FrankRuehl" w:cs="FrankRuehl"/>
            <w:color w:val="0000FF"/>
            <w:sz w:val="28"/>
            <w:szCs w:val="28"/>
            <w:rtl/>
          </w:rPr>
          <w:t xml:space="preserve"> העונשין</w:t>
        </w:r>
      </w:hyperlink>
      <w:r>
        <w:rPr>
          <w:rFonts w:ascii="FrankRuehl" w:hAnsi="FrankRuehl" w:cs="FrankRuehl" w:hint="cs"/>
          <w:sz w:val="28"/>
          <w:szCs w:val="28"/>
          <w:rtl/>
        </w:rPr>
        <w:t xml:space="preserve">. </w:t>
      </w:r>
    </w:p>
    <w:p w14:paraId="30FAB9D6" w14:textId="77777777" w:rsidR="00573C4B" w:rsidRDefault="00573C4B" w:rsidP="00573C4B">
      <w:pPr>
        <w:spacing w:line="360" w:lineRule="auto"/>
        <w:ind w:firstLine="720"/>
        <w:jc w:val="both"/>
        <w:rPr>
          <w:rFonts w:ascii="FrankRuehl" w:hAnsi="FrankRuehl" w:cs="FrankRuehl"/>
          <w:sz w:val="28"/>
          <w:szCs w:val="28"/>
          <w:rtl/>
        </w:rPr>
      </w:pPr>
    </w:p>
    <w:p w14:paraId="1DB82408"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כמו כן מוטל על נאשם 1 קנס בסך 5000 ₪ או חודשיים מאסר תמורתו. הקנס ישולם בחמישה תשלומים חודשיים שווים ועוקבים, החל ביום 1.5.2019. אי עמידה באחד התשלומים יעמיד את יתרת הקנס לפירעון מידי.</w:t>
      </w:r>
    </w:p>
    <w:p w14:paraId="3C4AFFDA" w14:textId="77777777" w:rsidR="00573C4B" w:rsidRDefault="00573C4B" w:rsidP="00573C4B">
      <w:pPr>
        <w:spacing w:line="360" w:lineRule="auto"/>
        <w:jc w:val="both"/>
        <w:rPr>
          <w:rFonts w:ascii="FrankRuehl" w:hAnsi="FrankRuehl" w:cs="FrankRuehl"/>
          <w:sz w:val="28"/>
          <w:szCs w:val="28"/>
          <w:rtl/>
        </w:rPr>
      </w:pPr>
    </w:p>
    <w:p w14:paraId="244629D6"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ab/>
        <w:t xml:space="preserve">נאשם 2 יידון לשלוש שנות מאסר בפועל החל מיום מעצרו 26.6.2018. </w:t>
      </w:r>
    </w:p>
    <w:p w14:paraId="32BFAFD7" w14:textId="77777777" w:rsidR="00573C4B" w:rsidRDefault="00573C4B" w:rsidP="00573C4B">
      <w:pPr>
        <w:spacing w:line="360" w:lineRule="auto"/>
        <w:jc w:val="both"/>
        <w:rPr>
          <w:rFonts w:ascii="FrankRuehl" w:hAnsi="FrankRuehl" w:cs="FrankRuehl"/>
          <w:sz w:val="28"/>
          <w:szCs w:val="28"/>
          <w:rtl/>
        </w:rPr>
      </w:pPr>
    </w:p>
    <w:p w14:paraId="7EC98E50"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בנוסף לכך יידון נאשם 2 לשישה חודשי מאסר על תנאי לשלוש שנים, שלא יעבור על עבירה מסוג פשע לפי </w:t>
      </w:r>
      <w:hyperlink r:id="rId27" w:history="1">
        <w:r w:rsidR="008A0647" w:rsidRPr="008A0647">
          <w:rPr>
            <w:rFonts w:ascii="FrankRuehl" w:hAnsi="FrankRuehl" w:cs="FrankRuehl"/>
            <w:color w:val="0000FF"/>
            <w:sz w:val="28"/>
            <w:szCs w:val="28"/>
            <w:u w:val="single"/>
            <w:rtl/>
          </w:rPr>
          <w:t>סעיף 144</w:t>
        </w:r>
      </w:hyperlink>
      <w:r>
        <w:rPr>
          <w:rFonts w:ascii="FrankRuehl" w:hAnsi="FrankRuehl" w:cs="FrankRuehl" w:hint="cs"/>
          <w:sz w:val="28"/>
          <w:szCs w:val="28"/>
          <w:rtl/>
        </w:rPr>
        <w:t xml:space="preserve"> ל</w:t>
      </w:r>
      <w:hyperlink r:id="rId28" w:history="1">
        <w:r w:rsidR="00F67167" w:rsidRPr="00F67167">
          <w:rPr>
            <w:rStyle w:val="Hyperlink"/>
            <w:rFonts w:ascii="FrankRuehl" w:hAnsi="FrankRuehl" w:cs="FrankRuehl" w:hint="eastAsia"/>
            <w:color w:val="0000FF"/>
            <w:sz w:val="28"/>
            <w:szCs w:val="28"/>
            <w:rtl/>
          </w:rPr>
          <w:t>חוק</w:t>
        </w:r>
        <w:r w:rsidR="00F67167" w:rsidRPr="00F67167">
          <w:rPr>
            <w:rStyle w:val="Hyperlink"/>
            <w:rFonts w:ascii="FrankRuehl" w:hAnsi="FrankRuehl" w:cs="FrankRuehl"/>
            <w:color w:val="0000FF"/>
            <w:sz w:val="28"/>
            <w:szCs w:val="28"/>
            <w:rtl/>
          </w:rPr>
          <w:t xml:space="preserve"> העונשין</w:t>
        </w:r>
      </w:hyperlink>
      <w:r>
        <w:rPr>
          <w:rFonts w:ascii="FrankRuehl" w:hAnsi="FrankRuehl" w:cs="FrankRuehl" w:hint="cs"/>
          <w:sz w:val="28"/>
          <w:szCs w:val="28"/>
          <w:rtl/>
        </w:rPr>
        <w:t xml:space="preserve">. </w:t>
      </w:r>
    </w:p>
    <w:p w14:paraId="156590A5" w14:textId="77777777" w:rsidR="00573C4B" w:rsidRDefault="00573C4B" w:rsidP="00573C4B">
      <w:pPr>
        <w:spacing w:line="360" w:lineRule="auto"/>
        <w:ind w:firstLine="720"/>
        <w:jc w:val="both"/>
        <w:rPr>
          <w:rFonts w:ascii="FrankRuehl" w:hAnsi="FrankRuehl" w:cs="FrankRuehl"/>
          <w:sz w:val="28"/>
          <w:szCs w:val="28"/>
          <w:rtl/>
        </w:rPr>
      </w:pPr>
    </w:p>
    <w:p w14:paraId="746ACDE6"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כמו כן מוטל על נאשם 2 קנס בסך 10,000 ₪ או ארבעה חודשים מאסר תמורתו. הקנס ישולם בעשרה תשלומים חודשיים שווים ועוקבים, החל ביום 1.5.2019. אי עמידה באחד התשלומים יעמיד את יתרת הקנס לפירעון מידי.</w:t>
      </w:r>
    </w:p>
    <w:p w14:paraId="4069E717" w14:textId="77777777" w:rsidR="00573C4B" w:rsidRDefault="00573C4B" w:rsidP="00573C4B">
      <w:pPr>
        <w:spacing w:line="360" w:lineRule="auto"/>
        <w:jc w:val="both"/>
        <w:rPr>
          <w:rFonts w:ascii="FrankRuehl" w:hAnsi="FrankRuehl" w:cs="FrankRuehl"/>
          <w:sz w:val="28"/>
          <w:szCs w:val="28"/>
          <w:rtl/>
        </w:rPr>
      </w:pPr>
    </w:p>
    <w:p w14:paraId="39D344FB" w14:textId="77777777" w:rsidR="00573C4B" w:rsidRDefault="00573C4B" w:rsidP="00573C4B">
      <w:pPr>
        <w:spacing w:line="360" w:lineRule="auto"/>
        <w:jc w:val="both"/>
        <w:rPr>
          <w:rFonts w:ascii="FrankRuehl" w:hAnsi="FrankRuehl" w:cs="FrankRuehl"/>
          <w:sz w:val="28"/>
          <w:szCs w:val="28"/>
          <w:rtl/>
        </w:rPr>
      </w:pPr>
      <w:r>
        <w:rPr>
          <w:rFonts w:ascii="FrankRuehl" w:hAnsi="FrankRuehl" w:cs="FrankRuehl" w:hint="cs"/>
          <w:sz w:val="28"/>
          <w:szCs w:val="28"/>
          <w:rtl/>
        </w:rPr>
        <w:tab/>
        <w:t xml:space="preserve">נאשם 3 יידון לשנתיים מאסר בפועל מיום מעצרו 26.6.2018. </w:t>
      </w:r>
    </w:p>
    <w:p w14:paraId="790A3309" w14:textId="77777777" w:rsidR="00573C4B" w:rsidRDefault="00573C4B" w:rsidP="00573C4B">
      <w:pPr>
        <w:spacing w:line="360" w:lineRule="auto"/>
        <w:jc w:val="both"/>
        <w:rPr>
          <w:rFonts w:ascii="FrankRuehl" w:hAnsi="FrankRuehl" w:cs="FrankRuehl"/>
          <w:sz w:val="28"/>
          <w:szCs w:val="28"/>
          <w:rtl/>
        </w:rPr>
      </w:pPr>
    </w:p>
    <w:p w14:paraId="1754E904"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 xml:space="preserve">בנוסף לכך יידון נאשם 3 לשישה חודשי מאסר על תנאי לשלוש שנים, שלא יעבור על עבירה מסוג פשע לפי </w:t>
      </w:r>
      <w:hyperlink r:id="rId29" w:history="1">
        <w:r w:rsidR="008A0647" w:rsidRPr="008A0647">
          <w:rPr>
            <w:rFonts w:ascii="FrankRuehl" w:hAnsi="FrankRuehl" w:cs="FrankRuehl"/>
            <w:color w:val="0000FF"/>
            <w:sz w:val="28"/>
            <w:szCs w:val="28"/>
            <w:u w:val="single"/>
            <w:rtl/>
          </w:rPr>
          <w:t>סעיף 144</w:t>
        </w:r>
      </w:hyperlink>
      <w:r>
        <w:rPr>
          <w:rFonts w:ascii="FrankRuehl" w:hAnsi="FrankRuehl" w:cs="FrankRuehl" w:hint="cs"/>
          <w:sz w:val="28"/>
          <w:szCs w:val="28"/>
          <w:rtl/>
        </w:rPr>
        <w:t xml:space="preserve"> ל</w:t>
      </w:r>
      <w:hyperlink r:id="rId30" w:history="1">
        <w:r w:rsidR="00F67167" w:rsidRPr="00F67167">
          <w:rPr>
            <w:rStyle w:val="Hyperlink"/>
            <w:rFonts w:ascii="FrankRuehl" w:hAnsi="FrankRuehl" w:cs="FrankRuehl" w:hint="eastAsia"/>
            <w:color w:val="0000FF"/>
            <w:sz w:val="28"/>
            <w:szCs w:val="28"/>
            <w:rtl/>
          </w:rPr>
          <w:t>חוק</w:t>
        </w:r>
        <w:r w:rsidR="00F67167" w:rsidRPr="00F67167">
          <w:rPr>
            <w:rStyle w:val="Hyperlink"/>
            <w:rFonts w:ascii="FrankRuehl" w:hAnsi="FrankRuehl" w:cs="FrankRuehl"/>
            <w:color w:val="0000FF"/>
            <w:sz w:val="28"/>
            <w:szCs w:val="28"/>
            <w:rtl/>
          </w:rPr>
          <w:t xml:space="preserve"> העונשין</w:t>
        </w:r>
      </w:hyperlink>
      <w:r>
        <w:rPr>
          <w:rFonts w:ascii="FrankRuehl" w:hAnsi="FrankRuehl" w:cs="FrankRuehl" w:hint="cs"/>
          <w:sz w:val="28"/>
          <w:szCs w:val="28"/>
          <w:rtl/>
        </w:rPr>
        <w:t xml:space="preserve">. </w:t>
      </w:r>
    </w:p>
    <w:p w14:paraId="2F7C04F6" w14:textId="77777777" w:rsidR="00573C4B" w:rsidRDefault="00573C4B" w:rsidP="00573C4B">
      <w:pPr>
        <w:spacing w:line="360" w:lineRule="auto"/>
        <w:ind w:firstLine="720"/>
        <w:jc w:val="both"/>
        <w:rPr>
          <w:rFonts w:ascii="FrankRuehl" w:hAnsi="FrankRuehl" w:cs="FrankRuehl"/>
          <w:sz w:val="28"/>
          <w:szCs w:val="28"/>
          <w:rtl/>
        </w:rPr>
      </w:pPr>
    </w:p>
    <w:p w14:paraId="43D72849" w14:textId="77777777" w:rsidR="00573C4B" w:rsidRDefault="00573C4B" w:rsidP="00573C4B">
      <w:pPr>
        <w:spacing w:line="360" w:lineRule="auto"/>
        <w:ind w:firstLine="720"/>
        <w:jc w:val="both"/>
        <w:rPr>
          <w:rFonts w:ascii="FrankRuehl" w:hAnsi="FrankRuehl" w:cs="FrankRuehl"/>
          <w:sz w:val="28"/>
          <w:szCs w:val="28"/>
          <w:rtl/>
        </w:rPr>
      </w:pPr>
      <w:r>
        <w:rPr>
          <w:rFonts w:ascii="FrankRuehl" w:hAnsi="FrankRuehl" w:cs="FrankRuehl" w:hint="cs"/>
          <w:sz w:val="28"/>
          <w:szCs w:val="28"/>
          <w:rtl/>
        </w:rPr>
        <w:t>כמו כן מוטל על נאשם 3 קנס בסך 3000 ₪ או 45 ימי מאסר תמורתו. הקנס ישולם בשלושה תשלומים חודשיים שווים ועוקבים, החל ביום 1.5.2019. אי עמידה באחד התשלומים יעמיד את יתרת הקנס לפירעון מידי.</w:t>
      </w:r>
    </w:p>
    <w:p w14:paraId="303146F9" w14:textId="77777777" w:rsidR="00573C4B" w:rsidRDefault="00573C4B" w:rsidP="00573C4B">
      <w:pPr>
        <w:spacing w:line="360" w:lineRule="auto"/>
        <w:jc w:val="both"/>
        <w:rPr>
          <w:rFonts w:ascii="FrankRuehl" w:hAnsi="FrankRuehl" w:cs="FrankRuehl"/>
          <w:sz w:val="28"/>
          <w:szCs w:val="28"/>
          <w:rtl/>
        </w:rPr>
      </w:pPr>
    </w:p>
    <w:p w14:paraId="6D7C78C0" w14:textId="77777777" w:rsidR="00573C4B" w:rsidRDefault="00573C4B" w:rsidP="00573C4B">
      <w:pPr>
        <w:spacing w:line="360" w:lineRule="auto"/>
        <w:jc w:val="both"/>
        <w:rPr>
          <w:rFonts w:ascii="FrankRuehl" w:hAnsi="FrankRuehl" w:cs="FrankRuehl" w:hint="cs"/>
          <w:sz w:val="28"/>
          <w:szCs w:val="28"/>
          <w:rtl/>
        </w:rPr>
      </w:pPr>
      <w:r>
        <w:rPr>
          <w:rFonts w:ascii="FrankRuehl" w:hAnsi="FrankRuehl" w:cs="FrankRuehl" w:hint="cs"/>
          <w:sz w:val="28"/>
          <w:szCs w:val="28"/>
          <w:rtl/>
        </w:rPr>
        <w:t>זכות ערעור לבית המשפט העליון תוך 45 יום.</w:t>
      </w:r>
      <w:r w:rsidR="00E85585">
        <w:rPr>
          <w:rFonts w:ascii="FrankRuehl" w:hAnsi="FrankRuehl" w:cs="FrankRuehl" w:hint="cs"/>
          <w:sz w:val="28"/>
          <w:szCs w:val="28"/>
          <w:rtl/>
        </w:rPr>
        <w:t xml:space="preserve">   </w:t>
      </w:r>
    </w:p>
    <w:p w14:paraId="5B3143BA" w14:textId="77777777" w:rsidR="00573C4B" w:rsidRPr="00F67167" w:rsidRDefault="00F67167" w:rsidP="00573C4B">
      <w:pPr>
        <w:spacing w:line="360" w:lineRule="auto"/>
        <w:jc w:val="both"/>
        <w:rPr>
          <w:color w:val="FFFFFF"/>
          <w:sz w:val="2"/>
          <w:szCs w:val="2"/>
          <w:rtl/>
        </w:rPr>
      </w:pPr>
      <w:r w:rsidRPr="00F67167">
        <w:rPr>
          <w:rFonts w:ascii="FrankRuehl" w:hAnsi="FrankRuehl" w:cs="FrankRuehl"/>
          <w:color w:val="FFFFFF"/>
          <w:sz w:val="2"/>
          <w:szCs w:val="2"/>
          <w:rtl/>
        </w:rPr>
        <w:t>5129371</w:t>
      </w:r>
      <w:r w:rsidR="00573C4B" w:rsidRPr="00F67167">
        <w:rPr>
          <w:rFonts w:ascii="FrankRuehl" w:hAnsi="FrankRuehl" w:cs="FrankRuehl" w:hint="cs"/>
          <w:color w:val="FFFFFF"/>
          <w:sz w:val="2"/>
          <w:szCs w:val="2"/>
          <w:rtl/>
        </w:rPr>
        <w:t xml:space="preserve">   </w:t>
      </w:r>
      <w:r w:rsidR="00573C4B" w:rsidRPr="00F67167">
        <w:rPr>
          <w:rFonts w:ascii="FrankRuehl" w:hAnsi="FrankRuehl" w:cs="FrankRuehl" w:hint="cs"/>
          <w:color w:val="FFFFFF"/>
          <w:sz w:val="2"/>
          <w:szCs w:val="2"/>
          <w:rtl/>
        </w:rPr>
        <w:tab/>
      </w:r>
      <w:r w:rsidR="00573C4B" w:rsidRPr="00F67167">
        <w:rPr>
          <w:rFonts w:ascii="FrankRuehl" w:hAnsi="FrankRuehl" w:cs="FrankRuehl" w:hint="cs"/>
          <w:color w:val="FFFFFF"/>
          <w:sz w:val="2"/>
          <w:szCs w:val="2"/>
          <w:rtl/>
        </w:rPr>
        <w:tab/>
      </w:r>
      <w:r w:rsidR="00573C4B" w:rsidRPr="00F67167">
        <w:rPr>
          <w:rFonts w:ascii="FrankRuehl" w:hAnsi="FrankRuehl" w:cs="FrankRuehl" w:hint="cs"/>
          <w:color w:val="FFFFFF"/>
          <w:sz w:val="2"/>
          <w:szCs w:val="2"/>
          <w:rtl/>
        </w:rPr>
        <w:tab/>
      </w:r>
      <w:r w:rsidR="00573C4B" w:rsidRPr="00F67167">
        <w:rPr>
          <w:rFonts w:ascii="FrankRuehl" w:hAnsi="FrankRuehl" w:cs="FrankRuehl" w:hint="cs"/>
          <w:color w:val="FFFFFF"/>
          <w:sz w:val="2"/>
          <w:szCs w:val="2"/>
          <w:rtl/>
        </w:rPr>
        <w:tab/>
      </w:r>
    </w:p>
    <w:tbl>
      <w:tblPr>
        <w:bidiVisual/>
        <w:tblW w:w="0" w:type="auto"/>
        <w:tblInd w:w="5377" w:type="dxa"/>
        <w:tblLook w:val="01E0" w:firstRow="1" w:lastRow="1" w:firstColumn="1" w:lastColumn="1" w:noHBand="0" w:noVBand="0"/>
      </w:tblPr>
      <w:tblGrid>
        <w:gridCol w:w="2357"/>
      </w:tblGrid>
      <w:tr w:rsidR="00573C4B" w14:paraId="7ABE8F96" w14:textId="77777777" w:rsidTr="00573C4B">
        <w:tc>
          <w:tcPr>
            <w:tcW w:w="2357" w:type="dxa"/>
            <w:tcBorders>
              <w:bottom w:val="single" w:sz="4" w:space="0" w:color="auto"/>
            </w:tcBorders>
            <w:shd w:val="clear" w:color="auto" w:fill="auto"/>
          </w:tcPr>
          <w:p w14:paraId="0C0018A8" w14:textId="77777777" w:rsidR="00573C4B" w:rsidRPr="004B4593" w:rsidRDefault="00F67167" w:rsidP="00573C4B">
            <w:pPr>
              <w:spacing w:before="40" w:after="40"/>
              <w:ind w:left="63"/>
              <w:jc w:val="center"/>
              <w:rPr>
                <w:rtl/>
              </w:rPr>
            </w:pPr>
            <w:r w:rsidRPr="00F67167">
              <w:rPr>
                <w:rFonts w:ascii="Arial" w:hAnsi="Arial"/>
                <w:color w:val="FFFFFF"/>
                <w:sz w:val="2"/>
                <w:szCs w:val="2"/>
                <w:rtl/>
              </w:rPr>
              <w:t>54678313</w:t>
            </w:r>
            <w:r>
              <w:rPr>
                <w:rFonts w:ascii="Arial" w:hAnsi="Arial"/>
                <w:rtl/>
              </w:rPr>
              <w:t xml:space="preserve">ניתן היום,  י"ב אדר א' תשע"ט, 17 פברואר 2019, בהעדר הצדדים.   </w:t>
            </w:r>
          </w:p>
        </w:tc>
      </w:tr>
      <w:tr w:rsidR="00573C4B" w14:paraId="7C550C07" w14:textId="77777777" w:rsidTr="00573C4B">
        <w:tc>
          <w:tcPr>
            <w:tcW w:w="2357" w:type="dxa"/>
            <w:tcBorders>
              <w:top w:val="single" w:sz="4" w:space="0" w:color="auto"/>
            </w:tcBorders>
            <w:shd w:val="clear" w:color="auto" w:fill="auto"/>
          </w:tcPr>
          <w:p w14:paraId="7B977449" w14:textId="77777777" w:rsidR="00573C4B" w:rsidRPr="00573C4B" w:rsidRDefault="00573C4B" w:rsidP="00573C4B">
            <w:pPr>
              <w:tabs>
                <w:tab w:val="center" w:pos="1039"/>
              </w:tabs>
              <w:spacing w:before="40" w:after="40"/>
              <w:rPr>
                <w:b/>
                <w:bCs/>
                <w:rtl/>
              </w:rPr>
            </w:pPr>
            <w:r w:rsidRPr="00573C4B">
              <w:rPr>
                <w:rFonts w:hint="cs"/>
                <w:b/>
                <w:bCs/>
                <w:rtl/>
              </w:rPr>
              <w:t>אלי אברבנאל, שופט</w:t>
            </w:r>
          </w:p>
        </w:tc>
      </w:tr>
    </w:tbl>
    <w:p w14:paraId="65BB5DF4" w14:textId="77777777" w:rsidR="00573C4B" w:rsidRPr="008A0647" w:rsidRDefault="008A0647" w:rsidP="00573C4B">
      <w:pPr>
        <w:rPr>
          <w:color w:val="FFFFFF"/>
          <w:sz w:val="2"/>
          <w:szCs w:val="2"/>
        </w:rPr>
      </w:pPr>
      <w:r w:rsidRPr="008A0647">
        <w:rPr>
          <w:color w:val="FFFFFF"/>
          <w:sz w:val="2"/>
          <w:szCs w:val="2"/>
          <w:rtl/>
        </w:rPr>
        <w:t>5129371</w:t>
      </w:r>
    </w:p>
    <w:p w14:paraId="60104BC1" w14:textId="77777777" w:rsidR="00B75DD3" w:rsidRPr="008A0647" w:rsidRDefault="008A0647" w:rsidP="00F67167">
      <w:pPr>
        <w:keepNext/>
        <w:rPr>
          <w:rFonts w:ascii="David" w:hAnsi="David"/>
          <w:color w:val="FFFFFF"/>
          <w:sz w:val="2"/>
          <w:szCs w:val="2"/>
          <w:rtl/>
        </w:rPr>
      </w:pPr>
      <w:r w:rsidRPr="008A0647">
        <w:rPr>
          <w:rFonts w:ascii="David" w:hAnsi="David"/>
          <w:color w:val="FFFFFF"/>
          <w:sz w:val="2"/>
          <w:szCs w:val="2"/>
          <w:rtl/>
        </w:rPr>
        <w:t>54678313</w:t>
      </w:r>
    </w:p>
    <w:p w14:paraId="6C371D74" w14:textId="77777777" w:rsidR="00F67167" w:rsidRPr="00F67167" w:rsidRDefault="00F67167" w:rsidP="00F67167">
      <w:pPr>
        <w:keepNext/>
        <w:rPr>
          <w:rFonts w:ascii="David" w:hAnsi="David"/>
          <w:color w:val="000000"/>
          <w:sz w:val="22"/>
          <w:szCs w:val="22"/>
          <w:rtl/>
        </w:rPr>
      </w:pPr>
      <w:r w:rsidRPr="00F67167">
        <w:rPr>
          <w:rFonts w:ascii="David" w:hAnsi="David"/>
          <w:color w:val="000000"/>
          <w:sz w:val="22"/>
          <w:szCs w:val="22"/>
          <w:rtl/>
        </w:rPr>
        <w:t>אלי אברבנאל 54678313</w:t>
      </w:r>
    </w:p>
    <w:p w14:paraId="1971CC07" w14:textId="77777777" w:rsidR="00F67167" w:rsidRDefault="00F67167" w:rsidP="00F67167">
      <w:r w:rsidRPr="00F67167">
        <w:rPr>
          <w:color w:val="000000"/>
          <w:rtl/>
        </w:rPr>
        <w:t>נוסח מסמך זה כפוף לשינויי ניסוח ועריכה</w:t>
      </w:r>
    </w:p>
    <w:p w14:paraId="3DACD6C6" w14:textId="77777777" w:rsidR="00F67167" w:rsidRDefault="00F67167" w:rsidP="00F67167">
      <w:pPr>
        <w:rPr>
          <w:rtl/>
        </w:rPr>
      </w:pPr>
    </w:p>
    <w:p w14:paraId="2AB8468B" w14:textId="77777777" w:rsidR="00F67167" w:rsidRDefault="00F67167" w:rsidP="00F67167">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7A770973" w14:textId="77777777" w:rsidR="008A0647" w:rsidRPr="008A0647" w:rsidRDefault="008A0647" w:rsidP="008A0647">
      <w:pPr>
        <w:keepNext/>
        <w:rPr>
          <w:rFonts w:ascii="David" w:hAnsi="David"/>
          <w:color w:val="000000"/>
          <w:sz w:val="22"/>
          <w:szCs w:val="22"/>
          <w:rtl/>
        </w:rPr>
      </w:pPr>
    </w:p>
    <w:p w14:paraId="43B28181" w14:textId="77777777" w:rsidR="00F67167" w:rsidRPr="00F67167" w:rsidRDefault="00F67167" w:rsidP="008A0647">
      <w:pPr>
        <w:rPr>
          <w:color w:val="0000FF"/>
          <w:u w:val="single"/>
        </w:rPr>
      </w:pPr>
    </w:p>
    <w:sectPr w:rsidR="00F67167" w:rsidRPr="00F67167" w:rsidSect="008A0647">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18C18B" w14:textId="77777777" w:rsidR="00B738F1" w:rsidRDefault="00B738F1" w:rsidP="00DF10FF">
      <w:r>
        <w:separator/>
      </w:r>
    </w:p>
  </w:endnote>
  <w:endnote w:type="continuationSeparator" w:id="0">
    <w:p w14:paraId="21AF2415" w14:textId="77777777" w:rsidR="00B738F1" w:rsidRDefault="00B738F1" w:rsidP="00DF1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1F614" w14:textId="77777777" w:rsidR="008A0647" w:rsidRDefault="008A0647" w:rsidP="008A06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78A00C8" w14:textId="77777777" w:rsidR="00140FEE" w:rsidRPr="008A0647" w:rsidRDefault="008A0647" w:rsidP="008A0647">
    <w:pPr>
      <w:pStyle w:val="a5"/>
      <w:pBdr>
        <w:top w:val="single" w:sz="4" w:space="1" w:color="auto"/>
        <w:between w:val="single" w:sz="4" w:space="0" w:color="auto"/>
      </w:pBdr>
      <w:spacing w:after="60"/>
      <w:jc w:val="center"/>
      <w:rPr>
        <w:rFonts w:ascii="FrankRuehl" w:hAnsi="FrankRuehl" w:cs="FrankRuehl"/>
        <w:color w:val="000000"/>
      </w:rPr>
    </w:pPr>
    <w:r w:rsidRPr="008A06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3F458" w14:textId="77777777" w:rsidR="008A0647" w:rsidRDefault="008A0647" w:rsidP="008A064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92911">
      <w:rPr>
        <w:rFonts w:ascii="FrankRuehl" w:hAnsi="FrankRuehl" w:cs="FrankRuehl"/>
        <w:noProof/>
        <w:rtl/>
      </w:rPr>
      <w:t>1</w:t>
    </w:r>
    <w:r>
      <w:rPr>
        <w:rFonts w:ascii="FrankRuehl" w:hAnsi="FrankRuehl" w:cs="FrankRuehl"/>
        <w:rtl/>
      </w:rPr>
      <w:fldChar w:fldCharType="end"/>
    </w:r>
  </w:p>
  <w:p w14:paraId="4281BC6B" w14:textId="77777777" w:rsidR="00140FEE" w:rsidRPr="008A0647" w:rsidRDefault="008A0647" w:rsidP="008A0647">
    <w:pPr>
      <w:pStyle w:val="a5"/>
      <w:pBdr>
        <w:top w:val="single" w:sz="4" w:space="1" w:color="auto"/>
        <w:between w:val="single" w:sz="4" w:space="0" w:color="auto"/>
      </w:pBdr>
      <w:spacing w:after="60"/>
      <w:jc w:val="center"/>
      <w:rPr>
        <w:rFonts w:ascii="FrankRuehl" w:hAnsi="FrankRuehl" w:cs="FrankRuehl"/>
        <w:color w:val="000000"/>
      </w:rPr>
    </w:pPr>
    <w:r w:rsidRPr="008A0647">
      <w:rPr>
        <w:rFonts w:ascii="FrankRuehl" w:hAnsi="FrankRuehl" w:cs="FrankRuehl"/>
        <w:color w:val="000000"/>
      </w:rPr>
      <w:pict w14:anchorId="6B3D70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6CC5EC" w14:textId="77777777" w:rsidR="00B738F1" w:rsidRDefault="00B738F1" w:rsidP="00DF10FF">
      <w:r>
        <w:separator/>
      </w:r>
    </w:p>
  </w:footnote>
  <w:footnote w:type="continuationSeparator" w:id="0">
    <w:p w14:paraId="10D31CAF" w14:textId="77777777" w:rsidR="00B738F1" w:rsidRDefault="00B738F1" w:rsidP="00DF10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43AEF" w14:textId="77777777" w:rsidR="00F67167" w:rsidRPr="008A0647" w:rsidRDefault="008A0647" w:rsidP="008A06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21971-07-18</w:t>
    </w:r>
    <w:r>
      <w:rPr>
        <w:rFonts w:ascii="David" w:hAnsi="David"/>
        <w:color w:val="000000"/>
        <w:sz w:val="22"/>
        <w:szCs w:val="22"/>
        <w:rtl/>
      </w:rPr>
      <w:tab/>
      <w:t xml:space="preserve"> מדינת ישראל נ' סאלם גווילס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1B052" w14:textId="77777777" w:rsidR="00F67167" w:rsidRPr="008A0647" w:rsidRDefault="008A0647" w:rsidP="008A06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21971-07-18</w:t>
    </w:r>
    <w:r>
      <w:rPr>
        <w:rFonts w:ascii="David" w:hAnsi="David"/>
        <w:color w:val="000000"/>
        <w:sz w:val="22"/>
        <w:szCs w:val="22"/>
        <w:rtl/>
      </w:rPr>
      <w:tab/>
      <w:t xml:space="preserve"> מדינת ישראל נ' סאלם גווילס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73C4B"/>
    <w:rsid w:val="00140FEE"/>
    <w:rsid w:val="00381020"/>
    <w:rsid w:val="00573C4B"/>
    <w:rsid w:val="005E5761"/>
    <w:rsid w:val="00726400"/>
    <w:rsid w:val="007A328A"/>
    <w:rsid w:val="008A0647"/>
    <w:rsid w:val="00992911"/>
    <w:rsid w:val="00B738F1"/>
    <w:rsid w:val="00B75DD3"/>
    <w:rsid w:val="00DF10FF"/>
    <w:rsid w:val="00E85585"/>
    <w:rsid w:val="00F67167"/>
    <w:rsid w:val="00FF33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2A4EF7B"/>
  <w15:chartTrackingRefBased/>
  <w15:docId w15:val="{0FA78350-6B15-42B6-88DA-13C14C1E1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73C4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73C4B"/>
    <w:pPr>
      <w:tabs>
        <w:tab w:val="center" w:pos="4153"/>
        <w:tab w:val="right" w:pos="8306"/>
      </w:tabs>
    </w:pPr>
  </w:style>
  <w:style w:type="character" w:customStyle="1" w:styleId="a4">
    <w:name w:val="כותרת עליונה תו"/>
    <w:link w:val="a3"/>
    <w:rsid w:val="00573C4B"/>
    <w:rPr>
      <w:rFonts w:ascii="Times New Roman" w:eastAsia="Times New Roman" w:hAnsi="Times New Roman" w:cs="David"/>
      <w:sz w:val="24"/>
      <w:szCs w:val="24"/>
    </w:rPr>
  </w:style>
  <w:style w:type="paragraph" w:styleId="a5">
    <w:name w:val="footer"/>
    <w:basedOn w:val="a"/>
    <w:link w:val="a6"/>
    <w:rsid w:val="00573C4B"/>
    <w:pPr>
      <w:tabs>
        <w:tab w:val="center" w:pos="4153"/>
        <w:tab w:val="right" w:pos="8306"/>
      </w:tabs>
    </w:pPr>
  </w:style>
  <w:style w:type="character" w:customStyle="1" w:styleId="a6">
    <w:name w:val="כותרת תחתונה תו"/>
    <w:link w:val="a5"/>
    <w:rsid w:val="00573C4B"/>
    <w:rPr>
      <w:rFonts w:ascii="Times New Roman" w:eastAsia="Times New Roman" w:hAnsi="Times New Roman" w:cs="David"/>
      <w:sz w:val="24"/>
      <w:szCs w:val="24"/>
    </w:rPr>
  </w:style>
  <w:style w:type="table" w:styleId="a7">
    <w:name w:val="Table Grid"/>
    <w:basedOn w:val="a1"/>
    <w:rsid w:val="00573C4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73C4B"/>
  </w:style>
  <w:style w:type="paragraph" w:customStyle="1" w:styleId="David">
    <w:name w:val="סגנון (עברית ושפות אחרות) David מיושר לשני הצדדים מרווח בין שורות..."/>
    <w:basedOn w:val="a"/>
    <w:rsid w:val="00573C4B"/>
    <w:pPr>
      <w:spacing w:line="360" w:lineRule="auto"/>
      <w:jc w:val="both"/>
    </w:pPr>
  </w:style>
  <w:style w:type="character" w:styleId="Hyperlink">
    <w:name w:val="Hyperlink"/>
    <w:rsid w:val="00F6716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70301/25" TargetMode="External"/><Relationship Id="rId26" Type="http://schemas.openxmlformats.org/officeDocument/2006/relationships/hyperlink" Target="http://www.nevo.co.il/law/70301" TargetMode="External"/><Relationship Id="rId21" Type="http://schemas.openxmlformats.org/officeDocument/2006/relationships/hyperlink" Target="http://www.nevo.co.il/law/70301/25" TargetMode="External"/><Relationship Id="rId34" Type="http://schemas.openxmlformats.org/officeDocument/2006/relationships/footer" Target="footer1.xml"/><Relationship Id="rId7" Type="http://schemas.openxmlformats.org/officeDocument/2006/relationships/hyperlink" Target="http://www.nevo.co.il/law/70301/25" TargetMode="External"/><Relationship Id="rId12" Type="http://schemas.openxmlformats.org/officeDocument/2006/relationships/hyperlink" Target="http://www.nevo.co.il/law/70301/144.b3" TargetMode="External"/><Relationship Id="rId17" Type="http://schemas.openxmlformats.org/officeDocument/2006/relationships/hyperlink" Target="http://www.nevo.co.il/law/70301/499.a.1" TargetMode="External"/><Relationship Id="rId25" Type="http://schemas.openxmlformats.org/officeDocument/2006/relationships/hyperlink" Target="http://www.nevo.co.il/law/70301/144" TargetMode="External"/><Relationship Id="rId33"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70301/144.b" TargetMode="External"/><Relationship Id="rId20" Type="http://schemas.openxmlformats.org/officeDocument/2006/relationships/hyperlink" Target="http://www.nevo.co.il/law/70301/144.b3" TargetMode="External"/><Relationship Id="rId29" Type="http://schemas.openxmlformats.org/officeDocument/2006/relationships/hyperlink" Target="http://www.nevo.co.il/law/70301/14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23750625"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70301" TargetMode="External"/><Relationship Id="rId36"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law/70301/499.a.1" TargetMode="External"/><Relationship Id="rId31"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70301/144"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31" TargetMode="External"/><Relationship Id="rId27" Type="http://schemas.openxmlformats.org/officeDocument/2006/relationships/hyperlink" Target="http://www.nevo.co.il/law/70301/144" TargetMode="External"/><Relationship Id="rId30" Type="http://schemas.openxmlformats.org/officeDocument/2006/relationships/hyperlink" Target="http://www.nevo.co.il/law/70301" TargetMode="External"/><Relationship Id="rId35" Type="http://schemas.openxmlformats.org/officeDocument/2006/relationships/footer" Target="footer2.xml"/><Relationship Id="rId8" Type="http://schemas.openxmlformats.org/officeDocument/2006/relationships/hyperlink" Target="http://www.nevo.co.il/law/70301/31"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2661</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15936</CharactersWithSpaces>
  <SharedDoc>false</SharedDoc>
  <HLinks>
    <vt:vector size="156" baseType="variant">
      <vt:variant>
        <vt:i4>393283</vt:i4>
      </vt:variant>
      <vt:variant>
        <vt:i4>75</vt:i4>
      </vt:variant>
      <vt:variant>
        <vt:i4>0</vt:i4>
      </vt:variant>
      <vt:variant>
        <vt:i4>5</vt:i4>
      </vt:variant>
      <vt:variant>
        <vt:lpwstr>http://www.nevo.co.il/advertisements/nevo-100.doc</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6357092</vt:i4>
      </vt:variant>
      <vt:variant>
        <vt:i4>69</vt:i4>
      </vt:variant>
      <vt:variant>
        <vt:i4>0</vt:i4>
      </vt:variant>
      <vt:variant>
        <vt:i4>5</vt:i4>
      </vt:variant>
      <vt:variant>
        <vt:lpwstr>http://www.nevo.co.il/law/70301/144</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6357092</vt:i4>
      </vt:variant>
      <vt:variant>
        <vt:i4>63</vt:i4>
      </vt:variant>
      <vt:variant>
        <vt:i4>0</vt:i4>
      </vt:variant>
      <vt:variant>
        <vt:i4>5</vt:i4>
      </vt:variant>
      <vt:variant>
        <vt:lpwstr>http://www.nevo.co.il/law/70301/144</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6357092</vt:i4>
      </vt:variant>
      <vt:variant>
        <vt:i4>57</vt:i4>
      </vt:variant>
      <vt:variant>
        <vt:i4>0</vt:i4>
      </vt:variant>
      <vt:variant>
        <vt:i4>5</vt:i4>
      </vt:variant>
      <vt:variant>
        <vt:lpwstr>http://www.nevo.co.il/law/70301/144</vt:lpwstr>
      </vt:variant>
      <vt:variant>
        <vt:lpwstr/>
      </vt:variant>
      <vt:variant>
        <vt:i4>3604596</vt:i4>
      </vt:variant>
      <vt:variant>
        <vt:i4>54</vt:i4>
      </vt:variant>
      <vt:variant>
        <vt:i4>0</vt:i4>
      </vt:variant>
      <vt:variant>
        <vt:i4>5</vt:i4>
      </vt:variant>
      <vt:variant>
        <vt:lpwstr>http://www.nevo.co.il/case/23750625</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6553702</vt:i4>
      </vt:variant>
      <vt:variant>
        <vt:i4>48</vt:i4>
      </vt:variant>
      <vt:variant>
        <vt:i4>0</vt:i4>
      </vt:variant>
      <vt:variant>
        <vt:i4>5</vt:i4>
      </vt:variant>
      <vt:variant>
        <vt:lpwstr>http://www.nevo.co.il/law/70301/31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8126514</vt:i4>
      </vt:variant>
      <vt:variant>
        <vt:i4>42</vt:i4>
      </vt:variant>
      <vt:variant>
        <vt:i4>0</vt:i4>
      </vt:variant>
      <vt:variant>
        <vt:i4>5</vt:i4>
      </vt:variant>
      <vt:variant>
        <vt:lpwstr>http://www.nevo.co.il/law/70301/144.b3</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7995492</vt:i4>
      </vt:variant>
      <vt:variant>
        <vt:i4>27</vt:i4>
      </vt:variant>
      <vt:variant>
        <vt:i4>0</vt:i4>
      </vt:variant>
      <vt:variant>
        <vt:i4>5</vt:i4>
      </vt:variant>
      <vt:variant>
        <vt:lpwstr>http://www.nevo.co.il/law/70301</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8126514</vt:i4>
      </vt:variant>
      <vt:variant>
        <vt:i4>18</vt:i4>
      </vt:variant>
      <vt:variant>
        <vt:i4>0</vt:i4>
      </vt:variant>
      <vt:variant>
        <vt:i4>5</vt:i4>
      </vt:variant>
      <vt:variant>
        <vt:lpwstr>http://www.nevo.co.il/law/70301/144.b3</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2025-04-25T10:43:00Z</dcterms:created>
  <dcterms:modified xsi:type="dcterms:W3CDTF">2025-04-25T10:43:00Z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21971</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סאלם גווילס;חמדי עבדאלקאדר;חסאם עבדאלקארד</vt:lpwstr>
  </property>
  <property fmtid="{D5CDD505-2E9C-101B-9397-08002B2CF9AE}" pid="10" name="LAWYER">
    <vt:lpwstr>אביעד דואק;רמי רושרוש;אמיר נבון</vt:lpwstr>
  </property>
  <property fmtid="{D5CDD505-2E9C-101B-9397-08002B2CF9AE}" pid="11" name="JUDGE">
    <vt:lpwstr>אלי אברבנאל</vt:lpwstr>
  </property>
  <property fmtid="{D5CDD505-2E9C-101B-9397-08002B2CF9AE}" pid="12" name="CITY">
    <vt:lpwstr>י-ם</vt:lpwstr>
  </property>
  <property fmtid="{D5CDD505-2E9C-101B-9397-08002B2CF9AE}" pid="13" name="DATE">
    <vt:lpwstr>20190217</vt:lpwstr>
  </property>
  <property fmtid="{D5CDD505-2E9C-101B-9397-08002B2CF9AE}" pid="14" name="TYPE_N_DATE">
    <vt:lpwstr>39020190217</vt:lpwstr>
  </property>
  <property fmtid="{D5CDD505-2E9C-101B-9397-08002B2CF9AE}" pid="15" name="CASESLISTTMP1">
    <vt:lpwstr>23750625</vt:lpwstr>
  </property>
  <property fmtid="{D5CDD505-2E9C-101B-9397-08002B2CF9AE}" pid="16" name="CASENOTES1">
    <vt:lpwstr>ProcID=235&amp;PartA=30&amp;PartC=60</vt:lpwstr>
  </property>
  <property fmtid="{D5CDD505-2E9C-101B-9397-08002B2CF9AE}" pid="17" name="WORDNUMPAGES">
    <vt:lpwstr>10</vt:lpwstr>
  </property>
  <property fmtid="{D5CDD505-2E9C-101B-9397-08002B2CF9AE}" pid="18" name="TYPE_ABS_DATE">
    <vt:lpwstr>390020190217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70301/144.b2;144.b:2;499.a.1:2;025:2;144.b3;031;144:3</vt:lpwstr>
  </property>
</Properties>
</file>