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652" w:type="dxa"/>
        <w:jc w:val="center"/>
        <w:tblLook w:val="0000" w:firstRow="0" w:lastRow="0" w:firstColumn="0" w:lastColumn="0" w:noHBand="0" w:noVBand="0"/>
      </w:tblPr>
      <w:tblGrid>
        <w:gridCol w:w="3547"/>
        <w:gridCol w:w="1490"/>
        <w:gridCol w:w="3615"/>
      </w:tblGrid>
      <w:tr w:rsidR="00CE63F1" w:rsidRPr="00A31FD2" w14:paraId="78EBDD6D" w14:textId="77777777" w:rsidTr="00DB7C8D">
        <w:trPr>
          <w:trHeight w:hRule="exact" w:val="418"/>
          <w:jc w:val="center"/>
        </w:trPr>
        <w:tc>
          <w:tcPr>
            <w:tcW w:w="8652" w:type="dxa"/>
            <w:gridSpan w:val="3"/>
          </w:tcPr>
          <w:p w14:paraId="69839B5B" w14:textId="77777777" w:rsidR="00CE63F1" w:rsidRPr="00A31FD2" w:rsidRDefault="00CE63F1" w:rsidP="00DB7C8D">
            <w:pPr>
              <w:pStyle w:val="a3"/>
              <w:jc w:val="center"/>
              <w:rPr>
                <w:rFonts w:ascii="Tahoma" w:hAnsi="Tahoma"/>
                <w:rtl/>
              </w:rPr>
            </w:pPr>
            <w:bookmarkStart w:id="0" w:name="LastJudge"/>
            <w:r w:rsidRPr="00A31FD2">
              <w:rPr>
                <w:rFonts w:ascii="Tahoma" w:hAnsi="Tahoma" w:hint="cs"/>
                <w:b/>
                <w:bCs/>
                <w:rtl/>
              </w:rPr>
              <w:t>בתי המשפט</w:t>
            </w:r>
          </w:p>
        </w:tc>
      </w:tr>
      <w:tr w:rsidR="00CE63F1" w:rsidRPr="00A31FD2" w14:paraId="70401CC3" w14:textId="77777777" w:rsidTr="00DB7C8D">
        <w:trPr>
          <w:trHeight w:val="823"/>
          <w:jc w:val="center"/>
        </w:trPr>
        <w:tc>
          <w:tcPr>
            <w:tcW w:w="5037" w:type="dxa"/>
            <w:gridSpan w:val="2"/>
          </w:tcPr>
          <w:p w14:paraId="0B9AA9F8" w14:textId="77777777" w:rsidR="00CE63F1" w:rsidRPr="00A31FD2" w:rsidRDefault="00CE63F1" w:rsidP="00DB7C8D">
            <w:pPr>
              <w:rPr>
                <w:b/>
                <w:bCs/>
                <w:sz w:val="32"/>
                <w:szCs w:val="32"/>
                <w:rtl/>
              </w:rPr>
            </w:pPr>
            <w:r w:rsidRPr="00A31FD2">
              <w:rPr>
                <w:rFonts w:hint="cs"/>
                <w:b/>
                <w:bCs/>
                <w:sz w:val="32"/>
                <w:szCs w:val="32"/>
                <w:rtl/>
              </w:rPr>
              <w:t>בבית המשפט המחוזי</w:t>
            </w:r>
          </w:p>
          <w:p w14:paraId="47773CE0" w14:textId="77777777" w:rsidR="00CE63F1" w:rsidRPr="00A31FD2" w:rsidRDefault="00CE63F1" w:rsidP="00DB7C8D">
            <w:pPr>
              <w:rPr>
                <w:b/>
                <w:bCs/>
                <w:sz w:val="26"/>
                <w:szCs w:val="26"/>
                <w:rtl/>
              </w:rPr>
            </w:pPr>
            <w:r w:rsidRPr="00A31FD2">
              <w:rPr>
                <w:rFonts w:hint="cs"/>
                <w:b/>
                <w:bCs/>
                <w:sz w:val="32"/>
                <w:szCs w:val="32"/>
                <w:rtl/>
              </w:rPr>
              <w:t>בירושלים</w:t>
            </w:r>
          </w:p>
          <w:p w14:paraId="4467368A" w14:textId="77777777" w:rsidR="00CE63F1" w:rsidRPr="00A31FD2" w:rsidRDefault="00CE63F1" w:rsidP="00DB7C8D">
            <w:pPr>
              <w:rPr>
                <w:b/>
                <w:bCs/>
                <w:sz w:val="26"/>
                <w:szCs w:val="26"/>
                <w:rtl/>
              </w:rPr>
            </w:pPr>
          </w:p>
          <w:p w14:paraId="46A42BD1" w14:textId="77777777" w:rsidR="00CE63F1" w:rsidRPr="00A31FD2" w:rsidRDefault="00CE63F1" w:rsidP="00DB7C8D">
            <w:pPr>
              <w:rPr>
                <w:b/>
                <w:bCs/>
                <w:sz w:val="26"/>
                <w:szCs w:val="26"/>
                <w:rtl/>
              </w:rPr>
            </w:pPr>
          </w:p>
        </w:tc>
        <w:tc>
          <w:tcPr>
            <w:tcW w:w="3615" w:type="dxa"/>
          </w:tcPr>
          <w:p w14:paraId="2331C90B" w14:textId="77777777" w:rsidR="00CE63F1" w:rsidRPr="00A31FD2" w:rsidRDefault="00A31FD2" w:rsidP="00DB7C8D">
            <w:pPr>
              <w:jc w:val="right"/>
              <w:rPr>
                <w:b/>
                <w:bCs/>
                <w:sz w:val="32"/>
                <w:szCs w:val="32"/>
                <w:rtl/>
              </w:rPr>
            </w:pPr>
            <w:hyperlink r:id="rId6" w:history="1">
              <w:r w:rsidRPr="00A31FD2">
                <w:rPr>
                  <w:b/>
                  <w:bCs/>
                  <w:color w:val="0000FF"/>
                  <w:sz w:val="32"/>
                  <w:szCs w:val="32"/>
                  <w:u w:val="single"/>
                  <w:rtl/>
                </w:rPr>
                <w:t>ת"פ 23532-07-18</w:t>
              </w:r>
            </w:hyperlink>
            <w:r w:rsidR="00CE63F1" w:rsidRPr="00A31FD2">
              <w:rPr>
                <w:b/>
                <w:bCs/>
                <w:sz w:val="32"/>
                <w:szCs w:val="32"/>
                <w:rtl/>
              </w:rPr>
              <w:t xml:space="preserve"> </w:t>
            </w:r>
          </w:p>
          <w:p w14:paraId="47FA75D9" w14:textId="77777777" w:rsidR="00CE63F1" w:rsidRPr="00A31FD2" w:rsidRDefault="00CE63F1" w:rsidP="00DB7C8D">
            <w:pPr>
              <w:jc w:val="right"/>
              <w:rPr>
                <w:rtl/>
              </w:rPr>
            </w:pPr>
          </w:p>
          <w:p w14:paraId="6E87F147" w14:textId="77777777" w:rsidR="00CE63F1" w:rsidRPr="00A31FD2" w:rsidRDefault="00CE63F1" w:rsidP="00DB7C8D">
            <w:pPr>
              <w:jc w:val="right"/>
              <w:rPr>
                <w:sz w:val="32"/>
                <w:szCs w:val="32"/>
                <w:rtl/>
              </w:rPr>
            </w:pPr>
          </w:p>
        </w:tc>
      </w:tr>
      <w:tr w:rsidR="00CE63F1" w:rsidRPr="00A31FD2" w14:paraId="71895197" w14:textId="77777777" w:rsidTr="00DB7C8D">
        <w:trPr>
          <w:trHeight w:val="337"/>
          <w:jc w:val="center"/>
        </w:trPr>
        <w:tc>
          <w:tcPr>
            <w:tcW w:w="3547" w:type="dxa"/>
          </w:tcPr>
          <w:p w14:paraId="669C5B4D" w14:textId="77777777" w:rsidR="00CE63F1" w:rsidRPr="00A31FD2" w:rsidRDefault="00CE63F1" w:rsidP="00DB7C8D">
            <w:pPr>
              <w:rPr>
                <w:rFonts w:ascii="Arial" w:hAnsi="Arial"/>
                <w:b/>
                <w:bCs/>
                <w:sz w:val="28"/>
                <w:szCs w:val="28"/>
                <w:rtl/>
              </w:rPr>
            </w:pPr>
          </w:p>
          <w:p w14:paraId="1767798F" w14:textId="77777777" w:rsidR="00CE63F1" w:rsidRPr="00A31FD2" w:rsidRDefault="00CE63F1" w:rsidP="00DB7C8D">
            <w:pPr>
              <w:rPr>
                <w:rFonts w:ascii="Arial" w:hAnsi="Arial"/>
                <w:b/>
                <w:bCs/>
                <w:sz w:val="28"/>
                <w:szCs w:val="28"/>
                <w:rtl/>
              </w:rPr>
            </w:pPr>
            <w:r w:rsidRPr="00A31FD2">
              <w:rPr>
                <w:rFonts w:ascii="Arial" w:hAnsi="Arial" w:hint="cs"/>
                <w:b/>
                <w:bCs/>
                <w:sz w:val="28"/>
                <w:szCs w:val="28"/>
                <w:rtl/>
              </w:rPr>
              <w:t>בפני: כב' ה</w:t>
            </w:r>
            <w:r w:rsidRPr="00A31FD2">
              <w:rPr>
                <w:rFonts w:ascii="Arial" w:hAnsi="Arial"/>
                <w:b/>
                <w:bCs/>
                <w:sz w:val="28"/>
                <w:szCs w:val="28"/>
                <w:rtl/>
              </w:rPr>
              <w:t>שופט</w:t>
            </w:r>
            <w:r w:rsidRPr="00A31FD2">
              <w:rPr>
                <w:rFonts w:ascii="Arial" w:hAnsi="Arial" w:hint="cs"/>
                <w:b/>
                <w:bCs/>
                <w:sz w:val="28"/>
                <w:szCs w:val="28"/>
                <w:rtl/>
              </w:rPr>
              <w:t xml:space="preserve"> </w:t>
            </w:r>
            <w:r w:rsidRPr="00A31FD2">
              <w:rPr>
                <w:rFonts w:ascii="Arial" w:hAnsi="Arial"/>
                <w:b/>
                <w:bCs/>
                <w:sz w:val="28"/>
                <w:szCs w:val="28"/>
                <w:rtl/>
              </w:rPr>
              <w:t>אלכסנדר רון</w:t>
            </w:r>
          </w:p>
          <w:p w14:paraId="77AF1B98" w14:textId="77777777" w:rsidR="00CE63F1" w:rsidRPr="00A31FD2" w:rsidRDefault="00CE63F1" w:rsidP="00DB7C8D"/>
        </w:tc>
        <w:tc>
          <w:tcPr>
            <w:tcW w:w="5105" w:type="dxa"/>
            <w:gridSpan w:val="2"/>
          </w:tcPr>
          <w:p w14:paraId="13C27C59" w14:textId="77777777" w:rsidR="00CE63F1" w:rsidRPr="00A31FD2" w:rsidRDefault="00CE63F1" w:rsidP="00DB7C8D">
            <w:pPr>
              <w:rPr>
                <w:rFonts w:ascii="Arial" w:hAnsi="Arial"/>
                <w:b/>
                <w:bCs/>
                <w:sz w:val="28"/>
                <w:szCs w:val="28"/>
                <w:rtl/>
              </w:rPr>
            </w:pPr>
          </w:p>
          <w:p w14:paraId="27292BFD" w14:textId="77777777" w:rsidR="00CE63F1" w:rsidRPr="00A31FD2" w:rsidRDefault="00CE63F1" w:rsidP="00DB7C8D">
            <w:pPr>
              <w:jc w:val="right"/>
              <w:rPr>
                <w:rtl/>
              </w:rPr>
            </w:pPr>
            <w:r w:rsidRPr="00A31FD2">
              <w:rPr>
                <w:rFonts w:ascii="Arial" w:hAnsi="Arial" w:hint="cs"/>
                <w:b/>
                <w:bCs/>
                <w:sz w:val="28"/>
                <w:szCs w:val="28"/>
                <w:rtl/>
              </w:rPr>
              <w:t>תאריך: ז' תמוז תשע"ט, 10 יולי 2019</w:t>
            </w:r>
          </w:p>
        </w:tc>
      </w:tr>
    </w:tbl>
    <w:p w14:paraId="3C0BEF0A" w14:textId="77777777" w:rsidR="00CE63F1" w:rsidRPr="00A31FD2" w:rsidRDefault="00CE63F1" w:rsidP="00CE63F1">
      <w:pPr>
        <w:pStyle w:val="a3"/>
        <w:rPr>
          <w:rtl/>
        </w:rPr>
      </w:pPr>
      <w:r w:rsidRPr="00A31FD2">
        <w:rPr>
          <w:rtl/>
        </w:rPr>
        <w:t xml:space="preserve"> </w:t>
      </w:r>
    </w:p>
    <w:p w14:paraId="30DE1CBD" w14:textId="77777777" w:rsidR="00CE63F1" w:rsidRPr="00A31FD2" w:rsidRDefault="00CE63F1" w:rsidP="00CE63F1">
      <w:pPr>
        <w:bidi w:val="0"/>
        <w:spacing w:line="360" w:lineRule="auto"/>
        <w:jc w:val="right"/>
        <w:rPr>
          <w:rFonts w:ascii="Arial" w:hAnsi="Arial"/>
          <w:b/>
          <w:bCs/>
        </w:rPr>
      </w:pPr>
    </w:p>
    <w:p w14:paraId="54014AC9" w14:textId="77777777" w:rsidR="00CE63F1" w:rsidRPr="00A31FD2" w:rsidRDefault="00CE63F1" w:rsidP="00CE63F1">
      <w:pPr>
        <w:bidi w:val="0"/>
        <w:spacing w:line="360" w:lineRule="auto"/>
        <w:jc w:val="right"/>
        <w:rPr>
          <w:rFonts w:ascii="Arial" w:hAnsi="Arial"/>
          <w:b/>
          <w:bCs/>
          <w:rtl/>
        </w:rPr>
      </w:pPr>
    </w:p>
    <w:tbl>
      <w:tblPr>
        <w:bidiVisual/>
        <w:tblW w:w="8820" w:type="dxa"/>
        <w:jc w:val="center"/>
        <w:tblLook w:val="01E0" w:firstRow="1" w:lastRow="1" w:firstColumn="1" w:lastColumn="1" w:noHBand="0" w:noVBand="0"/>
      </w:tblPr>
      <w:tblGrid>
        <w:gridCol w:w="916"/>
        <w:gridCol w:w="4385"/>
        <w:gridCol w:w="3489"/>
        <w:gridCol w:w="30"/>
      </w:tblGrid>
      <w:tr w:rsidR="00CE63F1" w:rsidRPr="00A31FD2" w14:paraId="64CDBA5E" w14:textId="77777777" w:rsidTr="00CE63F1">
        <w:trPr>
          <w:gridAfter w:val="1"/>
          <w:wAfter w:w="30" w:type="dxa"/>
          <w:jc w:val="center"/>
        </w:trPr>
        <w:tc>
          <w:tcPr>
            <w:tcW w:w="916" w:type="dxa"/>
            <w:shd w:val="clear" w:color="auto" w:fill="auto"/>
          </w:tcPr>
          <w:p w14:paraId="509EEFD6" w14:textId="77777777" w:rsidR="00CE63F1" w:rsidRPr="00A31FD2" w:rsidRDefault="00CE63F1" w:rsidP="00CE63F1">
            <w:pPr>
              <w:bidi w:val="0"/>
              <w:jc w:val="right"/>
              <w:rPr>
                <w:rFonts w:ascii="Arial" w:hAnsi="Arial"/>
                <w:b/>
                <w:bCs/>
                <w:rtl/>
              </w:rPr>
            </w:pPr>
            <w:bookmarkStart w:id="1" w:name="FirstAppellant"/>
            <w:r w:rsidRPr="00A31FD2">
              <w:rPr>
                <w:rFonts w:ascii="Arial" w:hAnsi="Arial" w:hint="cs"/>
                <w:b/>
                <w:bCs/>
                <w:rtl/>
              </w:rPr>
              <w:t>בעניין:</w:t>
            </w:r>
          </w:p>
        </w:tc>
        <w:tc>
          <w:tcPr>
            <w:tcW w:w="4385" w:type="dxa"/>
            <w:shd w:val="clear" w:color="auto" w:fill="auto"/>
          </w:tcPr>
          <w:p w14:paraId="7C63D761" w14:textId="77777777" w:rsidR="00CE63F1" w:rsidRPr="00A31FD2" w:rsidRDefault="00CE63F1" w:rsidP="00CE63F1">
            <w:pPr>
              <w:spacing w:line="360" w:lineRule="auto"/>
              <w:rPr>
                <w:rtl/>
              </w:rPr>
            </w:pPr>
            <w:r w:rsidRPr="00A31FD2">
              <w:rPr>
                <w:rFonts w:ascii="Arial" w:hAnsi="Arial"/>
                <w:b/>
                <w:bCs/>
                <w:rtl/>
              </w:rPr>
              <w:t>מדינת ישראל</w:t>
            </w:r>
          </w:p>
        </w:tc>
        <w:tc>
          <w:tcPr>
            <w:tcW w:w="3489" w:type="dxa"/>
            <w:shd w:val="clear" w:color="auto" w:fill="auto"/>
            <w:vAlign w:val="bottom"/>
          </w:tcPr>
          <w:p w14:paraId="1D4AA0FF" w14:textId="77777777" w:rsidR="00CE63F1" w:rsidRPr="00A31FD2" w:rsidRDefault="00CE63F1" w:rsidP="00DB7C8D">
            <w:pPr>
              <w:rPr>
                <w:rFonts w:ascii="Arial" w:hAnsi="Arial"/>
                <w:b/>
                <w:bCs/>
                <w:rtl/>
              </w:rPr>
            </w:pPr>
          </w:p>
          <w:p w14:paraId="530F1ABF" w14:textId="77777777" w:rsidR="00CE63F1" w:rsidRPr="00A31FD2" w:rsidRDefault="00CE63F1" w:rsidP="00CE63F1">
            <w:pPr>
              <w:bidi w:val="0"/>
              <w:rPr>
                <w:rFonts w:ascii="Arial" w:hAnsi="Arial"/>
                <w:b/>
                <w:bCs/>
              </w:rPr>
            </w:pPr>
          </w:p>
          <w:p w14:paraId="0581EF80" w14:textId="77777777" w:rsidR="00CE63F1" w:rsidRPr="00A31FD2" w:rsidRDefault="00CE63F1" w:rsidP="00DB7C8D">
            <w:pPr>
              <w:rPr>
                <w:b/>
                <w:bCs/>
              </w:rPr>
            </w:pPr>
            <w:r w:rsidRPr="00A31FD2">
              <w:rPr>
                <w:rFonts w:ascii="Arial" w:hAnsi="Arial" w:hint="cs"/>
                <w:b/>
                <w:bCs/>
                <w:rtl/>
              </w:rPr>
              <w:t>המאשימה</w:t>
            </w:r>
          </w:p>
        </w:tc>
      </w:tr>
      <w:bookmarkEnd w:id="1"/>
      <w:tr w:rsidR="00CE63F1" w:rsidRPr="00A31FD2" w14:paraId="02ACDFC9" w14:textId="77777777" w:rsidTr="00CE63F1">
        <w:trPr>
          <w:gridAfter w:val="1"/>
          <w:wAfter w:w="30" w:type="dxa"/>
          <w:jc w:val="center"/>
        </w:trPr>
        <w:tc>
          <w:tcPr>
            <w:tcW w:w="916" w:type="dxa"/>
            <w:shd w:val="clear" w:color="auto" w:fill="auto"/>
          </w:tcPr>
          <w:p w14:paraId="4373A32E" w14:textId="77777777" w:rsidR="00CE63F1" w:rsidRPr="00A31FD2" w:rsidRDefault="00CE63F1" w:rsidP="00DB7C8D">
            <w:pPr>
              <w:rPr>
                <w:rFonts w:ascii="Arial" w:hAnsi="Arial"/>
                <w:b/>
                <w:bCs/>
                <w:sz w:val="26"/>
                <w:szCs w:val="26"/>
                <w:rtl/>
              </w:rPr>
            </w:pPr>
          </w:p>
          <w:p w14:paraId="4647FF4A" w14:textId="77777777" w:rsidR="00CE63F1" w:rsidRPr="00A31FD2" w:rsidRDefault="00CE63F1" w:rsidP="00CE63F1">
            <w:pPr>
              <w:jc w:val="center"/>
              <w:rPr>
                <w:rFonts w:ascii="Arial" w:hAnsi="Arial"/>
                <w:b/>
                <w:bCs/>
                <w:sz w:val="26"/>
                <w:szCs w:val="26"/>
                <w:rtl/>
              </w:rPr>
            </w:pPr>
          </w:p>
          <w:p w14:paraId="5319A315" w14:textId="77777777" w:rsidR="00CE63F1" w:rsidRPr="00A31FD2" w:rsidRDefault="00CE63F1" w:rsidP="00DB7C8D">
            <w:pPr>
              <w:rPr>
                <w:rFonts w:ascii="Arial" w:hAnsi="Arial"/>
                <w:b/>
                <w:bCs/>
                <w:sz w:val="26"/>
                <w:szCs w:val="26"/>
              </w:rPr>
            </w:pPr>
          </w:p>
        </w:tc>
        <w:tc>
          <w:tcPr>
            <w:tcW w:w="7874" w:type="dxa"/>
            <w:gridSpan w:val="2"/>
            <w:shd w:val="clear" w:color="auto" w:fill="auto"/>
          </w:tcPr>
          <w:p w14:paraId="1992375F" w14:textId="77777777" w:rsidR="00CE63F1" w:rsidRPr="00A31FD2" w:rsidRDefault="00CE63F1" w:rsidP="00CE63F1">
            <w:pPr>
              <w:jc w:val="center"/>
              <w:rPr>
                <w:rFonts w:ascii="Arial" w:hAnsi="Arial"/>
                <w:b/>
                <w:bCs/>
                <w:sz w:val="26"/>
                <w:szCs w:val="26"/>
                <w:rtl/>
              </w:rPr>
            </w:pPr>
          </w:p>
          <w:p w14:paraId="1962E9B7" w14:textId="77777777" w:rsidR="00CE63F1" w:rsidRPr="00A31FD2" w:rsidRDefault="00CE63F1" w:rsidP="00CE63F1">
            <w:pPr>
              <w:jc w:val="center"/>
              <w:rPr>
                <w:rFonts w:ascii="Arial" w:hAnsi="Arial"/>
                <w:b/>
                <w:bCs/>
                <w:rtl/>
              </w:rPr>
            </w:pPr>
            <w:r w:rsidRPr="00A31FD2">
              <w:rPr>
                <w:rFonts w:ascii="Arial" w:hAnsi="Arial"/>
                <w:b/>
                <w:bCs/>
                <w:sz w:val="26"/>
                <w:szCs w:val="26"/>
                <w:rtl/>
              </w:rPr>
              <w:t>נ</w:t>
            </w:r>
            <w:r w:rsidRPr="00A31FD2">
              <w:rPr>
                <w:rFonts w:ascii="Arial" w:hAnsi="Arial" w:hint="cs"/>
                <w:b/>
                <w:bCs/>
                <w:sz w:val="26"/>
                <w:szCs w:val="26"/>
                <w:rtl/>
              </w:rPr>
              <w:t xml:space="preserve"> </w:t>
            </w:r>
            <w:r w:rsidRPr="00A31FD2">
              <w:rPr>
                <w:rFonts w:ascii="Arial" w:hAnsi="Arial"/>
                <w:b/>
                <w:bCs/>
                <w:sz w:val="26"/>
                <w:szCs w:val="26"/>
                <w:rtl/>
              </w:rPr>
              <w:t>ג</w:t>
            </w:r>
            <w:r w:rsidRPr="00A31FD2">
              <w:rPr>
                <w:rFonts w:ascii="Arial" w:hAnsi="Arial" w:hint="cs"/>
                <w:b/>
                <w:bCs/>
                <w:sz w:val="26"/>
                <w:szCs w:val="26"/>
                <w:rtl/>
              </w:rPr>
              <w:t xml:space="preserve"> </w:t>
            </w:r>
            <w:r w:rsidRPr="00A31FD2">
              <w:rPr>
                <w:rFonts w:ascii="Arial" w:hAnsi="Arial"/>
                <w:b/>
                <w:bCs/>
                <w:sz w:val="26"/>
                <w:szCs w:val="26"/>
                <w:rtl/>
              </w:rPr>
              <w:t>ד</w:t>
            </w:r>
          </w:p>
        </w:tc>
      </w:tr>
      <w:tr w:rsidR="00CE63F1" w:rsidRPr="00A31FD2" w14:paraId="5FD1A39B" w14:textId="77777777" w:rsidTr="00CE63F1">
        <w:trPr>
          <w:gridAfter w:val="1"/>
          <w:wAfter w:w="30" w:type="dxa"/>
          <w:jc w:val="center"/>
        </w:trPr>
        <w:tc>
          <w:tcPr>
            <w:tcW w:w="916" w:type="dxa"/>
            <w:shd w:val="clear" w:color="auto" w:fill="auto"/>
          </w:tcPr>
          <w:p w14:paraId="3D11CE61" w14:textId="77777777" w:rsidR="00CE63F1" w:rsidRPr="00A31FD2" w:rsidRDefault="00CE63F1" w:rsidP="00DB7C8D">
            <w:pPr>
              <w:rPr>
                <w:rFonts w:ascii="Arial" w:hAnsi="Arial"/>
                <w:b/>
                <w:bCs/>
                <w:sz w:val="26"/>
                <w:szCs w:val="26"/>
              </w:rPr>
            </w:pPr>
          </w:p>
        </w:tc>
        <w:tc>
          <w:tcPr>
            <w:tcW w:w="4385" w:type="dxa"/>
            <w:shd w:val="clear" w:color="auto" w:fill="auto"/>
          </w:tcPr>
          <w:p w14:paraId="6F272718" w14:textId="77777777" w:rsidR="00CE63F1" w:rsidRPr="00A31FD2" w:rsidRDefault="00CE63F1" w:rsidP="00CE63F1">
            <w:pPr>
              <w:spacing w:line="360" w:lineRule="auto"/>
              <w:rPr>
                <w:rtl/>
              </w:rPr>
            </w:pPr>
            <w:r w:rsidRPr="00A31FD2">
              <w:rPr>
                <w:rFonts w:ascii="Arial" w:hAnsi="Arial"/>
                <w:b/>
                <w:bCs/>
                <w:rtl/>
              </w:rPr>
              <w:t>מוחמד שייכה</w:t>
            </w:r>
          </w:p>
        </w:tc>
        <w:tc>
          <w:tcPr>
            <w:tcW w:w="3489" w:type="dxa"/>
            <w:shd w:val="clear" w:color="auto" w:fill="auto"/>
            <w:vAlign w:val="bottom"/>
          </w:tcPr>
          <w:p w14:paraId="4C13BBFA" w14:textId="77777777" w:rsidR="00CE63F1" w:rsidRPr="00A31FD2" w:rsidRDefault="00CE63F1" w:rsidP="00DB7C8D">
            <w:pPr>
              <w:rPr>
                <w:rFonts w:ascii="Arial" w:hAnsi="Arial"/>
                <w:b/>
                <w:bCs/>
                <w:rtl/>
              </w:rPr>
            </w:pPr>
          </w:p>
          <w:p w14:paraId="2C1F5431" w14:textId="77777777" w:rsidR="00CE63F1" w:rsidRPr="00A31FD2" w:rsidRDefault="00CE63F1" w:rsidP="00DB7C8D">
            <w:pPr>
              <w:rPr>
                <w:rFonts w:ascii="Arial" w:hAnsi="Arial"/>
                <w:b/>
                <w:bCs/>
                <w:rtl/>
              </w:rPr>
            </w:pPr>
          </w:p>
          <w:p w14:paraId="48EDA4A2" w14:textId="77777777" w:rsidR="00CE63F1" w:rsidRPr="00A31FD2" w:rsidRDefault="00CE63F1" w:rsidP="00DB7C8D">
            <w:pPr>
              <w:rPr>
                <w:b/>
                <w:bCs/>
                <w:rtl/>
              </w:rPr>
            </w:pPr>
            <w:r w:rsidRPr="00A31FD2">
              <w:rPr>
                <w:rFonts w:ascii="Arial" w:hAnsi="Arial" w:hint="cs"/>
                <w:b/>
                <w:bCs/>
                <w:rtl/>
              </w:rPr>
              <w:t>הנאשם</w:t>
            </w:r>
          </w:p>
        </w:tc>
      </w:tr>
      <w:tr w:rsidR="00CE63F1" w:rsidRPr="00A31FD2" w14:paraId="723AC9C6" w14:textId="77777777" w:rsidTr="00CE63F1">
        <w:trPr>
          <w:jc w:val="center"/>
        </w:trPr>
        <w:tc>
          <w:tcPr>
            <w:tcW w:w="8820" w:type="dxa"/>
            <w:gridSpan w:val="4"/>
            <w:shd w:val="clear" w:color="auto" w:fill="auto"/>
          </w:tcPr>
          <w:p w14:paraId="087E5976" w14:textId="77777777" w:rsidR="00CE63F1" w:rsidRPr="00A31FD2" w:rsidRDefault="00CE63F1" w:rsidP="00CE63F1">
            <w:pPr>
              <w:bidi w:val="0"/>
              <w:spacing w:line="360" w:lineRule="auto"/>
              <w:jc w:val="right"/>
              <w:rPr>
                <w:rFonts w:ascii="Arial" w:hAnsi="Arial"/>
                <w:b/>
                <w:bCs/>
              </w:rPr>
            </w:pPr>
          </w:p>
        </w:tc>
      </w:tr>
    </w:tbl>
    <w:p w14:paraId="545B9CD3" w14:textId="77777777" w:rsidR="00CE63F1" w:rsidRPr="00A31FD2" w:rsidRDefault="00CE63F1" w:rsidP="00CE63F1">
      <w:pPr>
        <w:bidi w:val="0"/>
        <w:spacing w:line="360" w:lineRule="auto"/>
        <w:jc w:val="right"/>
        <w:rPr>
          <w:rFonts w:ascii="Arial" w:hAnsi="Arial"/>
          <w:rtl/>
        </w:rPr>
      </w:pPr>
      <w:r w:rsidRPr="00A31FD2">
        <w:rPr>
          <w:rFonts w:ascii="Arial" w:hAnsi="Arial" w:hint="cs"/>
          <w:b/>
          <w:bCs/>
          <w:rtl/>
        </w:rPr>
        <w:t>נוכחים:-</w:t>
      </w:r>
    </w:p>
    <w:p w14:paraId="599C3A12" w14:textId="77777777" w:rsidR="00CE63F1" w:rsidRPr="00A31FD2" w:rsidRDefault="00CE63F1" w:rsidP="00CE63F1">
      <w:pPr>
        <w:bidi w:val="0"/>
        <w:spacing w:line="360" w:lineRule="auto"/>
        <w:jc w:val="right"/>
        <w:rPr>
          <w:rFonts w:ascii="Arial" w:hAnsi="Arial"/>
          <w:rtl/>
        </w:rPr>
      </w:pPr>
      <w:bookmarkStart w:id="2" w:name="FirstLawyer"/>
      <w:r w:rsidRPr="00A31FD2">
        <w:rPr>
          <w:rFonts w:ascii="Arial" w:hAnsi="Arial" w:hint="cs"/>
          <w:rtl/>
        </w:rPr>
        <w:t>ב"כ</w:t>
      </w:r>
      <w:bookmarkEnd w:id="2"/>
      <w:r w:rsidRPr="00A31FD2">
        <w:rPr>
          <w:rFonts w:ascii="Arial" w:hAnsi="Arial" w:hint="cs"/>
          <w:rtl/>
        </w:rPr>
        <w:t xml:space="preserve"> המאשימה עו"ד מלכה גרוס</w:t>
      </w:r>
    </w:p>
    <w:p w14:paraId="596CA233" w14:textId="77777777" w:rsidR="00CE63F1" w:rsidRPr="00A31FD2" w:rsidRDefault="00CE63F1" w:rsidP="00CE63F1">
      <w:pPr>
        <w:bidi w:val="0"/>
        <w:spacing w:line="360" w:lineRule="auto"/>
        <w:jc w:val="right"/>
        <w:rPr>
          <w:rFonts w:ascii="Arial" w:hAnsi="Arial"/>
        </w:rPr>
      </w:pPr>
      <w:r w:rsidRPr="00A31FD2">
        <w:rPr>
          <w:rFonts w:ascii="Arial" w:hAnsi="Arial" w:hint="cs"/>
          <w:rtl/>
        </w:rPr>
        <w:t>הנאשם וב"כ עו"ד ריאד סוואעד</w:t>
      </w:r>
    </w:p>
    <w:p w14:paraId="37975A51" w14:textId="77777777" w:rsidR="00C57A68" w:rsidRDefault="00CE63F1" w:rsidP="00CE63F1">
      <w:pPr>
        <w:bidi w:val="0"/>
        <w:spacing w:line="360" w:lineRule="auto"/>
        <w:jc w:val="right"/>
        <w:rPr>
          <w:rFonts w:ascii="Arial" w:hAnsi="Arial"/>
          <w:rtl/>
        </w:rPr>
      </w:pPr>
      <w:r w:rsidRPr="00A31FD2">
        <w:rPr>
          <w:rFonts w:ascii="Arial" w:hAnsi="Arial" w:hint="cs"/>
          <w:rtl/>
        </w:rPr>
        <w:t>מתורגמן בית המשפט גברת הייא עבאסי</w:t>
      </w:r>
      <w:bookmarkStart w:id="3" w:name="LawTable"/>
      <w:bookmarkEnd w:id="3"/>
    </w:p>
    <w:p w14:paraId="44709C75" w14:textId="77777777" w:rsidR="00C57A68" w:rsidRPr="00C57A68" w:rsidRDefault="00C57A68" w:rsidP="00C57A68">
      <w:pPr>
        <w:bidi w:val="0"/>
        <w:spacing w:after="120" w:line="240" w:lineRule="exact"/>
        <w:ind w:left="283" w:hanging="283"/>
        <w:jc w:val="right"/>
        <w:rPr>
          <w:rFonts w:ascii="FrankRuehl" w:hAnsi="FrankRuehl" w:cs="FrankRuehl"/>
          <w:rtl/>
        </w:rPr>
      </w:pPr>
    </w:p>
    <w:p w14:paraId="2F2F15D6" w14:textId="77777777" w:rsidR="00C57A68" w:rsidRPr="00C57A68" w:rsidRDefault="00C57A68" w:rsidP="00C57A68">
      <w:pPr>
        <w:bidi w:val="0"/>
        <w:spacing w:after="120" w:line="240" w:lineRule="exact"/>
        <w:ind w:left="283" w:hanging="283"/>
        <w:jc w:val="right"/>
        <w:rPr>
          <w:rFonts w:ascii="FrankRuehl" w:hAnsi="FrankRuehl" w:cs="FrankRuehl"/>
          <w:rtl/>
        </w:rPr>
      </w:pPr>
      <w:r w:rsidRPr="00C57A68">
        <w:rPr>
          <w:rFonts w:ascii="FrankRuehl" w:hAnsi="FrankRuehl" w:cs="FrankRuehl"/>
          <w:rtl/>
        </w:rPr>
        <w:t>חקיקה שאוזכרה</w:t>
      </w:r>
      <w:r w:rsidRPr="00C57A68">
        <w:rPr>
          <w:rFonts w:ascii="FrankRuehl" w:hAnsi="FrankRuehl" w:cs="FrankRuehl"/>
        </w:rPr>
        <w:t xml:space="preserve">: </w:t>
      </w:r>
    </w:p>
    <w:p w14:paraId="3C658AB5" w14:textId="77777777" w:rsidR="00C57A68" w:rsidRPr="00C57A68" w:rsidRDefault="00C57A68" w:rsidP="00C57A68">
      <w:pPr>
        <w:bidi w:val="0"/>
        <w:spacing w:after="120" w:line="240" w:lineRule="exact"/>
        <w:ind w:left="283" w:hanging="283"/>
        <w:jc w:val="right"/>
        <w:rPr>
          <w:rFonts w:ascii="FrankRuehl" w:hAnsi="FrankRuehl" w:cs="FrankRuehl"/>
          <w:rtl/>
        </w:rPr>
      </w:pPr>
      <w:hyperlink r:id="rId7" w:history="1">
        <w:r w:rsidRPr="00C57A68">
          <w:rPr>
            <w:rFonts w:ascii="FrankRuehl" w:hAnsi="FrankRuehl" w:cs="FrankRuehl"/>
            <w:color w:val="0000FF"/>
            <w:u w:val="single"/>
            <w:rtl/>
          </w:rPr>
          <w:t>חוק העונשין, תשל"ז-1977</w:t>
        </w:r>
      </w:hyperlink>
      <w:r w:rsidRPr="00C57A68">
        <w:rPr>
          <w:rFonts w:ascii="FrankRuehl" w:hAnsi="FrankRuehl" w:cs="FrankRuehl"/>
          <w:rtl/>
        </w:rPr>
        <w:t xml:space="preserve">: סע'  </w:t>
      </w:r>
      <w:hyperlink r:id="rId8" w:history="1">
        <w:r w:rsidRPr="00C57A68">
          <w:rPr>
            <w:rFonts w:ascii="FrankRuehl" w:hAnsi="FrankRuehl" w:cs="FrankRuehl"/>
            <w:color w:val="0000FF"/>
            <w:u w:val="single"/>
            <w:rtl/>
          </w:rPr>
          <w:t>25</w:t>
        </w:r>
      </w:hyperlink>
      <w:r w:rsidRPr="00C57A68">
        <w:rPr>
          <w:rFonts w:ascii="FrankRuehl" w:hAnsi="FrankRuehl" w:cs="FrankRuehl"/>
          <w:rtl/>
        </w:rPr>
        <w:t xml:space="preserve">, </w:t>
      </w:r>
      <w:hyperlink r:id="rId9" w:history="1">
        <w:r w:rsidRPr="00C57A68">
          <w:rPr>
            <w:rFonts w:ascii="FrankRuehl" w:hAnsi="FrankRuehl" w:cs="FrankRuehl"/>
            <w:color w:val="0000FF"/>
            <w:u w:val="single"/>
            <w:rtl/>
          </w:rPr>
          <w:t>37</w:t>
        </w:r>
      </w:hyperlink>
      <w:r w:rsidRPr="00C57A68">
        <w:rPr>
          <w:rFonts w:ascii="FrankRuehl" w:hAnsi="FrankRuehl" w:cs="FrankRuehl"/>
          <w:rtl/>
        </w:rPr>
        <w:t xml:space="preserve">, </w:t>
      </w:r>
      <w:hyperlink r:id="rId10" w:history="1">
        <w:r w:rsidRPr="00C57A68">
          <w:rPr>
            <w:rFonts w:ascii="FrankRuehl" w:hAnsi="FrankRuehl" w:cs="FrankRuehl"/>
            <w:color w:val="0000FF"/>
            <w:u w:val="single"/>
            <w:rtl/>
          </w:rPr>
          <w:t>144(ב)</w:t>
        </w:r>
      </w:hyperlink>
      <w:r w:rsidRPr="00C57A68">
        <w:rPr>
          <w:rFonts w:ascii="FrankRuehl" w:hAnsi="FrankRuehl" w:cs="FrankRuehl"/>
          <w:rtl/>
        </w:rPr>
        <w:t xml:space="preserve">, </w:t>
      </w:r>
      <w:hyperlink r:id="rId11" w:history="1">
        <w:r w:rsidRPr="00C57A68">
          <w:rPr>
            <w:rFonts w:ascii="FrankRuehl" w:hAnsi="FrankRuehl" w:cs="FrankRuehl"/>
            <w:color w:val="0000FF"/>
            <w:u w:val="single"/>
            <w:rtl/>
          </w:rPr>
          <w:t>329</w:t>
        </w:r>
      </w:hyperlink>
      <w:r w:rsidRPr="00C57A68">
        <w:rPr>
          <w:rFonts w:ascii="FrankRuehl" w:hAnsi="FrankRuehl" w:cs="FrankRuehl"/>
          <w:rtl/>
        </w:rPr>
        <w:t xml:space="preserve">, </w:t>
      </w:r>
      <w:hyperlink r:id="rId12" w:history="1">
        <w:r w:rsidRPr="00C57A68">
          <w:rPr>
            <w:rFonts w:ascii="FrankRuehl" w:hAnsi="FrankRuehl" w:cs="FrankRuehl"/>
            <w:color w:val="0000FF"/>
            <w:u w:val="single"/>
            <w:rtl/>
          </w:rPr>
          <w:t>448א'</w:t>
        </w:r>
      </w:hyperlink>
      <w:r w:rsidRPr="00C57A68">
        <w:rPr>
          <w:rFonts w:ascii="FrankRuehl" w:hAnsi="FrankRuehl" w:cs="FrankRuehl"/>
          <w:rtl/>
        </w:rPr>
        <w:t xml:space="preserve">, </w:t>
      </w:r>
      <w:hyperlink r:id="rId13" w:history="1">
        <w:r w:rsidRPr="00C57A68">
          <w:rPr>
            <w:rFonts w:ascii="FrankRuehl" w:hAnsi="FrankRuehl" w:cs="FrankRuehl"/>
            <w:color w:val="0000FF"/>
            <w:u w:val="single"/>
            <w:rtl/>
          </w:rPr>
          <w:t>לפרק ח'</w:t>
        </w:r>
      </w:hyperlink>
      <w:r w:rsidRPr="00C57A68">
        <w:rPr>
          <w:rFonts w:ascii="FrankRuehl" w:hAnsi="FrankRuehl" w:cs="FrankRuehl"/>
          <w:rtl/>
        </w:rPr>
        <w:t xml:space="preserve">, </w:t>
      </w:r>
      <w:hyperlink r:id="rId14" w:history="1">
        <w:r w:rsidRPr="00C57A68">
          <w:rPr>
            <w:rFonts w:ascii="FrankRuehl" w:hAnsi="FrankRuehl" w:cs="FrankRuehl"/>
            <w:color w:val="0000FF"/>
            <w:u w:val="single"/>
            <w:rtl/>
          </w:rPr>
          <w:t>א'</w:t>
        </w:r>
      </w:hyperlink>
      <w:r w:rsidRPr="00C57A68">
        <w:rPr>
          <w:rFonts w:ascii="FrankRuehl" w:hAnsi="FrankRuehl" w:cs="FrankRuehl"/>
          <w:rtl/>
        </w:rPr>
        <w:t xml:space="preserve">, </w:t>
      </w:r>
      <w:hyperlink r:id="rId15" w:history="1">
        <w:r w:rsidRPr="00C57A68">
          <w:rPr>
            <w:rFonts w:ascii="FrankRuehl" w:hAnsi="FrankRuehl" w:cs="FrankRuehl"/>
            <w:color w:val="0000FF"/>
            <w:u w:val="single"/>
            <w:rtl/>
          </w:rPr>
          <w:t>לפרק ט'</w:t>
        </w:r>
      </w:hyperlink>
      <w:r w:rsidRPr="00C57A68">
        <w:rPr>
          <w:rFonts w:ascii="FrankRuehl" w:hAnsi="FrankRuehl" w:cs="FrankRuehl"/>
          <w:rtl/>
        </w:rPr>
        <w:t xml:space="preserve">, </w:t>
      </w:r>
      <w:hyperlink r:id="rId16" w:history="1">
        <w:r w:rsidRPr="00C57A68">
          <w:rPr>
            <w:rFonts w:ascii="FrankRuehl" w:hAnsi="FrankRuehl" w:cs="FrankRuehl"/>
            <w:color w:val="0000FF"/>
            <w:u w:val="single"/>
            <w:rtl/>
          </w:rPr>
          <w:t>ג'</w:t>
        </w:r>
      </w:hyperlink>
      <w:r w:rsidRPr="00C57A68">
        <w:rPr>
          <w:rFonts w:ascii="FrankRuehl" w:hAnsi="FrankRuehl" w:cs="FrankRuehl"/>
          <w:rtl/>
        </w:rPr>
        <w:t xml:space="preserve">, </w:t>
      </w:r>
      <w:hyperlink r:id="rId17" w:history="1">
        <w:r w:rsidRPr="00C57A68">
          <w:rPr>
            <w:rFonts w:ascii="FrankRuehl" w:hAnsi="FrankRuehl" w:cs="FrankRuehl"/>
            <w:color w:val="0000FF"/>
            <w:u w:val="single"/>
            <w:rtl/>
          </w:rPr>
          <w:t>לפרק יא</w:t>
        </w:r>
      </w:hyperlink>
      <w:r w:rsidRPr="00C57A68">
        <w:rPr>
          <w:rFonts w:ascii="FrankRuehl" w:hAnsi="FrankRuehl" w:cs="FrankRuehl"/>
          <w:rtl/>
        </w:rPr>
        <w:t xml:space="preserve">, </w:t>
      </w:r>
      <w:hyperlink r:id="rId18" w:history="1">
        <w:r w:rsidRPr="00C57A68">
          <w:rPr>
            <w:rFonts w:ascii="FrankRuehl" w:hAnsi="FrankRuehl" w:cs="FrankRuehl"/>
            <w:color w:val="0000FF"/>
            <w:u w:val="single"/>
            <w:rtl/>
          </w:rPr>
          <w:t>ט'</w:t>
        </w:r>
      </w:hyperlink>
    </w:p>
    <w:p w14:paraId="1E872509" w14:textId="77777777" w:rsidR="00C57A68" w:rsidRPr="00C57A68" w:rsidRDefault="00C57A68" w:rsidP="00C57A68">
      <w:pPr>
        <w:bidi w:val="0"/>
        <w:spacing w:after="120" w:line="240" w:lineRule="exact"/>
        <w:ind w:left="283" w:hanging="283"/>
        <w:jc w:val="right"/>
        <w:rPr>
          <w:rFonts w:ascii="FrankRuehl" w:hAnsi="FrankRuehl" w:cs="FrankRuehl"/>
          <w:rtl/>
        </w:rPr>
      </w:pPr>
      <w:hyperlink r:id="rId19" w:history="1">
        <w:r w:rsidRPr="00C57A68">
          <w:rPr>
            <w:rFonts w:ascii="FrankRuehl" w:hAnsi="FrankRuehl" w:cs="FrankRuehl"/>
            <w:color w:val="0000FF"/>
            <w:u w:val="single"/>
            <w:rtl/>
          </w:rPr>
          <w:t>חוק המאבק בטרור, תשע"ו-2016</w:t>
        </w:r>
      </w:hyperlink>
      <w:r w:rsidRPr="00C57A68">
        <w:rPr>
          <w:rFonts w:ascii="FrankRuehl" w:hAnsi="FrankRuehl" w:cs="FrankRuehl"/>
          <w:rtl/>
        </w:rPr>
        <w:t xml:space="preserve">: סע'  </w:t>
      </w:r>
      <w:hyperlink r:id="rId20" w:history="1">
        <w:r w:rsidRPr="00C57A68">
          <w:rPr>
            <w:rFonts w:ascii="FrankRuehl" w:hAnsi="FrankRuehl" w:cs="FrankRuehl"/>
            <w:color w:val="0000FF"/>
            <w:u w:val="single"/>
            <w:rtl/>
          </w:rPr>
          <w:t>37</w:t>
        </w:r>
      </w:hyperlink>
      <w:r w:rsidRPr="00C57A68">
        <w:rPr>
          <w:rFonts w:ascii="FrankRuehl" w:hAnsi="FrankRuehl" w:cs="FrankRuehl"/>
          <w:rtl/>
        </w:rPr>
        <w:t xml:space="preserve">, </w:t>
      </w:r>
      <w:hyperlink r:id="rId21" w:history="1">
        <w:r w:rsidRPr="00C57A68">
          <w:rPr>
            <w:rFonts w:ascii="FrankRuehl" w:hAnsi="FrankRuehl" w:cs="FrankRuehl"/>
            <w:color w:val="0000FF"/>
            <w:u w:val="single"/>
            <w:rtl/>
          </w:rPr>
          <w:t>37(ד)</w:t>
        </w:r>
      </w:hyperlink>
    </w:p>
    <w:p w14:paraId="41A49799" w14:textId="77777777" w:rsidR="00C57A68" w:rsidRPr="00C57A68" w:rsidRDefault="00C57A68" w:rsidP="00C57A68">
      <w:pPr>
        <w:bidi w:val="0"/>
        <w:spacing w:after="120" w:line="240" w:lineRule="exact"/>
        <w:ind w:left="283" w:hanging="283"/>
        <w:jc w:val="right"/>
        <w:rPr>
          <w:rFonts w:ascii="FrankRuehl" w:hAnsi="FrankRuehl" w:cs="FrankRuehl"/>
        </w:rPr>
      </w:pPr>
    </w:p>
    <w:p w14:paraId="62588D70" w14:textId="77777777" w:rsidR="00C57A68" w:rsidRPr="00C57A68" w:rsidRDefault="00C57A68" w:rsidP="00CE63F1">
      <w:pPr>
        <w:bidi w:val="0"/>
        <w:spacing w:line="360" w:lineRule="auto"/>
        <w:jc w:val="right"/>
        <w:rPr>
          <w:rFonts w:ascii="Arial" w:hAnsi="Arial"/>
          <w:rtl/>
        </w:rPr>
      </w:pPr>
      <w:bookmarkStart w:id="4" w:name="LawTable_End"/>
      <w:bookmarkEnd w:id="4"/>
    </w:p>
    <w:p w14:paraId="7A36FF1D" w14:textId="77777777" w:rsidR="00C57A68" w:rsidRPr="00C57A68" w:rsidRDefault="00C57A68" w:rsidP="00CE63F1">
      <w:pPr>
        <w:bidi w:val="0"/>
        <w:spacing w:line="360" w:lineRule="auto"/>
        <w:jc w:val="right"/>
        <w:rPr>
          <w:rFonts w:ascii="Arial" w:hAnsi="Arial"/>
          <w:rtl/>
        </w:rPr>
      </w:pPr>
    </w:p>
    <w:p w14:paraId="2AE5FE49" w14:textId="77777777" w:rsidR="00CE63F1" w:rsidRPr="00C57A68" w:rsidRDefault="00CE63F1" w:rsidP="00CE63F1">
      <w:pPr>
        <w:bidi w:val="0"/>
        <w:spacing w:line="360" w:lineRule="auto"/>
        <w:jc w:val="right"/>
        <w:rPr>
          <w:rFonts w:ascii="Arial" w:hAnsi="Arial"/>
          <w:rtl/>
        </w:rPr>
      </w:pPr>
    </w:p>
    <w:p w14:paraId="54590F02" w14:textId="77777777" w:rsidR="00A31FD2" w:rsidRPr="00A31FD2" w:rsidRDefault="00A31FD2" w:rsidP="00A31FD2">
      <w:pPr>
        <w:spacing w:line="480" w:lineRule="auto"/>
        <w:ind w:left="510" w:hanging="510"/>
        <w:jc w:val="center"/>
        <w:rPr>
          <w:rFonts w:ascii="Arial" w:hAnsi="Arial"/>
          <w:b/>
          <w:bCs/>
          <w:sz w:val="36"/>
          <w:szCs w:val="36"/>
          <w:u w:val="single"/>
          <w:rtl/>
        </w:rPr>
      </w:pPr>
      <w:bookmarkStart w:id="5" w:name="PsakDin"/>
      <w:bookmarkEnd w:id="0"/>
      <w:r w:rsidRPr="00A31FD2">
        <w:rPr>
          <w:rFonts w:ascii="Arial" w:hAnsi="Arial"/>
          <w:b/>
          <w:bCs/>
          <w:sz w:val="36"/>
          <w:szCs w:val="36"/>
          <w:u w:val="single"/>
          <w:rtl/>
        </w:rPr>
        <w:t>גזר דין</w:t>
      </w:r>
    </w:p>
    <w:bookmarkEnd w:id="5"/>
    <w:p w14:paraId="77A1AD6B" w14:textId="77777777" w:rsidR="00CE63F1" w:rsidRPr="00F04501" w:rsidRDefault="00CE63F1" w:rsidP="00CE63F1">
      <w:pPr>
        <w:spacing w:line="480" w:lineRule="auto"/>
        <w:ind w:left="510" w:hanging="510"/>
        <w:jc w:val="both"/>
        <w:rPr>
          <w:b/>
          <w:bCs/>
          <w:u w:val="single"/>
          <w:rtl/>
        </w:rPr>
      </w:pPr>
      <w:r>
        <w:rPr>
          <w:rtl/>
        </w:rPr>
        <w:t>1.</w:t>
      </w:r>
      <w:r>
        <w:rPr>
          <w:rFonts w:hint="cs"/>
          <w:rtl/>
        </w:rPr>
        <w:tab/>
      </w:r>
      <w:r w:rsidRPr="00F04501">
        <w:rPr>
          <w:rFonts w:hint="cs"/>
          <w:b/>
          <w:bCs/>
          <w:u w:val="single"/>
          <w:rtl/>
        </w:rPr>
        <w:t>כתב האישום (המתוקן)</w:t>
      </w:r>
    </w:p>
    <w:p w14:paraId="1086DF14" w14:textId="77777777" w:rsidR="00CE63F1" w:rsidRDefault="00CE63F1" w:rsidP="00CE63F1">
      <w:pPr>
        <w:spacing w:line="480" w:lineRule="auto"/>
        <w:ind w:left="510" w:hanging="510"/>
        <w:jc w:val="both"/>
        <w:rPr>
          <w:rtl/>
        </w:rPr>
      </w:pPr>
    </w:p>
    <w:p w14:paraId="2128C9D3" w14:textId="77777777" w:rsidR="00CE63F1" w:rsidRDefault="00CE63F1" w:rsidP="00CE63F1">
      <w:pPr>
        <w:spacing w:line="480" w:lineRule="auto"/>
        <w:ind w:left="1440" w:hanging="930"/>
        <w:jc w:val="both"/>
        <w:rPr>
          <w:rtl/>
        </w:rPr>
      </w:pPr>
      <w:r>
        <w:rPr>
          <w:rFonts w:hint="cs"/>
          <w:rtl/>
        </w:rPr>
        <w:t>א.</w:t>
      </w:r>
      <w:r>
        <w:rPr>
          <w:rFonts w:hint="cs"/>
          <w:rtl/>
        </w:rPr>
        <w:tab/>
        <w:t xml:space="preserve">לא </w:t>
      </w:r>
      <w:bookmarkStart w:id="6" w:name="ABSTRACT_START"/>
      <w:bookmarkEnd w:id="6"/>
      <w:r>
        <w:rPr>
          <w:rFonts w:hint="cs"/>
          <w:rtl/>
        </w:rPr>
        <w:t xml:space="preserve">נמצא טעם להביא את כל שפורט בכתב האישום, ועם זאת נדרש ליתן ביטוי לתמצית הדברים. כתב האישום מתאר בסעיפים 4-1 לפרק העובדות את ההתארגנות בה נטלו חלק, לצד הנאשם, מי מבין תושבי מחנה הפליטים שועפט. במסגרת זאת מתוארת התאספות חברי אותה קבוצה, הצטיידותם בבנזין, </w:t>
      </w:r>
      <w:r>
        <w:rPr>
          <w:rFonts w:hint="cs"/>
          <w:rtl/>
        </w:rPr>
        <w:lastRenderedPageBreak/>
        <w:t xml:space="preserve">בבקבוקי זכוכית ובסמרטוטים. ההתארגנות הבשילה לקראת מאי 2018, תוך הכנת בקבוקי תבערה, הכנת רעלות והתארגנות, כאשר המוקד הינו 'פילבוקס', עמדת שמירה מרכזית לכוחות הביטחון באזור. </w:t>
      </w:r>
    </w:p>
    <w:p w14:paraId="34D36909" w14:textId="77777777" w:rsidR="00CE63F1" w:rsidRDefault="00CE63F1" w:rsidP="00CE63F1">
      <w:pPr>
        <w:spacing w:line="480" w:lineRule="auto"/>
        <w:ind w:left="1440" w:hanging="930"/>
        <w:jc w:val="both"/>
        <w:rPr>
          <w:rtl/>
        </w:rPr>
      </w:pPr>
    </w:p>
    <w:p w14:paraId="2D715FC1" w14:textId="77777777" w:rsidR="00CE63F1" w:rsidRDefault="00CE63F1" w:rsidP="00CE63F1">
      <w:pPr>
        <w:spacing w:line="480" w:lineRule="auto"/>
        <w:ind w:left="1440" w:hanging="930"/>
        <w:jc w:val="both"/>
        <w:rPr>
          <w:rtl/>
        </w:rPr>
      </w:pPr>
      <w:r>
        <w:rPr>
          <w:rFonts w:hint="cs"/>
          <w:rtl/>
        </w:rPr>
        <w:t>ב.</w:t>
      </w:r>
      <w:r>
        <w:rPr>
          <w:rFonts w:hint="cs"/>
          <w:rtl/>
        </w:rPr>
        <w:tab/>
        <w:t>במוקד האירוע שהתרחש ביום 18.5.18 סמוך לשעה 21:00, מפגש חברי הקבוצה בנקודה שפורטה במחנה הפליטים שועפט, ויציאתם משם כשהם מצוידים בשקית ובה בקבוקי תבערה לכיוון מחסום סמוך. חברי הקבוצה, בכללם הנאשם, יידו בקבוקי תבערה לעבר הפילבוקס, וכשהגיעו כוחות הביטחון לאזור, אף יידו לעברם אבנים. אשר לנאשם צוין בממוקד בסעיף 6 לפרק העובדות של כתב האישום, שהוא הוביל נשק ללא רשות, ניסה לשלח אש בצוותא עם עמיתיו, לרבות באתר טבע, וכל זאת כדי לפגוע בבני אדם. סיכום פרק העובדות של כתב האישום מלמדנו על השתתפות בהתקהלות אסורה שהיה בה כדי להטיל אימה על הציבור, ניסיון לתקוף שוטר ולהכשילו בתפקידו, וכל זאת כשהנאשם, בצוותא עם אחרים, מזוין בנשק קר.</w:t>
      </w:r>
    </w:p>
    <w:p w14:paraId="71732EA6" w14:textId="77777777" w:rsidR="00CE63F1" w:rsidRDefault="00CE63F1" w:rsidP="00CE63F1">
      <w:pPr>
        <w:spacing w:line="480" w:lineRule="auto"/>
        <w:ind w:left="1440" w:hanging="930"/>
        <w:jc w:val="both"/>
        <w:rPr>
          <w:rtl/>
        </w:rPr>
      </w:pPr>
    </w:p>
    <w:p w14:paraId="6AD197B4" w14:textId="77777777" w:rsidR="00CE63F1" w:rsidRDefault="00CE63F1" w:rsidP="00CE63F1">
      <w:pPr>
        <w:spacing w:line="480" w:lineRule="auto"/>
        <w:ind w:left="1440" w:hanging="930"/>
        <w:jc w:val="both"/>
        <w:rPr>
          <w:rtl/>
        </w:rPr>
      </w:pPr>
      <w:bookmarkStart w:id="7" w:name="ABSTRACT_END"/>
      <w:bookmarkEnd w:id="7"/>
      <w:r>
        <w:rPr>
          <w:rFonts w:hint="cs"/>
          <w:rtl/>
        </w:rPr>
        <w:t>ג.</w:t>
      </w:r>
      <w:r>
        <w:rPr>
          <w:rtl/>
        </w:rPr>
        <w:tab/>
      </w:r>
      <w:r>
        <w:rPr>
          <w:rFonts w:hint="cs"/>
          <w:rtl/>
        </w:rPr>
        <w:t>נוכח זאת, הורשע הנאשם על פי הודאתו בכתב האישום (המתוקן) בעבירות הבאות</w:t>
      </w:r>
      <w:r w:rsidRPr="005360EC">
        <w:rPr>
          <w:rFonts w:hint="cs"/>
          <w:b/>
          <w:bCs/>
          <w:rtl/>
        </w:rPr>
        <w:t>:</w:t>
      </w:r>
      <w:r>
        <w:rPr>
          <w:rFonts w:hint="cs"/>
          <w:rtl/>
        </w:rPr>
        <w:t xml:space="preserve"> </w:t>
      </w:r>
      <w:r>
        <w:rPr>
          <w:rFonts w:hint="cs"/>
          <w:b/>
          <w:bCs/>
          <w:rtl/>
        </w:rPr>
        <w:t>ניסיון תקיפת שוטר בנסיבות מחמירות</w:t>
      </w:r>
      <w:r>
        <w:rPr>
          <w:rFonts w:hint="cs"/>
          <w:rtl/>
        </w:rPr>
        <w:t xml:space="preserve"> </w:t>
      </w:r>
      <w:r>
        <w:rPr>
          <w:rtl/>
        </w:rPr>
        <w:t>–</w:t>
      </w:r>
      <w:r>
        <w:rPr>
          <w:rFonts w:hint="cs"/>
          <w:rtl/>
        </w:rPr>
        <w:t xml:space="preserve"> עבירה לפי סעי 274 (1) +(2)+(3) בצירוף </w:t>
      </w:r>
      <w:hyperlink r:id="rId22" w:history="1">
        <w:r w:rsidR="00C57A68" w:rsidRPr="00C57A68">
          <w:rPr>
            <w:color w:val="0000FF"/>
            <w:u w:val="single"/>
            <w:rtl/>
          </w:rPr>
          <w:t>סעיף 25</w:t>
        </w:r>
      </w:hyperlink>
      <w:r>
        <w:rPr>
          <w:rFonts w:hint="cs"/>
          <w:rtl/>
        </w:rPr>
        <w:t xml:space="preserve"> ל</w:t>
      </w:r>
      <w:hyperlink r:id="rId23" w:history="1">
        <w:r w:rsidR="00A31FD2" w:rsidRPr="00A31FD2">
          <w:rPr>
            <w:color w:val="0000FF"/>
            <w:u w:val="single"/>
            <w:rtl/>
          </w:rPr>
          <w:t>חוק העונשין</w:t>
        </w:r>
      </w:hyperlink>
      <w:r>
        <w:rPr>
          <w:rFonts w:hint="cs"/>
          <w:rtl/>
        </w:rPr>
        <w:t xml:space="preserve"> </w:t>
      </w:r>
      <w:r w:rsidRPr="005360EC">
        <w:rPr>
          <w:rFonts w:hint="cs"/>
          <w:rtl/>
        </w:rPr>
        <w:t>(מספר עבירות);</w:t>
      </w:r>
      <w:r>
        <w:rPr>
          <w:rFonts w:hint="cs"/>
          <w:b/>
          <w:bCs/>
          <w:rtl/>
        </w:rPr>
        <w:t xml:space="preserve"> מעשה טרור של ניסיון הצתה - </w:t>
      </w:r>
      <w:r>
        <w:rPr>
          <w:rFonts w:hint="cs"/>
          <w:rtl/>
        </w:rPr>
        <w:t xml:space="preserve"> עבירה לפי </w:t>
      </w:r>
      <w:hyperlink r:id="rId24" w:history="1">
        <w:r w:rsidR="00C57A68" w:rsidRPr="00C57A68">
          <w:rPr>
            <w:color w:val="0000FF"/>
            <w:u w:val="single"/>
            <w:rtl/>
          </w:rPr>
          <w:t>סעיף 448א'</w:t>
        </w:r>
      </w:hyperlink>
      <w:r>
        <w:rPr>
          <w:rFonts w:hint="cs"/>
          <w:rtl/>
        </w:rPr>
        <w:t xml:space="preserve"> סיפא בצירוף </w:t>
      </w:r>
      <w:hyperlink r:id="rId25" w:history="1">
        <w:r w:rsidR="00C57A68" w:rsidRPr="00C57A68">
          <w:rPr>
            <w:color w:val="0000FF"/>
            <w:u w:val="single"/>
            <w:rtl/>
          </w:rPr>
          <w:t>סעיף 25</w:t>
        </w:r>
      </w:hyperlink>
      <w:r>
        <w:rPr>
          <w:rFonts w:hint="cs"/>
          <w:rtl/>
        </w:rPr>
        <w:t xml:space="preserve"> לחוק העונשין ובצירוף </w:t>
      </w:r>
      <w:hyperlink r:id="rId26" w:history="1">
        <w:r w:rsidR="00C57A68" w:rsidRPr="00C57A68">
          <w:rPr>
            <w:color w:val="0000FF"/>
            <w:u w:val="single"/>
            <w:rtl/>
          </w:rPr>
          <w:t>סעיף 37</w:t>
        </w:r>
      </w:hyperlink>
      <w:r>
        <w:rPr>
          <w:rFonts w:hint="cs"/>
          <w:rtl/>
        </w:rPr>
        <w:t xml:space="preserve"> לחוק המאבק בטרור (מספר עבירות); וכן - </w:t>
      </w:r>
      <w:r w:rsidRPr="00806DF1">
        <w:rPr>
          <w:rFonts w:hint="cs"/>
          <w:b/>
          <w:bCs/>
          <w:rtl/>
        </w:rPr>
        <w:t>נשיאת נ</w:t>
      </w:r>
      <w:r>
        <w:rPr>
          <w:rFonts w:hint="cs"/>
          <w:b/>
          <w:bCs/>
          <w:rtl/>
        </w:rPr>
        <w:t>ש</w:t>
      </w:r>
      <w:r w:rsidRPr="00806DF1">
        <w:rPr>
          <w:rFonts w:hint="cs"/>
          <w:b/>
          <w:bCs/>
          <w:rtl/>
        </w:rPr>
        <w:t>ק</w:t>
      </w:r>
      <w:r>
        <w:rPr>
          <w:rFonts w:hint="cs"/>
          <w:rtl/>
        </w:rPr>
        <w:t xml:space="preserve"> </w:t>
      </w:r>
      <w:r>
        <w:rPr>
          <w:rtl/>
        </w:rPr>
        <w:t>–</w:t>
      </w:r>
      <w:r>
        <w:rPr>
          <w:rFonts w:hint="cs"/>
          <w:rtl/>
        </w:rPr>
        <w:t xml:space="preserve"> עבירה לפי </w:t>
      </w:r>
      <w:hyperlink r:id="rId27" w:history="1">
        <w:r w:rsidR="00C57A68" w:rsidRPr="00C57A68">
          <w:rPr>
            <w:color w:val="0000FF"/>
            <w:u w:val="single"/>
            <w:rtl/>
          </w:rPr>
          <w:t>סעיף 144(ב)</w:t>
        </w:r>
      </w:hyperlink>
      <w:r>
        <w:rPr>
          <w:rFonts w:hint="cs"/>
          <w:rtl/>
        </w:rPr>
        <w:t xml:space="preserve"> לחוק העונשין. </w:t>
      </w:r>
    </w:p>
    <w:p w14:paraId="05B5C8E8" w14:textId="77777777" w:rsidR="00CE63F1" w:rsidRDefault="00CE63F1" w:rsidP="00CE63F1">
      <w:pPr>
        <w:spacing w:line="480" w:lineRule="auto"/>
        <w:jc w:val="both"/>
        <w:rPr>
          <w:rtl/>
        </w:rPr>
      </w:pPr>
    </w:p>
    <w:p w14:paraId="29E93124" w14:textId="77777777" w:rsidR="00CE63F1" w:rsidRDefault="00CE63F1" w:rsidP="00CE63F1">
      <w:pPr>
        <w:spacing w:line="480" w:lineRule="auto"/>
        <w:ind w:left="510" w:hanging="510"/>
        <w:jc w:val="both"/>
        <w:rPr>
          <w:rtl/>
        </w:rPr>
      </w:pPr>
      <w:r>
        <w:rPr>
          <w:rtl/>
        </w:rPr>
        <w:t>2.</w:t>
      </w:r>
      <w:r>
        <w:rPr>
          <w:rFonts w:hint="cs"/>
          <w:rtl/>
        </w:rPr>
        <w:tab/>
      </w:r>
      <w:r w:rsidRPr="00F04501">
        <w:rPr>
          <w:rFonts w:hint="cs"/>
          <w:b/>
          <w:bCs/>
          <w:u w:val="single"/>
          <w:rtl/>
        </w:rPr>
        <w:t>לשאלת מתחמי הענישה</w:t>
      </w:r>
    </w:p>
    <w:p w14:paraId="720F0924" w14:textId="77777777" w:rsidR="00CE63F1" w:rsidRDefault="00CE63F1" w:rsidP="00CE63F1">
      <w:pPr>
        <w:spacing w:line="480" w:lineRule="auto"/>
        <w:ind w:left="510" w:hanging="510"/>
        <w:jc w:val="both"/>
        <w:rPr>
          <w:rtl/>
        </w:rPr>
      </w:pPr>
    </w:p>
    <w:p w14:paraId="45DEACD4" w14:textId="77777777" w:rsidR="00CE63F1" w:rsidRDefault="00CE63F1" w:rsidP="00CE63F1">
      <w:pPr>
        <w:spacing w:line="480" w:lineRule="auto"/>
        <w:ind w:left="1440" w:hanging="930"/>
        <w:jc w:val="both"/>
        <w:rPr>
          <w:rtl/>
        </w:rPr>
      </w:pPr>
      <w:r>
        <w:rPr>
          <w:rFonts w:hint="cs"/>
          <w:rtl/>
        </w:rPr>
        <w:t xml:space="preserve">א. </w:t>
      </w:r>
      <w:r>
        <w:rPr>
          <w:rFonts w:hint="cs"/>
          <w:rtl/>
        </w:rPr>
        <w:tab/>
        <w:t xml:space="preserve">עמדת המאשימה למתחם שלא יפחת משלוש שנות מאסר, והמתחם אמור להגיע, לדברי ב"כ המאשימה, לכחמש שנות מאסר. </w:t>
      </w:r>
    </w:p>
    <w:p w14:paraId="0A991982" w14:textId="77777777" w:rsidR="00CE63F1" w:rsidRDefault="00CE63F1" w:rsidP="00CE63F1">
      <w:pPr>
        <w:spacing w:line="480" w:lineRule="auto"/>
        <w:ind w:left="1440" w:hanging="930"/>
        <w:jc w:val="both"/>
        <w:rPr>
          <w:rtl/>
        </w:rPr>
      </w:pPr>
    </w:p>
    <w:p w14:paraId="2E74578F" w14:textId="77777777" w:rsidR="00CE63F1" w:rsidRDefault="00CE63F1" w:rsidP="00CE63F1">
      <w:pPr>
        <w:spacing w:line="480" w:lineRule="auto"/>
        <w:ind w:left="1440" w:hanging="930"/>
        <w:jc w:val="both"/>
        <w:rPr>
          <w:rtl/>
        </w:rPr>
      </w:pPr>
      <w:r>
        <w:rPr>
          <w:rFonts w:hint="cs"/>
          <w:rtl/>
        </w:rPr>
        <w:t>ב.</w:t>
      </w:r>
      <w:r>
        <w:rPr>
          <w:rFonts w:hint="cs"/>
          <w:rtl/>
        </w:rPr>
        <w:tab/>
        <w:t>ומנגד, לדעת הסניגור הנכבד, ראוי למתחם שיתחיל בעבודות שירות, ולכל היותר יש מקום לתקופת מאסר מידתית ומוגבלת בהיקפה, עד  20 חודשי מאסר, לדבריו.</w:t>
      </w:r>
    </w:p>
    <w:p w14:paraId="404FDFCB" w14:textId="77777777" w:rsidR="00CE63F1" w:rsidRDefault="00CE63F1" w:rsidP="00CE63F1">
      <w:pPr>
        <w:spacing w:line="480" w:lineRule="auto"/>
        <w:ind w:left="1440" w:hanging="930"/>
        <w:jc w:val="both"/>
        <w:rPr>
          <w:rtl/>
        </w:rPr>
      </w:pPr>
    </w:p>
    <w:p w14:paraId="5349363A" w14:textId="77777777" w:rsidR="00CE63F1" w:rsidRDefault="00CE63F1" w:rsidP="00CE63F1">
      <w:pPr>
        <w:spacing w:line="480" w:lineRule="auto"/>
        <w:ind w:left="1440" w:hanging="930"/>
        <w:jc w:val="both"/>
        <w:rPr>
          <w:rtl/>
        </w:rPr>
      </w:pPr>
      <w:r>
        <w:rPr>
          <w:rFonts w:hint="cs"/>
          <w:rtl/>
        </w:rPr>
        <w:t>ג.</w:t>
      </w:r>
      <w:r>
        <w:rPr>
          <w:rFonts w:hint="cs"/>
          <w:rtl/>
        </w:rPr>
        <w:tab/>
        <w:t xml:space="preserve">נתון נוסף הטעון התייחסות, גלום בעובדה שביחס למעורב אחר באותה פרשה ניתן על ידי מותב נכבד אחר של בית משפט זה גזר דין שהטיל עליו 3 שנות מאסר, וזאת הגם שמדובר היה בקטין כבן 15. עם זאת, ביחס לאותו נאשם, היתה תמונת המצב חמורה משמעותית. הורשע הוא, בין היתר, בעבירה על </w:t>
      </w:r>
      <w:hyperlink r:id="rId28" w:history="1">
        <w:r w:rsidR="00C57A68" w:rsidRPr="00C57A68">
          <w:rPr>
            <w:color w:val="0000FF"/>
            <w:u w:val="single"/>
            <w:rtl/>
          </w:rPr>
          <w:t>סעיף 329</w:t>
        </w:r>
      </w:hyperlink>
      <w:r>
        <w:rPr>
          <w:rFonts w:hint="cs"/>
          <w:rtl/>
        </w:rPr>
        <w:t xml:space="preserve"> על </w:t>
      </w:r>
      <w:hyperlink r:id="rId29" w:history="1">
        <w:r w:rsidR="00A31FD2" w:rsidRPr="00A31FD2">
          <w:rPr>
            <w:color w:val="0000FF"/>
            <w:u w:val="single"/>
            <w:rtl/>
          </w:rPr>
          <w:t>חוק העונשין</w:t>
        </w:r>
      </w:hyperlink>
      <w:r>
        <w:rPr>
          <w:rFonts w:hint="cs"/>
          <w:rtl/>
        </w:rPr>
        <w:t xml:space="preserve"> שחומרתה ידועה, ואין עבירה כמותה בפרשתנו. </w:t>
      </w:r>
    </w:p>
    <w:p w14:paraId="3AB233D9" w14:textId="77777777" w:rsidR="00CE63F1" w:rsidRDefault="00CE63F1" w:rsidP="00CE63F1">
      <w:pPr>
        <w:spacing w:line="480" w:lineRule="auto"/>
        <w:ind w:left="1440" w:hanging="930"/>
        <w:jc w:val="both"/>
        <w:rPr>
          <w:rtl/>
        </w:rPr>
      </w:pPr>
    </w:p>
    <w:p w14:paraId="617BF16F" w14:textId="77777777" w:rsidR="00CE63F1" w:rsidRDefault="00CE63F1" w:rsidP="00CE63F1">
      <w:pPr>
        <w:spacing w:line="480" w:lineRule="auto"/>
        <w:ind w:left="1440" w:hanging="930"/>
        <w:jc w:val="both"/>
        <w:rPr>
          <w:rtl/>
        </w:rPr>
      </w:pPr>
      <w:r>
        <w:rPr>
          <w:rFonts w:hint="cs"/>
          <w:rtl/>
        </w:rPr>
        <w:t>ד.</w:t>
      </w:r>
      <w:r>
        <w:rPr>
          <w:rFonts w:hint="cs"/>
          <w:rtl/>
        </w:rPr>
        <w:tab/>
        <w:t xml:space="preserve">לסיכום הדיון בנקודת המוצא העונשית נכון לציין גם את </w:t>
      </w:r>
      <w:hyperlink r:id="rId30" w:history="1">
        <w:r w:rsidR="00C57A68" w:rsidRPr="00C57A68">
          <w:rPr>
            <w:color w:val="0000FF"/>
            <w:u w:val="single"/>
            <w:rtl/>
          </w:rPr>
          <w:t>סעיף 37</w:t>
        </w:r>
      </w:hyperlink>
      <w:r>
        <w:rPr>
          <w:rFonts w:hint="cs"/>
          <w:rtl/>
        </w:rPr>
        <w:t xml:space="preserve"> </w:t>
      </w:r>
      <w:hyperlink r:id="rId31" w:history="1">
        <w:r w:rsidR="00C57A68" w:rsidRPr="00C57A68">
          <w:rPr>
            <w:color w:val="0000FF"/>
            <w:u w:val="single"/>
            <w:rtl/>
          </w:rPr>
          <w:t>לחוק</w:t>
        </w:r>
      </w:hyperlink>
      <w:r>
        <w:rPr>
          <w:rFonts w:hint="cs"/>
          <w:rtl/>
        </w:rPr>
        <w:t xml:space="preserve"> המאבק בטרור, לפיו, במקרים שפורטו בסעיף, יש מקום לכפל העו</w:t>
      </w:r>
      <w:r w:rsidRPr="00E456B7">
        <w:rPr>
          <w:rFonts w:hint="cs"/>
          <w:rtl/>
        </w:rPr>
        <w:t>נש. הסעיף חל בפרשתנו.</w:t>
      </w:r>
    </w:p>
    <w:p w14:paraId="6AEA14DA" w14:textId="77777777" w:rsidR="00CE63F1" w:rsidRDefault="00CE63F1" w:rsidP="00CE63F1">
      <w:pPr>
        <w:spacing w:line="480" w:lineRule="auto"/>
        <w:ind w:left="1440" w:hanging="930"/>
        <w:jc w:val="both"/>
        <w:rPr>
          <w:rtl/>
        </w:rPr>
      </w:pPr>
    </w:p>
    <w:p w14:paraId="312ECDC2" w14:textId="77777777" w:rsidR="00CE63F1" w:rsidRDefault="00CE63F1" w:rsidP="00CE63F1">
      <w:pPr>
        <w:spacing w:line="480" w:lineRule="auto"/>
        <w:ind w:left="1440" w:hanging="930"/>
        <w:jc w:val="both"/>
        <w:rPr>
          <w:rtl/>
        </w:rPr>
      </w:pPr>
      <w:r>
        <w:rPr>
          <w:rFonts w:hint="cs"/>
          <w:rtl/>
        </w:rPr>
        <w:t>ה.</w:t>
      </w:r>
      <w:r>
        <w:rPr>
          <w:rFonts w:hint="cs"/>
          <w:rtl/>
        </w:rPr>
        <w:tab/>
        <w:t>המתחם התקף להבנתי, יפורט בהמשך.</w:t>
      </w:r>
    </w:p>
    <w:p w14:paraId="6B9847F1" w14:textId="77777777" w:rsidR="00CE63F1" w:rsidRDefault="00CE63F1" w:rsidP="00CE63F1">
      <w:pPr>
        <w:spacing w:line="480" w:lineRule="auto"/>
        <w:jc w:val="both"/>
        <w:rPr>
          <w:rtl/>
        </w:rPr>
      </w:pPr>
    </w:p>
    <w:p w14:paraId="4C0CD8CB" w14:textId="77777777" w:rsidR="00CE63F1" w:rsidRDefault="00CE63F1" w:rsidP="00CE63F1">
      <w:pPr>
        <w:spacing w:line="480" w:lineRule="auto"/>
        <w:ind w:left="510" w:hanging="510"/>
        <w:jc w:val="both"/>
        <w:rPr>
          <w:rtl/>
        </w:rPr>
      </w:pPr>
      <w:r>
        <w:rPr>
          <w:rtl/>
        </w:rPr>
        <w:t>3.</w:t>
      </w:r>
      <w:r>
        <w:rPr>
          <w:rFonts w:hint="cs"/>
          <w:rtl/>
        </w:rPr>
        <w:tab/>
      </w:r>
      <w:r w:rsidRPr="005123BA">
        <w:rPr>
          <w:rFonts w:hint="cs"/>
          <w:b/>
          <w:bCs/>
          <w:u w:val="single"/>
          <w:rtl/>
        </w:rPr>
        <w:t>טענות ההגנה</w:t>
      </w:r>
    </w:p>
    <w:p w14:paraId="23E5C17C" w14:textId="77777777" w:rsidR="00CE63F1" w:rsidRDefault="00CE63F1" w:rsidP="00CE63F1">
      <w:pPr>
        <w:spacing w:line="480" w:lineRule="auto"/>
        <w:ind w:left="510" w:hanging="510"/>
        <w:jc w:val="both"/>
        <w:rPr>
          <w:rtl/>
        </w:rPr>
      </w:pPr>
    </w:p>
    <w:p w14:paraId="403C6E70" w14:textId="77777777" w:rsidR="00CE63F1" w:rsidRDefault="00CE63F1" w:rsidP="00CE63F1">
      <w:pPr>
        <w:spacing w:line="480" w:lineRule="auto"/>
        <w:ind w:left="1440" w:hanging="930"/>
        <w:jc w:val="both"/>
        <w:rPr>
          <w:rtl/>
        </w:rPr>
      </w:pPr>
      <w:r>
        <w:rPr>
          <w:rFonts w:hint="cs"/>
          <w:rtl/>
        </w:rPr>
        <w:t>א.</w:t>
      </w:r>
      <w:r>
        <w:rPr>
          <w:rFonts w:hint="cs"/>
          <w:rtl/>
        </w:rPr>
        <w:tab/>
        <w:t xml:space="preserve">ראשית הודגש, ובצדק רב, שעל הפרק נאשם שנטל אחריות מלאה למעשיו והודה במיוחס לו. </w:t>
      </w:r>
    </w:p>
    <w:p w14:paraId="6965A7F6" w14:textId="77777777" w:rsidR="00CE63F1" w:rsidRDefault="00CE63F1" w:rsidP="00CE63F1">
      <w:pPr>
        <w:spacing w:line="480" w:lineRule="auto"/>
        <w:ind w:left="1440" w:hanging="930"/>
        <w:jc w:val="both"/>
        <w:rPr>
          <w:rtl/>
        </w:rPr>
      </w:pPr>
    </w:p>
    <w:p w14:paraId="7BE96A12" w14:textId="77777777" w:rsidR="00CE63F1" w:rsidRDefault="00CE63F1" w:rsidP="00CE63F1">
      <w:pPr>
        <w:spacing w:line="480" w:lineRule="auto"/>
        <w:ind w:left="1440" w:hanging="930"/>
        <w:jc w:val="both"/>
        <w:rPr>
          <w:rtl/>
        </w:rPr>
      </w:pPr>
      <w:r>
        <w:rPr>
          <w:rFonts w:hint="cs"/>
          <w:rtl/>
        </w:rPr>
        <w:t>ב.</w:t>
      </w:r>
      <w:r>
        <w:rPr>
          <w:rFonts w:hint="cs"/>
          <w:rtl/>
        </w:rPr>
        <w:tab/>
        <w:t xml:space="preserve">בד בבד, נכון להדגיש, שעל הפרק, לנאשם זה, עבירה ראשונה, ואין לחובתו עבר פלילי קודם בכל הקשר.  </w:t>
      </w:r>
    </w:p>
    <w:p w14:paraId="44972F59" w14:textId="77777777" w:rsidR="00CE63F1" w:rsidRDefault="00CE63F1" w:rsidP="00CE63F1">
      <w:pPr>
        <w:spacing w:line="480" w:lineRule="auto"/>
        <w:ind w:left="1440" w:hanging="930"/>
        <w:jc w:val="both"/>
        <w:rPr>
          <w:rtl/>
        </w:rPr>
      </w:pPr>
    </w:p>
    <w:p w14:paraId="77003814" w14:textId="77777777" w:rsidR="00CE63F1" w:rsidRDefault="00CE63F1" w:rsidP="00CE63F1">
      <w:pPr>
        <w:spacing w:line="480" w:lineRule="auto"/>
        <w:ind w:left="1440" w:hanging="930"/>
        <w:jc w:val="both"/>
        <w:rPr>
          <w:rtl/>
        </w:rPr>
      </w:pPr>
      <w:r>
        <w:rPr>
          <w:rFonts w:hint="cs"/>
          <w:rtl/>
        </w:rPr>
        <w:t>ג.</w:t>
      </w:r>
      <w:r>
        <w:rPr>
          <w:rFonts w:hint="cs"/>
          <w:rtl/>
        </w:rPr>
        <w:tab/>
        <w:t xml:space="preserve">לא מעט טענו הצדדים ביחס לתסקיר שהונח על שולחן בית המשפט, ונמנע מכל המלצה בעניינו של הנאשם. לטענת ההגנה, על הפרק מקרה נוסף בו נשלח קצין מבחן שאינו דובר את השפה הערבית לנאשם שנקלע לקשיי ביטוי והתקשה, לפיכך,  בהעברת תחושותיו. אף את נכונותו לקבל את האחריות למעשיו התקשה התסקיר לשקף בנסיבות אלה. </w:t>
      </w:r>
    </w:p>
    <w:p w14:paraId="5E7453CC" w14:textId="77777777" w:rsidR="00CE63F1" w:rsidRDefault="00CE63F1" w:rsidP="00CE63F1">
      <w:pPr>
        <w:spacing w:line="480" w:lineRule="auto"/>
        <w:ind w:left="1440" w:hanging="930"/>
        <w:jc w:val="both"/>
        <w:rPr>
          <w:rtl/>
        </w:rPr>
      </w:pPr>
    </w:p>
    <w:p w14:paraId="2FBF8EC1" w14:textId="77777777" w:rsidR="00CE63F1" w:rsidRDefault="00CE63F1" w:rsidP="00CE63F1">
      <w:pPr>
        <w:spacing w:line="480" w:lineRule="auto"/>
        <w:ind w:left="1440" w:hanging="930"/>
        <w:jc w:val="both"/>
        <w:rPr>
          <w:rtl/>
        </w:rPr>
      </w:pPr>
      <w:r>
        <w:rPr>
          <w:rFonts w:hint="cs"/>
          <w:rtl/>
        </w:rPr>
        <w:t>ד.</w:t>
      </w:r>
      <w:r>
        <w:rPr>
          <w:rFonts w:hint="cs"/>
          <w:rtl/>
        </w:rPr>
        <w:tab/>
        <w:t xml:space="preserve">עוד צוינה על ידי ההגנה, ובצדק, תקופת מעצרו של הנאשם עד עתה. עצור היה ממשית </w:t>
      </w:r>
      <w:r>
        <w:rPr>
          <w:rtl/>
        </w:rPr>
        <w:t>–</w:t>
      </w:r>
      <w:r>
        <w:rPr>
          <w:rFonts w:hint="cs"/>
          <w:rtl/>
        </w:rPr>
        <w:t xml:space="preserve"> 21 ימים. רבה שבעתיים היתה תקופה של כשנה שלמה בה היה במעצר בית, ואין חולקין, שלא נרשמו לחובת הנאשם הפרות כלשהן. הסניגור השלים את טיעוניו בציינו שהתקופה הממושכת של מעצר בית ללא הפרות, תומכת ומחזקת גם את טענתו היסודית לקבלת אחריות. </w:t>
      </w:r>
    </w:p>
    <w:p w14:paraId="62D44D31" w14:textId="77777777" w:rsidR="00CE63F1" w:rsidRDefault="00CE63F1" w:rsidP="00CE63F1">
      <w:pPr>
        <w:spacing w:line="480" w:lineRule="auto"/>
        <w:jc w:val="both"/>
        <w:rPr>
          <w:rtl/>
        </w:rPr>
      </w:pPr>
    </w:p>
    <w:p w14:paraId="05A22ACB" w14:textId="77777777" w:rsidR="00CE63F1" w:rsidRDefault="00CE63F1" w:rsidP="00CE63F1">
      <w:pPr>
        <w:spacing w:line="480" w:lineRule="auto"/>
        <w:ind w:left="510" w:hanging="510"/>
        <w:jc w:val="both"/>
        <w:rPr>
          <w:rtl/>
        </w:rPr>
      </w:pPr>
      <w:r>
        <w:rPr>
          <w:rFonts w:hint="cs"/>
          <w:rtl/>
        </w:rPr>
        <w:t>4</w:t>
      </w:r>
      <w:r>
        <w:rPr>
          <w:rtl/>
        </w:rPr>
        <w:t>.</w:t>
      </w:r>
      <w:r>
        <w:rPr>
          <w:rFonts w:hint="cs"/>
          <w:rtl/>
        </w:rPr>
        <w:tab/>
      </w:r>
      <w:r w:rsidRPr="0033284B">
        <w:rPr>
          <w:rFonts w:hint="cs"/>
          <w:b/>
          <w:bCs/>
          <w:u w:val="single"/>
          <w:rtl/>
        </w:rPr>
        <w:t>תסקיר שירות המבחן</w:t>
      </w:r>
    </w:p>
    <w:p w14:paraId="395066FE" w14:textId="77777777" w:rsidR="00CE63F1" w:rsidRDefault="00CE63F1" w:rsidP="00CE63F1">
      <w:pPr>
        <w:spacing w:line="480" w:lineRule="auto"/>
        <w:ind w:left="510" w:hanging="510"/>
        <w:jc w:val="both"/>
        <w:rPr>
          <w:rtl/>
        </w:rPr>
      </w:pPr>
    </w:p>
    <w:p w14:paraId="5C8BEF6B" w14:textId="77777777" w:rsidR="00CE63F1" w:rsidRDefault="00CE63F1" w:rsidP="00CE63F1">
      <w:pPr>
        <w:spacing w:line="480" w:lineRule="auto"/>
        <w:ind w:left="510"/>
        <w:jc w:val="both"/>
        <w:rPr>
          <w:rtl/>
        </w:rPr>
      </w:pPr>
      <w:r>
        <w:rPr>
          <w:rFonts w:hint="cs"/>
          <w:rtl/>
        </w:rPr>
        <w:t xml:space="preserve">במצוות החוק אמנע מציטוט האמור בתסקיר ואסתפק במתן ביטוי למסקנותיו של קצין המבחן. מסקנות שירות המבחן, למרבה הצער, מלמדות על הערכת קצין המבחן לקיומם של גורמי סיכון למעשים פוגעניים, וככלל, אין על הפרק תסקיר חיובי. לא בכדי נמנע שירות המבחן מכל המלצה בעניינו של הנאשם. ועם זאת, נכון אני להערכה שיש מידה של ממש בטענות ב"כ הנאשם ביחס לתסקיר המוכן על ידי קצין מבחן דובר עברית, נכבד ככל שיהיה, כאשר על הפרק נאשם ששפת אמו ערבית. קשה שלא להלום שאין בתסקיר זה כדי לסייע לנאשם, אך במקביל אקפיד שלא לראות בו כחיזוק לכיוון המחמיר. בסופו של דבר, גם אם סבור קצין המבחן אחרת, מבחינת בית המשפט, על הפרק נאשם שקיבל את האחריות למעשיו ואשר במשך כשנה לא הפר את תנאי מעצר הבית. אלה נסיבות בהן דומני, שראוי להניח לתסקיר זה. מכל מקום, אין לי, אלא לקוות, כי יתרבו קציני המבחן דוברי הערבית במסגרת שירות המבחן. </w:t>
      </w:r>
    </w:p>
    <w:p w14:paraId="7F6CD135" w14:textId="77777777" w:rsidR="00CE63F1" w:rsidRDefault="00CE63F1" w:rsidP="00CE63F1">
      <w:pPr>
        <w:spacing w:line="480" w:lineRule="auto"/>
        <w:jc w:val="both"/>
        <w:rPr>
          <w:rtl/>
        </w:rPr>
      </w:pPr>
    </w:p>
    <w:p w14:paraId="0CA2C954" w14:textId="77777777" w:rsidR="00CE63F1" w:rsidRDefault="00CE63F1" w:rsidP="00CE63F1">
      <w:pPr>
        <w:spacing w:line="480" w:lineRule="auto"/>
        <w:ind w:left="510" w:hanging="510"/>
        <w:jc w:val="both"/>
        <w:rPr>
          <w:rtl/>
        </w:rPr>
      </w:pPr>
      <w:r>
        <w:rPr>
          <w:rFonts w:hint="cs"/>
          <w:rtl/>
        </w:rPr>
        <w:t>5</w:t>
      </w:r>
      <w:r>
        <w:rPr>
          <w:rtl/>
        </w:rPr>
        <w:t>.</w:t>
      </w:r>
      <w:r>
        <w:rPr>
          <w:rFonts w:hint="cs"/>
          <w:rtl/>
        </w:rPr>
        <w:tab/>
      </w:r>
      <w:r w:rsidRPr="00785B56">
        <w:rPr>
          <w:rFonts w:hint="cs"/>
          <w:b/>
          <w:bCs/>
          <w:u w:val="single"/>
          <w:rtl/>
        </w:rPr>
        <w:t>הדיון המסכם</w:t>
      </w:r>
    </w:p>
    <w:p w14:paraId="5C1264B8" w14:textId="77777777" w:rsidR="00CE63F1" w:rsidRDefault="00CE63F1" w:rsidP="00CE63F1">
      <w:pPr>
        <w:spacing w:line="480" w:lineRule="auto"/>
        <w:ind w:left="510" w:hanging="510"/>
        <w:jc w:val="both"/>
        <w:rPr>
          <w:rtl/>
        </w:rPr>
      </w:pPr>
    </w:p>
    <w:p w14:paraId="48AED271" w14:textId="77777777" w:rsidR="00CE63F1" w:rsidRDefault="00CE63F1" w:rsidP="00CE63F1">
      <w:pPr>
        <w:spacing w:line="480" w:lineRule="auto"/>
        <w:ind w:left="1440" w:hanging="930"/>
        <w:jc w:val="both"/>
        <w:rPr>
          <w:rtl/>
        </w:rPr>
      </w:pPr>
      <w:r>
        <w:rPr>
          <w:rFonts w:hint="cs"/>
          <w:rtl/>
        </w:rPr>
        <w:t>א.</w:t>
      </w:r>
      <w:r>
        <w:rPr>
          <w:rFonts w:hint="cs"/>
          <w:rtl/>
        </w:rPr>
        <w:tab/>
        <w:t xml:space="preserve">על פני הדברים, עבירות מן הסוג שעל הפרק, חומרתן יתרה, ואין הדעת נותנת שעבירות מסוג זה לא תסתיימנה בתקופת מאסר ממשית מאחורי סורג ובריח: </w:t>
      </w:r>
      <w:r>
        <w:rPr>
          <w:rtl/>
        </w:rPr>
        <w:t>–</w:t>
      </w:r>
      <w:r>
        <w:rPr>
          <w:rFonts w:hint="cs"/>
          <w:rtl/>
        </w:rPr>
        <w:t xml:space="preserve"> </w:t>
      </w:r>
    </w:p>
    <w:p w14:paraId="75CC0C98" w14:textId="77777777" w:rsidR="00CE63F1" w:rsidRDefault="00CE63F1" w:rsidP="00CE63F1">
      <w:pPr>
        <w:spacing w:line="480" w:lineRule="auto"/>
        <w:ind w:left="1440" w:hanging="930"/>
        <w:jc w:val="both"/>
        <w:rPr>
          <w:rtl/>
        </w:rPr>
      </w:pPr>
    </w:p>
    <w:p w14:paraId="300C115D" w14:textId="77777777" w:rsidR="00CE63F1" w:rsidRDefault="00CE63F1" w:rsidP="00CE63F1">
      <w:pPr>
        <w:spacing w:line="360" w:lineRule="auto"/>
        <w:ind w:left="2160"/>
        <w:jc w:val="both"/>
        <w:rPr>
          <w:rtl/>
        </w:rPr>
      </w:pPr>
      <w:r>
        <w:rPr>
          <w:rFonts w:hint="cs"/>
          <w:rtl/>
        </w:rPr>
        <w:t>"</w:t>
      </w:r>
      <w:r w:rsidRPr="00DC74EA">
        <w:rPr>
          <w:b/>
          <w:bCs/>
          <w:rtl/>
        </w:rPr>
        <w:t>במוקד הרשעת המערער ניצבים מספר אירועים של יידוי אבנים ואירוע של השלכת בקבוקי תבערה. בית משפט זה עמד לא אחת על הסכנה הגלומה במעשים מעין אלה, העלולים לגרום לנזק רב ואף לגבות קורבנות בנפש. לפיכך נפסק כי יש להתייחס בחומרה גם למקרים שבהם לא נגרם נזק בפועל מעבירות אלו</w:t>
      </w:r>
      <w:r>
        <w:rPr>
          <w:rtl/>
        </w:rPr>
        <w:t xml:space="preserve"> </w:t>
      </w:r>
      <w:r w:rsidRPr="00784707">
        <w:rPr>
          <w:b/>
          <w:bCs/>
          <w:rtl/>
        </w:rPr>
        <w:t xml:space="preserve">(ראו למשל </w:t>
      </w:r>
      <w:hyperlink r:id="rId32" w:history="1">
        <w:r w:rsidR="00A31FD2" w:rsidRPr="00A31FD2">
          <w:rPr>
            <w:b/>
            <w:bCs/>
            <w:color w:val="0000FF"/>
            <w:u w:val="single"/>
            <w:rtl/>
          </w:rPr>
          <w:t>ע"פ 9821/16</w:t>
        </w:r>
      </w:hyperlink>
      <w:r w:rsidRPr="00784707">
        <w:rPr>
          <w:b/>
          <w:bCs/>
          <w:rtl/>
        </w:rPr>
        <w:t xml:space="preserve"> </w:t>
      </w:r>
      <w:r w:rsidRPr="00784707">
        <w:rPr>
          <w:rFonts w:hint="eastAsia"/>
          <w:b/>
          <w:bCs/>
          <w:rtl/>
        </w:rPr>
        <w:t>פלוני</w:t>
      </w:r>
      <w:r w:rsidRPr="00784707">
        <w:rPr>
          <w:b/>
          <w:bCs/>
          <w:rtl/>
        </w:rPr>
        <w:t xml:space="preserve"> </w:t>
      </w:r>
      <w:r w:rsidRPr="00784707">
        <w:rPr>
          <w:rFonts w:hint="eastAsia"/>
          <w:b/>
          <w:bCs/>
          <w:rtl/>
        </w:rPr>
        <w:t>נ</w:t>
      </w:r>
      <w:r w:rsidRPr="00784707">
        <w:rPr>
          <w:b/>
          <w:bCs/>
          <w:rtl/>
        </w:rPr>
        <w:t xml:space="preserve">' </w:t>
      </w:r>
      <w:r w:rsidRPr="00784707">
        <w:rPr>
          <w:rFonts w:hint="eastAsia"/>
          <w:b/>
          <w:bCs/>
          <w:rtl/>
        </w:rPr>
        <w:t>מדינת</w:t>
      </w:r>
      <w:r w:rsidRPr="00784707">
        <w:rPr>
          <w:b/>
          <w:bCs/>
          <w:rtl/>
        </w:rPr>
        <w:t xml:space="preserve"> </w:t>
      </w:r>
      <w:r w:rsidRPr="00784707">
        <w:rPr>
          <w:rFonts w:hint="eastAsia"/>
          <w:b/>
          <w:bCs/>
          <w:rtl/>
        </w:rPr>
        <w:t>ישראל</w:t>
      </w:r>
      <w:r w:rsidRPr="00784707">
        <w:rPr>
          <w:b/>
          <w:bCs/>
          <w:rtl/>
        </w:rPr>
        <w:t xml:space="preserve">, [פורסם בנבו] פסקה 13 (30.11.2017); </w:t>
      </w:r>
      <w:hyperlink r:id="rId33" w:history="1">
        <w:r w:rsidR="00A31FD2" w:rsidRPr="00A31FD2">
          <w:rPr>
            <w:b/>
            <w:bCs/>
            <w:color w:val="0000FF"/>
            <w:u w:val="single"/>
            <w:rtl/>
          </w:rPr>
          <w:t>ע"פ 4324/16</w:t>
        </w:r>
      </w:hyperlink>
      <w:r w:rsidRPr="00784707">
        <w:rPr>
          <w:b/>
          <w:bCs/>
          <w:rtl/>
        </w:rPr>
        <w:t xml:space="preserve"> </w:t>
      </w:r>
      <w:r w:rsidRPr="00784707">
        <w:rPr>
          <w:rFonts w:hint="eastAsia"/>
          <w:b/>
          <w:bCs/>
          <w:rtl/>
        </w:rPr>
        <w:t>נגאר</w:t>
      </w:r>
      <w:r w:rsidRPr="00784707">
        <w:rPr>
          <w:b/>
          <w:bCs/>
          <w:rtl/>
        </w:rPr>
        <w:t xml:space="preserve"> </w:t>
      </w:r>
      <w:r w:rsidRPr="00784707">
        <w:rPr>
          <w:rFonts w:hint="eastAsia"/>
          <w:b/>
          <w:bCs/>
          <w:rtl/>
        </w:rPr>
        <w:t>נ</w:t>
      </w:r>
      <w:r w:rsidRPr="00784707">
        <w:rPr>
          <w:b/>
          <w:bCs/>
          <w:rtl/>
        </w:rPr>
        <w:t xml:space="preserve">' </w:t>
      </w:r>
      <w:r w:rsidRPr="00784707">
        <w:rPr>
          <w:rFonts w:hint="eastAsia"/>
          <w:b/>
          <w:bCs/>
          <w:rtl/>
        </w:rPr>
        <w:t>מדינת</w:t>
      </w:r>
      <w:r w:rsidRPr="00784707">
        <w:rPr>
          <w:b/>
          <w:bCs/>
          <w:rtl/>
        </w:rPr>
        <w:t xml:space="preserve"> </w:t>
      </w:r>
      <w:r w:rsidRPr="00784707">
        <w:rPr>
          <w:rFonts w:hint="eastAsia"/>
          <w:b/>
          <w:bCs/>
          <w:rtl/>
        </w:rPr>
        <w:t>ישראל</w:t>
      </w:r>
      <w:r w:rsidRPr="00784707">
        <w:rPr>
          <w:b/>
          <w:bCs/>
          <w:rtl/>
        </w:rPr>
        <w:t>, [פורסם בנבו] פסקה 12 (31.7.2016)). הדברים מקבלים משנה תוקף כאשר העבירות האמורות מבוצעות על רקע אידיאולוגי, תוך ניסיון לפגוע בכוחות הביטחון</w:t>
      </w:r>
      <w:r>
        <w:rPr>
          <w:rFonts w:hint="cs"/>
          <w:rtl/>
        </w:rPr>
        <w:t xml:space="preserve">.. </w:t>
      </w:r>
      <w:r w:rsidRPr="00784707">
        <w:rPr>
          <w:b/>
          <w:bCs/>
          <w:rtl/>
        </w:rPr>
        <w:t>כפי שצוין בעבר בבית משפט זה, בעבירות מהסוג הנדון בהליך שלפנינו קיים מנעד רחב של עונשים, בהתאם לטיבו של המעשה ולנסיבותיו האישיות של העושה, כשהמגמה בשנים האחרונות היא לעבר החמרה בענישה</w:t>
      </w:r>
      <w:r>
        <w:rPr>
          <w:rFonts w:hint="cs"/>
          <w:rtl/>
        </w:rPr>
        <w:t>" [</w:t>
      </w:r>
      <w:hyperlink r:id="rId34" w:history="1">
        <w:r w:rsidR="00A31FD2" w:rsidRPr="00A31FD2">
          <w:rPr>
            <w:color w:val="0000FF"/>
            <w:u w:val="single"/>
            <w:rtl/>
          </w:rPr>
          <w:t>ע"פ 2390/17</w:t>
        </w:r>
      </w:hyperlink>
      <w:r>
        <w:rPr>
          <w:rFonts w:hint="cs"/>
          <w:rtl/>
        </w:rPr>
        <w:t xml:space="preserve"> </w:t>
      </w:r>
      <w:r w:rsidRPr="00784707">
        <w:rPr>
          <w:rFonts w:hint="cs"/>
          <w:b/>
          <w:bCs/>
          <w:rtl/>
        </w:rPr>
        <w:t>וחיד מרזיק נ' מדינת ישראל</w:t>
      </w:r>
      <w:r>
        <w:rPr>
          <w:rFonts w:hint="cs"/>
          <w:rtl/>
        </w:rPr>
        <w:t xml:space="preserve"> (28.12.2017)] </w:t>
      </w:r>
    </w:p>
    <w:p w14:paraId="5A02F739" w14:textId="77777777" w:rsidR="00CE63F1" w:rsidRDefault="00CE63F1" w:rsidP="00CE63F1">
      <w:pPr>
        <w:spacing w:line="480" w:lineRule="auto"/>
        <w:jc w:val="both"/>
        <w:rPr>
          <w:rtl/>
        </w:rPr>
      </w:pPr>
    </w:p>
    <w:p w14:paraId="3ED328C3" w14:textId="77777777" w:rsidR="00CE63F1" w:rsidRDefault="00CE63F1" w:rsidP="00CE63F1">
      <w:pPr>
        <w:spacing w:line="480" w:lineRule="auto"/>
        <w:jc w:val="both"/>
        <w:rPr>
          <w:rtl/>
        </w:rPr>
      </w:pPr>
      <w:r>
        <w:rPr>
          <w:rtl/>
        </w:rPr>
        <w:tab/>
      </w:r>
      <w:r>
        <w:rPr>
          <w:rtl/>
        </w:rPr>
        <w:tab/>
      </w:r>
      <w:r>
        <w:rPr>
          <w:rFonts w:hint="cs"/>
          <w:rtl/>
        </w:rPr>
        <w:t xml:space="preserve">ואף הצורך לשמור על בטחון המדינה חוזר ומקבל ביטוי בפסיקה המישור זה:- </w:t>
      </w:r>
    </w:p>
    <w:p w14:paraId="45CF9FA0" w14:textId="77777777" w:rsidR="00CE63F1" w:rsidRDefault="00CE63F1" w:rsidP="00CE63F1">
      <w:pPr>
        <w:pStyle w:val="msolistparagraph0"/>
        <w:rPr>
          <w:rtl/>
        </w:rPr>
      </w:pPr>
    </w:p>
    <w:p w14:paraId="492B8E59" w14:textId="77777777" w:rsidR="00CE63F1" w:rsidRPr="00DC74EA" w:rsidRDefault="00CE63F1" w:rsidP="00CE63F1">
      <w:pPr>
        <w:pStyle w:val="Ruller40"/>
        <w:ind w:left="2160"/>
        <w:rPr>
          <w:rFonts w:ascii="Times New Roman" w:hAnsi="Times New Roman" w:cs="David"/>
          <w:spacing w:val="0"/>
          <w:sz w:val="24"/>
          <w:szCs w:val="24"/>
          <w:rtl/>
        </w:rPr>
      </w:pPr>
      <w:r w:rsidRPr="00DC74EA">
        <w:rPr>
          <w:rFonts w:ascii="Times New Roman" w:hAnsi="Times New Roman" w:cs="David"/>
          <w:spacing w:val="0"/>
          <w:sz w:val="24"/>
          <w:szCs w:val="24"/>
          <w:rtl/>
        </w:rPr>
        <w:t>"</w:t>
      </w:r>
      <w:r w:rsidRPr="00784707">
        <w:rPr>
          <w:rFonts w:ascii="Times New Roman" w:hAnsi="Times New Roman" w:cs="David"/>
          <w:b/>
          <w:bCs/>
          <w:spacing w:val="0"/>
          <w:sz w:val="24"/>
          <w:szCs w:val="24"/>
          <w:rtl/>
        </w:rPr>
        <w:t>על בית משפט של מדינה להרים קולו בגאון ולהשמיע דברו כלפי אלו הבאים עליה לכלותה וכלפי אלו הרוצים לפגוע בחיילים או באזרחים תמימים עוברי דרך כשלהט אידיאולוגי מקנן בלבם והרג או פגיעה מתוכננים הם מטרתם, ולהציב רף ענישה ברור שישמש כגורם מרתיע, הן למערערים עצמם, הן לאלו החוככים בדעתם לנקוט באותה הדרך. בעניינים אלה יש להקפיד בקלה כבחמורה ולא להקל ראש גם כאשר הפגיעה המתוכננת לא הושגה בדרך נס</w:t>
      </w:r>
      <w:r w:rsidRPr="00DC74EA">
        <w:rPr>
          <w:rFonts w:ascii="Times New Roman" w:hAnsi="Times New Roman" w:cs="David"/>
          <w:spacing w:val="0"/>
          <w:sz w:val="24"/>
          <w:szCs w:val="24"/>
          <w:rtl/>
        </w:rPr>
        <w:t xml:space="preserve">" </w:t>
      </w:r>
      <w:r>
        <w:rPr>
          <w:rFonts w:ascii="Times New Roman" w:hAnsi="Times New Roman" w:cs="David" w:hint="cs"/>
          <w:spacing w:val="0"/>
          <w:sz w:val="24"/>
          <w:szCs w:val="24"/>
          <w:rtl/>
        </w:rPr>
        <w:t>[</w:t>
      </w:r>
      <w:bookmarkStart w:id="8" w:name="Text1"/>
      <w:r w:rsidRPr="00A31FD2">
        <w:rPr>
          <w:rFonts w:ascii="Times New Roman" w:hAnsi="Times New Roman" w:cs="David"/>
          <w:color w:val="000000"/>
          <w:spacing w:val="0"/>
          <w:sz w:val="24"/>
          <w:szCs w:val="24"/>
          <w:rtl/>
        </w:rPr>
        <w:t>ע"פ 1456/07</w:t>
      </w:r>
      <w:r w:rsidRPr="00DC74EA">
        <w:rPr>
          <w:rFonts w:ascii="Times New Roman" w:hAnsi="Times New Roman" w:cs="David"/>
          <w:spacing w:val="0"/>
          <w:sz w:val="24"/>
          <w:szCs w:val="24"/>
          <w:rtl/>
        </w:rPr>
        <w:t xml:space="preserve">‏ </w:t>
      </w:r>
      <w:bookmarkEnd w:id="8"/>
      <w:r w:rsidRPr="00784707">
        <w:rPr>
          <w:rFonts w:ascii="Times New Roman" w:hAnsi="Times New Roman" w:cs="David"/>
          <w:b/>
          <w:bCs/>
          <w:spacing w:val="0"/>
          <w:sz w:val="24"/>
          <w:szCs w:val="24"/>
          <w:rtl/>
        </w:rPr>
        <w:t>פלוני נ' מדינת ישראל</w:t>
      </w:r>
      <w:r>
        <w:rPr>
          <w:rFonts w:ascii="Times New Roman" w:hAnsi="Times New Roman" w:cs="David" w:hint="cs"/>
          <w:spacing w:val="0"/>
          <w:sz w:val="24"/>
          <w:szCs w:val="24"/>
          <w:rtl/>
        </w:rPr>
        <w:t xml:space="preserve"> (</w:t>
      </w:r>
      <w:r w:rsidRPr="00DC74EA">
        <w:rPr>
          <w:rFonts w:ascii="Times New Roman" w:hAnsi="Times New Roman" w:cs="David"/>
          <w:spacing w:val="0"/>
          <w:sz w:val="24"/>
          <w:szCs w:val="24"/>
          <w:rtl/>
        </w:rPr>
        <w:t>10.07.2007</w:t>
      </w:r>
      <w:r>
        <w:rPr>
          <w:rFonts w:ascii="Times New Roman" w:hAnsi="Times New Roman" w:cs="David" w:hint="cs"/>
          <w:spacing w:val="0"/>
          <w:sz w:val="24"/>
          <w:szCs w:val="24"/>
          <w:rtl/>
        </w:rPr>
        <w:t>)</w:t>
      </w:r>
      <w:r w:rsidRPr="00DC74EA">
        <w:rPr>
          <w:rFonts w:ascii="Times New Roman" w:hAnsi="Times New Roman" w:cs="David" w:hint="cs"/>
          <w:spacing w:val="0"/>
          <w:sz w:val="24"/>
          <w:szCs w:val="24"/>
          <w:rtl/>
        </w:rPr>
        <w:t xml:space="preserve">, </w:t>
      </w:r>
      <w:r w:rsidRPr="00DC74EA">
        <w:rPr>
          <w:rFonts w:ascii="Times New Roman" w:hAnsi="Times New Roman" w:cs="David"/>
          <w:spacing w:val="0"/>
          <w:sz w:val="24"/>
          <w:szCs w:val="24"/>
          <w:rtl/>
        </w:rPr>
        <w:t>פיסקה 6 לפסק דינה של כב' השופטת ע' ארבל</w:t>
      </w:r>
      <w:r>
        <w:rPr>
          <w:rFonts w:ascii="Times New Roman" w:hAnsi="Times New Roman" w:cs="David" w:hint="cs"/>
          <w:spacing w:val="0"/>
          <w:sz w:val="24"/>
          <w:szCs w:val="24"/>
          <w:rtl/>
        </w:rPr>
        <w:t xml:space="preserve">]. </w:t>
      </w:r>
    </w:p>
    <w:p w14:paraId="2700C247" w14:textId="77777777" w:rsidR="00CE63F1" w:rsidRDefault="00CE63F1" w:rsidP="00CE63F1">
      <w:pPr>
        <w:spacing w:line="480" w:lineRule="auto"/>
        <w:jc w:val="both"/>
        <w:rPr>
          <w:rtl/>
        </w:rPr>
      </w:pPr>
    </w:p>
    <w:p w14:paraId="6329DE61" w14:textId="77777777" w:rsidR="00CE63F1" w:rsidRDefault="00CE63F1" w:rsidP="00CE63F1">
      <w:pPr>
        <w:spacing w:line="480" w:lineRule="auto"/>
        <w:ind w:left="1440" w:hanging="930"/>
        <w:jc w:val="both"/>
        <w:rPr>
          <w:rtl/>
        </w:rPr>
      </w:pPr>
      <w:r>
        <w:rPr>
          <w:rtl/>
        </w:rPr>
        <w:tab/>
      </w:r>
      <w:r>
        <w:rPr>
          <w:rFonts w:hint="cs"/>
          <w:rtl/>
        </w:rPr>
        <w:t>למותר להדגיש בנקודה זו לצד שיקולי ההלימה, את הצורך להרתעת הכלל המתחייב מעבירות מסוגן של אלה.</w:t>
      </w:r>
    </w:p>
    <w:p w14:paraId="58451F1B" w14:textId="77777777" w:rsidR="00CE63F1" w:rsidRDefault="00CE63F1" w:rsidP="00CE63F1">
      <w:pPr>
        <w:spacing w:line="480" w:lineRule="auto"/>
        <w:ind w:left="1440" w:hanging="930"/>
        <w:jc w:val="both"/>
        <w:rPr>
          <w:rtl/>
        </w:rPr>
      </w:pPr>
    </w:p>
    <w:p w14:paraId="6EC72FEA" w14:textId="77777777" w:rsidR="00CE63F1" w:rsidRDefault="00CE63F1" w:rsidP="00CE63F1">
      <w:pPr>
        <w:spacing w:line="480" w:lineRule="auto"/>
        <w:ind w:left="1440" w:hanging="930"/>
        <w:jc w:val="both"/>
        <w:rPr>
          <w:rtl/>
        </w:rPr>
      </w:pPr>
      <w:r>
        <w:rPr>
          <w:rFonts w:hint="cs"/>
          <w:rtl/>
        </w:rPr>
        <w:t>ב.</w:t>
      </w:r>
      <w:r>
        <w:rPr>
          <w:rFonts w:hint="cs"/>
          <w:rtl/>
        </w:rPr>
        <w:tab/>
        <w:t xml:space="preserve">אשר למתחם הענישה, לאחר בחינת הפסיקה שהוגשה לפניי, ולאחר עיון מוקפד נוסף בפרטי העבירות קובע אני את מתחם הענישה על הטווח שבין 24 חודשי מאסר לבין 60 חודש. אשר לטעמיי, אוסיף ואדגיש שנלקח בחשבון </w:t>
      </w:r>
      <w:hyperlink r:id="rId35" w:history="1">
        <w:r w:rsidR="00C57A68" w:rsidRPr="00C57A68">
          <w:rPr>
            <w:color w:val="0000FF"/>
            <w:u w:val="single"/>
            <w:rtl/>
          </w:rPr>
          <w:t>סעיף 37</w:t>
        </w:r>
      </w:hyperlink>
      <w:r>
        <w:rPr>
          <w:rFonts w:hint="cs"/>
          <w:rtl/>
        </w:rPr>
        <w:t xml:space="preserve"> לחוק המאבק בטרור, ניתן ביטוי לכך שעל הוראות חיקוק 1 ו -2 עבר הנאשם מספר פעמים (להזכיר שהורשע במספר עבירות), וכן נלקח בחשבון פוטנציאל הנזק הממשי הגלום במעשים, וזאת לצד העובדה, כי למרבה המזל לא נגרם נזק של ממש. נקודת האיזון הינה, לתפיסתי, בענישה במסגרת המתחם דלעיל. </w:t>
      </w:r>
    </w:p>
    <w:p w14:paraId="6A860D6E" w14:textId="77777777" w:rsidR="00CE63F1" w:rsidRDefault="00CE63F1" w:rsidP="00CE63F1">
      <w:pPr>
        <w:spacing w:line="480" w:lineRule="auto"/>
        <w:ind w:left="1440" w:hanging="930"/>
        <w:jc w:val="both"/>
        <w:rPr>
          <w:rtl/>
        </w:rPr>
      </w:pPr>
    </w:p>
    <w:p w14:paraId="33BE24AE" w14:textId="77777777" w:rsidR="00CE63F1" w:rsidRDefault="00CE63F1" w:rsidP="00CE63F1">
      <w:pPr>
        <w:spacing w:line="480" w:lineRule="auto"/>
        <w:ind w:left="1440" w:hanging="930"/>
        <w:jc w:val="both"/>
        <w:rPr>
          <w:rtl/>
        </w:rPr>
      </w:pPr>
      <w:r>
        <w:rPr>
          <w:rFonts w:hint="cs"/>
          <w:rtl/>
        </w:rPr>
        <w:t>ג.</w:t>
      </w:r>
      <w:r>
        <w:rPr>
          <w:rFonts w:hint="cs"/>
          <w:rtl/>
        </w:rPr>
        <w:tab/>
        <w:t xml:space="preserve">אשר לעונשו של הנאשם בתוך המתחם במסגרת מתחם הענישה. בנקודה זו אין המחלוקת בין הצדדים ניכרת. מסכימה המאשימה שנכון למקם את הנאשם בשליש התחתון של העונש, ולטענת הסניגור, נכון למקם את הנאשם ממש ברף התחתון. בהעדר אינדיקציות חיוביות יוצאות דופן לשיקום וכל כיוצא בזה, להערכתי, אין הצדקה למקם את הנאשם ממש על הרף התחתון של המתחם, אך מקבל אני שמקומו לא הרבה מעליו: עבירה ראשונה, מעצר ראשון, מעצר בית ממושך ראשון, וקבלת אחריות, תומכים במסקנה זו. </w:t>
      </w:r>
    </w:p>
    <w:p w14:paraId="2091FA62" w14:textId="77777777" w:rsidR="00CE63F1" w:rsidRDefault="00CE63F1" w:rsidP="00CE63F1">
      <w:pPr>
        <w:spacing w:line="480" w:lineRule="auto"/>
        <w:ind w:left="1440" w:hanging="930"/>
        <w:jc w:val="both"/>
        <w:rPr>
          <w:rtl/>
        </w:rPr>
      </w:pPr>
    </w:p>
    <w:p w14:paraId="1B3F4CE8" w14:textId="77777777" w:rsidR="00CE63F1" w:rsidRDefault="00CE63F1" w:rsidP="00CE63F1">
      <w:pPr>
        <w:spacing w:line="480" w:lineRule="auto"/>
        <w:ind w:left="1440" w:hanging="930"/>
        <w:jc w:val="both"/>
        <w:rPr>
          <w:rtl/>
        </w:rPr>
      </w:pPr>
      <w:r>
        <w:rPr>
          <w:rFonts w:hint="cs"/>
          <w:rtl/>
        </w:rPr>
        <w:t>ד.</w:t>
      </w:r>
      <w:r>
        <w:rPr>
          <w:rtl/>
        </w:rPr>
        <w:tab/>
      </w:r>
      <w:r>
        <w:rPr>
          <w:rFonts w:hint="cs"/>
          <w:rtl/>
        </w:rPr>
        <w:t>עונשו של הקטין, שלוש שנות מאסר כאמור, נתפס על ידי שני הצדדים כנקודת התייחסות המקרינה על גזר דין זה. ובעוד המאשימה מדגישה את קטינותו, ללמדנו מקל וחומר, מה ראוי שיהיה עונשו של הנאשם דנן, מדגישה ההגנה את טיב הרשעותיו של הקטין, החמורות בהרבה מבפרשתנו. ודומני, ששני הבדלים אלה, ראוי שיובילוני למסקנה, שגם אם ברקע אותה פרשה, הבדלי הגיל והשוני בעבירות מקשים על עצם ההשוואה. בנסיבות אלה אמנע מלבסס על עניינו של אותו קטין את מסקנותי, ולא אראה בגזר דינו כנקודת מוצא המקרינה על הענישה הראויה ביחס לנאשם דנן, לאף כיוון.</w:t>
      </w:r>
    </w:p>
    <w:p w14:paraId="667628CF" w14:textId="77777777" w:rsidR="00CE63F1" w:rsidRDefault="00CE63F1" w:rsidP="00CE63F1">
      <w:pPr>
        <w:spacing w:line="480" w:lineRule="auto"/>
        <w:ind w:left="1440" w:hanging="930"/>
        <w:jc w:val="both"/>
        <w:rPr>
          <w:rtl/>
        </w:rPr>
      </w:pPr>
    </w:p>
    <w:p w14:paraId="5E0886CE" w14:textId="77777777" w:rsidR="00CE63F1" w:rsidRDefault="00CE63F1" w:rsidP="00CE63F1">
      <w:pPr>
        <w:spacing w:line="480" w:lineRule="auto"/>
        <w:ind w:left="1440" w:hanging="930"/>
        <w:jc w:val="both"/>
        <w:rPr>
          <w:rtl/>
        </w:rPr>
      </w:pPr>
      <w:r>
        <w:rPr>
          <w:rFonts w:hint="cs"/>
          <w:rtl/>
        </w:rPr>
        <w:t>ה.</w:t>
      </w:r>
      <w:r>
        <w:rPr>
          <w:rFonts w:hint="cs"/>
          <w:rtl/>
        </w:rPr>
        <w:tab/>
        <w:t xml:space="preserve">אשר לענישה הנלוות, נתבקשתי לקנס ולתנאי. על פני הדברים מאסר מותנה רלוונטי נדרש ומוצדק, ואף נכון להורות על קנס, אך זאת כענישה נלוות ותוך קציבת הקנס במידתיות הנדרשת. </w:t>
      </w:r>
    </w:p>
    <w:p w14:paraId="08288579" w14:textId="77777777" w:rsidR="00CE63F1" w:rsidRDefault="00CE63F1" w:rsidP="00CE63F1">
      <w:pPr>
        <w:spacing w:line="480" w:lineRule="auto"/>
        <w:jc w:val="both"/>
        <w:rPr>
          <w:rtl/>
        </w:rPr>
      </w:pPr>
    </w:p>
    <w:p w14:paraId="1595375F" w14:textId="77777777" w:rsidR="00CE63F1" w:rsidRDefault="00CE63F1" w:rsidP="00CE63F1">
      <w:pPr>
        <w:spacing w:line="480" w:lineRule="auto"/>
        <w:jc w:val="both"/>
        <w:rPr>
          <w:rtl/>
        </w:rPr>
      </w:pPr>
      <w:r>
        <w:rPr>
          <w:rFonts w:hint="cs"/>
          <w:rtl/>
        </w:rPr>
        <w:t>5.</w:t>
      </w:r>
      <w:r>
        <w:rPr>
          <w:rFonts w:hint="cs"/>
          <w:rtl/>
        </w:rPr>
        <w:tab/>
      </w:r>
      <w:r w:rsidRPr="00727915">
        <w:rPr>
          <w:rFonts w:hint="cs"/>
          <w:b/>
          <w:bCs/>
          <w:u w:val="single"/>
          <w:rtl/>
        </w:rPr>
        <w:t xml:space="preserve">סוף דבר, גוזר אני כדלקמן: </w:t>
      </w:r>
      <w:r>
        <w:rPr>
          <w:rFonts w:hint="cs"/>
          <w:b/>
          <w:bCs/>
          <w:u w:val="single"/>
          <w:rtl/>
        </w:rPr>
        <w:t>-</w:t>
      </w:r>
    </w:p>
    <w:p w14:paraId="1879E4C5" w14:textId="77777777" w:rsidR="00CE63F1" w:rsidRDefault="00CE63F1" w:rsidP="00CE63F1">
      <w:pPr>
        <w:spacing w:line="480" w:lineRule="auto"/>
        <w:jc w:val="both"/>
        <w:rPr>
          <w:rtl/>
        </w:rPr>
      </w:pPr>
    </w:p>
    <w:p w14:paraId="174A2852" w14:textId="77777777" w:rsidR="00CE63F1" w:rsidRDefault="00CE63F1" w:rsidP="00CE63F1">
      <w:pPr>
        <w:spacing w:line="480" w:lineRule="auto"/>
        <w:ind w:left="1440" w:hanging="720"/>
        <w:jc w:val="both"/>
        <w:rPr>
          <w:rtl/>
        </w:rPr>
      </w:pPr>
      <w:r>
        <w:rPr>
          <w:rFonts w:hint="cs"/>
          <w:rtl/>
        </w:rPr>
        <w:t>א.</w:t>
      </w:r>
      <w:r>
        <w:rPr>
          <w:rFonts w:hint="cs"/>
          <w:rtl/>
        </w:rPr>
        <w:tab/>
        <w:t xml:space="preserve">מאסר לתקופה של 27 חודשים. מתקופה זו ינוכו </w:t>
      </w:r>
      <w:r>
        <w:rPr>
          <w:rtl/>
        </w:rPr>
        <w:softHyphen/>
      </w:r>
      <w:r>
        <w:rPr>
          <w:rtl/>
        </w:rPr>
        <w:softHyphen/>
      </w:r>
      <w:r>
        <w:rPr>
          <w:rtl/>
        </w:rPr>
        <w:softHyphen/>
      </w:r>
      <w:r>
        <w:rPr>
          <w:rFonts w:hint="cs"/>
          <w:rtl/>
        </w:rPr>
        <w:t xml:space="preserve"> 21 ימים בהם שבהם שהה הנאשם במעצר. הנאשם יתייצב לריצוי עונשו ביום 14.7.2019עד שעה 10:00 בכלא ניצן. </w:t>
      </w:r>
    </w:p>
    <w:p w14:paraId="12F98199" w14:textId="77777777" w:rsidR="00CE63F1" w:rsidRDefault="00CE63F1" w:rsidP="00CE63F1">
      <w:pPr>
        <w:spacing w:line="480" w:lineRule="auto"/>
        <w:ind w:left="1440" w:hanging="720"/>
        <w:jc w:val="both"/>
        <w:rPr>
          <w:rtl/>
        </w:rPr>
      </w:pPr>
    </w:p>
    <w:p w14:paraId="08ED79B7" w14:textId="77777777" w:rsidR="00CE63F1" w:rsidRDefault="00CE63F1" w:rsidP="00CE63F1">
      <w:pPr>
        <w:spacing w:line="480" w:lineRule="auto"/>
        <w:ind w:left="1440" w:hanging="720"/>
        <w:jc w:val="both"/>
        <w:rPr>
          <w:rtl/>
        </w:rPr>
      </w:pPr>
      <w:r>
        <w:rPr>
          <w:rFonts w:hint="cs"/>
          <w:rtl/>
        </w:rPr>
        <w:t>ב.</w:t>
      </w:r>
      <w:r>
        <w:rPr>
          <w:rFonts w:hint="cs"/>
          <w:rtl/>
        </w:rPr>
        <w:tab/>
        <w:t xml:space="preserve">כמו כן ירצה הנאשם 10 חודשי מאסר, ככל שיעבור בתקופה של שנתיים לאחר מועד שחרורו, עבירה נוספת לפי חוק המאבק בטרור, או לפי </w:t>
      </w:r>
      <w:hyperlink r:id="rId36" w:history="1">
        <w:r w:rsidR="00C57A68" w:rsidRPr="00C57A68">
          <w:rPr>
            <w:color w:val="0000FF"/>
            <w:u w:val="single"/>
            <w:rtl/>
          </w:rPr>
          <w:t>סימן א'</w:t>
        </w:r>
      </w:hyperlink>
      <w:r>
        <w:rPr>
          <w:rFonts w:hint="cs"/>
          <w:rtl/>
        </w:rPr>
        <w:t xml:space="preserve"> </w:t>
      </w:r>
      <w:hyperlink r:id="rId37" w:history="1">
        <w:r w:rsidR="00C57A68" w:rsidRPr="00C57A68">
          <w:rPr>
            <w:color w:val="0000FF"/>
            <w:u w:val="single"/>
            <w:rtl/>
          </w:rPr>
          <w:t>לפרק ח'</w:t>
        </w:r>
      </w:hyperlink>
      <w:r>
        <w:rPr>
          <w:rFonts w:hint="cs"/>
          <w:rtl/>
        </w:rPr>
        <w:t xml:space="preserve"> של </w:t>
      </w:r>
      <w:hyperlink r:id="rId38" w:history="1">
        <w:r w:rsidR="00A31FD2" w:rsidRPr="00A31FD2">
          <w:rPr>
            <w:color w:val="0000FF"/>
            <w:u w:val="single"/>
            <w:rtl/>
          </w:rPr>
          <w:t>חוק העונשין</w:t>
        </w:r>
      </w:hyperlink>
      <w:r>
        <w:rPr>
          <w:rFonts w:hint="cs"/>
          <w:rtl/>
        </w:rPr>
        <w:t xml:space="preserve"> או לפי </w:t>
      </w:r>
      <w:hyperlink r:id="rId39" w:history="1">
        <w:r w:rsidR="00C57A68" w:rsidRPr="00C57A68">
          <w:rPr>
            <w:color w:val="0000FF"/>
            <w:u w:val="single"/>
            <w:rtl/>
          </w:rPr>
          <w:t>סימן ג'</w:t>
        </w:r>
      </w:hyperlink>
      <w:r>
        <w:rPr>
          <w:rFonts w:hint="cs"/>
          <w:rtl/>
        </w:rPr>
        <w:t xml:space="preserve"> </w:t>
      </w:r>
      <w:hyperlink r:id="rId40" w:history="1">
        <w:r w:rsidR="00C57A68" w:rsidRPr="00C57A68">
          <w:rPr>
            <w:color w:val="0000FF"/>
            <w:u w:val="single"/>
            <w:rtl/>
          </w:rPr>
          <w:t>לפרק ט'</w:t>
        </w:r>
      </w:hyperlink>
      <w:r>
        <w:rPr>
          <w:rFonts w:hint="cs"/>
          <w:rtl/>
        </w:rPr>
        <w:t xml:space="preserve"> של חוק העונשין או </w:t>
      </w:r>
      <w:hyperlink r:id="rId41" w:history="1">
        <w:r w:rsidR="00C57A68" w:rsidRPr="00C57A68">
          <w:rPr>
            <w:color w:val="0000FF"/>
            <w:u w:val="single"/>
            <w:rtl/>
          </w:rPr>
          <w:t>סימן ט'</w:t>
        </w:r>
      </w:hyperlink>
      <w:r>
        <w:rPr>
          <w:rFonts w:hint="cs"/>
          <w:rtl/>
        </w:rPr>
        <w:t xml:space="preserve"> </w:t>
      </w:r>
      <w:hyperlink r:id="rId42" w:history="1">
        <w:r w:rsidR="00C57A68" w:rsidRPr="00C57A68">
          <w:rPr>
            <w:color w:val="0000FF"/>
            <w:u w:val="single"/>
            <w:rtl/>
          </w:rPr>
          <w:t>לפרק י"א</w:t>
        </w:r>
      </w:hyperlink>
      <w:r>
        <w:rPr>
          <w:rFonts w:hint="cs"/>
          <w:rtl/>
        </w:rPr>
        <w:t xml:space="preserve"> של חוק העונשין. </w:t>
      </w:r>
    </w:p>
    <w:p w14:paraId="19631EA0" w14:textId="77777777" w:rsidR="00CE63F1" w:rsidRDefault="00CE63F1" w:rsidP="00CE63F1">
      <w:pPr>
        <w:spacing w:line="480" w:lineRule="auto"/>
        <w:jc w:val="both"/>
        <w:rPr>
          <w:rtl/>
        </w:rPr>
      </w:pPr>
    </w:p>
    <w:p w14:paraId="0A9A9BFF" w14:textId="77777777" w:rsidR="00CE63F1" w:rsidRDefault="00CE63F1" w:rsidP="00CE63F1">
      <w:pPr>
        <w:spacing w:line="480" w:lineRule="auto"/>
        <w:ind w:left="1440" w:hanging="720"/>
        <w:jc w:val="both"/>
        <w:rPr>
          <w:rtl/>
        </w:rPr>
      </w:pPr>
      <w:r>
        <w:rPr>
          <w:rFonts w:hint="cs"/>
          <w:rtl/>
        </w:rPr>
        <w:t>ג.</w:t>
      </w:r>
      <w:r>
        <w:rPr>
          <w:rFonts w:hint="cs"/>
          <w:rtl/>
        </w:rPr>
        <w:tab/>
        <w:t xml:space="preserve">הנאשם ישלם קנס בסך 2,000 ₪ שיקוזזו מכספים מופקדים. היתרה </w:t>
      </w:r>
      <w:r>
        <w:rPr>
          <w:rtl/>
        </w:rPr>
        <w:t>–</w:t>
      </w:r>
      <w:r>
        <w:rPr>
          <w:rFonts w:hint="cs"/>
          <w:rtl/>
        </w:rPr>
        <w:t xml:space="preserve"> תוחזר לנאשם. ההחזר יתבצע מיד לאחר התייצבות הנאשם ובמידת הצורך, תינתן לעניין זה על ידי החלטה משלימה. </w:t>
      </w:r>
    </w:p>
    <w:p w14:paraId="685F3E21" w14:textId="77777777" w:rsidR="00CE63F1" w:rsidRDefault="00CE63F1" w:rsidP="00CE63F1">
      <w:pPr>
        <w:spacing w:line="480" w:lineRule="auto"/>
        <w:ind w:left="1440" w:hanging="720"/>
        <w:jc w:val="both"/>
        <w:rPr>
          <w:rtl/>
        </w:rPr>
      </w:pPr>
    </w:p>
    <w:p w14:paraId="28DF768B" w14:textId="77777777" w:rsidR="00CE63F1" w:rsidRDefault="00CE63F1" w:rsidP="00CE63F1">
      <w:pPr>
        <w:spacing w:line="480" w:lineRule="auto"/>
        <w:ind w:left="1440" w:hanging="720"/>
        <w:jc w:val="both"/>
        <w:rPr>
          <w:rtl/>
        </w:rPr>
      </w:pPr>
      <w:r>
        <w:rPr>
          <w:rFonts w:hint="cs"/>
          <w:rtl/>
        </w:rPr>
        <w:t>ד.</w:t>
      </w:r>
      <w:r>
        <w:rPr>
          <w:rFonts w:hint="cs"/>
          <w:rtl/>
        </w:rPr>
        <w:tab/>
        <w:t xml:space="preserve">ולבסוף, אדגיש במצוות </w:t>
      </w:r>
      <w:hyperlink r:id="rId43" w:history="1">
        <w:r w:rsidR="00C57A68" w:rsidRPr="00C57A68">
          <w:rPr>
            <w:color w:val="0000FF"/>
            <w:u w:val="single"/>
            <w:rtl/>
          </w:rPr>
          <w:t>סעיף 37(ד)</w:t>
        </w:r>
      </w:hyperlink>
      <w:r>
        <w:rPr>
          <w:rFonts w:hint="cs"/>
          <w:rtl/>
        </w:rPr>
        <w:t xml:space="preserve"> לחוק המאבק בטרור, שהורשע הנאשם גם בעבירות על חוק זה.</w:t>
      </w:r>
    </w:p>
    <w:p w14:paraId="1FD38452" w14:textId="77777777" w:rsidR="00CE63F1" w:rsidRDefault="00CE63F1" w:rsidP="00CE63F1">
      <w:pPr>
        <w:spacing w:line="480" w:lineRule="auto"/>
        <w:jc w:val="both"/>
        <w:rPr>
          <w:rtl/>
        </w:rPr>
      </w:pPr>
      <w:r>
        <w:rPr>
          <w:rtl/>
        </w:rPr>
        <w:tab/>
      </w:r>
    </w:p>
    <w:p w14:paraId="1087FEC1" w14:textId="77777777" w:rsidR="00CE63F1" w:rsidRDefault="00A31FD2" w:rsidP="00CE63F1">
      <w:pPr>
        <w:spacing w:line="480" w:lineRule="auto"/>
        <w:ind w:left="1440" w:hanging="930"/>
        <w:jc w:val="both"/>
        <w:rPr>
          <w:rFonts w:ascii="Arial" w:hAnsi="Arial"/>
          <w:rtl/>
        </w:rPr>
      </w:pPr>
      <w:r w:rsidRPr="00A31FD2">
        <w:rPr>
          <w:color w:val="FFFFFF"/>
          <w:sz w:val="2"/>
          <w:szCs w:val="2"/>
          <w:rtl/>
        </w:rPr>
        <w:t>5129371</w:t>
      </w:r>
      <w:r w:rsidR="00CE63F1">
        <w:rPr>
          <w:rFonts w:hint="cs"/>
          <w:rtl/>
        </w:rPr>
        <w:t>זכות ערעור כחוק.</w:t>
      </w:r>
      <w:r w:rsidR="00CE63F1">
        <w:rPr>
          <w:rFonts w:ascii="Arial" w:hAnsi="Arial"/>
          <w:rtl/>
        </w:rPr>
        <w:t xml:space="preserve"> </w:t>
      </w:r>
    </w:p>
    <w:p w14:paraId="4C44F819" w14:textId="77777777" w:rsidR="00CE63F1" w:rsidRPr="00A31FD2" w:rsidRDefault="00A31FD2" w:rsidP="00CE63F1">
      <w:pPr>
        <w:spacing w:line="480" w:lineRule="auto"/>
        <w:jc w:val="both"/>
        <w:rPr>
          <w:rFonts w:ascii="Arial" w:hAnsi="Arial"/>
          <w:color w:val="FFFFFF"/>
          <w:sz w:val="2"/>
          <w:szCs w:val="2"/>
          <w:rtl/>
        </w:rPr>
      </w:pPr>
      <w:r w:rsidRPr="00A31FD2">
        <w:rPr>
          <w:rFonts w:ascii="Arial" w:hAnsi="Arial"/>
          <w:color w:val="FFFFFF"/>
          <w:sz w:val="2"/>
          <w:szCs w:val="2"/>
          <w:rtl/>
        </w:rPr>
        <w:t>54678313</w:t>
      </w:r>
    </w:p>
    <w:p w14:paraId="0CEEA396" w14:textId="77777777" w:rsidR="00CE63F1" w:rsidRDefault="00A31FD2" w:rsidP="00CE63F1">
      <w:pPr>
        <w:spacing w:line="480" w:lineRule="auto"/>
        <w:ind w:firstLine="510"/>
        <w:jc w:val="both"/>
        <w:rPr>
          <w:rFonts w:ascii="Arial" w:hAnsi="Arial"/>
          <w:b/>
          <w:bCs/>
          <w:rtl/>
        </w:rPr>
      </w:pPr>
      <w:bookmarkStart w:id="9" w:name="Nitan"/>
      <w:r>
        <w:rPr>
          <w:rFonts w:ascii="Arial" w:hAnsi="Arial"/>
          <w:b/>
          <w:bCs/>
          <w:rtl/>
        </w:rPr>
        <w:t xml:space="preserve">ניתנה היום, ז' תמוז תשע"ט, 10 יולי 2019, במעמד הצדדים. </w:t>
      </w:r>
      <w:bookmarkEnd w:id="9"/>
    </w:p>
    <w:p w14:paraId="3A06766D" w14:textId="77777777" w:rsidR="00CE63F1" w:rsidRPr="0065293D" w:rsidRDefault="00CE63F1" w:rsidP="00CE63F1">
      <w:pPr>
        <w:spacing w:line="480" w:lineRule="auto"/>
        <w:ind w:firstLine="510"/>
        <w:jc w:val="both"/>
        <w:rPr>
          <w:rFonts w:ascii="Arial" w:hAnsi="Arial"/>
          <w:b/>
          <w:bCs/>
          <w:rtl/>
        </w:rPr>
      </w:pPr>
    </w:p>
    <w:p w14:paraId="24FA11A2" w14:textId="77777777" w:rsidR="00CE63F1" w:rsidRDefault="00CE63F1" w:rsidP="00CE63F1">
      <w:pPr>
        <w:spacing w:line="480" w:lineRule="auto"/>
        <w:ind w:left="3600" w:firstLine="720"/>
        <w:jc w:val="both"/>
      </w:pPr>
    </w:p>
    <w:p w14:paraId="28834C1E" w14:textId="77777777" w:rsidR="00CE63F1" w:rsidRPr="00C57A68" w:rsidRDefault="00C57A68" w:rsidP="00CE63F1">
      <w:pPr>
        <w:spacing w:line="480" w:lineRule="auto"/>
        <w:ind w:left="3600" w:firstLine="720"/>
        <w:jc w:val="both"/>
        <w:rPr>
          <w:rFonts w:ascii="Arial" w:hAnsi="Arial"/>
          <w:color w:val="FFFFFF"/>
          <w:sz w:val="2"/>
          <w:szCs w:val="2"/>
          <w:rtl/>
        </w:rPr>
      </w:pPr>
      <w:r w:rsidRPr="00C57A68">
        <w:rPr>
          <w:rFonts w:ascii="Arial" w:hAnsi="Arial"/>
          <w:color w:val="FFFFFF"/>
          <w:sz w:val="2"/>
          <w:szCs w:val="2"/>
          <w:rtl/>
        </w:rPr>
        <w:t>5129371</w:t>
      </w:r>
    </w:p>
    <w:p w14:paraId="500BF3B0" w14:textId="77777777" w:rsidR="00A025AB" w:rsidRPr="00C57A68" w:rsidRDefault="00C57A68" w:rsidP="00A31FD2">
      <w:pPr>
        <w:keepNext/>
        <w:rPr>
          <w:rFonts w:ascii="David" w:hAnsi="David"/>
          <w:color w:val="FFFFFF"/>
          <w:sz w:val="2"/>
          <w:szCs w:val="2"/>
          <w:rtl/>
        </w:rPr>
      </w:pPr>
      <w:r w:rsidRPr="00C57A68">
        <w:rPr>
          <w:rFonts w:ascii="David" w:hAnsi="David"/>
          <w:color w:val="FFFFFF"/>
          <w:sz w:val="2"/>
          <w:szCs w:val="2"/>
          <w:rtl/>
        </w:rPr>
        <w:t>54678313</w:t>
      </w:r>
    </w:p>
    <w:p w14:paraId="75908A24" w14:textId="77777777" w:rsidR="00A31FD2" w:rsidRPr="00A31FD2" w:rsidRDefault="00A31FD2" w:rsidP="00A31FD2">
      <w:pPr>
        <w:keepNext/>
        <w:rPr>
          <w:rFonts w:ascii="David" w:hAnsi="David"/>
          <w:color w:val="000000"/>
          <w:sz w:val="22"/>
          <w:szCs w:val="22"/>
          <w:rtl/>
        </w:rPr>
      </w:pPr>
      <w:r w:rsidRPr="00A31FD2">
        <w:rPr>
          <w:rFonts w:ascii="David" w:hAnsi="David"/>
          <w:color w:val="000000"/>
          <w:sz w:val="22"/>
          <w:szCs w:val="22"/>
          <w:rtl/>
        </w:rPr>
        <w:t>אלכסנדר רון 54678313</w:t>
      </w:r>
    </w:p>
    <w:p w14:paraId="451073CD" w14:textId="77777777" w:rsidR="00A31FD2" w:rsidRDefault="00A31FD2" w:rsidP="00A31FD2">
      <w:r w:rsidRPr="00A31FD2">
        <w:rPr>
          <w:color w:val="000000"/>
          <w:rtl/>
        </w:rPr>
        <w:t>נוסח מסמך זה כפוף לשינויי ניסוח ועריכה</w:t>
      </w:r>
    </w:p>
    <w:p w14:paraId="23374888" w14:textId="77777777" w:rsidR="00A31FD2" w:rsidRDefault="00A31FD2" w:rsidP="00A31FD2">
      <w:pPr>
        <w:rPr>
          <w:rtl/>
        </w:rPr>
      </w:pPr>
    </w:p>
    <w:p w14:paraId="1AE640B5" w14:textId="77777777" w:rsidR="00A31FD2" w:rsidRDefault="00A31FD2" w:rsidP="00A31FD2">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E4D152E" w14:textId="77777777" w:rsidR="00A31FD2" w:rsidRPr="00A31FD2" w:rsidRDefault="00A31FD2" w:rsidP="00C57A68">
      <w:pPr>
        <w:rPr>
          <w:color w:val="0000FF"/>
          <w:u w:val="single"/>
        </w:rPr>
      </w:pPr>
    </w:p>
    <w:sectPr w:rsidR="00A31FD2" w:rsidRPr="00A31FD2" w:rsidSect="00C57A68">
      <w:headerReference w:type="even" r:id="rId45"/>
      <w:headerReference w:type="default" r:id="rId46"/>
      <w:footerReference w:type="even" r:id="rId47"/>
      <w:footerReference w:type="default" r:id="rId4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C5D06" w14:textId="77777777" w:rsidR="00791FFB" w:rsidRDefault="00791FFB" w:rsidP="000B0474">
      <w:r>
        <w:separator/>
      </w:r>
    </w:p>
  </w:endnote>
  <w:endnote w:type="continuationSeparator" w:id="0">
    <w:p w14:paraId="42AFFB46" w14:textId="77777777" w:rsidR="00791FFB" w:rsidRDefault="00791FFB" w:rsidP="000B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A476" w14:textId="77777777" w:rsidR="00C57A68" w:rsidRDefault="00C57A68" w:rsidP="00C57A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970268" w14:textId="77777777" w:rsidR="00A31FD2" w:rsidRPr="00C57A68" w:rsidRDefault="00C57A68" w:rsidP="00C57A68">
    <w:pPr>
      <w:pStyle w:val="a5"/>
      <w:pBdr>
        <w:top w:val="single" w:sz="4" w:space="1" w:color="auto"/>
        <w:between w:val="single" w:sz="4" w:space="0" w:color="auto"/>
      </w:pBdr>
      <w:spacing w:after="60"/>
      <w:jc w:val="center"/>
      <w:rPr>
        <w:rFonts w:ascii="FrankRuehl" w:hAnsi="FrankRuehl" w:cs="FrankRuehl"/>
        <w:color w:val="000000"/>
      </w:rPr>
    </w:pPr>
    <w:r w:rsidRPr="00C57A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B885E" w14:textId="77777777" w:rsidR="00C57A68" w:rsidRDefault="00C57A68" w:rsidP="00C57A6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C103A">
      <w:rPr>
        <w:rStyle w:val="a8"/>
        <w:rFonts w:ascii="FrankRuehl" w:hAnsi="FrankRuehl" w:cs="FrankRuehl"/>
        <w:noProof/>
        <w:rtl/>
      </w:rPr>
      <w:t>1</w:t>
    </w:r>
    <w:r>
      <w:rPr>
        <w:rStyle w:val="a8"/>
        <w:rFonts w:ascii="FrankRuehl" w:hAnsi="FrankRuehl" w:cs="FrankRuehl"/>
        <w:rtl/>
      </w:rPr>
      <w:fldChar w:fldCharType="end"/>
    </w:r>
  </w:p>
  <w:p w14:paraId="381B3BF7" w14:textId="77777777" w:rsidR="00DB7C8D" w:rsidRPr="00C57A68" w:rsidRDefault="00C57A68" w:rsidP="00C57A68">
    <w:pPr>
      <w:pStyle w:val="a5"/>
      <w:pBdr>
        <w:top w:val="single" w:sz="4" w:space="1" w:color="auto"/>
        <w:between w:val="single" w:sz="4" w:space="0" w:color="auto"/>
      </w:pBdr>
      <w:spacing w:after="60"/>
      <w:jc w:val="center"/>
      <w:rPr>
        <w:rStyle w:val="a8"/>
        <w:rFonts w:ascii="FrankRuehl" w:hAnsi="FrankRuehl" w:cs="FrankRuehl"/>
        <w:color w:val="000000"/>
        <w:rtl/>
      </w:rPr>
    </w:pPr>
    <w:r w:rsidRPr="00C57A68">
      <w:rPr>
        <w:rStyle w:val="a8"/>
        <w:rFonts w:ascii="FrankRuehl" w:hAnsi="FrankRuehl" w:cs="FrankRuehl"/>
        <w:color w:val="000000"/>
      </w:rPr>
      <w:pict w14:anchorId="5EEFE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F65B" w14:textId="77777777" w:rsidR="00791FFB" w:rsidRDefault="00791FFB" w:rsidP="000B0474">
      <w:r>
        <w:separator/>
      </w:r>
    </w:p>
  </w:footnote>
  <w:footnote w:type="continuationSeparator" w:id="0">
    <w:p w14:paraId="09339E77" w14:textId="77777777" w:rsidR="00791FFB" w:rsidRDefault="00791FFB" w:rsidP="000B0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1910" w14:textId="77777777" w:rsidR="00A31FD2" w:rsidRPr="00C57A68" w:rsidRDefault="00C57A68" w:rsidP="00C57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23532-07-18</w:t>
    </w:r>
    <w:r>
      <w:rPr>
        <w:rFonts w:ascii="David" w:hAnsi="David"/>
        <w:color w:val="000000"/>
        <w:sz w:val="22"/>
        <w:szCs w:val="22"/>
        <w:rtl/>
      </w:rPr>
      <w:tab/>
      <w:t xml:space="preserve"> מדינת ישראל נ' מוחמד שייכה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1F60" w14:textId="77777777" w:rsidR="00A31FD2" w:rsidRPr="00C57A68" w:rsidRDefault="00C57A68" w:rsidP="00C57A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23532-07-18</w:t>
    </w:r>
    <w:r>
      <w:rPr>
        <w:rFonts w:ascii="David" w:hAnsi="David"/>
        <w:color w:val="000000"/>
        <w:sz w:val="22"/>
        <w:szCs w:val="22"/>
        <w:rtl/>
      </w:rPr>
      <w:tab/>
      <w:t xml:space="preserve"> מדינת ישראל נ' מוחמד שייכה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63F1"/>
    <w:rsid w:val="000B0474"/>
    <w:rsid w:val="00163B77"/>
    <w:rsid w:val="00315175"/>
    <w:rsid w:val="00381020"/>
    <w:rsid w:val="003C103A"/>
    <w:rsid w:val="00791FFB"/>
    <w:rsid w:val="00A025AB"/>
    <w:rsid w:val="00A31FD2"/>
    <w:rsid w:val="00C57A68"/>
    <w:rsid w:val="00CE63F1"/>
    <w:rsid w:val="00DB7C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EA578"/>
  <w15:chartTrackingRefBased/>
  <w15:docId w15:val="{8FCAF039-8951-4C68-9697-82CB2A9F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63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63F1"/>
    <w:pPr>
      <w:tabs>
        <w:tab w:val="center" w:pos="4153"/>
        <w:tab w:val="right" w:pos="8306"/>
      </w:tabs>
    </w:pPr>
  </w:style>
  <w:style w:type="character" w:customStyle="1" w:styleId="a4">
    <w:name w:val="כותרת עליונה תו"/>
    <w:link w:val="a3"/>
    <w:rsid w:val="00CE63F1"/>
    <w:rPr>
      <w:rFonts w:ascii="Times New Roman" w:eastAsia="Times New Roman" w:hAnsi="Times New Roman" w:cs="David"/>
      <w:sz w:val="24"/>
      <w:szCs w:val="24"/>
    </w:rPr>
  </w:style>
  <w:style w:type="paragraph" w:styleId="a5">
    <w:name w:val="footer"/>
    <w:basedOn w:val="a"/>
    <w:link w:val="a6"/>
    <w:rsid w:val="00CE63F1"/>
    <w:pPr>
      <w:tabs>
        <w:tab w:val="center" w:pos="4153"/>
        <w:tab w:val="right" w:pos="8306"/>
      </w:tabs>
    </w:pPr>
  </w:style>
  <w:style w:type="character" w:customStyle="1" w:styleId="a6">
    <w:name w:val="כותרת תחתונה תו"/>
    <w:link w:val="a5"/>
    <w:rsid w:val="00CE63F1"/>
    <w:rPr>
      <w:rFonts w:ascii="Times New Roman" w:eastAsia="Times New Roman" w:hAnsi="Times New Roman" w:cs="David"/>
      <w:sz w:val="24"/>
      <w:szCs w:val="24"/>
    </w:rPr>
  </w:style>
  <w:style w:type="table" w:styleId="a7">
    <w:name w:val="Table Grid"/>
    <w:basedOn w:val="a1"/>
    <w:rsid w:val="00CE63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63F1"/>
    <w:rPr>
      <w:noProof w:val="0"/>
    </w:rPr>
  </w:style>
  <w:style w:type="paragraph" w:customStyle="1" w:styleId="msolistparagraph0">
    <w:name w:val="msolistparagraph"/>
    <w:basedOn w:val="a"/>
    <w:rsid w:val="00CE63F1"/>
    <w:pPr>
      <w:overflowPunct w:val="0"/>
      <w:autoSpaceDE w:val="0"/>
      <w:autoSpaceDN w:val="0"/>
      <w:ind w:left="720"/>
    </w:pPr>
    <w:rPr>
      <w:rFonts w:cs="Times New Roman"/>
      <w:sz w:val="20"/>
      <w:szCs w:val="20"/>
    </w:rPr>
  </w:style>
  <w:style w:type="character" w:customStyle="1" w:styleId="Ruller4">
    <w:name w:val="Ruller4 תו"/>
    <w:link w:val="Ruller40"/>
    <w:locked/>
    <w:rsid w:val="00CE63F1"/>
    <w:rPr>
      <w:rFonts w:ascii="Arial TUR" w:hAnsi="Arial TUR" w:cs="Arial TUR"/>
      <w:spacing w:val="10"/>
    </w:rPr>
  </w:style>
  <w:style w:type="paragraph" w:customStyle="1" w:styleId="Ruller40">
    <w:name w:val="Ruller4"/>
    <w:basedOn w:val="a"/>
    <w:link w:val="Ruller4"/>
    <w:rsid w:val="00CE63F1"/>
    <w:pPr>
      <w:overflowPunct w:val="0"/>
      <w:autoSpaceDE w:val="0"/>
      <w:autoSpaceDN w:val="0"/>
      <w:spacing w:line="360" w:lineRule="auto"/>
      <w:jc w:val="both"/>
    </w:pPr>
    <w:rPr>
      <w:rFonts w:ascii="Arial TUR" w:eastAsia="Calibri" w:hAnsi="Arial TUR" w:cs="Arial TUR"/>
      <w:spacing w:val="10"/>
      <w:sz w:val="22"/>
      <w:szCs w:val="22"/>
    </w:rPr>
  </w:style>
  <w:style w:type="character" w:styleId="a9">
    <w:name w:val="line number"/>
    <w:rsid w:val="00CE63F1"/>
  </w:style>
  <w:style w:type="character" w:styleId="Hyperlink">
    <w:name w:val="Hyperlink"/>
    <w:rsid w:val="00A31F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C" TargetMode="External"/><Relationship Id="rId18" Type="http://schemas.openxmlformats.org/officeDocument/2006/relationships/hyperlink" Target="http://www.nevo.co.il/law/70301/jaCiS" TargetMode="External"/><Relationship Id="rId26" Type="http://schemas.openxmlformats.org/officeDocument/2006/relationships/hyperlink" Target="http://www.nevo.co.il/law/70301/37" TargetMode="External"/><Relationship Id="rId39" Type="http://schemas.openxmlformats.org/officeDocument/2006/relationships/hyperlink" Target="http://www.nevo.co.il/law/70301/iCcS" TargetMode="External"/><Relationship Id="rId21" Type="http://schemas.openxmlformats.org/officeDocument/2006/relationships/hyperlink" Target="http://www.nevo.co.il/law/141771/37.d" TargetMode="External"/><Relationship Id="rId34" Type="http://schemas.openxmlformats.org/officeDocument/2006/relationships/hyperlink" Target="http://www.nevo.co.il/case/22401477" TargetMode="External"/><Relationship Id="rId42" Type="http://schemas.openxmlformats.org/officeDocument/2006/relationships/hyperlink" Target="http://www.nevo.co.il/law/70301/ja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iCcS"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29"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23506710" TargetMode="External"/><Relationship Id="rId37" Type="http://schemas.openxmlformats.org/officeDocument/2006/relationships/hyperlink" Target="http://www.nevo.co.il/law/70301/hC" TargetMode="External"/><Relationship Id="rId40" Type="http://schemas.openxmlformats.org/officeDocument/2006/relationships/hyperlink" Target="http://www.nevo.co.il/law/70301/iC"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i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29" TargetMode="External"/><Relationship Id="rId36" Type="http://schemas.openxmlformats.org/officeDocument/2006/relationships/hyperlink" Target="http://www.nevo.co.il/law/70301/hCaS"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141771" TargetMode="External"/><Relationship Id="rId31" Type="http://schemas.openxmlformats.org/officeDocument/2006/relationships/hyperlink" Target="http://www.nevo.co.il/law/14177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37" TargetMode="External"/><Relationship Id="rId14" Type="http://schemas.openxmlformats.org/officeDocument/2006/relationships/hyperlink" Target="http://www.nevo.co.il/law/70301/hCaS"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141771/37" TargetMode="External"/><Relationship Id="rId35" Type="http://schemas.openxmlformats.org/officeDocument/2006/relationships/hyperlink" Target="http://www.nevo.co.il/law/141771/37" TargetMode="External"/><Relationship Id="rId43" Type="http://schemas.openxmlformats.org/officeDocument/2006/relationships/hyperlink" Target="http://www.nevo.co.il/law/141771/37.d"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webSettings" Target="webSettings.xml"/><Relationship Id="rId12" Type="http://schemas.openxmlformats.org/officeDocument/2006/relationships/hyperlink" Target="http://www.nevo.co.il/law/70301/448a" TargetMode="External"/><Relationship Id="rId17" Type="http://schemas.openxmlformats.org/officeDocument/2006/relationships/hyperlink" Target="http://www.nevo.co.il/law/70301/jaC" TargetMode="External"/><Relationship Id="rId25" Type="http://schemas.openxmlformats.org/officeDocument/2006/relationships/hyperlink" Target="http://www.nevo.co.il/law/70301/25" TargetMode="External"/><Relationship Id="rId33" Type="http://schemas.openxmlformats.org/officeDocument/2006/relationships/hyperlink" Target="http://www.nevo.co.il/case/21474812"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141771/37" TargetMode="External"/><Relationship Id="rId41" Type="http://schemas.openxmlformats.org/officeDocument/2006/relationships/hyperlink" Target="http://www.nevo.co.il/law/70301/jaCiS" TargetMode="External"/><Relationship Id="rId1" Type="http://schemas.openxmlformats.org/officeDocument/2006/relationships/styles" Target="styles.xml"/><Relationship Id="rId6" Type="http://schemas.openxmlformats.org/officeDocument/2006/relationships/hyperlink" Target="http://www.nevo.co.il/case/243725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10406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5570639</vt:i4>
      </vt:variant>
      <vt:variant>
        <vt:i4>111</vt:i4>
      </vt:variant>
      <vt:variant>
        <vt:i4>0</vt:i4>
      </vt:variant>
      <vt:variant>
        <vt:i4>5</vt:i4>
      </vt:variant>
      <vt:variant>
        <vt:lpwstr>http://www.nevo.co.il/law/141771/37.d</vt:lpwstr>
      </vt:variant>
      <vt:variant>
        <vt:lpwstr/>
      </vt:variant>
      <vt:variant>
        <vt:i4>3407935</vt:i4>
      </vt:variant>
      <vt:variant>
        <vt:i4>108</vt:i4>
      </vt:variant>
      <vt:variant>
        <vt:i4>0</vt:i4>
      </vt:variant>
      <vt:variant>
        <vt:i4>5</vt:i4>
      </vt:variant>
      <vt:variant>
        <vt:lpwstr>http://www.nevo.co.il/law/70301/jaC</vt:lpwstr>
      </vt:variant>
      <vt:variant>
        <vt:lpwstr/>
      </vt:variant>
      <vt:variant>
        <vt:i4>6094940</vt:i4>
      </vt:variant>
      <vt:variant>
        <vt:i4>105</vt:i4>
      </vt:variant>
      <vt:variant>
        <vt:i4>0</vt:i4>
      </vt:variant>
      <vt:variant>
        <vt:i4>5</vt:i4>
      </vt:variant>
      <vt:variant>
        <vt:lpwstr>http://www.nevo.co.il/law/70301/jaCiS</vt:lpwstr>
      </vt:variant>
      <vt:variant>
        <vt:lpwstr/>
      </vt:variant>
      <vt:variant>
        <vt:i4>3539004</vt:i4>
      </vt:variant>
      <vt:variant>
        <vt:i4>102</vt:i4>
      </vt:variant>
      <vt:variant>
        <vt:i4>0</vt:i4>
      </vt:variant>
      <vt:variant>
        <vt:i4>5</vt:i4>
      </vt:variant>
      <vt:variant>
        <vt:lpwstr>http://www.nevo.co.il/law/70301/iC</vt:lpwstr>
      </vt:variant>
      <vt:variant>
        <vt:lpwstr/>
      </vt:variant>
      <vt:variant>
        <vt:i4>4522079</vt:i4>
      </vt:variant>
      <vt:variant>
        <vt:i4>99</vt:i4>
      </vt:variant>
      <vt:variant>
        <vt:i4>0</vt:i4>
      </vt:variant>
      <vt:variant>
        <vt:i4>5</vt:i4>
      </vt:variant>
      <vt:variant>
        <vt:lpwstr>http://www.nevo.co.il/law/70301/iCcS</vt:lpwstr>
      </vt:variant>
      <vt:variant>
        <vt:lpwstr/>
      </vt:variant>
      <vt:variant>
        <vt:i4>7995492</vt:i4>
      </vt:variant>
      <vt:variant>
        <vt:i4>96</vt:i4>
      </vt:variant>
      <vt:variant>
        <vt:i4>0</vt:i4>
      </vt:variant>
      <vt:variant>
        <vt:i4>5</vt:i4>
      </vt:variant>
      <vt:variant>
        <vt:lpwstr>http://www.nevo.co.il/law/70301</vt:lpwstr>
      </vt:variant>
      <vt:variant>
        <vt:lpwstr/>
      </vt:variant>
      <vt:variant>
        <vt:i4>3539005</vt:i4>
      </vt:variant>
      <vt:variant>
        <vt:i4>93</vt:i4>
      </vt:variant>
      <vt:variant>
        <vt:i4>0</vt:i4>
      </vt:variant>
      <vt:variant>
        <vt:i4>5</vt:i4>
      </vt:variant>
      <vt:variant>
        <vt:lpwstr>http://www.nevo.co.il/law/70301/hC</vt:lpwstr>
      </vt:variant>
      <vt:variant>
        <vt:lpwstr/>
      </vt:variant>
      <vt:variant>
        <vt:i4>4522076</vt:i4>
      </vt:variant>
      <vt:variant>
        <vt:i4>90</vt:i4>
      </vt:variant>
      <vt:variant>
        <vt:i4>0</vt:i4>
      </vt:variant>
      <vt:variant>
        <vt:i4>5</vt:i4>
      </vt:variant>
      <vt:variant>
        <vt:lpwstr>http://www.nevo.co.il/law/70301/hCaS</vt:lpwstr>
      </vt:variant>
      <vt:variant>
        <vt:lpwstr/>
      </vt:variant>
      <vt:variant>
        <vt:i4>8061048</vt:i4>
      </vt:variant>
      <vt:variant>
        <vt:i4>87</vt:i4>
      </vt:variant>
      <vt:variant>
        <vt:i4>0</vt:i4>
      </vt:variant>
      <vt:variant>
        <vt:i4>5</vt:i4>
      </vt:variant>
      <vt:variant>
        <vt:lpwstr>http://www.nevo.co.il/law/141771/37</vt:lpwstr>
      </vt:variant>
      <vt:variant>
        <vt:lpwstr/>
      </vt:variant>
      <vt:variant>
        <vt:i4>3145842</vt:i4>
      </vt:variant>
      <vt:variant>
        <vt:i4>84</vt:i4>
      </vt:variant>
      <vt:variant>
        <vt:i4>0</vt:i4>
      </vt:variant>
      <vt:variant>
        <vt:i4>5</vt:i4>
      </vt:variant>
      <vt:variant>
        <vt:lpwstr>http://www.nevo.co.il/case/22401477</vt:lpwstr>
      </vt:variant>
      <vt:variant>
        <vt:lpwstr/>
      </vt:variant>
      <vt:variant>
        <vt:i4>3342458</vt:i4>
      </vt:variant>
      <vt:variant>
        <vt:i4>81</vt:i4>
      </vt:variant>
      <vt:variant>
        <vt:i4>0</vt:i4>
      </vt:variant>
      <vt:variant>
        <vt:i4>5</vt:i4>
      </vt:variant>
      <vt:variant>
        <vt:lpwstr>http://www.nevo.co.il/case/21474812</vt:lpwstr>
      </vt:variant>
      <vt:variant>
        <vt:lpwstr/>
      </vt:variant>
      <vt:variant>
        <vt:i4>3145840</vt:i4>
      </vt:variant>
      <vt:variant>
        <vt:i4>78</vt:i4>
      </vt:variant>
      <vt:variant>
        <vt:i4>0</vt:i4>
      </vt:variant>
      <vt:variant>
        <vt:i4>5</vt:i4>
      </vt:variant>
      <vt:variant>
        <vt:lpwstr>http://www.nevo.co.il/case/23506710</vt:lpwstr>
      </vt:variant>
      <vt:variant>
        <vt:lpwstr/>
      </vt:variant>
      <vt:variant>
        <vt:i4>4718679</vt:i4>
      </vt:variant>
      <vt:variant>
        <vt:i4>75</vt:i4>
      </vt:variant>
      <vt:variant>
        <vt:i4>0</vt:i4>
      </vt:variant>
      <vt:variant>
        <vt:i4>5</vt:i4>
      </vt:variant>
      <vt:variant>
        <vt:lpwstr>http://www.nevo.co.il/law/141771</vt:lpwstr>
      </vt:variant>
      <vt:variant>
        <vt:lpwstr/>
      </vt:variant>
      <vt:variant>
        <vt:i4>8061048</vt:i4>
      </vt:variant>
      <vt:variant>
        <vt:i4>72</vt:i4>
      </vt:variant>
      <vt:variant>
        <vt:i4>0</vt:i4>
      </vt:variant>
      <vt:variant>
        <vt:i4>5</vt:i4>
      </vt:variant>
      <vt:variant>
        <vt:lpwstr>http://www.nevo.co.il/law/141771/37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6750310</vt:i4>
      </vt:variant>
      <vt:variant>
        <vt:i4>66</vt:i4>
      </vt:variant>
      <vt:variant>
        <vt:i4>0</vt:i4>
      </vt:variant>
      <vt:variant>
        <vt:i4>5</vt:i4>
      </vt:variant>
      <vt:variant>
        <vt:lpwstr>http://www.nevo.co.il/law/70301/329</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6422630</vt:i4>
      </vt:variant>
      <vt:variant>
        <vt:i4>60</vt:i4>
      </vt:variant>
      <vt:variant>
        <vt:i4>0</vt:i4>
      </vt:variant>
      <vt:variant>
        <vt:i4>5</vt:i4>
      </vt:variant>
      <vt:variant>
        <vt:lpwstr>http://www.nevo.co.il/law/70301/37</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89</vt:i4>
      </vt:variant>
      <vt:variant>
        <vt:i4>54</vt:i4>
      </vt:variant>
      <vt:variant>
        <vt:i4>0</vt:i4>
      </vt:variant>
      <vt:variant>
        <vt:i4>5</vt:i4>
      </vt:variant>
      <vt:variant>
        <vt:lpwstr>http://www.nevo.co.il/law/70301/448a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5570639</vt:i4>
      </vt:variant>
      <vt:variant>
        <vt:i4>45</vt:i4>
      </vt:variant>
      <vt:variant>
        <vt:i4>0</vt:i4>
      </vt:variant>
      <vt:variant>
        <vt:i4>5</vt:i4>
      </vt:variant>
      <vt:variant>
        <vt:lpwstr>http://www.nevo.co.il/law/141771/37.d</vt:lpwstr>
      </vt:variant>
      <vt:variant>
        <vt:lpwstr/>
      </vt:variant>
      <vt:variant>
        <vt:i4>8061048</vt:i4>
      </vt:variant>
      <vt:variant>
        <vt:i4>42</vt:i4>
      </vt:variant>
      <vt:variant>
        <vt:i4>0</vt:i4>
      </vt:variant>
      <vt:variant>
        <vt:i4>5</vt:i4>
      </vt:variant>
      <vt:variant>
        <vt:lpwstr>http://www.nevo.co.il/law/141771/37</vt:lpwstr>
      </vt:variant>
      <vt:variant>
        <vt:lpwstr/>
      </vt:variant>
      <vt:variant>
        <vt:i4>4718679</vt:i4>
      </vt:variant>
      <vt:variant>
        <vt:i4>39</vt:i4>
      </vt:variant>
      <vt:variant>
        <vt:i4>0</vt:i4>
      </vt:variant>
      <vt:variant>
        <vt:i4>5</vt:i4>
      </vt:variant>
      <vt:variant>
        <vt:lpwstr>http://www.nevo.co.il/law/141771</vt:lpwstr>
      </vt:variant>
      <vt:variant>
        <vt:lpwstr/>
      </vt:variant>
      <vt:variant>
        <vt:i4>6094940</vt:i4>
      </vt:variant>
      <vt:variant>
        <vt:i4>36</vt:i4>
      </vt:variant>
      <vt:variant>
        <vt:i4>0</vt:i4>
      </vt:variant>
      <vt:variant>
        <vt:i4>5</vt:i4>
      </vt:variant>
      <vt:variant>
        <vt:lpwstr>http://www.nevo.co.il/law/70301/jaCiS</vt:lpwstr>
      </vt:variant>
      <vt:variant>
        <vt:lpwstr/>
      </vt:variant>
      <vt:variant>
        <vt:i4>3407935</vt:i4>
      </vt:variant>
      <vt:variant>
        <vt:i4>33</vt:i4>
      </vt:variant>
      <vt:variant>
        <vt:i4>0</vt:i4>
      </vt:variant>
      <vt:variant>
        <vt:i4>5</vt:i4>
      </vt:variant>
      <vt:variant>
        <vt:lpwstr>http://www.nevo.co.il/law/70301/jaC</vt:lpwstr>
      </vt:variant>
      <vt:variant>
        <vt:lpwstr/>
      </vt:variant>
      <vt:variant>
        <vt:i4>4522079</vt:i4>
      </vt:variant>
      <vt:variant>
        <vt:i4>30</vt:i4>
      </vt:variant>
      <vt:variant>
        <vt:i4>0</vt:i4>
      </vt:variant>
      <vt:variant>
        <vt:i4>5</vt:i4>
      </vt:variant>
      <vt:variant>
        <vt:lpwstr>http://www.nevo.co.il/law/70301/iCcS</vt:lpwstr>
      </vt:variant>
      <vt:variant>
        <vt:lpwstr/>
      </vt:variant>
      <vt:variant>
        <vt:i4>3539004</vt:i4>
      </vt:variant>
      <vt:variant>
        <vt:i4>27</vt:i4>
      </vt:variant>
      <vt:variant>
        <vt:i4>0</vt:i4>
      </vt:variant>
      <vt:variant>
        <vt:i4>5</vt:i4>
      </vt:variant>
      <vt:variant>
        <vt:lpwstr>http://www.nevo.co.il/law/70301/iC</vt:lpwstr>
      </vt:variant>
      <vt:variant>
        <vt:lpwstr/>
      </vt:variant>
      <vt:variant>
        <vt:i4>4522076</vt:i4>
      </vt:variant>
      <vt:variant>
        <vt:i4>24</vt:i4>
      </vt:variant>
      <vt:variant>
        <vt:i4>0</vt:i4>
      </vt:variant>
      <vt:variant>
        <vt:i4>5</vt:i4>
      </vt:variant>
      <vt:variant>
        <vt:lpwstr>http://www.nevo.co.il/law/70301/hCaS</vt:lpwstr>
      </vt:variant>
      <vt:variant>
        <vt:lpwstr/>
      </vt:variant>
      <vt:variant>
        <vt:i4>3539005</vt:i4>
      </vt:variant>
      <vt:variant>
        <vt:i4>21</vt:i4>
      </vt:variant>
      <vt:variant>
        <vt:i4>0</vt:i4>
      </vt:variant>
      <vt:variant>
        <vt:i4>5</vt:i4>
      </vt:variant>
      <vt:variant>
        <vt:lpwstr>http://www.nevo.co.il/law/70301/hC</vt:lpwstr>
      </vt:variant>
      <vt:variant>
        <vt:lpwstr/>
      </vt:variant>
      <vt:variant>
        <vt:i4>89</vt:i4>
      </vt:variant>
      <vt:variant>
        <vt:i4>18</vt:i4>
      </vt:variant>
      <vt:variant>
        <vt:i4>0</vt:i4>
      </vt:variant>
      <vt:variant>
        <vt:i4>5</vt:i4>
      </vt:variant>
      <vt:variant>
        <vt:lpwstr>http://www.nevo.co.il/law/70301/448a</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6422630</vt:i4>
      </vt:variant>
      <vt:variant>
        <vt:i4>9</vt:i4>
      </vt:variant>
      <vt:variant>
        <vt:i4>0</vt:i4>
      </vt:variant>
      <vt:variant>
        <vt:i4>5</vt:i4>
      </vt:variant>
      <vt:variant>
        <vt:lpwstr>http://www.nevo.co.il/law/70301/37</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3211378</vt:i4>
      </vt:variant>
      <vt:variant>
        <vt:i4>0</vt:i4>
      </vt:variant>
      <vt:variant>
        <vt:i4>0</vt:i4>
      </vt:variant>
      <vt:variant>
        <vt:i4>5</vt:i4>
      </vt:variant>
      <vt:variant>
        <vt:lpwstr>http://www.nevo.co.il/case/24372521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23532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שייכה</vt:lpwstr>
  </property>
  <property fmtid="{D5CDD505-2E9C-101B-9397-08002B2CF9AE}" pid="10" name="LAWYER">
    <vt:lpwstr>מלכה גרוס;ריאד סוואעד</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20190710</vt:lpwstr>
  </property>
  <property fmtid="{D5CDD505-2E9C-101B-9397-08002B2CF9AE}" pid="14" name="TYPE_N_DATE">
    <vt:lpwstr>39020190710</vt:lpwstr>
  </property>
  <property fmtid="{D5CDD505-2E9C-101B-9397-08002B2CF9AE}" pid="15" name="CASESLISTTMP1">
    <vt:lpwstr>24372521;23506710;21474812;22401477</vt:lpwstr>
  </property>
  <property fmtid="{D5CDD505-2E9C-101B-9397-08002B2CF9AE}" pid="16" name="WORDNUMPAGES">
    <vt:lpwstr>7</vt:lpwstr>
  </property>
  <property fmtid="{D5CDD505-2E9C-101B-9397-08002B2CF9AE}" pid="17" name="TYPE_ABS_DATE">
    <vt:lpwstr>390020190710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70301/025:2;448a;037;144.b;329;hCaS;hC;iCcS;iC;jaCiS;jaC</vt:lpwstr>
  </property>
  <property fmtid="{D5CDD505-2E9C-101B-9397-08002B2CF9AE}" pid="37" name="LAWLISTTMP2">
    <vt:lpwstr>141771/037:2;037.d</vt:lpwstr>
  </property>
</Properties>
</file>