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040F8" w:rsidRPr="00D752EF" w14:paraId="380DE960" w14:textId="77777777" w:rsidTr="00643C1E">
        <w:trPr>
          <w:trHeight w:hRule="exact" w:val="711"/>
          <w:jc w:val="center"/>
        </w:trPr>
        <w:tc>
          <w:tcPr>
            <w:tcW w:w="8721" w:type="dxa"/>
            <w:gridSpan w:val="2"/>
          </w:tcPr>
          <w:p w14:paraId="6F634C6B" w14:textId="77777777" w:rsidR="00C040F8" w:rsidRPr="00D752EF" w:rsidRDefault="00C040F8" w:rsidP="002B6298">
            <w:pPr>
              <w:pStyle w:val="a3"/>
              <w:jc w:val="center"/>
              <w:rPr>
                <w:rFonts w:ascii="Tahoma" w:hAnsi="Tahoma" w:cs="Tahoma"/>
                <w:b/>
                <w:bCs/>
                <w:color w:val="000080"/>
                <w:rtl/>
              </w:rPr>
            </w:pPr>
            <w:bookmarkStart w:id="0" w:name="LastJudge"/>
            <w:r w:rsidRPr="00D752EF">
              <w:rPr>
                <w:rFonts w:ascii="Tahoma" w:hAnsi="Tahoma" w:cs="Tahoma"/>
                <w:b/>
                <w:bCs/>
                <w:color w:val="000080"/>
                <w:rtl/>
              </w:rPr>
              <w:t>בית המשפט המחוזי בירושלים</w:t>
            </w:r>
          </w:p>
          <w:p w14:paraId="4F778AA0" w14:textId="77777777" w:rsidR="00C040F8" w:rsidRPr="00D752EF" w:rsidRDefault="00C040F8" w:rsidP="002B6298">
            <w:pPr>
              <w:pStyle w:val="a3"/>
              <w:jc w:val="center"/>
              <w:rPr>
                <w:rFonts w:ascii="Tahoma" w:hAnsi="Tahoma" w:cs="Tahoma"/>
                <w:b/>
                <w:bCs/>
                <w:color w:val="000080"/>
                <w:rtl/>
              </w:rPr>
            </w:pPr>
            <w:r w:rsidRPr="00D752EF">
              <w:rPr>
                <w:rFonts w:ascii="Tahoma" w:hAnsi="Tahoma" w:cs="Tahoma" w:hint="cs"/>
                <w:b/>
                <w:bCs/>
                <w:color w:val="000080"/>
                <w:rtl/>
              </w:rPr>
              <w:t>לפני כב' השופט אברהם רובין</w:t>
            </w:r>
          </w:p>
        </w:tc>
      </w:tr>
      <w:tr w:rsidR="00C040F8" w:rsidRPr="00D752EF" w14:paraId="0A83285D" w14:textId="77777777" w:rsidTr="00643C1E">
        <w:trPr>
          <w:trHeight w:val="337"/>
          <w:jc w:val="center"/>
        </w:trPr>
        <w:tc>
          <w:tcPr>
            <w:tcW w:w="5058" w:type="dxa"/>
          </w:tcPr>
          <w:p w14:paraId="08BEEC22" w14:textId="77777777" w:rsidR="00C040F8" w:rsidRPr="00D752EF" w:rsidRDefault="00C040F8" w:rsidP="002B6298">
            <w:pPr>
              <w:rPr>
                <w:b/>
                <w:bCs/>
                <w:sz w:val="28"/>
                <w:szCs w:val="28"/>
                <w:rtl/>
              </w:rPr>
            </w:pPr>
            <w:r w:rsidRPr="00D752EF">
              <w:rPr>
                <w:b/>
                <w:bCs/>
                <w:sz w:val="28"/>
                <w:szCs w:val="28"/>
                <w:rtl/>
              </w:rPr>
              <w:t>ת"פ</w:t>
            </w:r>
            <w:r w:rsidRPr="00D752EF">
              <w:rPr>
                <w:rFonts w:hint="cs"/>
                <w:b/>
                <w:bCs/>
                <w:sz w:val="28"/>
                <w:szCs w:val="28"/>
                <w:rtl/>
              </w:rPr>
              <w:t xml:space="preserve"> </w:t>
            </w:r>
            <w:r w:rsidRPr="00D752EF">
              <w:rPr>
                <w:b/>
                <w:bCs/>
                <w:sz w:val="28"/>
                <w:szCs w:val="28"/>
                <w:rtl/>
              </w:rPr>
              <w:t>60648-07-18</w:t>
            </w:r>
            <w:r w:rsidRPr="00D752EF">
              <w:rPr>
                <w:rFonts w:hint="cs"/>
                <w:b/>
                <w:bCs/>
                <w:sz w:val="28"/>
                <w:szCs w:val="28"/>
                <w:rtl/>
              </w:rPr>
              <w:t xml:space="preserve"> </w:t>
            </w:r>
            <w:r w:rsidRPr="00D752EF">
              <w:rPr>
                <w:b/>
                <w:bCs/>
                <w:sz w:val="28"/>
                <w:szCs w:val="28"/>
                <w:rtl/>
              </w:rPr>
              <w:t>מדינת ישראל נ' מונה(עציר)</w:t>
            </w:r>
          </w:p>
          <w:p w14:paraId="1F75892E" w14:textId="77777777" w:rsidR="00C040F8" w:rsidRPr="00D752EF" w:rsidRDefault="00C040F8" w:rsidP="002B6298">
            <w:pPr>
              <w:pStyle w:val="a3"/>
              <w:rPr>
                <w:b/>
                <w:bCs/>
                <w:sz w:val="28"/>
                <w:szCs w:val="28"/>
                <w:rtl/>
              </w:rPr>
            </w:pPr>
          </w:p>
        </w:tc>
        <w:tc>
          <w:tcPr>
            <w:tcW w:w="3663" w:type="dxa"/>
          </w:tcPr>
          <w:p w14:paraId="7B1C5F5B" w14:textId="77777777" w:rsidR="00C040F8" w:rsidRPr="00D752EF" w:rsidRDefault="00C040F8" w:rsidP="002B6298">
            <w:pPr>
              <w:pStyle w:val="a3"/>
              <w:jc w:val="right"/>
              <w:rPr>
                <w:rFonts w:cs="FrankRuehl"/>
                <w:sz w:val="28"/>
                <w:szCs w:val="28"/>
                <w:rtl/>
              </w:rPr>
            </w:pPr>
          </w:p>
        </w:tc>
      </w:tr>
    </w:tbl>
    <w:p w14:paraId="64B02677" w14:textId="77777777" w:rsidR="00C040F8" w:rsidRPr="00D752EF" w:rsidRDefault="00C040F8" w:rsidP="00C040F8">
      <w:pPr>
        <w:pStyle w:val="a3"/>
        <w:rPr>
          <w:rtl/>
        </w:rPr>
      </w:pPr>
      <w:r w:rsidRPr="00D752EF">
        <w:rPr>
          <w:rFonts w:hint="cs"/>
          <w:rtl/>
        </w:rPr>
        <w:t xml:space="preserve"> </w:t>
      </w:r>
    </w:p>
    <w:p w14:paraId="54C0834A" w14:textId="77777777" w:rsidR="00C040F8" w:rsidRPr="00D752EF" w:rsidRDefault="00C040F8" w:rsidP="00C040F8">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040F8" w:rsidRPr="00D752EF" w14:paraId="5F39BDC8" w14:textId="77777777" w:rsidTr="00C040F8">
        <w:trPr>
          <w:trHeight w:val="295"/>
          <w:jc w:val="center"/>
        </w:trPr>
        <w:tc>
          <w:tcPr>
            <w:tcW w:w="945" w:type="dxa"/>
            <w:tcBorders>
              <w:top w:val="nil"/>
              <w:left w:val="nil"/>
              <w:bottom w:val="nil"/>
              <w:right w:val="nil"/>
            </w:tcBorders>
            <w:shd w:val="clear" w:color="auto" w:fill="auto"/>
          </w:tcPr>
          <w:p w14:paraId="78798279" w14:textId="77777777" w:rsidR="00C040F8" w:rsidRPr="00D752EF" w:rsidRDefault="00C040F8" w:rsidP="00C040F8">
            <w:pPr>
              <w:jc w:val="both"/>
              <w:rPr>
                <w:rFonts w:ascii="Arial" w:hAnsi="Arial"/>
                <w:b/>
                <w:bCs/>
                <w:sz w:val="28"/>
                <w:szCs w:val="28"/>
              </w:rPr>
            </w:pPr>
          </w:p>
        </w:tc>
        <w:tc>
          <w:tcPr>
            <w:tcW w:w="7875" w:type="dxa"/>
            <w:gridSpan w:val="2"/>
            <w:tcBorders>
              <w:top w:val="nil"/>
              <w:left w:val="nil"/>
              <w:bottom w:val="nil"/>
              <w:right w:val="nil"/>
            </w:tcBorders>
            <w:shd w:val="clear" w:color="auto" w:fill="auto"/>
          </w:tcPr>
          <w:p w14:paraId="688F5EEE" w14:textId="77777777" w:rsidR="00C040F8" w:rsidRPr="00D752EF" w:rsidRDefault="00C040F8" w:rsidP="00C040F8">
            <w:pPr>
              <w:jc w:val="both"/>
              <w:rPr>
                <w:rFonts w:ascii="Arial" w:hAnsi="Arial" w:cs="FrankRuehl"/>
                <w:sz w:val="28"/>
                <w:szCs w:val="28"/>
              </w:rPr>
            </w:pPr>
          </w:p>
        </w:tc>
      </w:tr>
      <w:tr w:rsidR="00C040F8" w:rsidRPr="00D752EF" w14:paraId="75680E7F" w14:textId="77777777" w:rsidTr="00C040F8">
        <w:trPr>
          <w:trHeight w:val="355"/>
          <w:jc w:val="center"/>
        </w:trPr>
        <w:tc>
          <w:tcPr>
            <w:tcW w:w="945" w:type="dxa"/>
            <w:tcBorders>
              <w:top w:val="nil"/>
              <w:left w:val="nil"/>
              <w:bottom w:val="nil"/>
              <w:right w:val="nil"/>
            </w:tcBorders>
            <w:shd w:val="clear" w:color="auto" w:fill="auto"/>
          </w:tcPr>
          <w:p w14:paraId="45327C05" w14:textId="77777777" w:rsidR="00C040F8" w:rsidRPr="00D752EF" w:rsidRDefault="00C040F8" w:rsidP="00C040F8">
            <w:pPr>
              <w:jc w:val="both"/>
              <w:rPr>
                <w:rFonts w:ascii="Arial" w:hAnsi="Arial"/>
                <w:b/>
                <w:bCs/>
                <w:sz w:val="28"/>
                <w:szCs w:val="28"/>
              </w:rPr>
            </w:pPr>
            <w:bookmarkStart w:id="1" w:name="FirstAppellant"/>
            <w:r w:rsidRPr="00D752EF">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3CCCA7E7" w14:textId="77777777" w:rsidR="00C040F8" w:rsidRPr="00D752EF" w:rsidRDefault="00C040F8" w:rsidP="002B6298">
            <w:pPr>
              <w:rPr>
                <w:b/>
                <w:bCs/>
              </w:rPr>
            </w:pPr>
            <w:r w:rsidRPr="00D752EF">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12522BD4" w14:textId="77777777" w:rsidR="00C040F8" w:rsidRPr="00D752EF" w:rsidRDefault="00C040F8" w:rsidP="00C040F8">
            <w:pPr>
              <w:tabs>
                <w:tab w:val="right" w:pos="3545"/>
              </w:tabs>
              <w:rPr>
                <w:rFonts w:ascii="Arial" w:hAnsi="Arial"/>
                <w:b/>
                <w:bCs/>
                <w:sz w:val="28"/>
                <w:szCs w:val="28"/>
                <w:rtl/>
              </w:rPr>
            </w:pPr>
            <w:r w:rsidRPr="00D752EF">
              <w:rPr>
                <w:rFonts w:ascii="Arial" w:hAnsi="Arial" w:hint="cs"/>
                <w:b/>
                <w:bCs/>
                <w:sz w:val="28"/>
                <w:szCs w:val="28"/>
                <w:rtl/>
              </w:rPr>
              <w:t>ה</w:t>
            </w:r>
            <w:r w:rsidRPr="00D752EF">
              <w:rPr>
                <w:rFonts w:ascii="Arial" w:hAnsi="Arial"/>
                <w:b/>
                <w:bCs/>
                <w:sz w:val="28"/>
                <w:szCs w:val="28"/>
                <w:rtl/>
              </w:rPr>
              <w:t>מאשימה</w:t>
            </w:r>
          </w:p>
        </w:tc>
      </w:tr>
      <w:bookmarkEnd w:id="1"/>
      <w:tr w:rsidR="00C040F8" w:rsidRPr="00D752EF" w14:paraId="1BAB0E12" w14:textId="77777777" w:rsidTr="00C040F8">
        <w:trPr>
          <w:trHeight w:val="355"/>
          <w:jc w:val="center"/>
        </w:trPr>
        <w:tc>
          <w:tcPr>
            <w:tcW w:w="945" w:type="dxa"/>
            <w:tcBorders>
              <w:top w:val="nil"/>
              <w:left w:val="nil"/>
              <w:bottom w:val="nil"/>
              <w:right w:val="nil"/>
            </w:tcBorders>
            <w:shd w:val="clear" w:color="auto" w:fill="auto"/>
          </w:tcPr>
          <w:p w14:paraId="34011DF7" w14:textId="77777777" w:rsidR="00C040F8" w:rsidRPr="00D752EF" w:rsidRDefault="00C040F8" w:rsidP="00C040F8">
            <w:pPr>
              <w:jc w:val="both"/>
              <w:rPr>
                <w:rFonts w:ascii="Arial" w:hAnsi="Arial"/>
                <w:b/>
                <w:bCs/>
                <w:sz w:val="28"/>
                <w:szCs w:val="28"/>
                <w:rtl/>
              </w:rPr>
            </w:pPr>
          </w:p>
        </w:tc>
        <w:tc>
          <w:tcPr>
            <w:tcW w:w="4114" w:type="dxa"/>
            <w:tcBorders>
              <w:top w:val="nil"/>
              <w:left w:val="nil"/>
              <w:bottom w:val="nil"/>
              <w:right w:val="nil"/>
            </w:tcBorders>
            <w:shd w:val="clear" w:color="auto" w:fill="auto"/>
          </w:tcPr>
          <w:p w14:paraId="29E76213" w14:textId="77777777" w:rsidR="00C040F8" w:rsidRPr="00D752EF" w:rsidRDefault="00C040F8" w:rsidP="00C040F8">
            <w:pPr>
              <w:jc w:val="both"/>
              <w:rPr>
                <w:b/>
                <w:bCs/>
                <w:rtl/>
              </w:rPr>
            </w:pPr>
          </w:p>
        </w:tc>
        <w:tc>
          <w:tcPr>
            <w:tcW w:w="3761" w:type="dxa"/>
            <w:tcBorders>
              <w:top w:val="nil"/>
              <w:left w:val="nil"/>
              <w:bottom w:val="nil"/>
              <w:right w:val="nil"/>
            </w:tcBorders>
            <w:shd w:val="clear" w:color="auto" w:fill="auto"/>
          </w:tcPr>
          <w:p w14:paraId="2CAA4879" w14:textId="77777777" w:rsidR="00C040F8" w:rsidRPr="00D752EF" w:rsidRDefault="00C040F8" w:rsidP="00C040F8">
            <w:pPr>
              <w:tabs>
                <w:tab w:val="right" w:pos="3545"/>
              </w:tabs>
              <w:rPr>
                <w:rFonts w:ascii="Arial" w:hAnsi="Arial"/>
                <w:b/>
                <w:bCs/>
                <w:sz w:val="28"/>
                <w:szCs w:val="28"/>
                <w:rtl/>
              </w:rPr>
            </w:pPr>
          </w:p>
        </w:tc>
      </w:tr>
      <w:tr w:rsidR="00C040F8" w:rsidRPr="00D752EF" w14:paraId="45E61DFF" w14:textId="77777777" w:rsidTr="00C040F8">
        <w:trPr>
          <w:trHeight w:val="355"/>
          <w:jc w:val="center"/>
        </w:trPr>
        <w:tc>
          <w:tcPr>
            <w:tcW w:w="945" w:type="dxa"/>
            <w:tcBorders>
              <w:top w:val="nil"/>
              <w:left w:val="nil"/>
              <w:bottom w:val="nil"/>
              <w:right w:val="nil"/>
            </w:tcBorders>
            <w:shd w:val="clear" w:color="auto" w:fill="auto"/>
          </w:tcPr>
          <w:p w14:paraId="0C47804A" w14:textId="77777777" w:rsidR="00C040F8" w:rsidRPr="00D752EF" w:rsidRDefault="00C040F8" w:rsidP="00C040F8">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2E114FC1" w14:textId="77777777" w:rsidR="00C040F8" w:rsidRPr="00D752EF" w:rsidRDefault="00C040F8" w:rsidP="00C040F8">
            <w:pPr>
              <w:jc w:val="center"/>
              <w:rPr>
                <w:rFonts w:ascii="Arial" w:hAnsi="Arial"/>
                <w:b/>
                <w:bCs/>
                <w:sz w:val="28"/>
                <w:szCs w:val="28"/>
                <w:rtl/>
              </w:rPr>
            </w:pPr>
          </w:p>
          <w:p w14:paraId="692D73C8" w14:textId="77777777" w:rsidR="00C040F8" w:rsidRPr="00D752EF" w:rsidRDefault="00C040F8" w:rsidP="00C040F8">
            <w:pPr>
              <w:tabs>
                <w:tab w:val="left" w:pos="2845"/>
                <w:tab w:val="center" w:pos="3829"/>
              </w:tabs>
              <w:rPr>
                <w:rFonts w:ascii="Arial" w:hAnsi="Arial"/>
                <w:b/>
                <w:bCs/>
                <w:sz w:val="28"/>
                <w:szCs w:val="28"/>
                <w:rtl/>
              </w:rPr>
            </w:pPr>
            <w:r w:rsidRPr="00D752EF">
              <w:rPr>
                <w:rFonts w:ascii="Arial" w:hAnsi="Arial"/>
                <w:b/>
                <w:bCs/>
                <w:sz w:val="28"/>
                <w:szCs w:val="28"/>
                <w:rtl/>
              </w:rPr>
              <w:tab/>
              <w:t>נגד</w:t>
            </w:r>
          </w:p>
          <w:p w14:paraId="0FBFA33D" w14:textId="77777777" w:rsidR="00C040F8" w:rsidRPr="00D752EF" w:rsidRDefault="00C040F8" w:rsidP="00C040F8">
            <w:pPr>
              <w:jc w:val="both"/>
              <w:rPr>
                <w:rFonts w:ascii="Arial" w:hAnsi="Arial"/>
                <w:b/>
                <w:bCs/>
                <w:sz w:val="28"/>
                <w:szCs w:val="28"/>
              </w:rPr>
            </w:pPr>
          </w:p>
        </w:tc>
      </w:tr>
      <w:tr w:rsidR="00C040F8" w:rsidRPr="00D752EF" w14:paraId="7DB64D7D" w14:textId="77777777" w:rsidTr="00C040F8">
        <w:trPr>
          <w:trHeight w:val="355"/>
          <w:jc w:val="center"/>
        </w:trPr>
        <w:tc>
          <w:tcPr>
            <w:tcW w:w="945" w:type="dxa"/>
            <w:tcBorders>
              <w:top w:val="nil"/>
              <w:left w:val="nil"/>
              <w:bottom w:val="nil"/>
              <w:right w:val="nil"/>
            </w:tcBorders>
            <w:shd w:val="clear" w:color="auto" w:fill="auto"/>
          </w:tcPr>
          <w:p w14:paraId="28199A60" w14:textId="77777777" w:rsidR="00C040F8" w:rsidRPr="00D752EF" w:rsidRDefault="00C040F8" w:rsidP="002B6298">
            <w:pPr>
              <w:rPr>
                <w:rFonts w:ascii="Arial" w:hAnsi="Arial"/>
                <w:b/>
                <w:bCs/>
                <w:sz w:val="28"/>
                <w:szCs w:val="28"/>
                <w:rtl/>
              </w:rPr>
            </w:pPr>
          </w:p>
        </w:tc>
        <w:tc>
          <w:tcPr>
            <w:tcW w:w="4114" w:type="dxa"/>
            <w:tcBorders>
              <w:top w:val="nil"/>
              <w:left w:val="nil"/>
              <w:bottom w:val="nil"/>
              <w:right w:val="nil"/>
            </w:tcBorders>
            <w:shd w:val="clear" w:color="auto" w:fill="auto"/>
          </w:tcPr>
          <w:p w14:paraId="79442D70" w14:textId="77777777" w:rsidR="00C040F8" w:rsidRPr="00D752EF" w:rsidRDefault="00C040F8" w:rsidP="002B6298">
            <w:pPr>
              <w:rPr>
                <w:b/>
                <w:bCs/>
                <w:rtl/>
              </w:rPr>
            </w:pPr>
            <w:r w:rsidRPr="00D752EF">
              <w:rPr>
                <w:rFonts w:ascii="Arial" w:hAnsi="Arial"/>
                <w:b/>
                <w:bCs/>
                <w:sz w:val="28"/>
                <w:szCs w:val="28"/>
                <w:rtl/>
              </w:rPr>
              <w:t>מחמוד מונה (עציר)</w:t>
            </w:r>
          </w:p>
        </w:tc>
        <w:tc>
          <w:tcPr>
            <w:tcW w:w="3761" w:type="dxa"/>
            <w:tcBorders>
              <w:top w:val="nil"/>
              <w:left w:val="nil"/>
              <w:bottom w:val="nil"/>
              <w:right w:val="nil"/>
            </w:tcBorders>
            <w:shd w:val="clear" w:color="auto" w:fill="auto"/>
          </w:tcPr>
          <w:p w14:paraId="4790165A" w14:textId="77777777" w:rsidR="00C040F8" w:rsidRPr="00D752EF" w:rsidRDefault="00C040F8" w:rsidP="002B6298">
            <w:pPr>
              <w:rPr>
                <w:rFonts w:ascii="Arial" w:hAnsi="Arial"/>
                <w:b/>
                <w:bCs/>
                <w:sz w:val="28"/>
                <w:szCs w:val="28"/>
              </w:rPr>
            </w:pPr>
            <w:r w:rsidRPr="00D752EF">
              <w:rPr>
                <w:rFonts w:ascii="Arial" w:hAnsi="Arial" w:hint="cs"/>
                <w:b/>
                <w:bCs/>
                <w:sz w:val="28"/>
                <w:szCs w:val="28"/>
                <w:rtl/>
              </w:rPr>
              <w:t>הנאשם</w:t>
            </w:r>
          </w:p>
        </w:tc>
      </w:tr>
      <w:tr w:rsidR="00C040F8" w:rsidRPr="00D752EF" w14:paraId="5CC35CDC" w14:textId="77777777" w:rsidTr="00C040F8">
        <w:trPr>
          <w:trHeight w:val="355"/>
          <w:jc w:val="center"/>
        </w:trPr>
        <w:tc>
          <w:tcPr>
            <w:tcW w:w="945" w:type="dxa"/>
            <w:tcBorders>
              <w:top w:val="nil"/>
              <w:left w:val="nil"/>
              <w:bottom w:val="nil"/>
              <w:right w:val="nil"/>
            </w:tcBorders>
            <w:shd w:val="clear" w:color="auto" w:fill="auto"/>
          </w:tcPr>
          <w:p w14:paraId="55C7A999" w14:textId="77777777" w:rsidR="00C040F8" w:rsidRPr="00D752EF" w:rsidRDefault="00C040F8" w:rsidP="00C040F8">
            <w:pPr>
              <w:jc w:val="both"/>
              <w:rPr>
                <w:rFonts w:ascii="Arial" w:hAnsi="Arial"/>
                <w:b/>
                <w:bCs/>
                <w:sz w:val="28"/>
                <w:szCs w:val="28"/>
                <w:rtl/>
              </w:rPr>
            </w:pPr>
          </w:p>
        </w:tc>
        <w:tc>
          <w:tcPr>
            <w:tcW w:w="4114" w:type="dxa"/>
            <w:tcBorders>
              <w:top w:val="nil"/>
              <w:left w:val="nil"/>
              <w:bottom w:val="nil"/>
              <w:right w:val="nil"/>
            </w:tcBorders>
            <w:shd w:val="clear" w:color="auto" w:fill="auto"/>
          </w:tcPr>
          <w:p w14:paraId="67C22FB7" w14:textId="77777777" w:rsidR="00C040F8" w:rsidRPr="00D752EF" w:rsidRDefault="00C040F8" w:rsidP="00C040F8">
            <w:pPr>
              <w:jc w:val="both"/>
              <w:rPr>
                <w:b/>
                <w:bCs/>
                <w:rtl/>
              </w:rPr>
            </w:pPr>
          </w:p>
        </w:tc>
        <w:tc>
          <w:tcPr>
            <w:tcW w:w="3761" w:type="dxa"/>
            <w:tcBorders>
              <w:top w:val="nil"/>
              <w:left w:val="nil"/>
              <w:bottom w:val="nil"/>
              <w:right w:val="nil"/>
            </w:tcBorders>
            <w:shd w:val="clear" w:color="auto" w:fill="auto"/>
          </w:tcPr>
          <w:p w14:paraId="1FAD7738" w14:textId="77777777" w:rsidR="00C040F8" w:rsidRPr="00D752EF" w:rsidRDefault="00C040F8" w:rsidP="00C040F8">
            <w:pPr>
              <w:jc w:val="right"/>
              <w:rPr>
                <w:rFonts w:ascii="Arial" w:hAnsi="Arial"/>
                <w:b/>
                <w:bCs/>
                <w:sz w:val="28"/>
                <w:szCs w:val="28"/>
              </w:rPr>
            </w:pPr>
          </w:p>
        </w:tc>
      </w:tr>
    </w:tbl>
    <w:p w14:paraId="4DCE42A1" w14:textId="77777777" w:rsidR="00643C1E" w:rsidRDefault="00643C1E" w:rsidP="00C040F8">
      <w:pPr>
        <w:rPr>
          <w:rtl/>
        </w:rPr>
      </w:pPr>
      <w:bookmarkStart w:id="2" w:name="LawTable"/>
      <w:bookmarkEnd w:id="2"/>
    </w:p>
    <w:p w14:paraId="7CDF0B1A" w14:textId="77777777" w:rsidR="00643C1E" w:rsidRPr="00643C1E" w:rsidRDefault="00643C1E" w:rsidP="00643C1E">
      <w:pPr>
        <w:spacing w:after="120" w:line="240" w:lineRule="exact"/>
        <w:ind w:left="283" w:hanging="283"/>
        <w:jc w:val="both"/>
        <w:rPr>
          <w:rFonts w:ascii="FrankRuehl" w:hAnsi="FrankRuehl" w:cs="FrankRuehl"/>
          <w:rtl/>
        </w:rPr>
      </w:pPr>
    </w:p>
    <w:p w14:paraId="13B9E4E0" w14:textId="77777777" w:rsidR="00643C1E" w:rsidRPr="00643C1E" w:rsidRDefault="00643C1E" w:rsidP="00643C1E">
      <w:pPr>
        <w:spacing w:after="120" w:line="240" w:lineRule="exact"/>
        <w:ind w:left="283" w:hanging="283"/>
        <w:jc w:val="both"/>
        <w:rPr>
          <w:rFonts w:ascii="FrankRuehl" w:hAnsi="FrankRuehl" w:cs="FrankRuehl"/>
          <w:rtl/>
        </w:rPr>
      </w:pPr>
      <w:r w:rsidRPr="00643C1E">
        <w:rPr>
          <w:rFonts w:ascii="FrankRuehl" w:hAnsi="FrankRuehl" w:cs="FrankRuehl"/>
          <w:rtl/>
        </w:rPr>
        <w:t xml:space="preserve">חקיקה שאוזכרה: </w:t>
      </w:r>
    </w:p>
    <w:p w14:paraId="5D8E25BD" w14:textId="77777777" w:rsidR="00643C1E" w:rsidRPr="00643C1E" w:rsidRDefault="00643C1E" w:rsidP="00643C1E">
      <w:pPr>
        <w:spacing w:after="120" w:line="240" w:lineRule="exact"/>
        <w:ind w:left="283" w:hanging="283"/>
        <w:jc w:val="both"/>
        <w:rPr>
          <w:rFonts w:ascii="FrankRuehl" w:hAnsi="FrankRuehl" w:cs="FrankRuehl"/>
          <w:rtl/>
        </w:rPr>
      </w:pPr>
      <w:hyperlink r:id="rId6" w:history="1">
        <w:r w:rsidRPr="00643C1E">
          <w:rPr>
            <w:rFonts w:ascii="FrankRuehl" w:hAnsi="FrankRuehl" w:cs="FrankRuehl"/>
            <w:color w:val="0000FF"/>
            <w:u w:val="single"/>
            <w:rtl/>
          </w:rPr>
          <w:t>חוק העונשין, תשל"ז-1977</w:t>
        </w:r>
      </w:hyperlink>
      <w:r w:rsidRPr="00643C1E">
        <w:rPr>
          <w:rFonts w:ascii="FrankRuehl" w:hAnsi="FrankRuehl" w:cs="FrankRuehl"/>
          <w:rtl/>
        </w:rPr>
        <w:t xml:space="preserve">: סע'  </w:t>
      </w:r>
      <w:hyperlink r:id="rId7" w:history="1">
        <w:r w:rsidRPr="00643C1E">
          <w:rPr>
            <w:rFonts w:ascii="FrankRuehl" w:hAnsi="FrankRuehl" w:cs="FrankRuehl"/>
            <w:color w:val="0000FF"/>
            <w:u w:val="single"/>
            <w:rtl/>
          </w:rPr>
          <w:t>144(ב)</w:t>
        </w:r>
      </w:hyperlink>
      <w:r w:rsidRPr="00643C1E">
        <w:rPr>
          <w:rFonts w:ascii="FrankRuehl" w:hAnsi="FrankRuehl" w:cs="FrankRuehl"/>
          <w:rtl/>
        </w:rPr>
        <w:t xml:space="preserve">, </w:t>
      </w:r>
      <w:hyperlink r:id="rId8" w:history="1">
        <w:r w:rsidRPr="00643C1E">
          <w:rPr>
            <w:rFonts w:ascii="FrankRuehl" w:hAnsi="FrankRuehl" w:cs="FrankRuehl"/>
            <w:color w:val="0000FF"/>
            <w:u w:val="single"/>
            <w:rtl/>
          </w:rPr>
          <w:t>40יא</w:t>
        </w:r>
      </w:hyperlink>
      <w:r w:rsidRPr="00643C1E">
        <w:rPr>
          <w:rFonts w:ascii="FrankRuehl" w:hAnsi="FrankRuehl" w:cs="FrankRuehl"/>
          <w:rtl/>
        </w:rPr>
        <w:t xml:space="preserve">, </w:t>
      </w:r>
      <w:hyperlink r:id="rId9" w:history="1">
        <w:r w:rsidRPr="00643C1E">
          <w:rPr>
            <w:rFonts w:ascii="FrankRuehl" w:hAnsi="FrankRuehl" w:cs="FrankRuehl"/>
            <w:color w:val="0000FF"/>
            <w:u w:val="single"/>
            <w:rtl/>
          </w:rPr>
          <w:t>499(א)(1)</w:t>
        </w:r>
      </w:hyperlink>
    </w:p>
    <w:p w14:paraId="314A9EA0" w14:textId="77777777" w:rsidR="00C040F8" w:rsidRPr="00643C1E" w:rsidRDefault="00C040F8" w:rsidP="00C040F8">
      <w:pPr>
        <w:rPr>
          <w:b/>
          <w:bCs/>
        </w:rPr>
      </w:pPr>
      <w:bookmarkStart w:id="3" w:name="LawTable_End"/>
      <w:bookmarkEnd w:id="3"/>
    </w:p>
    <w:p w14:paraId="16B4273C" w14:textId="77777777" w:rsidR="00D752EF" w:rsidRPr="00D752EF" w:rsidRDefault="00D752EF" w:rsidP="00C040F8">
      <w:pPr>
        <w:jc w:val="both"/>
        <w:rPr>
          <w:rFonts w:ascii="Arial" w:hAnsi="Arial"/>
          <w:b/>
          <w:bCs/>
          <w:rtl/>
        </w:rPr>
      </w:pPr>
    </w:p>
    <w:p w14:paraId="1851EABD" w14:textId="77777777" w:rsidR="00C040F8" w:rsidRPr="00D752EF" w:rsidRDefault="00C040F8" w:rsidP="00C040F8">
      <w:pPr>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40F8" w:rsidRPr="00327F78" w14:paraId="1617B01B" w14:textId="77777777" w:rsidTr="00C040F8">
        <w:trPr>
          <w:trHeight w:val="355"/>
          <w:jc w:val="center"/>
        </w:trPr>
        <w:tc>
          <w:tcPr>
            <w:tcW w:w="8820" w:type="dxa"/>
            <w:tcBorders>
              <w:top w:val="nil"/>
              <w:left w:val="nil"/>
              <w:bottom w:val="nil"/>
              <w:right w:val="nil"/>
            </w:tcBorders>
            <w:shd w:val="clear" w:color="auto" w:fill="auto"/>
          </w:tcPr>
          <w:p w14:paraId="19A70225" w14:textId="77777777" w:rsidR="00D752EF" w:rsidRPr="00D752EF" w:rsidRDefault="00D752EF" w:rsidP="00D752EF">
            <w:pPr>
              <w:jc w:val="center"/>
              <w:rPr>
                <w:rFonts w:ascii="Arial" w:hAnsi="Arial"/>
                <w:b/>
                <w:bCs/>
                <w:sz w:val="32"/>
                <w:szCs w:val="32"/>
                <w:u w:val="single"/>
                <w:rtl/>
              </w:rPr>
            </w:pPr>
            <w:bookmarkStart w:id="4" w:name="PsakDin" w:colFirst="0" w:colLast="0"/>
            <w:bookmarkEnd w:id="0"/>
            <w:r w:rsidRPr="00D752EF">
              <w:rPr>
                <w:rFonts w:ascii="Arial" w:hAnsi="Arial"/>
                <w:b/>
                <w:bCs/>
                <w:sz w:val="32"/>
                <w:szCs w:val="32"/>
                <w:u w:val="single"/>
                <w:rtl/>
              </w:rPr>
              <w:t>גזר דין</w:t>
            </w:r>
          </w:p>
          <w:p w14:paraId="370A02BC" w14:textId="77777777" w:rsidR="00C040F8" w:rsidRPr="00D752EF" w:rsidRDefault="00C040F8" w:rsidP="00D752EF">
            <w:pPr>
              <w:jc w:val="center"/>
              <w:rPr>
                <w:rFonts w:ascii="Arial" w:hAnsi="Arial"/>
                <w:b/>
                <w:bCs/>
                <w:sz w:val="32"/>
                <w:szCs w:val="32"/>
                <w:u w:val="single"/>
                <w:rtl/>
              </w:rPr>
            </w:pPr>
          </w:p>
        </w:tc>
      </w:tr>
      <w:bookmarkEnd w:id="4"/>
    </w:tbl>
    <w:p w14:paraId="25CBAC10" w14:textId="77777777" w:rsidR="00C040F8" w:rsidRPr="00327F78" w:rsidRDefault="00C040F8" w:rsidP="00C040F8">
      <w:pPr>
        <w:jc w:val="both"/>
        <w:rPr>
          <w:rFonts w:ascii="Arial" w:hAnsi="Arial"/>
          <w:b/>
          <w:bCs/>
          <w:rtl/>
        </w:rPr>
      </w:pPr>
    </w:p>
    <w:p w14:paraId="1194BAC1" w14:textId="77777777" w:rsidR="00C040F8" w:rsidRDefault="00C040F8" w:rsidP="00C040F8">
      <w:pPr>
        <w:spacing w:line="360" w:lineRule="auto"/>
        <w:jc w:val="both"/>
        <w:rPr>
          <w:rFonts w:ascii="Arial" w:hAnsi="Arial"/>
          <w:b/>
          <w:bCs/>
          <w:rtl/>
        </w:rPr>
      </w:pPr>
    </w:p>
    <w:p w14:paraId="11CD48E5" w14:textId="77777777" w:rsidR="00C040F8" w:rsidRDefault="00C040F8" w:rsidP="00C040F8">
      <w:pPr>
        <w:spacing w:line="360" w:lineRule="auto"/>
        <w:ind w:left="720" w:hanging="720"/>
        <w:jc w:val="both"/>
        <w:rPr>
          <w:rFonts w:ascii="Arial" w:hAnsi="Arial"/>
          <w:rtl/>
        </w:rPr>
      </w:pPr>
      <w:r w:rsidRPr="00D22ED1">
        <w:rPr>
          <w:rFonts w:ascii="Arial" w:hAnsi="Arial" w:hint="cs"/>
          <w:rtl/>
        </w:rPr>
        <w:t>1.</w:t>
      </w:r>
      <w:r w:rsidRPr="00D22ED1">
        <w:rPr>
          <w:rFonts w:ascii="Arial" w:hAnsi="Arial" w:hint="cs"/>
          <w:rtl/>
        </w:rPr>
        <w:tab/>
      </w:r>
      <w:bookmarkStart w:id="5" w:name="ABSTRACT_START"/>
      <w:bookmarkEnd w:id="5"/>
      <w:r w:rsidRPr="00D22ED1">
        <w:rPr>
          <w:rFonts w:ascii="Arial" w:hAnsi="Arial" w:hint="cs"/>
          <w:rtl/>
        </w:rPr>
        <w:t>הנאש</w:t>
      </w:r>
      <w:r>
        <w:rPr>
          <w:rFonts w:ascii="Arial" w:hAnsi="Arial" w:hint="cs"/>
          <w:rtl/>
        </w:rPr>
        <w:t xml:space="preserve">ם הורשע, על יסוד הודאתו בכתב אישום מתוקן במסגרת הסדר טיעון פתוח, בביצוע עבירה של קשירת קשר לפשע </w:t>
      </w:r>
      <w:r>
        <w:rPr>
          <w:rFonts w:ascii="Arial" w:hAnsi="Arial"/>
          <w:rtl/>
        </w:rPr>
        <w:t>–</w:t>
      </w:r>
      <w:r>
        <w:rPr>
          <w:rFonts w:ascii="Arial" w:hAnsi="Arial" w:hint="cs"/>
          <w:rtl/>
        </w:rPr>
        <w:t xml:space="preserve"> עבירה לפי </w:t>
      </w:r>
      <w:hyperlink r:id="rId10" w:history="1">
        <w:r w:rsidR="00643C1E" w:rsidRPr="00643C1E">
          <w:rPr>
            <w:rFonts w:ascii="Arial" w:hAnsi="Arial"/>
            <w:color w:val="0000FF"/>
            <w:u w:val="single"/>
            <w:rtl/>
          </w:rPr>
          <w:t>סעיף 499(א)(1)</w:t>
        </w:r>
      </w:hyperlink>
      <w:r>
        <w:rPr>
          <w:rFonts w:ascii="Arial" w:hAnsi="Arial" w:hint="cs"/>
          <w:rtl/>
        </w:rPr>
        <w:t xml:space="preserve"> ל</w:t>
      </w:r>
      <w:hyperlink r:id="rId11" w:history="1">
        <w:r w:rsidR="00D752EF" w:rsidRPr="00D752EF">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ובביצוע עבירה של נשיאה והובלת נשק </w:t>
      </w:r>
      <w:r>
        <w:rPr>
          <w:rFonts w:ascii="Arial" w:hAnsi="Arial"/>
          <w:rtl/>
        </w:rPr>
        <w:t>–</w:t>
      </w:r>
      <w:r>
        <w:rPr>
          <w:rFonts w:ascii="Arial" w:hAnsi="Arial" w:hint="cs"/>
          <w:rtl/>
        </w:rPr>
        <w:t xml:space="preserve"> עבירה לפי </w:t>
      </w:r>
      <w:hyperlink r:id="rId12" w:history="1">
        <w:r w:rsidR="00643C1E" w:rsidRPr="00643C1E">
          <w:rPr>
            <w:rFonts w:ascii="Arial" w:hAnsi="Arial"/>
            <w:color w:val="0000FF"/>
            <w:u w:val="single"/>
            <w:rtl/>
          </w:rPr>
          <w:t>סעיף 144(ב)</w:t>
        </w:r>
      </w:hyperlink>
      <w:r>
        <w:rPr>
          <w:rFonts w:ascii="Arial" w:hAnsi="Arial" w:hint="cs"/>
          <w:rtl/>
        </w:rPr>
        <w:t xml:space="preserve"> לחוק העונשין. </w:t>
      </w:r>
    </w:p>
    <w:p w14:paraId="0B72374F" w14:textId="77777777" w:rsidR="00C040F8" w:rsidRDefault="00C040F8" w:rsidP="00C040F8">
      <w:pPr>
        <w:spacing w:line="360" w:lineRule="auto"/>
        <w:ind w:left="720" w:hanging="720"/>
        <w:jc w:val="both"/>
        <w:rPr>
          <w:rFonts w:ascii="Arial" w:hAnsi="Arial"/>
          <w:rtl/>
        </w:rPr>
      </w:pPr>
    </w:p>
    <w:p w14:paraId="37C09B6E" w14:textId="77777777" w:rsidR="00C040F8" w:rsidRDefault="00C040F8" w:rsidP="00C040F8">
      <w:pPr>
        <w:spacing w:line="360" w:lineRule="auto"/>
        <w:ind w:left="720" w:hanging="720"/>
        <w:jc w:val="both"/>
        <w:rPr>
          <w:rFonts w:ascii="Arial" w:hAnsi="Arial"/>
          <w:rtl/>
        </w:rPr>
      </w:pPr>
      <w:bookmarkStart w:id="6" w:name="ABSTRACT_END"/>
      <w:bookmarkEnd w:id="6"/>
      <w:r>
        <w:rPr>
          <w:rFonts w:ascii="Arial" w:hAnsi="Arial" w:hint="cs"/>
          <w:rtl/>
        </w:rPr>
        <w:t>2.</w:t>
      </w:r>
      <w:r>
        <w:rPr>
          <w:rFonts w:ascii="Arial" w:hAnsi="Arial" w:hint="cs"/>
          <w:rtl/>
        </w:rPr>
        <w:tab/>
        <w:t>על-פי האמור בכתב האישום, בשנת 2018 סמוך לפני חודש הרמדאן, שוחח הנאשם עם בן דודו ואמר לו  כי שמע שבן הדוד הביא "רובה חרוזים" דמוי רובה 16</w:t>
      </w:r>
      <w:r>
        <w:rPr>
          <w:rFonts w:ascii="Arial" w:hAnsi="Arial" w:hint="cs"/>
        </w:rPr>
        <w:t>M</w:t>
      </w:r>
      <w:r>
        <w:rPr>
          <w:rFonts w:ascii="Arial" w:hAnsi="Arial" w:hint="cs"/>
          <w:rtl/>
        </w:rPr>
        <w:t xml:space="preserve"> לחתונתה של בת דודתו. בן הדוד אישר שהדבר נכון, והשניים שוחחו אודות "רובה החרוזים". בהמשך אותה שיחה אמר הנאשם לבן דודו כי ברשותו אקדח המוחזק על-ידי חברו, שאותו הוא מבקש למכור. כוונת הנאשם הייתה לאקדח מסוג </w:t>
      </w:r>
      <w:r>
        <w:rPr>
          <w:rFonts w:ascii="Arial" w:hAnsi="Arial" w:hint="cs"/>
        </w:rPr>
        <w:t>FN</w:t>
      </w:r>
      <w:r>
        <w:rPr>
          <w:rFonts w:ascii="Arial" w:hAnsi="Arial" w:hint="cs"/>
          <w:rtl/>
        </w:rPr>
        <w:t xml:space="preserve"> עם מספר טבוע עליו. הנאשם הראה לבן הדוד תמונה של האקדח בטלפון הסלולארי שלו, והוא ביקש מבן הדוד  שיעדכן אותו במידה וישמע על מישהו שמעוניין לרכוש את האקדח. בתאריך 12.6.18 התקשר הנאשם לבן דודו ושאל אם מצא קונה לאקדח. בן הדוד השיב בשלילה ושאל מה מחיר האקדח. הנאשם השיב כי מחיר האקדח עומד על 25,000 ₪ עד 26,000 ₪, וכי הוא מבקש למכור את האקדח </w:t>
      </w:r>
      <w:r>
        <w:rPr>
          <w:rFonts w:ascii="Arial" w:hAnsi="Arial" w:hint="cs"/>
          <w:rtl/>
        </w:rPr>
        <w:lastRenderedPageBreak/>
        <w:t xml:space="preserve">בשל המצב הכלכלי הקשה שלו ושל חברו המחזיק באקדח. למחרת היום שלח הנאשם לבן דודו ארבע תמונות של האקדח שאותו הוא ביקש למכור כשלצדו מחסנית עם מספר כדורי תחמושת. </w:t>
      </w:r>
    </w:p>
    <w:p w14:paraId="73179A9B" w14:textId="77777777" w:rsidR="00C040F8" w:rsidRDefault="00C040F8" w:rsidP="00C040F8">
      <w:pPr>
        <w:spacing w:line="360" w:lineRule="auto"/>
        <w:ind w:left="720" w:hanging="720"/>
        <w:jc w:val="both"/>
        <w:rPr>
          <w:rFonts w:ascii="Arial" w:hAnsi="Arial"/>
          <w:rtl/>
        </w:rPr>
      </w:pPr>
      <w:r>
        <w:rPr>
          <w:rFonts w:ascii="Arial" w:hAnsi="Arial"/>
          <w:rtl/>
        </w:rPr>
        <w:tab/>
      </w:r>
      <w:r>
        <w:rPr>
          <w:rFonts w:ascii="Arial" w:hAnsi="Arial" w:hint="cs"/>
          <w:rtl/>
        </w:rPr>
        <w:t xml:space="preserve">בתאריך 22.6.18, או במועד אחר הסמוך לכך, נפגשו הנאשם ואדם בשם אחמד אבו אלהווא (להלן </w:t>
      </w:r>
      <w:r>
        <w:rPr>
          <w:rFonts w:ascii="Arial" w:hAnsi="Arial"/>
          <w:rtl/>
        </w:rPr>
        <w:t>–</w:t>
      </w:r>
      <w:r>
        <w:rPr>
          <w:rFonts w:ascii="Arial" w:hAnsi="Arial" w:hint="cs"/>
          <w:rtl/>
        </w:rPr>
        <w:t xml:space="preserve"> </w:t>
      </w:r>
      <w:r w:rsidRPr="00F53EE4">
        <w:rPr>
          <w:rFonts w:ascii="Arial" w:hAnsi="Arial" w:hint="cs"/>
          <w:b/>
          <w:bCs/>
          <w:rtl/>
        </w:rPr>
        <w:t>"אחמד"</w:t>
      </w:r>
      <w:r>
        <w:rPr>
          <w:rFonts w:ascii="Arial" w:hAnsi="Arial" w:hint="cs"/>
          <w:rtl/>
        </w:rPr>
        <w:t xml:space="preserve">), אותו מכיר הנאשם מלימודיהם המשותפים באוניברסיטת ביר זית. הנאשם אמר לאחמד כי יש ברשותו נשק שאותו הוא מבקש להחביא אצל אחמד למשך מספר ימים. אחמד נעתר לבקשה. יומיים לאחר מכן נסע הנאשם לחנות המצויה בשכונת ואדי ג'וז בירושלים, נטל משם את האקדח והעביר אותו אל סמוך לביתו של אחמד המצוי בשכונת א-טור, שם הוא פגש את אחמד. במפגש זה שהתקיים ברכב הוציא הנאשם את האקדח כשהוא עטוף בשקית נייר כסף וסלוטייפ יחד עם מחסנית מלאה כדורים וכדור או שני כדורים נוספים ומסר אותו לידי אחמד. אחמד נטל את האקדח עם המחסנית והכדורים והחביא אותם במחסן שבביתו. </w:t>
      </w:r>
    </w:p>
    <w:p w14:paraId="6B932FBB" w14:textId="77777777" w:rsidR="00C040F8" w:rsidRDefault="00C040F8" w:rsidP="00C040F8">
      <w:pPr>
        <w:spacing w:line="360" w:lineRule="auto"/>
        <w:ind w:left="720" w:hanging="720"/>
        <w:jc w:val="both"/>
        <w:rPr>
          <w:rFonts w:ascii="Arial" w:hAnsi="Arial"/>
          <w:rtl/>
        </w:rPr>
      </w:pPr>
      <w:r>
        <w:rPr>
          <w:rFonts w:ascii="Arial" w:hAnsi="Arial"/>
          <w:rtl/>
        </w:rPr>
        <w:tab/>
      </w:r>
      <w:r>
        <w:rPr>
          <w:rFonts w:ascii="Arial" w:hAnsi="Arial" w:hint="cs"/>
          <w:rtl/>
        </w:rPr>
        <w:t xml:space="preserve">בגין המעשים האמורים הורשע הנאשם, כאמור, בעבירה של קשירת קשר לפשע ובעבירה של נשיאה והובלת נשק. </w:t>
      </w:r>
    </w:p>
    <w:p w14:paraId="089B09DB" w14:textId="77777777" w:rsidR="00C040F8" w:rsidRDefault="00C040F8" w:rsidP="00C040F8">
      <w:pPr>
        <w:spacing w:line="360" w:lineRule="auto"/>
        <w:ind w:left="720" w:hanging="720"/>
        <w:jc w:val="both"/>
        <w:rPr>
          <w:rFonts w:ascii="Arial" w:hAnsi="Arial"/>
          <w:rtl/>
        </w:rPr>
      </w:pPr>
    </w:p>
    <w:p w14:paraId="3ED5BFD8" w14:textId="77777777" w:rsidR="00C040F8" w:rsidRDefault="00C040F8" w:rsidP="00C040F8">
      <w:pPr>
        <w:spacing w:line="360" w:lineRule="auto"/>
        <w:ind w:left="720" w:hanging="720"/>
        <w:jc w:val="both"/>
        <w:rPr>
          <w:rFonts w:ascii="Arial" w:hAnsi="Arial"/>
          <w:b/>
          <w:bCs/>
          <w:u w:val="single"/>
          <w:rtl/>
        </w:rPr>
      </w:pPr>
      <w:r>
        <w:rPr>
          <w:rFonts w:ascii="Arial" w:hAnsi="Arial" w:hint="cs"/>
          <w:rtl/>
        </w:rPr>
        <w:t>3.</w:t>
      </w:r>
      <w:r>
        <w:rPr>
          <w:rFonts w:ascii="Arial" w:hAnsi="Arial" w:hint="cs"/>
          <w:rtl/>
        </w:rPr>
        <w:tab/>
      </w:r>
      <w:r>
        <w:rPr>
          <w:rFonts w:ascii="Arial" w:hAnsi="Arial" w:hint="cs"/>
          <w:b/>
          <w:bCs/>
          <w:u w:val="single"/>
          <w:rtl/>
        </w:rPr>
        <w:t>טענות המאשימה לעונש</w:t>
      </w:r>
    </w:p>
    <w:p w14:paraId="292D9E88" w14:textId="77777777" w:rsidR="00C040F8" w:rsidRDefault="00C040F8" w:rsidP="00C040F8">
      <w:pPr>
        <w:spacing w:line="360" w:lineRule="auto"/>
        <w:ind w:left="720" w:hanging="720"/>
        <w:jc w:val="both"/>
        <w:rPr>
          <w:rtl/>
        </w:rPr>
      </w:pPr>
      <w:r>
        <w:rPr>
          <w:rFonts w:ascii="Arial" w:hAnsi="Arial"/>
          <w:rtl/>
        </w:rPr>
        <w:tab/>
      </w:r>
      <w:r>
        <w:rPr>
          <w:rFonts w:ascii="Arial" w:hAnsi="Arial" w:hint="cs"/>
          <w:rtl/>
        </w:rPr>
        <w:t>בראשית טיעוניה הסכימה ב"כ המאשימה כי יש לראות את האירועים המתוארים בכתב האישום כאירוע אחד לצורך קביעת מתחם העונש ההולם. ב"כ המאשימה הדגישה בטיעוניה את החומרה הרבה הגלומה בעבירות נשק, ואת מגמת הפסיקה להחמרת הענישה בעבירות אלה.</w:t>
      </w:r>
      <w:r>
        <w:rPr>
          <w:rFonts w:hint="cs"/>
          <w:rtl/>
        </w:rPr>
        <w:t xml:space="preserve"> ב"כ המאשימה ציינה כנסיבות לחומרה את העובדה שמדובר באקדח תקני, את העובדה שמדובר באקדח אשר צורפו אליו מחסנית ותחמושת, ואת חלקו המרכזי של הנאשם בביצוע העבירות. ב"כ המאשימה אף עמדה על נחישותו של הנאשם להביא למכירת האקדח כעולה ממעשיו המתוארים בחלקו הראשון של כתב האישום המתוקן. אשר על כן טענה ב"כ המאשימה, כי מתחם העונש ההולם עומד על 24 </w:t>
      </w:r>
      <w:r>
        <w:rPr>
          <w:rtl/>
        </w:rPr>
        <w:t>–</w:t>
      </w:r>
      <w:r>
        <w:rPr>
          <w:rFonts w:hint="cs"/>
          <w:rtl/>
        </w:rPr>
        <w:t xml:space="preserve"> 60 חודשי מאסר בפועל. לנוכח עברו הנקי של הנאשם ולנוכח הודאתו במסגרת הסדר הטיעון טענה ב"כ המאשימה כי יש למקם את עונשו של הנאשם בשליש התחתון של מתחם העונש ההולם, וכי בנוסף לעונש של מאסר בפועל יש להטיל עליו עונש של מאסר על תנאי וקנס. </w:t>
      </w:r>
    </w:p>
    <w:p w14:paraId="562791CF" w14:textId="77777777" w:rsidR="00C040F8" w:rsidRDefault="00C040F8" w:rsidP="00C040F8">
      <w:pPr>
        <w:spacing w:line="360" w:lineRule="auto"/>
        <w:ind w:left="720" w:hanging="720"/>
        <w:jc w:val="both"/>
        <w:rPr>
          <w:rtl/>
        </w:rPr>
      </w:pPr>
    </w:p>
    <w:p w14:paraId="47119A33" w14:textId="77777777" w:rsidR="00C040F8" w:rsidRDefault="00C040F8" w:rsidP="00C040F8">
      <w:pPr>
        <w:spacing w:line="360" w:lineRule="auto"/>
        <w:ind w:left="720" w:hanging="720"/>
        <w:jc w:val="both"/>
        <w:rPr>
          <w:b/>
          <w:bCs/>
          <w:u w:val="single"/>
          <w:rtl/>
        </w:rPr>
      </w:pPr>
      <w:r>
        <w:rPr>
          <w:rFonts w:hint="cs"/>
          <w:rtl/>
        </w:rPr>
        <w:t>4.</w:t>
      </w:r>
      <w:r>
        <w:rPr>
          <w:rFonts w:hint="cs"/>
          <w:rtl/>
        </w:rPr>
        <w:tab/>
      </w:r>
      <w:r>
        <w:rPr>
          <w:rFonts w:hint="cs"/>
          <w:b/>
          <w:bCs/>
          <w:u w:val="single"/>
          <w:rtl/>
        </w:rPr>
        <w:t>ראיותיו  וטענותיו של הנאשם לעונש</w:t>
      </w:r>
    </w:p>
    <w:p w14:paraId="095574DE" w14:textId="77777777" w:rsidR="00C040F8" w:rsidRDefault="00C040F8" w:rsidP="00C040F8">
      <w:pPr>
        <w:spacing w:line="360" w:lineRule="auto"/>
        <w:ind w:left="720" w:hanging="720"/>
        <w:jc w:val="both"/>
        <w:rPr>
          <w:rtl/>
        </w:rPr>
      </w:pPr>
      <w:r>
        <w:rPr>
          <w:rtl/>
        </w:rPr>
        <w:tab/>
      </w:r>
      <w:r>
        <w:rPr>
          <w:rFonts w:hint="cs"/>
          <w:rtl/>
        </w:rPr>
        <w:t xml:space="preserve">הנאשם לא ביקש כי יוזמן תסקיר בעניינו. מטעם הנאשם הוגש כראייה מכתב של פרופ' וואל עבאדין מהמחלקה לאנגלית באוניברסיטת ביר זית (נע/1), אשר מכיר את הנאשם מלימודיו שם. פרופ' עבאדין כתב כי הוא מכיר את הנאשם מזה ארבע שנים, הן במישור האקדמי והן במישור האישי. במישור האקדמי מציין פרופ' עבאדין כי הנאשם עבר בהצלחה את כל הקורסים שלמד באוניברסיטה, ולדבריו מדובר בסטודנט שעובד קשה, בעל מוטיבציה רבה וידידותי לסובבים אותו. הנאשם מקרין את חדוות הלימוד שבו כלפי </w:t>
      </w:r>
      <w:r>
        <w:rPr>
          <w:rFonts w:hint="cs"/>
          <w:rtl/>
        </w:rPr>
        <w:lastRenderedPageBreak/>
        <w:t xml:space="preserve">הסובבים אותו, דבר שמעודד גם את חבריו לספסל הלימודים להשתתף בדיונים המתנהלים בכיתה. לדברי פרופ' עבאדין הנאשם בעל אישיות בוגרת ובעל מחויבות למצוינות. פרופ' עבאדין מציין כי הנאשם הוא אדם סובלני המכבד כל אדם באשר הוא. במישור האישי מציין פרופ' עבאדין כי הנאשם ניחן באישיות חברותית, הוא מנומס, מכבד את הסובבים אותו ונכון תמיד להושיט עזרה למי שזקוק לכך. הנאשם מחויב לקיום קשרים בריאים ומשמעותיים עם הסובבים עמו, וגישתו הכללית היא גישה חיובית, הן לחיים בכלל והן לחשיבות של החינוך בחייהם של בני אדם בפרט. לדברי פרופ' עבאדין בשיחותיו עם הנאשם הוא התרשם משאיפותיו החיוביות של הנאשם גבי המשך חייו. לדבריו, הנאשם תכנן לבנות לעצמו עתיד טוב יותר, ולשפר את מעמדו האקדמי והחברתי על-ידי רכישת השכלה ברמה גבוהה, לרבות לימודים לתואר שני. בנוסף הוגשה מטעם הנאשם תעודה (נע/2), המעידה על כך שסיים לימודי הידרותרפיה, וכן מכתב מבית הספר להידרותרפיה (נע/3), לפיו ההתרשמות מהנאשם במהלך הלימודים הייתה שמדובר באדם שקט, אדיב ואחראי, אשר אוהב ללמוד ולהתפתח, ואשר נוהג לסייע לחבריו ללימודים. עוד הוגשו תעודות המלמדות על כך שהנאשם עבר בהצלחה קורס עזרה ראשונה ועל כך שהוא עובד בחברת מלונות דן (נע/4), וכן הוגשו תלושי שכר (נע/5), המעידים גם הם על כך שהנאשם עבד במלונות דן עד למעצרו בחודש אפריל 2018. </w:t>
      </w:r>
    </w:p>
    <w:p w14:paraId="2E711010" w14:textId="77777777" w:rsidR="00C040F8" w:rsidRDefault="00C040F8" w:rsidP="00C040F8">
      <w:pPr>
        <w:spacing w:line="360" w:lineRule="auto"/>
        <w:ind w:left="720" w:hanging="720"/>
        <w:jc w:val="both"/>
        <w:rPr>
          <w:rtl/>
        </w:rPr>
      </w:pPr>
    </w:p>
    <w:p w14:paraId="4281FE1E" w14:textId="77777777" w:rsidR="00C040F8" w:rsidRDefault="00C040F8" w:rsidP="00C040F8">
      <w:pPr>
        <w:spacing w:line="360" w:lineRule="auto"/>
        <w:ind w:left="720" w:hanging="720"/>
        <w:jc w:val="both"/>
        <w:rPr>
          <w:rtl/>
        </w:rPr>
      </w:pPr>
      <w:r>
        <w:rPr>
          <w:rFonts w:hint="cs"/>
          <w:rtl/>
        </w:rPr>
        <w:t>5.</w:t>
      </w:r>
      <w:r>
        <w:rPr>
          <w:rFonts w:hint="cs"/>
          <w:rtl/>
        </w:rPr>
        <w:tab/>
        <w:t xml:space="preserve">במסגרת הטיעון לעונש טען ב"כ הנאשם כי על פי כתב האישום הנאשם נשא את הנשק למרחק קצר ביותר של שתי דקות נסיעה, משכונת ואדי ג'וז להר הזיתים. ב"כ הנאשם טען כי מכתב האישום עולה שהאקדח כלל לא היה שייך לנאשם אלא לחברו. בנוסף הזכיר ב"כ הנאשם כי חברו של הנאשם </w:t>
      </w:r>
      <w:r>
        <w:rPr>
          <w:rtl/>
        </w:rPr>
        <w:t>–</w:t>
      </w:r>
      <w:r>
        <w:rPr>
          <w:rFonts w:hint="cs"/>
          <w:rtl/>
        </w:rPr>
        <w:t xml:space="preserve"> אחמד - הורשע במסגרת הסדר טיעון סגור באותה פרשה, בעבירה של החזקת נשק ובעבירה של נשיאה והובלת נשק, ונגזר עליו עונש מוסכם של 12 חודשי מאסר בפועל. ב"כ הנאשם טוען כי העבירות בהן הורשע הנאשם שלפנינו פחות חמורות מהעבירות בהן הורשע אחמד. ב"כ הנאשם טען כי הנאשם הוא בן למשפחה נורמטיבית  וכי אף הוא, כמו אותו אחמד, ניהל חיים נורמטיביים לחלוטין עד לאירוע הנוכחי, ולראייה שהוא למד ועבד ושאין לו עבר פלילי כלשהו. אשר על כן טען ב"כ הנאשם כי יש להטיל על הנאשם עונש של 10 חודשי מאסר בפועל מיום מעצרו. </w:t>
      </w:r>
    </w:p>
    <w:p w14:paraId="0FFEA99B" w14:textId="77777777" w:rsidR="00C040F8" w:rsidRDefault="00C040F8" w:rsidP="00C040F8">
      <w:pPr>
        <w:spacing w:line="360" w:lineRule="auto"/>
        <w:ind w:left="720" w:hanging="720"/>
        <w:jc w:val="both"/>
        <w:rPr>
          <w:rtl/>
        </w:rPr>
      </w:pPr>
    </w:p>
    <w:p w14:paraId="37BD5795" w14:textId="77777777" w:rsidR="00C040F8" w:rsidRDefault="00C040F8" w:rsidP="00C040F8">
      <w:pPr>
        <w:spacing w:line="360" w:lineRule="auto"/>
        <w:ind w:left="720" w:hanging="720"/>
        <w:jc w:val="both"/>
        <w:rPr>
          <w:rtl/>
        </w:rPr>
      </w:pPr>
      <w:r>
        <w:rPr>
          <w:rFonts w:hint="cs"/>
          <w:rtl/>
        </w:rPr>
        <w:t>6.</w:t>
      </w:r>
      <w:r>
        <w:rPr>
          <w:rFonts w:hint="cs"/>
          <w:rtl/>
        </w:rPr>
        <w:tab/>
        <w:t>בסיום הטיעונים לעונש אמר הנאשם את דברו. הנאשם מסר כי הוא יודע שטעה ולדבריו הוא מוכן לשלם את המחיר על טעותו. לדברי הנאשם הוא איבד הרבה בשל הסתבכותו הנוכחית. כך, למשל, תכניותיו להיות מורה כנראה לא יתממשו, וגם את עבודתו כמציל בבית מלון הוא איבד בשל מעצרו. הנאשם ביקש שבית המשפט יקל בעונשו כיוון שלדבריו המקום המתאים לו הוא האוניברסיטה והעבודה ולא בית הסוהר.</w:t>
      </w:r>
    </w:p>
    <w:p w14:paraId="75D5B269" w14:textId="77777777" w:rsidR="00C040F8" w:rsidRDefault="00C040F8" w:rsidP="00C040F8">
      <w:pPr>
        <w:spacing w:line="360" w:lineRule="auto"/>
        <w:ind w:left="720" w:hanging="720"/>
        <w:jc w:val="both"/>
        <w:rPr>
          <w:rtl/>
        </w:rPr>
      </w:pPr>
    </w:p>
    <w:p w14:paraId="222A6AB2" w14:textId="77777777" w:rsidR="00C040F8" w:rsidRDefault="00C040F8" w:rsidP="00C040F8">
      <w:pPr>
        <w:spacing w:line="360" w:lineRule="auto"/>
        <w:ind w:left="720" w:hanging="720"/>
        <w:jc w:val="both"/>
        <w:rPr>
          <w:rtl/>
        </w:rPr>
      </w:pPr>
      <w:r>
        <w:rPr>
          <w:rtl/>
        </w:rPr>
        <w:tab/>
      </w:r>
      <w:r>
        <w:rPr>
          <w:rFonts w:hint="cs"/>
          <w:b/>
          <w:bCs/>
          <w:u w:val="single"/>
          <w:rtl/>
        </w:rPr>
        <w:t>דיון והכרעה</w:t>
      </w:r>
      <w:r>
        <w:rPr>
          <w:rFonts w:hint="cs"/>
          <w:rtl/>
        </w:rPr>
        <w:t xml:space="preserve"> </w:t>
      </w:r>
    </w:p>
    <w:p w14:paraId="504BEE94" w14:textId="77777777" w:rsidR="00C040F8" w:rsidRDefault="00C040F8" w:rsidP="00C040F8">
      <w:pPr>
        <w:spacing w:line="360" w:lineRule="auto"/>
        <w:ind w:left="720" w:hanging="720"/>
        <w:jc w:val="both"/>
        <w:rPr>
          <w:rtl/>
        </w:rPr>
      </w:pPr>
    </w:p>
    <w:p w14:paraId="0C0C7B49" w14:textId="77777777" w:rsidR="00C040F8" w:rsidRDefault="00C040F8" w:rsidP="00C040F8">
      <w:pPr>
        <w:spacing w:line="360" w:lineRule="auto"/>
        <w:ind w:left="720" w:hanging="720"/>
        <w:jc w:val="both"/>
        <w:rPr>
          <w:rFonts w:ascii="Arial" w:hAnsi="Arial"/>
          <w:rtl/>
        </w:rPr>
      </w:pPr>
      <w:r>
        <w:rPr>
          <w:rFonts w:hint="cs"/>
          <w:rtl/>
        </w:rPr>
        <w:t>7.</w:t>
      </w:r>
      <w:r>
        <w:rPr>
          <w:rFonts w:hint="cs"/>
          <w:rtl/>
        </w:rPr>
        <w:tab/>
        <w:t>הפסיקה עמדה פעם אחר פעם על חומרתן של עבירות הנשק, אשר פוגעות בערכים המוגנים הבסיסיים ביותר של שמירה על חיי אדם ושלמות גופו, וכן בערך המוגן של שמירת הסדר הציבורי.</w:t>
      </w:r>
      <w:r>
        <w:rPr>
          <w:rFonts w:ascii="Arial" w:hAnsi="Arial" w:hint="cs"/>
          <w:rtl/>
        </w:rPr>
        <w:t xml:space="preserve"> לאחרונה עמד על כך בית המשפט בעניין </w:t>
      </w:r>
      <w:r w:rsidRPr="0041663E">
        <w:rPr>
          <w:rFonts w:ascii="Arial" w:hAnsi="Arial" w:hint="cs"/>
          <w:b/>
          <w:bCs/>
          <w:rtl/>
        </w:rPr>
        <w:t>בראנסי</w:t>
      </w:r>
      <w:r>
        <w:rPr>
          <w:rFonts w:ascii="Arial" w:hAnsi="Arial" w:hint="cs"/>
          <w:rtl/>
        </w:rPr>
        <w:t>:</w:t>
      </w:r>
    </w:p>
    <w:p w14:paraId="55E258FD" w14:textId="77777777" w:rsidR="00C040F8" w:rsidRDefault="00C040F8" w:rsidP="00C040F8">
      <w:pPr>
        <w:spacing w:line="360" w:lineRule="auto"/>
        <w:ind w:left="720" w:hanging="720"/>
        <w:jc w:val="both"/>
        <w:rPr>
          <w:rFonts w:ascii="Arial" w:hAnsi="Arial"/>
          <w:rtl/>
        </w:rPr>
      </w:pPr>
    </w:p>
    <w:p w14:paraId="677CC7F6" w14:textId="77777777" w:rsidR="00C040F8" w:rsidRDefault="00C040F8" w:rsidP="00C040F8">
      <w:pPr>
        <w:spacing w:line="360" w:lineRule="auto"/>
        <w:ind w:left="1417" w:right="851" w:hanging="720"/>
        <w:jc w:val="both"/>
        <w:rPr>
          <w:rFonts w:ascii="Arial" w:hAnsi="Arial"/>
          <w:b/>
          <w:bCs/>
          <w:rtl/>
        </w:rPr>
      </w:pPr>
      <w:r>
        <w:rPr>
          <w:rFonts w:ascii="Arial" w:hAnsi="Arial"/>
          <w:rtl/>
        </w:rPr>
        <w:tab/>
      </w:r>
      <w:r>
        <w:rPr>
          <w:rFonts w:ascii="Arial" w:hAnsi="Arial" w:hint="cs"/>
          <w:b/>
          <w:bCs/>
          <w:rtl/>
        </w:rPr>
        <w:t>"</w:t>
      </w:r>
      <w:r w:rsidRPr="0041663E">
        <w:rPr>
          <w:rFonts w:ascii="Arial" w:hAnsi="Arial" w:hint="eastAsia"/>
          <w:b/>
          <w:bCs/>
          <w:rtl/>
        </w:rPr>
        <w:t>פעילות</w:t>
      </w:r>
      <w:r w:rsidRPr="0041663E">
        <w:rPr>
          <w:rFonts w:ascii="Arial" w:hAnsi="Arial"/>
          <w:b/>
          <w:bCs/>
          <w:rtl/>
        </w:rPr>
        <w:t xml:space="preserve"> </w:t>
      </w:r>
      <w:r w:rsidRPr="0041663E">
        <w:rPr>
          <w:rFonts w:ascii="Arial" w:hAnsi="Arial" w:hint="eastAsia"/>
          <w:b/>
          <w:bCs/>
          <w:rtl/>
        </w:rPr>
        <w:t>של</w:t>
      </w:r>
      <w:r w:rsidRPr="0041663E">
        <w:rPr>
          <w:rFonts w:ascii="Arial" w:hAnsi="Arial"/>
          <w:b/>
          <w:bCs/>
          <w:rtl/>
        </w:rPr>
        <w:t xml:space="preserve"> </w:t>
      </w:r>
      <w:r w:rsidRPr="0041663E">
        <w:rPr>
          <w:rFonts w:ascii="Arial" w:hAnsi="Arial" w:hint="eastAsia"/>
          <w:b/>
          <w:bCs/>
          <w:rtl/>
        </w:rPr>
        <w:t>סחר</w:t>
      </w:r>
      <w:r w:rsidRPr="0041663E">
        <w:rPr>
          <w:rFonts w:ascii="Arial" w:hAnsi="Arial"/>
          <w:b/>
          <w:bCs/>
          <w:rtl/>
        </w:rPr>
        <w:t xml:space="preserve"> </w:t>
      </w:r>
      <w:r w:rsidRPr="0041663E">
        <w:rPr>
          <w:rFonts w:ascii="Arial" w:hAnsi="Arial" w:hint="eastAsia"/>
          <w:b/>
          <w:bCs/>
          <w:rtl/>
        </w:rPr>
        <w:t>בלתי</w:t>
      </w:r>
      <w:r w:rsidRPr="0041663E">
        <w:rPr>
          <w:rFonts w:ascii="Arial" w:hAnsi="Arial"/>
          <w:b/>
          <w:bCs/>
          <w:rtl/>
        </w:rPr>
        <w:t xml:space="preserve"> </w:t>
      </w:r>
      <w:r w:rsidRPr="0041663E">
        <w:rPr>
          <w:rFonts w:ascii="Arial" w:hAnsi="Arial" w:hint="eastAsia"/>
          <w:b/>
          <w:bCs/>
          <w:rtl/>
        </w:rPr>
        <w:t>חוקי</w:t>
      </w:r>
      <w:r w:rsidRPr="0041663E">
        <w:rPr>
          <w:rFonts w:ascii="Arial" w:hAnsi="Arial"/>
          <w:b/>
          <w:bCs/>
          <w:rtl/>
        </w:rPr>
        <w:t xml:space="preserve"> </w:t>
      </w:r>
      <w:r w:rsidRPr="0041663E">
        <w:rPr>
          <w:rFonts w:ascii="Arial" w:hAnsi="Arial" w:hint="eastAsia"/>
          <w:b/>
          <w:bCs/>
          <w:rtl/>
        </w:rPr>
        <w:t>בנשק</w:t>
      </w:r>
      <w:r w:rsidRPr="0041663E">
        <w:rPr>
          <w:rFonts w:ascii="Arial" w:hAnsi="Arial"/>
          <w:b/>
          <w:bCs/>
          <w:rtl/>
        </w:rPr>
        <w:t xml:space="preserve"> </w:t>
      </w:r>
      <w:r w:rsidRPr="0041663E">
        <w:rPr>
          <w:rFonts w:ascii="Arial" w:hAnsi="Arial" w:hint="eastAsia"/>
          <w:b/>
          <w:bCs/>
          <w:rtl/>
        </w:rPr>
        <w:t>אוצרת</w:t>
      </w:r>
      <w:r w:rsidRPr="0041663E">
        <w:rPr>
          <w:rFonts w:ascii="Arial" w:hAnsi="Arial"/>
          <w:b/>
          <w:bCs/>
          <w:rtl/>
        </w:rPr>
        <w:t xml:space="preserve"> </w:t>
      </w:r>
      <w:r w:rsidRPr="0041663E">
        <w:rPr>
          <w:rFonts w:ascii="Arial" w:hAnsi="Arial" w:hint="eastAsia"/>
          <w:b/>
          <w:bCs/>
          <w:rtl/>
        </w:rPr>
        <w:t>בחובה</w:t>
      </w:r>
      <w:r w:rsidRPr="0041663E">
        <w:rPr>
          <w:rFonts w:ascii="Arial" w:hAnsi="Arial"/>
          <w:b/>
          <w:bCs/>
          <w:rtl/>
        </w:rPr>
        <w:t xml:space="preserve"> </w:t>
      </w:r>
      <w:r w:rsidRPr="0041663E">
        <w:rPr>
          <w:rFonts w:ascii="Arial" w:hAnsi="Arial" w:hint="eastAsia"/>
          <w:b/>
          <w:bCs/>
          <w:rtl/>
        </w:rPr>
        <w:t>פגיעה</w:t>
      </w:r>
      <w:r w:rsidRPr="0041663E">
        <w:rPr>
          <w:rFonts w:ascii="Arial" w:hAnsi="Arial"/>
          <w:b/>
          <w:bCs/>
          <w:rtl/>
        </w:rPr>
        <w:t xml:space="preserve"> </w:t>
      </w:r>
      <w:r w:rsidRPr="0041663E">
        <w:rPr>
          <w:rFonts w:ascii="Arial" w:hAnsi="Arial" w:hint="eastAsia"/>
          <w:b/>
          <w:bCs/>
          <w:rtl/>
        </w:rPr>
        <w:t>בערכים</w:t>
      </w:r>
      <w:r w:rsidRPr="0041663E">
        <w:rPr>
          <w:rFonts w:ascii="Arial" w:hAnsi="Arial"/>
          <w:b/>
          <w:bCs/>
          <w:rtl/>
        </w:rPr>
        <w:t xml:space="preserve"> </w:t>
      </w:r>
      <w:r w:rsidRPr="0041663E">
        <w:rPr>
          <w:rFonts w:ascii="Arial" w:hAnsi="Arial" w:hint="eastAsia"/>
          <w:b/>
          <w:bCs/>
          <w:rtl/>
        </w:rPr>
        <w:t>חברתיים</w:t>
      </w:r>
      <w:r w:rsidRPr="0041663E">
        <w:rPr>
          <w:rFonts w:ascii="Arial" w:hAnsi="Arial"/>
          <w:b/>
          <w:bCs/>
          <w:rtl/>
        </w:rPr>
        <w:t xml:space="preserve"> </w:t>
      </w:r>
      <w:r w:rsidRPr="0041663E">
        <w:rPr>
          <w:rFonts w:ascii="Arial" w:hAnsi="Arial" w:hint="eastAsia"/>
          <w:b/>
          <w:bCs/>
          <w:rtl/>
        </w:rPr>
        <w:t>בעלי</w:t>
      </w:r>
      <w:r w:rsidRPr="0041663E">
        <w:rPr>
          <w:rFonts w:ascii="Arial" w:hAnsi="Arial"/>
          <w:b/>
          <w:bCs/>
          <w:rtl/>
        </w:rPr>
        <w:t xml:space="preserve"> </w:t>
      </w:r>
      <w:r w:rsidRPr="0041663E">
        <w:rPr>
          <w:rFonts w:ascii="Arial" w:hAnsi="Arial" w:hint="eastAsia"/>
          <w:b/>
          <w:bCs/>
          <w:rtl/>
        </w:rPr>
        <w:t>חשיבות</w:t>
      </w:r>
      <w:r w:rsidRPr="0041663E">
        <w:rPr>
          <w:rFonts w:ascii="Arial" w:hAnsi="Arial"/>
          <w:b/>
          <w:bCs/>
          <w:rtl/>
        </w:rPr>
        <w:t xml:space="preserve"> </w:t>
      </w:r>
      <w:r w:rsidRPr="0041663E">
        <w:rPr>
          <w:rFonts w:ascii="Arial" w:hAnsi="Arial" w:hint="eastAsia"/>
          <w:b/>
          <w:bCs/>
          <w:rtl/>
        </w:rPr>
        <w:t>רבה</w:t>
      </w:r>
      <w:r w:rsidRPr="0041663E">
        <w:rPr>
          <w:rFonts w:ascii="Arial" w:hAnsi="Arial"/>
          <w:b/>
          <w:bCs/>
          <w:rtl/>
        </w:rPr>
        <w:t xml:space="preserve">, </w:t>
      </w:r>
      <w:r w:rsidRPr="0041663E">
        <w:rPr>
          <w:rFonts w:ascii="Arial" w:hAnsi="Arial" w:hint="eastAsia"/>
          <w:b/>
          <w:bCs/>
          <w:rtl/>
        </w:rPr>
        <w:t>בהם</w:t>
      </w:r>
      <w:r w:rsidRPr="0041663E">
        <w:rPr>
          <w:rFonts w:ascii="Arial" w:hAnsi="Arial"/>
          <w:b/>
          <w:bCs/>
          <w:rtl/>
        </w:rPr>
        <w:t xml:space="preserve"> </w:t>
      </w:r>
      <w:r w:rsidRPr="0041663E">
        <w:rPr>
          <w:rFonts w:ascii="Arial" w:hAnsi="Arial" w:hint="eastAsia"/>
          <w:b/>
          <w:bCs/>
          <w:rtl/>
        </w:rPr>
        <w:t>שלמות</w:t>
      </w:r>
      <w:r w:rsidRPr="0041663E">
        <w:rPr>
          <w:rFonts w:ascii="Arial" w:hAnsi="Arial"/>
          <w:b/>
          <w:bCs/>
          <w:rtl/>
        </w:rPr>
        <w:t xml:space="preserve"> </w:t>
      </w:r>
      <w:r w:rsidRPr="0041663E">
        <w:rPr>
          <w:rFonts w:ascii="Arial" w:hAnsi="Arial" w:hint="eastAsia"/>
          <w:b/>
          <w:bCs/>
          <w:rtl/>
        </w:rPr>
        <w:t>הגוף</w:t>
      </w:r>
      <w:r w:rsidRPr="0041663E">
        <w:rPr>
          <w:rFonts w:ascii="Arial" w:hAnsi="Arial"/>
          <w:b/>
          <w:bCs/>
          <w:rtl/>
        </w:rPr>
        <w:t xml:space="preserve">, </w:t>
      </w:r>
      <w:r w:rsidRPr="0041663E">
        <w:rPr>
          <w:rFonts w:ascii="Arial" w:hAnsi="Arial" w:hint="eastAsia"/>
          <w:b/>
          <w:bCs/>
          <w:rtl/>
        </w:rPr>
        <w:t>חיי</w:t>
      </w:r>
      <w:r w:rsidRPr="0041663E">
        <w:rPr>
          <w:rFonts w:ascii="Arial" w:hAnsi="Arial"/>
          <w:b/>
          <w:bCs/>
          <w:rtl/>
        </w:rPr>
        <w:t xml:space="preserve"> </w:t>
      </w:r>
      <w:r w:rsidRPr="0041663E">
        <w:rPr>
          <w:rFonts w:ascii="Arial" w:hAnsi="Arial" w:hint="eastAsia"/>
          <w:b/>
          <w:bCs/>
          <w:rtl/>
        </w:rPr>
        <w:t>אדם</w:t>
      </w:r>
      <w:r w:rsidRPr="0041663E">
        <w:rPr>
          <w:rFonts w:ascii="Arial" w:hAnsi="Arial"/>
          <w:b/>
          <w:bCs/>
          <w:rtl/>
        </w:rPr>
        <w:t xml:space="preserve"> </w:t>
      </w:r>
      <w:r w:rsidRPr="0041663E">
        <w:rPr>
          <w:rFonts w:ascii="Arial" w:hAnsi="Arial" w:hint="eastAsia"/>
          <w:b/>
          <w:bCs/>
          <w:rtl/>
        </w:rPr>
        <w:t>ושלום</w:t>
      </w:r>
      <w:r w:rsidRPr="0041663E">
        <w:rPr>
          <w:rFonts w:ascii="Arial" w:hAnsi="Arial"/>
          <w:b/>
          <w:bCs/>
          <w:rtl/>
        </w:rPr>
        <w:t xml:space="preserve"> </w:t>
      </w:r>
      <w:r w:rsidRPr="0041663E">
        <w:rPr>
          <w:rFonts w:ascii="Arial" w:hAnsi="Arial" w:hint="eastAsia"/>
          <w:b/>
          <w:bCs/>
          <w:rtl/>
        </w:rPr>
        <w:t>הציבור</w:t>
      </w:r>
      <w:r w:rsidRPr="0041663E">
        <w:rPr>
          <w:rFonts w:ascii="Arial" w:hAnsi="Arial"/>
          <w:b/>
          <w:bCs/>
          <w:rtl/>
        </w:rPr>
        <w:t xml:space="preserve"> </w:t>
      </w:r>
      <w:r w:rsidRPr="0041663E">
        <w:rPr>
          <w:rFonts w:ascii="Arial" w:hAnsi="Arial" w:hint="eastAsia"/>
          <w:b/>
          <w:bCs/>
          <w:rtl/>
        </w:rPr>
        <w:t>וביטחונו</w:t>
      </w:r>
      <w:r w:rsidRPr="0041663E">
        <w:rPr>
          <w:rFonts w:ascii="Arial" w:hAnsi="Arial"/>
          <w:b/>
          <w:bCs/>
          <w:rtl/>
        </w:rPr>
        <w:t xml:space="preserve">. </w:t>
      </w:r>
      <w:r w:rsidRPr="0041663E">
        <w:rPr>
          <w:rFonts w:ascii="Arial" w:hAnsi="Arial" w:hint="eastAsia"/>
          <w:b/>
          <w:bCs/>
          <w:rtl/>
        </w:rPr>
        <w:t>כלי</w:t>
      </w:r>
      <w:r w:rsidRPr="0041663E">
        <w:rPr>
          <w:rFonts w:ascii="Arial" w:hAnsi="Arial"/>
          <w:b/>
          <w:bCs/>
          <w:rtl/>
        </w:rPr>
        <w:t xml:space="preserve"> </w:t>
      </w:r>
      <w:r w:rsidRPr="0041663E">
        <w:rPr>
          <w:rFonts w:ascii="Arial" w:hAnsi="Arial" w:hint="eastAsia"/>
          <w:b/>
          <w:bCs/>
          <w:rtl/>
        </w:rPr>
        <w:t>הנשק</w:t>
      </w:r>
      <w:r w:rsidRPr="0041663E">
        <w:rPr>
          <w:rFonts w:ascii="Arial" w:hAnsi="Arial"/>
          <w:b/>
          <w:bCs/>
          <w:rtl/>
        </w:rPr>
        <w:t xml:space="preserve"> </w:t>
      </w:r>
      <w:r w:rsidRPr="0041663E">
        <w:rPr>
          <w:rFonts w:ascii="Arial" w:hAnsi="Arial" w:hint="eastAsia"/>
          <w:b/>
          <w:bCs/>
          <w:rtl/>
        </w:rPr>
        <w:t>שנמכרו</w:t>
      </w:r>
      <w:r w:rsidRPr="0041663E">
        <w:rPr>
          <w:rFonts w:ascii="Arial" w:hAnsi="Arial"/>
          <w:b/>
          <w:bCs/>
          <w:rtl/>
        </w:rPr>
        <w:t xml:space="preserve"> </w:t>
      </w:r>
      <w:r w:rsidRPr="0041663E">
        <w:rPr>
          <w:rFonts w:ascii="Arial" w:hAnsi="Arial" w:hint="eastAsia"/>
          <w:b/>
          <w:bCs/>
          <w:rtl/>
        </w:rPr>
        <w:t>במסגרת</w:t>
      </w:r>
      <w:r w:rsidRPr="0041663E">
        <w:rPr>
          <w:rFonts w:ascii="Arial" w:hAnsi="Arial"/>
          <w:b/>
          <w:bCs/>
          <w:rtl/>
        </w:rPr>
        <w:t xml:space="preserve"> </w:t>
      </w:r>
      <w:r w:rsidRPr="0041663E">
        <w:rPr>
          <w:rFonts w:ascii="Arial" w:hAnsi="Arial" w:hint="eastAsia"/>
          <w:b/>
          <w:bCs/>
          <w:rtl/>
        </w:rPr>
        <w:t>האישומים</w:t>
      </w:r>
      <w:r w:rsidRPr="0041663E">
        <w:rPr>
          <w:rFonts w:ascii="Arial" w:hAnsi="Arial"/>
          <w:b/>
          <w:bCs/>
          <w:rtl/>
        </w:rPr>
        <w:t xml:space="preserve"> </w:t>
      </w:r>
      <w:r w:rsidRPr="0041663E">
        <w:rPr>
          <w:rFonts w:ascii="Arial" w:hAnsi="Arial" w:hint="eastAsia"/>
          <w:b/>
          <w:bCs/>
          <w:rtl/>
        </w:rPr>
        <w:t>הם</w:t>
      </w:r>
      <w:r w:rsidRPr="0041663E">
        <w:rPr>
          <w:rFonts w:ascii="Arial" w:hAnsi="Arial"/>
          <w:b/>
          <w:bCs/>
          <w:rtl/>
        </w:rPr>
        <w:t xml:space="preserve"> </w:t>
      </w:r>
      <w:r w:rsidRPr="0041663E">
        <w:rPr>
          <w:rFonts w:ascii="Arial" w:hAnsi="Arial" w:hint="eastAsia"/>
          <w:b/>
          <w:bCs/>
          <w:rtl/>
        </w:rPr>
        <w:t>על</w:t>
      </w:r>
      <w:r w:rsidRPr="0041663E">
        <w:rPr>
          <w:rFonts w:ascii="Arial" w:hAnsi="Arial"/>
          <w:b/>
          <w:bCs/>
          <w:rtl/>
        </w:rPr>
        <w:t xml:space="preserve"> </w:t>
      </w:r>
      <w:r w:rsidRPr="0041663E">
        <w:rPr>
          <w:rFonts w:ascii="Arial" w:hAnsi="Arial" w:hint="eastAsia"/>
          <w:b/>
          <w:bCs/>
          <w:rtl/>
        </w:rPr>
        <w:t>פי</w:t>
      </w:r>
      <w:r w:rsidRPr="0041663E">
        <w:rPr>
          <w:rFonts w:ascii="Arial" w:hAnsi="Arial"/>
          <w:b/>
          <w:bCs/>
          <w:rtl/>
        </w:rPr>
        <w:t xml:space="preserve"> </w:t>
      </w:r>
      <w:r w:rsidRPr="0041663E">
        <w:rPr>
          <w:rFonts w:ascii="Arial" w:hAnsi="Arial" w:hint="eastAsia"/>
          <w:b/>
          <w:bCs/>
          <w:rtl/>
        </w:rPr>
        <w:t>טיבם</w:t>
      </w:r>
      <w:r w:rsidRPr="0041663E">
        <w:rPr>
          <w:rFonts w:ascii="Arial" w:hAnsi="Arial"/>
          <w:b/>
          <w:bCs/>
          <w:rtl/>
        </w:rPr>
        <w:t xml:space="preserve"> </w:t>
      </w:r>
      <w:r w:rsidRPr="0041663E">
        <w:rPr>
          <w:rFonts w:ascii="Arial" w:hAnsi="Arial" w:hint="eastAsia"/>
          <w:b/>
          <w:bCs/>
          <w:rtl/>
        </w:rPr>
        <w:t>כאלה</w:t>
      </w:r>
      <w:r w:rsidRPr="0041663E">
        <w:rPr>
          <w:rFonts w:ascii="Arial" w:hAnsi="Arial"/>
          <w:b/>
          <w:bCs/>
          <w:rtl/>
        </w:rPr>
        <w:t xml:space="preserve"> </w:t>
      </w:r>
      <w:r w:rsidRPr="0041663E">
        <w:rPr>
          <w:rFonts w:ascii="Arial" w:hAnsi="Arial" w:hint="eastAsia"/>
          <w:b/>
          <w:bCs/>
          <w:rtl/>
        </w:rPr>
        <w:t>שבאמצעותם</w:t>
      </w:r>
      <w:r w:rsidRPr="0041663E">
        <w:rPr>
          <w:rFonts w:ascii="Arial" w:hAnsi="Arial"/>
          <w:b/>
          <w:bCs/>
          <w:rtl/>
        </w:rPr>
        <w:t xml:space="preserve"> </w:t>
      </w:r>
      <w:r w:rsidRPr="0041663E">
        <w:rPr>
          <w:rFonts w:ascii="Arial" w:hAnsi="Arial" w:hint="eastAsia"/>
          <w:b/>
          <w:bCs/>
          <w:rtl/>
        </w:rPr>
        <w:t>ניתן</w:t>
      </w:r>
      <w:r w:rsidRPr="0041663E">
        <w:rPr>
          <w:rFonts w:ascii="Arial" w:hAnsi="Arial"/>
          <w:b/>
          <w:bCs/>
          <w:rtl/>
        </w:rPr>
        <w:t xml:space="preserve"> </w:t>
      </w:r>
      <w:r w:rsidRPr="0041663E">
        <w:rPr>
          <w:rFonts w:ascii="Arial" w:hAnsi="Arial" w:hint="eastAsia"/>
          <w:b/>
          <w:bCs/>
          <w:rtl/>
        </w:rPr>
        <w:t>בנקל</w:t>
      </w:r>
      <w:r w:rsidRPr="0041663E">
        <w:rPr>
          <w:rFonts w:ascii="Arial" w:hAnsi="Arial"/>
          <w:b/>
          <w:bCs/>
          <w:rtl/>
        </w:rPr>
        <w:t xml:space="preserve"> </w:t>
      </w:r>
      <w:r w:rsidRPr="0041663E">
        <w:rPr>
          <w:rFonts w:ascii="Arial" w:hAnsi="Arial" w:hint="eastAsia"/>
          <w:b/>
          <w:bCs/>
          <w:rtl/>
        </w:rPr>
        <w:t>לפגוע</w:t>
      </w:r>
      <w:r w:rsidRPr="0041663E">
        <w:rPr>
          <w:rFonts w:ascii="Arial" w:hAnsi="Arial"/>
          <w:b/>
          <w:bCs/>
          <w:rtl/>
        </w:rPr>
        <w:t xml:space="preserve"> </w:t>
      </w:r>
      <w:r w:rsidRPr="0041663E">
        <w:rPr>
          <w:rFonts w:ascii="Arial" w:hAnsi="Arial" w:hint="eastAsia"/>
          <w:b/>
          <w:bCs/>
          <w:rtl/>
        </w:rPr>
        <w:t>בשלמות</w:t>
      </w:r>
      <w:r w:rsidRPr="0041663E">
        <w:rPr>
          <w:rFonts w:ascii="Arial" w:hAnsi="Arial"/>
          <w:b/>
          <w:bCs/>
          <w:rtl/>
        </w:rPr>
        <w:t xml:space="preserve"> </w:t>
      </w:r>
      <w:r w:rsidRPr="0041663E">
        <w:rPr>
          <w:rFonts w:ascii="Arial" w:hAnsi="Arial" w:hint="eastAsia"/>
          <w:b/>
          <w:bCs/>
          <w:rtl/>
        </w:rPr>
        <w:t>הגוף</w:t>
      </w:r>
      <w:r w:rsidRPr="0041663E">
        <w:rPr>
          <w:rFonts w:ascii="Arial" w:hAnsi="Arial"/>
          <w:b/>
          <w:bCs/>
          <w:rtl/>
        </w:rPr>
        <w:t xml:space="preserve"> </w:t>
      </w:r>
      <w:r w:rsidRPr="0041663E">
        <w:rPr>
          <w:rFonts w:ascii="Arial" w:hAnsi="Arial" w:hint="eastAsia"/>
          <w:b/>
          <w:bCs/>
          <w:rtl/>
        </w:rPr>
        <w:t>ולגדוע</w:t>
      </w:r>
      <w:r w:rsidRPr="0041663E">
        <w:rPr>
          <w:rFonts w:ascii="Arial" w:hAnsi="Arial"/>
          <w:b/>
          <w:bCs/>
          <w:rtl/>
        </w:rPr>
        <w:t xml:space="preserve"> </w:t>
      </w:r>
      <w:r w:rsidRPr="0041663E">
        <w:rPr>
          <w:rFonts w:ascii="Arial" w:hAnsi="Arial" w:hint="eastAsia"/>
          <w:b/>
          <w:bCs/>
          <w:rtl/>
        </w:rPr>
        <w:t>חיי</w:t>
      </w:r>
      <w:r w:rsidRPr="0041663E">
        <w:rPr>
          <w:rFonts w:ascii="Arial" w:hAnsi="Arial"/>
          <w:b/>
          <w:bCs/>
          <w:rtl/>
        </w:rPr>
        <w:t xml:space="preserve"> </w:t>
      </w:r>
      <w:r w:rsidRPr="0041663E">
        <w:rPr>
          <w:rFonts w:ascii="Arial" w:hAnsi="Arial" w:hint="eastAsia"/>
          <w:b/>
          <w:bCs/>
          <w:rtl/>
        </w:rPr>
        <w:t>אדם</w:t>
      </w:r>
      <w:r w:rsidRPr="0041663E">
        <w:rPr>
          <w:rFonts w:ascii="Arial" w:hAnsi="Arial"/>
          <w:b/>
          <w:bCs/>
          <w:rtl/>
        </w:rPr>
        <w:t xml:space="preserve">. </w:t>
      </w:r>
      <w:r w:rsidRPr="0041663E">
        <w:rPr>
          <w:rFonts w:ascii="Arial" w:hAnsi="Arial" w:hint="eastAsia"/>
          <w:b/>
          <w:bCs/>
          <w:rtl/>
        </w:rPr>
        <w:t>חומרת</w:t>
      </w:r>
      <w:r w:rsidRPr="0041663E">
        <w:rPr>
          <w:rFonts w:ascii="Arial" w:hAnsi="Arial"/>
          <w:b/>
          <w:bCs/>
          <w:rtl/>
        </w:rPr>
        <w:t xml:space="preserve"> </w:t>
      </w:r>
      <w:r w:rsidRPr="0041663E">
        <w:rPr>
          <w:rFonts w:ascii="Arial" w:hAnsi="Arial" w:hint="eastAsia"/>
          <w:b/>
          <w:bCs/>
          <w:rtl/>
        </w:rPr>
        <w:t>הנזק</w:t>
      </w:r>
      <w:r w:rsidRPr="0041663E">
        <w:rPr>
          <w:rFonts w:ascii="Arial" w:hAnsi="Arial"/>
          <w:b/>
          <w:bCs/>
          <w:rtl/>
        </w:rPr>
        <w:t xml:space="preserve"> </w:t>
      </w:r>
      <w:r w:rsidRPr="0041663E">
        <w:rPr>
          <w:rFonts w:ascii="Arial" w:hAnsi="Arial" w:hint="eastAsia"/>
          <w:b/>
          <w:bCs/>
          <w:rtl/>
        </w:rPr>
        <w:t>הנגרם</w:t>
      </w:r>
      <w:r w:rsidRPr="0041663E">
        <w:rPr>
          <w:rFonts w:ascii="Arial" w:hAnsi="Arial"/>
          <w:b/>
          <w:bCs/>
          <w:rtl/>
        </w:rPr>
        <w:t xml:space="preserve"> </w:t>
      </w:r>
      <w:r w:rsidRPr="0041663E">
        <w:rPr>
          <w:rFonts w:ascii="Arial" w:hAnsi="Arial" w:hint="eastAsia"/>
          <w:b/>
          <w:bCs/>
          <w:rtl/>
        </w:rPr>
        <w:t>בעקבות</w:t>
      </w:r>
      <w:r w:rsidRPr="0041663E">
        <w:rPr>
          <w:rFonts w:ascii="Arial" w:hAnsi="Arial"/>
          <w:b/>
          <w:bCs/>
          <w:rtl/>
        </w:rPr>
        <w:t xml:space="preserve"> </w:t>
      </w:r>
      <w:r w:rsidRPr="0041663E">
        <w:rPr>
          <w:rFonts w:ascii="Arial" w:hAnsi="Arial" w:hint="eastAsia"/>
          <w:b/>
          <w:bCs/>
          <w:rtl/>
        </w:rPr>
        <w:t>ביצוע</w:t>
      </w:r>
      <w:r w:rsidRPr="0041663E">
        <w:rPr>
          <w:rFonts w:ascii="Arial" w:hAnsi="Arial"/>
          <w:b/>
          <w:bCs/>
          <w:rtl/>
        </w:rPr>
        <w:t xml:space="preserve"> </w:t>
      </w:r>
      <w:r w:rsidRPr="0041663E">
        <w:rPr>
          <w:rFonts w:ascii="Arial" w:hAnsi="Arial" w:hint="eastAsia"/>
          <w:b/>
          <w:bCs/>
          <w:rtl/>
        </w:rPr>
        <w:t>עבירות</w:t>
      </w:r>
      <w:r w:rsidRPr="0041663E">
        <w:rPr>
          <w:rFonts w:ascii="Arial" w:hAnsi="Arial"/>
          <w:b/>
          <w:bCs/>
          <w:rtl/>
        </w:rPr>
        <w:t xml:space="preserve"> </w:t>
      </w:r>
      <w:r w:rsidRPr="0041663E">
        <w:rPr>
          <w:rFonts w:ascii="Arial" w:hAnsi="Arial" w:hint="eastAsia"/>
          <w:b/>
          <w:bCs/>
          <w:rtl/>
        </w:rPr>
        <w:t>כגון</w:t>
      </w:r>
      <w:r w:rsidRPr="0041663E">
        <w:rPr>
          <w:rFonts w:ascii="Arial" w:hAnsi="Arial"/>
          <w:b/>
          <w:bCs/>
          <w:rtl/>
        </w:rPr>
        <w:t xml:space="preserve"> </w:t>
      </w:r>
      <w:r w:rsidRPr="0041663E">
        <w:rPr>
          <w:rFonts w:ascii="Arial" w:hAnsi="Arial" w:hint="eastAsia"/>
          <w:b/>
          <w:bCs/>
          <w:rtl/>
        </w:rPr>
        <w:t>אלו</w:t>
      </w:r>
      <w:r w:rsidRPr="0041663E">
        <w:rPr>
          <w:rFonts w:ascii="Arial" w:hAnsi="Arial"/>
          <w:b/>
          <w:bCs/>
          <w:rtl/>
        </w:rPr>
        <w:t xml:space="preserve"> </w:t>
      </w:r>
      <w:r w:rsidRPr="0041663E">
        <w:rPr>
          <w:rFonts w:ascii="Arial" w:hAnsi="Arial" w:hint="eastAsia"/>
          <w:b/>
          <w:bCs/>
          <w:rtl/>
        </w:rPr>
        <w:t>מתעצמת</w:t>
      </w:r>
      <w:r w:rsidRPr="0041663E">
        <w:rPr>
          <w:rFonts w:ascii="Arial" w:hAnsi="Arial"/>
          <w:b/>
          <w:bCs/>
          <w:rtl/>
        </w:rPr>
        <w:t xml:space="preserve"> </w:t>
      </w:r>
      <w:r w:rsidRPr="0041663E">
        <w:rPr>
          <w:rFonts w:ascii="Arial" w:hAnsi="Arial" w:hint="eastAsia"/>
          <w:b/>
          <w:bCs/>
          <w:rtl/>
        </w:rPr>
        <w:t>במקרים</w:t>
      </w:r>
      <w:r w:rsidRPr="0041663E">
        <w:rPr>
          <w:rFonts w:ascii="Arial" w:hAnsi="Arial"/>
          <w:b/>
          <w:bCs/>
          <w:rtl/>
        </w:rPr>
        <w:t xml:space="preserve"> </w:t>
      </w:r>
      <w:r w:rsidRPr="0041663E">
        <w:rPr>
          <w:rFonts w:ascii="Arial" w:hAnsi="Arial" w:hint="eastAsia"/>
          <w:b/>
          <w:bCs/>
          <w:rtl/>
        </w:rPr>
        <w:t>כבענייננו</w:t>
      </w:r>
      <w:r w:rsidRPr="0041663E">
        <w:rPr>
          <w:rFonts w:ascii="Arial" w:hAnsi="Arial"/>
          <w:b/>
          <w:bCs/>
          <w:rtl/>
        </w:rPr>
        <w:t xml:space="preserve">, </w:t>
      </w:r>
      <w:r w:rsidRPr="0041663E">
        <w:rPr>
          <w:rFonts w:ascii="Arial" w:hAnsi="Arial" w:hint="eastAsia"/>
          <w:b/>
          <w:bCs/>
          <w:rtl/>
        </w:rPr>
        <w:t>שבהם</w:t>
      </w:r>
      <w:r w:rsidRPr="0041663E">
        <w:rPr>
          <w:rFonts w:ascii="Arial" w:hAnsi="Arial"/>
          <w:b/>
          <w:bCs/>
          <w:rtl/>
        </w:rPr>
        <w:t xml:space="preserve"> </w:t>
      </w:r>
      <w:r w:rsidRPr="0041663E">
        <w:rPr>
          <w:rFonts w:ascii="Arial" w:hAnsi="Arial" w:hint="eastAsia"/>
          <w:b/>
          <w:bCs/>
          <w:rtl/>
        </w:rPr>
        <w:t>נמכרים</w:t>
      </w:r>
      <w:r w:rsidRPr="0041663E">
        <w:rPr>
          <w:rFonts w:ascii="Arial" w:hAnsi="Arial"/>
          <w:b/>
          <w:bCs/>
          <w:rtl/>
        </w:rPr>
        <w:t xml:space="preserve"> </w:t>
      </w:r>
      <w:r w:rsidRPr="0041663E">
        <w:rPr>
          <w:rFonts w:ascii="Arial" w:hAnsi="Arial" w:hint="eastAsia"/>
          <w:b/>
          <w:bCs/>
          <w:rtl/>
        </w:rPr>
        <w:t>כלי</w:t>
      </w:r>
      <w:r w:rsidRPr="0041663E">
        <w:rPr>
          <w:rFonts w:ascii="Arial" w:hAnsi="Arial"/>
          <w:b/>
          <w:bCs/>
          <w:rtl/>
        </w:rPr>
        <w:t xml:space="preserve"> </w:t>
      </w:r>
      <w:r w:rsidRPr="0041663E">
        <w:rPr>
          <w:rFonts w:ascii="Arial" w:hAnsi="Arial" w:hint="eastAsia"/>
          <w:b/>
          <w:bCs/>
          <w:rtl/>
        </w:rPr>
        <w:t>נשק</w:t>
      </w:r>
      <w:r w:rsidRPr="0041663E">
        <w:rPr>
          <w:rFonts w:ascii="Arial" w:hAnsi="Arial"/>
          <w:b/>
          <w:bCs/>
          <w:rtl/>
        </w:rPr>
        <w:t xml:space="preserve"> </w:t>
      </w:r>
      <w:r w:rsidRPr="0041663E">
        <w:rPr>
          <w:rFonts w:ascii="Arial" w:hAnsi="Arial" w:hint="eastAsia"/>
          <w:b/>
          <w:bCs/>
          <w:rtl/>
        </w:rPr>
        <w:t>בעלי</w:t>
      </w:r>
      <w:r w:rsidRPr="0041663E">
        <w:rPr>
          <w:rFonts w:ascii="Arial" w:hAnsi="Arial"/>
          <w:b/>
          <w:bCs/>
          <w:rtl/>
        </w:rPr>
        <w:t xml:space="preserve"> </w:t>
      </w:r>
      <w:r w:rsidRPr="0041663E">
        <w:rPr>
          <w:rFonts w:ascii="Arial" w:hAnsi="Arial" w:hint="eastAsia"/>
          <w:b/>
          <w:bCs/>
          <w:rtl/>
        </w:rPr>
        <w:t>פוטנציאל</w:t>
      </w:r>
      <w:r w:rsidRPr="0041663E">
        <w:rPr>
          <w:rFonts w:ascii="Arial" w:hAnsi="Arial"/>
          <w:b/>
          <w:bCs/>
          <w:rtl/>
        </w:rPr>
        <w:t xml:space="preserve"> </w:t>
      </w:r>
      <w:r w:rsidRPr="0041663E">
        <w:rPr>
          <w:rFonts w:ascii="Arial" w:hAnsi="Arial" w:hint="eastAsia"/>
          <w:b/>
          <w:bCs/>
          <w:rtl/>
        </w:rPr>
        <w:t>פגיעה</w:t>
      </w:r>
      <w:r w:rsidRPr="0041663E">
        <w:rPr>
          <w:rFonts w:ascii="Arial" w:hAnsi="Arial"/>
          <w:b/>
          <w:bCs/>
          <w:rtl/>
        </w:rPr>
        <w:t xml:space="preserve"> </w:t>
      </w:r>
      <w:r w:rsidRPr="0041663E">
        <w:rPr>
          <w:rFonts w:ascii="Arial" w:hAnsi="Arial" w:hint="eastAsia"/>
          <w:b/>
          <w:bCs/>
          <w:rtl/>
        </w:rPr>
        <w:t>ממשי</w:t>
      </w:r>
      <w:r w:rsidRPr="0041663E">
        <w:rPr>
          <w:rFonts w:ascii="Arial" w:hAnsi="Arial"/>
          <w:b/>
          <w:bCs/>
          <w:rtl/>
        </w:rPr>
        <w:t xml:space="preserve">, </w:t>
      </w:r>
      <w:r w:rsidRPr="0041663E">
        <w:rPr>
          <w:rFonts w:ascii="Arial" w:hAnsi="Arial" w:hint="eastAsia"/>
          <w:b/>
          <w:bCs/>
          <w:rtl/>
        </w:rPr>
        <w:t>שהרי</w:t>
      </w:r>
      <w:r w:rsidRPr="0041663E">
        <w:rPr>
          <w:rFonts w:ascii="Arial" w:hAnsi="Arial"/>
          <w:b/>
          <w:bCs/>
          <w:rtl/>
        </w:rPr>
        <w:t xml:space="preserve"> </w:t>
      </w:r>
      <w:r w:rsidRPr="0041663E">
        <w:rPr>
          <w:rFonts w:ascii="Arial" w:hAnsi="Arial" w:hint="eastAsia"/>
          <w:b/>
          <w:bCs/>
          <w:rtl/>
        </w:rPr>
        <w:t>דין</w:t>
      </w:r>
      <w:r w:rsidRPr="0041663E">
        <w:rPr>
          <w:rFonts w:ascii="Arial" w:hAnsi="Arial"/>
          <w:b/>
          <w:bCs/>
          <w:rtl/>
        </w:rPr>
        <w:t xml:space="preserve"> </w:t>
      </w:r>
      <w:r w:rsidRPr="0041663E">
        <w:rPr>
          <w:rFonts w:ascii="Arial" w:hAnsi="Arial" w:hint="eastAsia"/>
          <w:b/>
          <w:bCs/>
          <w:rtl/>
        </w:rPr>
        <w:t>סחר</w:t>
      </w:r>
      <w:r w:rsidRPr="0041663E">
        <w:rPr>
          <w:rFonts w:ascii="Arial" w:hAnsi="Arial"/>
          <w:b/>
          <w:bCs/>
          <w:rtl/>
        </w:rPr>
        <w:t xml:space="preserve"> </w:t>
      </w:r>
      <w:r w:rsidRPr="0041663E">
        <w:rPr>
          <w:rFonts w:ascii="Arial" w:hAnsi="Arial" w:hint="eastAsia"/>
          <w:b/>
          <w:bCs/>
          <w:rtl/>
        </w:rPr>
        <w:t>ברובה</w:t>
      </w:r>
      <w:r w:rsidRPr="0041663E">
        <w:rPr>
          <w:rFonts w:ascii="Arial" w:hAnsi="Arial"/>
          <w:b/>
          <w:bCs/>
          <w:rtl/>
        </w:rPr>
        <w:t xml:space="preserve"> </w:t>
      </w:r>
      <w:r w:rsidRPr="0041663E">
        <w:rPr>
          <w:rFonts w:ascii="Arial" w:hAnsi="Arial" w:hint="eastAsia"/>
          <w:b/>
          <w:bCs/>
          <w:rtl/>
        </w:rPr>
        <w:t>סער</w:t>
      </w:r>
      <w:r w:rsidRPr="0041663E">
        <w:rPr>
          <w:rFonts w:ascii="Arial" w:hAnsi="Arial"/>
          <w:b/>
          <w:bCs/>
          <w:rtl/>
        </w:rPr>
        <w:t xml:space="preserve">, </w:t>
      </w:r>
      <w:r w:rsidRPr="0041663E">
        <w:rPr>
          <w:rFonts w:ascii="Arial" w:hAnsi="Arial" w:hint="eastAsia"/>
          <w:b/>
          <w:bCs/>
          <w:rtl/>
        </w:rPr>
        <w:t>בתת</w:t>
      </w:r>
      <w:r w:rsidRPr="0041663E">
        <w:rPr>
          <w:rFonts w:ascii="Arial" w:hAnsi="Arial"/>
          <w:b/>
          <w:bCs/>
          <w:rtl/>
        </w:rPr>
        <w:t>-</w:t>
      </w:r>
      <w:r w:rsidRPr="0041663E">
        <w:rPr>
          <w:rFonts w:ascii="Arial" w:hAnsi="Arial" w:hint="eastAsia"/>
          <w:b/>
          <w:bCs/>
          <w:rtl/>
        </w:rPr>
        <w:t>מקלע</w:t>
      </w:r>
      <w:r w:rsidRPr="0041663E">
        <w:rPr>
          <w:rFonts w:ascii="Arial" w:hAnsi="Arial"/>
          <w:b/>
          <w:bCs/>
          <w:rtl/>
        </w:rPr>
        <w:t xml:space="preserve"> </w:t>
      </w:r>
      <w:r w:rsidRPr="0041663E">
        <w:rPr>
          <w:rFonts w:ascii="Arial" w:hAnsi="Arial" w:hint="eastAsia"/>
          <w:b/>
          <w:bCs/>
          <w:rtl/>
        </w:rPr>
        <w:t>או</w:t>
      </w:r>
      <w:r w:rsidRPr="0041663E">
        <w:rPr>
          <w:rFonts w:ascii="Arial" w:hAnsi="Arial"/>
          <w:b/>
          <w:bCs/>
          <w:rtl/>
        </w:rPr>
        <w:t xml:space="preserve"> </w:t>
      </w:r>
      <w:r w:rsidRPr="0041663E">
        <w:rPr>
          <w:rFonts w:ascii="Arial" w:hAnsi="Arial" w:hint="eastAsia"/>
          <w:b/>
          <w:bCs/>
          <w:rtl/>
        </w:rPr>
        <w:t>באקדח</w:t>
      </w:r>
      <w:r w:rsidRPr="0041663E">
        <w:rPr>
          <w:rFonts w:ascii="Arial" w:hAnsi="Arial"/>
          <w:b/>
          <w:bCs/>
          <w:rtl/>
        </w:rPr>
        <w:t xml:space="preserve"> </w:t>
      </w:r>
      <w:r w:rsidRPr="0041663E">
        <w:rPr>
          <w:rFonts w:ascii="Arial" w:hAnsi="Arial" w:hint="eastAsia"/>
          <w:b/>
          <w:bCs/>
          <w:rtl/>
        </w:rPr>
        <w:t>אמין</w:t>
      </w:r>
      <w:r w:rsidRPr="0041663E">
        <w:rPr>
          <w:rFonts w:ascii="Arial" w:hAnsi="Arial"/>
          <w:b/>
          <w:bCs/>
          <w:rtl/>
        </w:rPr>
        <w:t xml:space="preserve"> </w:t>
      </w:r>
      <w:r w:rsidRPr="0041663E">
        <w:rPr>
          <w:rFonts w:ascii="Arial" w:hAnsi="Arial" w:hint="eastAsia"/>
          <w:b/>
          <w:bCs/>
          <w:rtl/>
        </w:rPr>
        <w:t>ואיכותי</w:t>
      </w:r>
      <w:r w:rsidRPr="0041663E">
        <w:rPr>
          <w:rFonts w:ascii="Arial" w:hAnsi="Arial"/>
          <w:b/>
          <w:bCs/>
          <w:rtl/>
        </w:rPr>
        <w:t xml:space="preserve">, </w:t>
      </w:r>
      <w:r w:rsidRPr="0041663E">
        <w:rPr>
          <w:rFonts w:ascii="Arial" w:hAnsi="Arial" w:hint="eastAsia"/>
          <w:b/>
          <w:bCs/>
          <w:rtl/>
        </w:rPr>
        <w:t>אינו</w:t>
      </w:r>
      <w:r w:rsidRPr="0041663E">
        <w:rPr>
          <w:rFonts w:ascii="Arial" w:hAnsi="Arial"/>
          <w:b/>
          <w:bCs/>
          <w:rtl/>
        </w:rPr>
        <w:t xml:space="preserve"> </w:t>
      </w:r>
      <w:r w:rsidRPr="0041663E">
        <w:rPr>
          <w:rFonts w:ascii="Arial" w:hAnsi="Arial" w:hint="eastAsia"/>
          <w:b/>
          <w:bCs/>
          <w:rtl/>
        </w:rPr>
        <w:t>כדין</w:t>
      </w:r>
      <w:r w:rsidRPr="0041663E">
        <w:rPr>
          <w:rFonts w:ascii="Arial" w:hAnsi="Arial"/>
          <w:b/>
          <w:bCs/>
          <w:rtl/>
        </w:rPr>
        <w:t xml:space="preserve"> </w:t>
      </w:r>
      <w:r w:rsidRPr="0041663E">
        <w:rPr>
          <w:rFonts w:ascii="Arial" w:hAnsi="Arial" w:hint="eastAsia"/>
          <w:b/>
          <w:bCs/>
          <w:rtl/>
        </w:rPr>
        <w:t>סחר</w:t>
      </w:r>
      <w:r w:rsidRPr="0041663E">
        <w:rPr>
          <w:rFonts w:ascii="Arial" w:hAnsi="Arial"/>
          <w:b/>
          <w:bCs/>
          <w:rtl/>
        </w:rPr>
        <w:t xml:space="preserve"> </w:t>
      </w:r>
      <w:r w:rsidRPr="0041663E">
        <w:rPr>
          <w:rFonts w:ascii="Arial" w:hAnsi="Arial" w:hint="eastAsia"/>
          <w:b/>
          <w:bCs/>
          <w:rtl/>
        </w:rPr>
        <w:t>באקדח</w:t>
      </w:r>
      <w:r w:rsidRPr="0041663E">
        <w:rPr>
          <w:rFonts w:ascii="Arial" w:hAnsi="Arial"/>
          <w:b/>
          <w:bCs/>
          <w:rtl/>
        </w:rPr>
        <w:t xml:space="preserve"> </w:t>
      </w:r>
      <w:r w:rsidRPr="0041663E">
        <w:rPr>
          <w:rFonts w:ascii="Arial" w:hAnsi="Arial" w:hint="eastAsia"/>
          <w:b/>
          <w:bCs/>
          <w:rtl/>
        </w:rPr>
        <w:t>מאולתר</w:t>
      </w:r>
      <w:r w:rsidRPr="0041663E">
        <w:rPr>
          <w:rFonts w:ascii="Arial" w:hAnsi="Arial"/>
          <w:b/>
          <w:bCs/>
          <w:rtl/>
        </w:rPr>
        <w:t xml:space="preserve"> </w:t>
      </w:r>
      <w:r w:rsidRPr="0041663E">
        <w:rPr>
          <w:rFonts w:ascii="Arial" w:hAnsi="Arial"/>
          <w:rtl/>
        </w:rPr>
        <w:t>(</w:t>
      </w:r>
      <w:r w:rsidRPr="0041663E">
        <w:rPr>
          <w:rFonts w:ascii="Arial" w:hAnsi="Arial" w:hint="eastAsia"/>
          <w:rtl/>
        </w:rPr>
        <w:t>ראו</w:t>
      </w:r>
      <w:r w:rsidRPr="0041663E">
        <w:rPr>
          <w:rFonts w:ascii="Arial" w:hAnsi="Arial"/>
          <w:rtl/>
        </w:rPr>
        <w:t xml:space="preserve"> </w:t>
      </w:r>
      <w:r w:rsidRPr="0041663E">
        <w:rPr>
          <w:rFonts w:ascii="Arial" w:hAnsi="Arial" w:hint="eastAsia"/>
          <w:rtl/>
        </w:rPr>
        <w:t>למשל</w:t>
      </w:r>
      <w:r w:rsidRPr="0041663E">
        <w:rPr>
          <w:rFonts w:ascii="Arial" w:hAnsi="Arial"/>
          <w:rtl/>
        </w:rPr>
        <w:t xml:space="preserve">: </w:t>
      </w:r>
      <w:hyperlink r:id="rId13" w:history="1">
        <w:r w:rsidR="00D752EF" w:rsidRPr="00D752EF">
          <w:rPr>
            <w:rFonts w:ascii="Arial" w:hAnsi="Arial"/>
            <w:color w:val="0000FF"/>
            <w:u w:val="single"/>
            <w:rtl/>
          </w:rPr>
          <w:t>ע"פ 1397/16</w:t>
        </w:r>
      </w:hyperlink>
      <w:r w:rsidRPr="0041663E">
        <w:rPr>
          <w:rFonts w:ascii="Arial" w:hAnsi="Arial"/>
          <w:rtl/>
        </w:rPr>
        <w:t xml:space="preserve"> </w:t>
      </w:r>
      <w:r w:rsidRPr="001C73FF">
        <w:rPr>
          <w:rFonts w:ascii="Arial" w:hAnsi="Arial" w:hint="eastAsia"/>
          <w:b/>
          <w:bCs/>
          <w:rtl/>
        </w:rPr>
        <w:t>מדינת</w:t>
      </w:r>
      <w:r w:rsidRPr="001C73FF">
        <w:rPr>
          <w:rFonts w:ascii="Arial" w:hAnsi="Arial"/>
          <w:b/>
          <w:bCs/>
          <w:rtl/>
        </w:rPr>
        <w:t xml:space="preserve"> </w:t>
      </w:r>
      <w:r w:rsidRPr="001C73FF">
        <w:rPr>
          <w:rFonts w:ascii="Arial" w:hAnsi="Arial" w:hint="eastAsia"/>
          <w:b/>
          <w:bCs/>
          <w:rtl/>
        </w:rPr>
        <w:t>ישראל</w:t>
      </w:r>
      <w:r w:rsidRPr="0041663E">
        <w:rPr>
          <w:rFonts w:ascii="Arial" w:hAnsi="Arial"/>
          <w:rtl/>
        </w:rPr>
        <w:t xml:space="preserve"> </w:t>
      </w:r>
      <w:r w:rsidRPr="0041663E">
        <w:rPr>
          <w:rFonts w:ascii="Arial" w:hAnsi="Arial" w:hint="eastAsia"/>
          <w:rtl/>
        </w:rPr>
        <w:t>נ</w:t>
      </w:r>
      <w:r w:rsidRPr="0041663E">
        <w:rPr>
          <w:rFonts w:ascii="Arial" w:hAnsi="Arial"/>
          <w:rtl/>
        </w:rPr>
        <w:t xml:space="preserve">' </w:t>
      </w:r>
      <w:r w:rsidRPr="001C73FF">
        <w:rPr>
          <w:rFonts w:ascii="Arial" w:hAnsi="Arial" w:hint="eastAsia"/>
          <w:b/>
          <w:bCs/>
          <w:rtl/>
        </w:rPr>
        <w:t>חמאיל</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13 (12.9.2016) (</w:t>
      </w:r>
      <w:r w:rsidRPr="0041663E">
        <w:rPr>
          <w:rFonts w:ascii="Arial" w:hAnsi="Arial" w:hint="eastAsia"/>
          <w:rtl/>
        </w:rPr>
        <w:t>להלן</w:t>
      </w:r>
      <w:r w:rsidRPr="0041663E">
        <w:rPr>
          <w:rFonts w:ascii="Arial" w:hAnsi="Arial"/>
          <w:rtl/>
        </w:rPr>
        <w:t xml:space="preserve">: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חמאיל</w:t>
      </w:r>
      <w:r w:rsidRPr="0041663E">
        <w:rPr>
          <w:rFonts w:ascii="Arial" w:hAnsi="Arial"/>
          <w:rtl/>
        </w:rPr>
        <w:t xml:space="preserve">);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חסן</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10).</w:t>
      </w:r>
    </w:p>
    <w:p w14:paraId="39101158" w14:textId="77777777" w:rsidR="00C040F8" w:rsidRDefault="00C040F8" w:rsidP="00C040F8">
      <w:pPr>
        <w:spacing w:line="360" w:lineRule="auto"/>
        <w:ind w:left="1417" w:right="851" w:hanging="720"/>
        <w:jc w:val="both"/>
        <w:rPr>
          <w:rFonts w:ascii="Arial" w:hAnsi="Arial"/>
          <w:b/>
          <w:bCs/>
          <w:rtl/>
        </w:rPr>
      </w:pPr>
      <w:r>
        <w:rPr>
          <w:rFonts w:ascii="Arial" w:hAnsi="Arial"/>
          <w:b/>
          <w:bCs/>
          <w:rtl/>
        </w:rPr>
        <w:tab/>
      </w:r>
      <w:r w:rsidRPr="0041663E">
        <w:rPr>
          <w:rFonts w:ascii="Arial" w:hAnsi="Arial"/>
          <w:b/>
          <w:bCs/>
          <w:rtl/>
        </w:rPr>
        <w:t xml:space="preserve">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w:t>
      </w:r>
      <w:r w:rsidRPr="0041663E">
        <w:rPr>
          <w:rFonts w:ascii="Arial" w:hAnsi="Arial"/>
          <w:rtl/>
        </w:rPr>
        <w:t xml:space="preserve">התופעה (עניין </w:t>
      </w:r>
      <w:r w:rsidRPr="0041663E">
        <w:rPr>
          <w:rFonts w:ascii="Arial" w:hAnsi="Arial" w:hint="eastAsia"/>
          <w:rtl/>
        </w:rPr>
        <w:t>דהוד</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11;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חסן</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12; עניין </w:t>
      </w:r>
      <w:r w:rsidRPr="0041663E">
        <w:rPr>
          <w:rFonts w:ascii="Arial" w:hAnsi="Arial" w:hint="eastAsia"/>
          <w:rtl/>
        </w:rPr>
        <w:t>עספור</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7).</w:t>
      </w:r>
      <w:r w:rsidRPr="0041663E">
        <w:rPr>
          <w:rFonts w:ascii="Arial" w:hAnsi="Arial"/>
          <w:b/>
          <w:bCs/>
          <w:rtl/>
        </w:rPr>
        <w:t xml:space="preserve">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r w:rsidRPr="0041663E">
        <w:rPr>
          <w:rFonts w:ascii="Arial" w:hAnsi="Arial"/>
          <w:rtl/>
        </w:rPr>
        <w:t>(</w:t>
      </w:r>
      <w:hyperlink r:id="rId14" w:history="1">
        <w:r w:rsidR="00D752EF" w:rsidRPr="00D752EF">
          <w:rPr>
            <w:rFonts w:ascii="Arial" w:hAnsi="Arial"/>
            <w:color w:val="0000FF"/>
            <w:u w:val="single"/>
            <w:rtl/>
          </w:rPr>
          <w:t>ע"פ 5643/14</w:t>
        </w:r>
      </w:hyperlink>
      <w:r w:rsidRPr="0041663E">
        <w:rPr>
          <w:rFonts w:ascii="Arial" w:hAnsi="Arial"/>
          <w:rtl/>
        </w:rPr>
        <w:t xml:space="preserve"> </w:t>
      </w:r>
      <w:r w:rsidRPr="001C73FF">
        <w:rPr>
          <w:rFonts w:ascii="Arial" w:hAnsi="Arial" w:hint="eastAsia"/>
          <w:b/>
          <w:bCs/>
          <w:rtl/>
        </w:rPr>
        <w:t>עיסא</w:t>
      </w:r>
      <w:r w:rsidRPr="0041663E">
        <w:rPr>
          <w:rFonts w:ascii="Arial" w:hAnsi="Arial"/>
          <w:rtl/>
        </w:rPr>
        <w:t xml:space="preserve"> </w:t>
      </w:r>
      <w:r w:rsidRPr="0041663E">
        <w:rPr>
          <w:rFonts w:ascii="Arial" w:hAnsi="Arial" w:hint="eastAsia"/>
          <w:rtl/>
        </w:rPr>
        <w:t>נ</w:t>
      </w:r>
      <w:r w:rsidRPr="0041663E">
        <w:rPr>
          <w:rFonts w:ascii="Arial" w:hAnsi="Arial"/>
          <w:rtl/>
        </w:rPr>
        <w:t xml:space="preserve">' </w:t>
      </w:r>
      <w:r w:rsidRPr="001C73FF">
        <w:rPr>
          <w:rFonts w:ascii="Arial" w:hAnsi="Arial" w:hint="eastAsia"/>
          <w:b/>
          <w:bCs/>
          <w:rtl/>
        </w:rPr>
        <w:t>מדינת</w:t>
      </w:r>
      <w:r w:rsidRPr="001C73FF">
        <w:rPr>
          <w:rFonts w:ascii="Arial" w:hAnsi="Arial"/>
          <w:b/>
          <w:bCs/>
          <w:rtl/>
        </w:rPr>
        <w:t xml:space="preserve"> </w:t>
      </w:r>
      <w:r w:rsidRPr="001C73FF">
        <w:rPr>
          <w:rFonts w:ascii="Arial" w:hAnsi="Arial" w:hint="eastAsia"/>
          <w:b/>
          <w:bCs/>
          <w:rtl/>
        </w:rPr>
        <w:t>ישראל</w:t>
      </w:r>
      <w:r w:rsidRPr="0041663E">
        <w:rPr>
          <w:rFonts w:ascii="Arial" w:hAnsi="Arial"/>
          <w:rtl/>
        </w:rPr>
        <w:t xml:space="preserve"> (23.6.2015) (</w:t>
      </w:r>
      <w:r w:rsidRPr="0041663E">
        <w:rPr>
          <w:rFonts w:ascii="Arial" w:hAnsi="Arial" w:hint="eastAsia"/>
          <w:rtl/>
        </w:rPr>
        <w:t>להלן</w:t>
      </w:r>
      <w:r w:rsidRPr="0041663E">
        <w:rPr>
          <w:rFonts w:ascii="Arial" w:hAnsi="Arial"/>
          <w:rtl/>
        </w:rPr>
        <w:t xml:space="preserve">: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עיסא</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13; </w:t>
      </w:r>
      <w:r w:rsidRPr="0041663E">
        <w:rPr>
          <w:rFonts w:ascii="Arial" w:hAnsi="Arial" w:hint="eastAsia"/>
          <w:rtl/>
        </w:rPr>
        <w:t>עניין</w:t>
      </w:r>
      <w:r w:rsidRPr="0041663E">
        <w:rPr>
          <w:rFonts w:ascii="Arial" w:hAnsi="Arial"/>
          <w:rtl/>
        </w:rPr>
        <w:t xml:space="preserve"> </w:t>
      </w:r>
      <w:r w:rsidRPr="0041663E">
        <w:rPr>
          <w:rFonts w:ascii="Arial" w:hAnsi="Arial" w:hint="eastAsia"/>
          <w:rtl/>
        </w:rPr>
        <w:t>נפאע</w:t>
      </w:r>
      <w:r w:rsidRPr="0041663E">
        <w:rPr>
          <w:rFonts w:ascii="Arial" w:hAnsi="Arial"/>
          <w:rtl/>
        </w:rPr>
        <w:t xml:space="preserve">, </w:t>
      </w:r>
      <w:r w:rsidRPr="0041663E">
        <w:rPr>
          <w:rFonts w:ascii="Arial" w:hAnsi="Arial" w:hint="eastAsia"/>
          <w:rtl/>
        </w:rPr>
        <w:t>פסקה</w:t>
      </w:r>
      <w:r w:rsidRPr="0041663E">
        <w:rPr>
          <w:rFonts w:ascii="Arial" w:hAnsi="Arial"/>
          <w:rtl/>
        </w:rPr>
        <w:t xml:space="preserve"> 5).</w:t>
      </w:r>
      <w:r>
        <w:rPr>
          <w:rFonts w:ascii="Arial" w:hAnsi="Arial" w:hint="cs"/>
          <w:b/>
          <w:bCs/>
          <w:rtl/>
        </w:rPr>
        <w:t>"</w:t>
      </w:r>
    </w:p>
    <w:p w14:paraId="387622CD" w14:textId="77777777" w:rsidR="00C040F8" w:rsidRDefault="00C040F8" w:rsidP="00C040F8">
      <w:pPr>
        <w:spacing w:line="360" w:lineRule="auto"/>
        <w:ind w:left="1417" w:right="851" w:hanging="23"/>
        <w:jc w:val="both"/>
        <w:rPr>
          <w:rFonts w:ascii="Arial" w:hAnsi="Arial"/>
          <w:rtl/>
        </w:rPr>
      </w:pPr>
      <w:r>
        <w:rPr>
          <w:rFonts w:ascii="Arial" w:hAnsi="Arial" w:hint="cs"/>
          <w:rtl/>
        </w:rPr>
        <w:t>(</w:t>
      </w:r>
      <w:hyperlink r:id="rId15" w:history="1">
        <w:r w:rsidR="00D752EF" w:rsidRPr="00D752EF">
          <w:rPr>
            <w:rFonts w:ascii="Arial" w:hAnsi="Arial"/>
            <w:color w:val="0000FF"/>
            <w:u w:val="single"/>
            <w:rtl/>
          </w:rPr>
          <w:t>ע"פ 8045/17</w:t>
        </w:r>
      </w:hyperlink>
      <w:r>
        <w:rPr>
          <w:rFonts w:ascii="Arial" w:hAnsi="Arial" w:hint="cs"/>
          <w:rtl/>
        </w:rPr>
        <w:t xml:space="preserve"> </w:t>
      </w:r>
      <w:r w:rsidRPr="006314BC">
        <w:rPr>
          <w:rFonts w:ascii="Arial" w:hAnsi="Arial" w:hint="cs"/>
          <w:b/>
          <w:bCs/>
          <w:rtl/>
        </w:rPr>
        <w:t>בראנסי</w:t>
      </w:r>
      <w:r>
        <w:rPr>
          <w:rFonts w:ascii="Arial" w:hAnsi="Arial" w:hint="cs"/>
          <w:rtl/>
        </w:rPr>
        <w:t xml:space="preserve"> נ' </w:t>
      </w:r>
      <w:r w:rsidRPr="006314BC">
        <w:rPr>
          <w:rFonts w:ascii="Arial" w:hAnsi="Arial" w:hint="cs"/>
          <w:b/>
          <w:bCs/>
          <w:rtl/>
        </w:rPr>
        <w:t>מדינת ישראל</w:t>
      </w:r>
      <w:r>
        <w:rPr>
          <w:rFonts w:ascii="Arial" w:hAnsi="Arial" w:hint="cs"/>
          <w:rtl/>
        </w:rPr>
        <w:t xml:space="preserve"> (16.8.18)).</w:t>
      </w:r>
    </w:p>
    <w:p w14:paraId="2721F767" w14:textId="77777777" w:rsidR="00C040F8" w:rsidRDefault="00C040F8" w:rsidP="00C040F8">
      <w:pPr>
        <w:spacing w:line="360" w:lineRule="auto"/>
        <w:ind w:left="720" w:hanging="720"/>
        <w:jc w:val="both"/>
        <w:rPr>
          <w:rFonts w:ascii="Arial" w:hAnsi="Arial"/>
          <w:rtl/>
        </w:rPr>
      </w:pPr>
    </w:p>
    <w:p w14:paraId="5D1CF798" w14:textId="77777777" w:rsidR="00C040F8" w:rsidRDefault="00C040F8" w:rsidP="00C040F8">
      <w:pPr>
        <w:spacing w:line="360" w:lineRule="auto"/>
        <w:ind w:left="720" w:hanging="23"/>
        <w:jc w:val="both"/>
        <w:rPr>
          <w:rFonts w:ascii="Arial" w:hAnsi="Arial"/>
          <w:rtl/>
        </w:rPr>
      </w:pPr>
      <w:r>
        <w:rPr>
          <w:rFonts w:ascii="Arial" w:hAnsi="Arial" w:hint="cs"/>
          <w:rtl/>
        </w:rPr>
        <w:t xml:space="preserve"> ובעניין </w:t>
      </w:r>
      <w:r>
        <w:rPr>
          <w:rFonts w:ascii="Arial" w:hAnsi="Arial" w:hint="cs"/>
          <w:b/>
          <w:bCs/>
          <w:rtl/>
        </w:rPr>
        <w:t xml:space="preserve">הייבי </w:t>
      </w:r>
      <w:r w:rsidRPr="00820FD9">
        <w:rPr>
          <w:rFonts w:ascii="Arial" w:hAnsi="Arial" w:hint="cs"/>
          <w:rtl/>
        </w:rPr>
        <w:t>נפסק כי:</w:t>
      </w:r>
      <w:r>
        <w:rPr>
          <w:rFonts w:ascii="Arial" w:hAnsi="Arial" w:hint="cs"/>
          <w:b/>
          <w:bCs/>
          <w:rtl/>
        </w:rPr>
        <w:t xml:space="preserve"> </w:t>
      </w:r>
    </w:p>
    <w:p w14:paraId="3B535F81" w14:textId="77777777" w:rsidR="00C040F8" w:rsidRDefault="00C040F8" w:rsidP="00C040F8">
      <w:pPr>
        <w:spacing w:line="360" w:lineRule="auto"/>
        <w:ind w:left="720" w:hanging="720"/>
        <w:jc w:val="both"/>
        <w:rPr>
          <w:rFonts w:ascii="Arial" w:hAnsi="Arial"/>
          <w:rtl/>
        </w:rPr>
      </w:pPr>
    </w:p>
    <w:p w14:paraId="0883B72D" w14:textId="77777777" w:rsidR="00C040F8" w:rsidRDefault="00C040F8" w:rsidP="00C040F8">
      <w:pPr>
        <w:spacing w:line="360" w:lineRule="auto"/>
        <w:ind w:left="1417" w:right="851" w:hanging="720"/>
        <w:jc w:val="both"/>
        <w:rPr>
          <w:rFonts w:ascii="Arial" w:hAnsi="Arial"/>
          <w:b/>
          <w:bCs/>
          <w:rtl/>
        </w:rPr>
      </w:pPr>
      <w:r>
        <w:rPr>
          <w:rFonts w:ascii="Arial" w:hAnsi="Arial"/>
          <w:rtl/>
        </w:rPr>
        <w:tab/>
      </w:r>
      <w:r>
        <w:rPr>
          <w:rFonts w:ascii="Arial" w:hAnsi="Arial" w:hint="cs"/>
          <w:b/>
          <w:bCs/>
          <w:rtl/>
        </w:rPr>
        <w:t xml:space="preserve">"עבירות בנשק חומרתן מכופלת, הן בעצם המעבר על החוק והן ובמוטעם במאטריה הספציפית; נשק שאינו כדין, קרי </w:t>
      </w:r>
      <w:r>
        <w:rPr>
          <w:rFonts w:ascii="Arial" w:hAnsi="Arial"/>
          <w:b/>
          <w:bCs/>
          <w:rtl/>
        </w:rPr>
        <w:t>–</w:t>
      </w:r>
      <w:r>
        <w:rPr>
          <w:rFonts w:ascii="Arial" w:hAnsi="Arial" w:hint="cs"/>
          <w:b/>
          <w:bCs/>
          <w:rtl/>
        </w:rPr>
        <w:t xml:space="preserve"> ברישיון כדבעי, מועד לפורענות. זכורה האמירה, אם ראית במחזה תיאטרון אקדח במערכה הראשונה, סופו שיירה במערכה השנייה או השלישית. הימצאו של נשק בידיים לא נכונות, עלול להביא בסופו של יום אף לקיפוד חיי אדם ר"ל".</w:t>
      </w:r>
    </w:p>
    <w:p w14:paraId="4016EE9F" w14:textId="77777777" w:rsidR="00C040F8" w:rsidRPr="00D85E65" w:rsidRDefault="00C040F8" w:rsidP="00C040F8">
      <w:pPr>
        <w:spacing w:line="360" w:lineRule="auto"/>
        <w:ind w:left="1417" w:right="851" w:hanging="720"/>
        <w:jc w:val="both"/>
        <w:rPr>
          <w:rFonts w:ascii="Arial" w:hAnsi="Arial"/>
          <w:rtl/>
        </w:rPr>
      </w:pPr>
      <w:r>
        <w:rPr>
          <w:rFonts w:ascii="Arial" w:hAnsi="Arial"/>
          <w:b/>
          <w:bCs/>
          <w:rtl/>
        </w:rPr>
        <w:tab/>
      </w:r>
      <w:r>
        <w:rPr>
          <w:rFonts w:ascii="Arial" w:hAnsi="Arial" w:hint="cs"/>
          <w:b/>
          <w:bCs/>
          <w:rtl/>
        </w:rPr>
        <w:t>(</w:t>
      </w:r>
      <w:hyperlink r:id="rId16" w:history="1">
        <w:r w:rsidR="00D752EF" w:rsidRPr="00D752EF">
          <w:rPr>
            <w:rFonts w:ascii="Arial" w:hAnsi="Arial"/>
            <w:color w:val="0000FF"/>
            <w:u w:val="single"/>
            <w:rtl/>
          </w:rPr>
          <w:t>ע"פ 6371/11</w:t>
        </w:r>
      </w:hyperlink>
      <w:r>
        <w:rPr>
          <w:rFonts w:ascii="Arial" w:hAnsi="Arial" w:hint="cs"/>
          <w:rtl/>
        </w:rPr>
        <w:t xml:space="preserve"> </w:t>
      </w:r>
      <w:r>
        <w:rPr>
          <w:rFonts w:ascii="Arial" w:hAnsi="Arial" w:hint="cs"/>
          <w:b/>
          <w:bCs/>
          <w:rtl/>
        </w:rPr>
        <w:t xml:space="preserve">מדינת ישראל </w:t>
      </w:r>
      <w:r>
        <w:rPr>
          <w:rFonts w:ascii="Arial" w:hAnsi="Arial" w:hint="cs"/>
          <w:rtl/>
        </w:rPr>
        <w:t>נ'</w:t>
      </w:r>
      <w:r>
        <w:rPr>
          <w:rFonts w:ascii="Arial" w:hAnsi="Arial" w:hint="cs"/>
          <w:b/>
          <w:bCs/>
          <w:rtl/>
        </w:rPr>
        <w:t xml:space="preserve"> </w:t>
      </w:r>
      <w:r w:rsidRPr="00D85E65">
        <w:rPr>
          <w:rFonts w:ascii="Arial" w:hAnsi="Arial" w:hint="cs"/>
          <w:b/>
          <w:bCs/>
          <w:rtl/>
        </w:rPr>
        <w:t>אנס הייבי</w:t>
      </w:r>
      <w:r>
        <w:rPr>
          <w:rFonts w:ascii="Arial" w:hAnsi="Arial" w:hint="cs"/>
          <w:b/>
          <w:bCs/>
          <w:rtl/>
        </w:rPr>
        <w:t xml:space="preserve"> </w:t>
      </w:r>
      <w:r>
        <w:rPr>
          <w:rFonts w:ascii="Arial" w:hAnsi="Arial" w:hint="cs"/>
          <w:rtl/>
        </w:rPr>
        <w:t xml:space="preserve"> (18.12.11)). </w:t>
      </w:r>
    </w:p>
    <w:p w14:paraId="4ACD2938" w14:textId="77777777" w:rsidR="00C040F8" w:rsidRDefault="00C040F8" w:rsidP="00C040F8">
      <w:pPr>
        <w:spacing w:line="360" w:lineRule="auto"/>
        <w:ind w:left="720" w:hanging="720"/>
        <w:rPr>
          <w:rtl/>
        </w:rPr>
      </w:pPr>
    </w:p>
    <w:p w14:paraId="3BB332EB" w14:textId="77777777" w:rsidR="00C040F8" w:rsidRDefault="00C040F8" w:rsidP="00C040F8">
      <w:pPr>
        <w:spacing w:line="360" w:lineRule="auto"/>
        <w:ind w:left="720" w:hanging="720"/>
        <w:jc w:val="both"/>
        <w:rPr>
          <w:rtl/>
        </w:rPr>
      </w:pPr>
      <w:r>
        <w:rPr>
          <w:rtl/>
        </w:rPr>
        <w:tab/>
      </w:r>
      <w:r>
        <w:rPr>
          <w:rFonts w:hint="cs"/>
          <w:rtl/>
        </w:rPr>
        <w:t xml:space="preserve">בעניין </w:t>
      </w:r>
      <w:r w:rsidRPr="00D0468F">
        <w:rPr>
          <w:rFonts w:hint="cs"/>
          <w:b/>
          <w:bCs/>
          <w:rtl/>
        </w:rPr>
        <w:t>סלימאן</w:t>
      </w:r>
      <w:r>
        <w:rPr>
          <w:rFonts w:hint="cs"/>
          <w:rtl/>
        </w:rPr>
        <w:t xml:space="preserve"> עמדה כב' השופטת ארבל על המדרג הסטטוטורי של עבירות הנשק לפי חומרתן:</w:t>
      </w:r>
    </w:p>
    <w:p w14:paraId="64B53896" w14:textId="77777777" w:rsidR="00C040F8" w:rsidRDefault="00C040F8" w:rsidP="00C040F8">
      <w:pPr>
        <w:spacing w:line="360" w:lineRule="auto"/>
        <w:ind w:left="720" w:hanging="720"/>
        <w:jc w:val="both"/>
        <w:rPr>
          <w:rtl/>
        </w:rPr>
      </w:pPr>
    </w:p>
    <w:p w14:paraId="1748BCD1" w14:textId="77777777" w:rsidR="00C040F8" w:rsidRDefault="00C040F8" w:rsidP="00C040F8">
      <w:pPr>
        <w:spacing w:line="360" w:lineRule="auto"/>
        <w:ind w:left="1417" w:right="851"/>
        <w:jc w:val="both"/>
        <w:rPr>
          <w:b/>
          <w:bCs/>
          <w:rtl/>
        </w:rPr>
      </w:pPr>
      <w:r>
        <w:rPr>
          <w:rFonts w:hint="cs"/>
          <w:b/>
          <w:bCs/>
          <w:rtl/>
        </w:rPr>
        <w:t>"</w:t>
      </w:r>
      <w:r w:rsidRPr="00D0468F">
        <w:rPr>
          <w:sz w:val="20"/>
          <w:rtl/>
        </w:rPr>
        <w:t xml:space="preserve"> </w:t>
      </w:r>
      <w:r w:rsidRPr="00D0468F">
        <w:rPr>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w:t>
      </w:r>
      <w:r>
        <w:rPr>
          <w:rFonts w:hint="cs"/>
          <w:b/>
          <w:bCs/>
          <w:rtl/>
        </w:rPr>
        <w:t>"</w:t>
      </w:r>
    </w:p>
    <w:p w14:paraId="5C806E19" w14:textId="77777777" w:rsidR="00C040F8" w:rsidRPr="00D0468F" w:rsidRDefault="00C040F8" w:rsidP="00C040F8">
      <w:pPr>
        <w:spacing w:line="360" w:lineRule="auto"/>
        <w:ind w:left="1417" w:right="851"/>
        <w:jc w:val="both"/>
        <w:rPr>
          <w:rtl/>
        </w:rPr>
      </w:pPr>
      <w:r>
        <w:rPr>
          <w:rFonts w:hint="cs"/>
          <w:rtl/>
        </w:rPr>
        <w:t>(</w:t>
      </w:r>
      <w:hyperlink r:id="rId17" w:history="1">
        <w:r w:rsidR="00D752EF" w:rsidRPr="00D752EF">
          <w:rPr>
            <w:color w:val="0000FF"/>
            <w:u w:val="single"/>
            <w:rtl/>
          </w:rPr>
          <w:t>ע"פ 4945/13</w:t>
        </w:r>
      </w:hyperlink>
      <w:r>
        <w:rPr>
          <w:rFonts w:hint="cs"/>
          <w:rtl/>
        </w:rPr>
        <w:t xml:space="preserve"> </w:t>
      </w:r>
      <w:r w:rsidRPr="00D0468F">
        <w:rPr>
          <w:rFonts w:hint="cs"/>
          <w:b/>
          <w:bCs/>
          <w:rtl/>
        </w:rPr>
        <w:t>מדינת ישראל</w:t>
      </w:r>
      <w:r>
        <w:rPr>
          <w:rFonts w:hint="cs"/>
          <w:rtl/>
        </w:rPr>
        <w:t xml:space="preserve"> נ' </w:t>
      </w:r>
      <w:r w:rsidRPr="00D0468F">
        <w:rPr>
          <w:rFonts w:hint="cs"/>
          <w:b/>
          <w:bCs/>
          <w:rtl/>
        </w:rPr>
        <w:t>סלימאן</w:t>
      </w:r>
      <w:r>
        <w:rPr>
          <w:rFonts w:hint="cs"/>
          <w:rtl/>
        </w:rPr>
        <w:t xml:space="preserve">  (19.1.14)).</w:t>
      </w:r>
    </w:p>
    <w:p w14:paraId="460C9C8F" w14:textId="77777777" w:rsidR="00C040F8" w:rsidRDefault="00C040F8" w:rsidP="00C040F8">
      <w:pPr>
        <w:spacing w:line="360" w:lineRule="auto"/>
        <w:ind w:left="720"/>
        <w:jc w:val="both"/>
        <w:rPr>
          <w:rtl/>
        </w:rPr>
      </w:pPr>
    </w:p>
    <w:p w14:paraId="6CDEEDDE" w14:textId="77777777" w:rsidR="00C040F8" w:rsidRDefault="00C040F8" w:rsidP="00C040F8">
      <w:pPr>
        <w:spacing w:line="360" w:lineRule="auto"/>
        <w:ind w:left="720"/>
        <w:jc w:val="both"/>
        <w:rPr>
          <w:rtl/>
        </w:rPr>
      </w:pPr>
      <w:r>
        <w:rPr>
          <w:rFonts w:hint="cs"/>
          <w:rtl/>
        </w:rPr>
        <w:t>ב</w:t>
      </w:r>
      <w:hyperlink r:id="rId18" w:history="1">
        <w:r w:rsidR="00D752EF" w:rsidRPr="00D752EF">
          <w:rPr>
            <w:color w:val="0000FF"/>
            <w:u w:val="single"/>
            <w:rtl/>
          </w:rPr>
          <w:t>ב"ש 625/82 אבו מוך נ' מדינת ישראל (פ"ד לז</w:t>
        </w:r>
      </w:hyperlink>
      <w:r>
        <w:rPr>
          <w:rFonts w:hint="cs"/>
          <w:rtl/>
        </w:rPr>
        <w:t xml:space="preserve"> (3) 668 (1983)), ערך בית המשפט העליון מדרג של עבירות החזקת נשק לפי חומרת נסיבותיהן, כאשר בראש הרשימה מבחינת החומרה, ניצבות עבירות של החזקת נשק שבוצעו במטרה לפגוע בביטחון המדינה או הציבור, או לשם ביצוע עבירה פלילית ספציפית, באמצע הרשימה נמצאות עבירות של החזקת נשק שבוצעו לשם צבירת נשק לעת מצוא או לשם הגנה עצמית, ובתחתית הרשימה נמצאות עבירות שבוצעו על רקע של החזקת נשק לשם ספורט או כתחביב ועבירה של החזקת נשק שפג תוקף רישיונו. מדרג זה רלוונטי, בשינויים המחוייבים, גם לענייננו, למרות שהנאשם לא הורשע בעבירה של החזקת נשק, והוא  משמש את בתי המשפט עד היום (ראו – ע"פ 1332/04 </w:t>
      </w:r>
      <w:r>
        <w:rPr>
          <w:rFonts w:hint="cs"/>
          <w:b/>
          <w:bCs/>
          <w:rtl/>
        </w:rPr>
        <w:t xml:space="preserve">מדינת ישראל </w:t>
      </w:r>
      <w:r>
        <w:rPr>
          <w:rFonts w:hint="cs"/>
          <w:rtl/>
        </w:rPr>
        <w:t xml:space="preserve">נ' </w:t>
      </w:r>
      <w:r>
        <w:rPr>
          <w:rFonts w:hint="cs"/>
          <w:b/>
          <w:bCs/>
          <w:rtl/>
        </w:rPr>
        <w:t>פס</w:t>
      </w:r>
      <w:r>
        <w:rPr>
          <w:rFonts w:hint="cs"/>
          <w:rtl/>
        </w:rPr>
        <w:t xml:space="preserve"> (19.4.04), וכן למשל - </w:t>
      </w:r>
      <w:hyperlink r:id="rId19" w:history="1">
        <w:r w:rsidR="00D752EF" w:rsidRPr="00D752EF">
          <w:rPr>
            <w:color w:val="0000FF"/>
            <w:u w:val="single"/>
            <w:rtl/>
          </w:rPr>
          <w:t>ת"פ (חיפה) 57965-03-15</w:t>
        </w:r>
      </w:hyperlink>
      <w:r>
        <w:rPr>
          <w:rFonts w:hint="cs"/>
          <w:rtl/>
        </w:rPr>
        <w:t xml:space="preserve"> </w:t>
      </w:r>
      <w:r>
        <w:rPr>
          <w:rFonts w:hint="cs"/>
          <w:b/>
          <w:bCs/>
          <w:rtl/>
        </w:rPr>
        <w:t>מדינת ישראל</w:t>
      </w:r>
      <w:r>
        <w:rPr>
          <w:rFonts w:hint="cs"/>
          <w:rtl/>
        </w:rPr>
        <w:t xml:space="preserve"> נ' </w:t>
      </w:r>
      <w:r>
        <w:rPr>
          <w:rFonts w:hint="cs"/>
          <w:b/>
          <w:bCs/>
          <w:rtl/>
        </w:rPr>
        <w:t>אגברייה</w:t>
      </w:r>
      <w:r>
        <w:rPr>
          <w:rFonts w:hint="cs"/>
          <w:rtl/>
        </w:rPr>
        <w:t xml:space="preserve">] (15.1.15), ו- </w:t>
      </w:r>
      <w:hyperlink r:id="rId20" w:history="1">
        <w:r w:rsidR="00D752EF" w:rsidRPr="00D752EF">
          <w:rPr>
            <w:color w:val="0000FF"/>
            <w:u w:val="single"/>
            <w:rtl/>
          </w:rPr>
          <w:t>ת"פ (ירושלים) 2106/06</w:t>
        </w:r>
      </w:hyperlink>
      <w:r>
        <w:rPr>
          <w:rFonts w:hint="cs"/>
          <w:rtl/>
        </w:rPr>
        <w:t xml:space="preserve"> </w:t>
      </w:r>
      <w:r>
        <w:rPr>
          <w:rFonts w:hint="cs"/>
          <w:b/>
          <w:bCs/>
          <w:rtl/>
        </w:rPr>
        <w:t>מדינת ישראל</w:t>
      </w:r>
      <w:r>
        <w:rPr>
          <w:rFonts w:hint="cs"/>
          <w:rtl/>
        </w:rPr>
        <w:t xml:space="preserve"> נ' </w:t>
      </w:r>
      <w:r>
        <w:rPr>
          <w:rFonts w:hint="cs"/>
          <w:b/>
          <w:bCs/>
          <w:rtl/>
        </w:rPr>
        <w:t>רקח</w:t>
      </w:r>
      <w:r>
        <w:rPr>
          <w:rFonts w:hint="cs"/>
          <w:rtl/>
        </w:rPr>
        <w:t xml:space="preserve"> (10.5.07)). בהמשך לכל האמור לעיל, נפסק כי בכפוף לנסיבות כל מקרה ומקרה הענישה בעבירות נשק צריכה לכלול בדרך כלל רכיב של מאסר בפועל (ראו - </w:t>
      </w:r>
      <w:hyperlink r:id="rId21" w:history="1">
        <w:r w:rsidR="00C67C35" w:rsidRPr="00C67C35">
          <w:rPr>
            <w:color w:val="0000FF"/>
            <w:u w:val="single"/>
            <w:rtl/>
          </w:rPr>
          <w:t xml:space="preserve">ע"פ 1332/04 </w:t>
        </w:r>
      </w:hyperlink>
      <w:r>
        <w:rPr>
          <w:rFonts w:hint="cs"/>
          <w:rtl/>
        </w:rPr>
        <w:t xml:space="preserve"> </w:t>
      </w:r>
      <w:r>
        <w:rPr>
          <w:rFonts w:hint="cs"/>
          <w:b/>
          <w:bCs/>
          <w:rtl/>
        </w:rPr>
        <w:t xml:space="preserve">מדינת ישראל </w:t>
      </w:r>
      <w:r>
        <w:rPr>
          <w:rFonts w:hint="cs"/>
          <w:rtl/>
        </w:rPr>
        <w:t xml:space="preserve">נ' </w:t>
      </w:r>
      <w:r>
        <w:rPr>
          <w:rFonts w:hint="cs"/>
          <w:b/>
          <w:bCs/>
          <w:rtl/>
        </w:rPr>
        <w:t>פס</w:t>
      </w:r>
      <w:r>
        <w:rPr>
          <w:rFonts w:hint="cs"/>
          <w:rtl/>
        </w:rPr>
        <w:t xml:space="preserve"> (19.4.04); </w:t>
      </w:r>
      <w:hyperlink r:id="rId22" w:history="1">
        <w:r w:rsidR="00D752EF" w:rsidRPr="00D752EF">
          <w:rPr>
            <w:color w:val="0000FF"/>
            <w:u w:val="single"/>
            <w:rtl/>
          </w:rPr>
          <w:t>ע"פ 5220/09</w:t>
        </w:r>
      </w:hyperlink>
      <w:r>
        <w:rPr>
          <w:rFonts w:hint="cs"/>
          <w:rtl/>
        </w:rPr>
        <w:t xml:space="preserve"> </w:t>
      </w:r>
      <w:r>
        <w:rPr>
          <w:rFonts w:hint="cs"/>
          <w:b/>
          <w:bCs/>
          <w:rtl/>
        </w:rPr>
        <w:t xml:space="preserve">עוואודה </w:t>
      </w:r>
      <w:r>
        <w:rPr>
          <w:rFonts w:hint="cs"/>
          <w:rtl/>
        </w:rPr>
        <w:t xml:space="preserve">נ' </w:t>
      </w:r>
      <w:r>
        <w:rPr>
          <w:rFonts w:hint="cs"/>
          <w:b/>
          <w:bCs/>
          <w:rtl/>
        </w:rPr>
        <w:t>מדינת ישראל</w:t>
      </w:r>
      <w:r>
        <w:rPr>
          <w:rFonts w:hint="cs"/>
          <w:rtl/>
        </w:rPr>
        <w:t xml:space="preserve"> (30.12.09); ולאחרונה - </w:t>
      </w:r>
      <w:hyperlink r:id="rId23" w:history="1">
        <w:r w:rsidR="00D752EF" w:rsidRPr="00D752EF">
          <w:rPr>
            <w:color w:val="0000FF"/>
            <w:u w:val="single"/>
            <w:rtl/>
          </w:rPr>
          <w:t>ע"פ 9702/16</w:t>
        </w:r>
      </w:hyperlink>
      <w:r>
        <w:rPr>
          <w:rFonts w:hint="cs"/>
          <w:rtl/>
        </w:rPr>
        <w:t xml:space="preserve"> </w:t>
      </w:r>
      <w:r>
        <w:rPr>
          <w:rFonts w:hint="cs"/>
          <w:b/>
          <w:bCs/>
          <w:rtl/>
        </w:rPr>
        <w:t xml:space="preserve">אילוליאיה </w:t>
      </w:r>
      <w:r>
        <w:rPr>
          <w:rFonts w:hint="cs"/>
          <w:rtl/>
        </w:rPr>
        <w:t>נ'</w:t>
      </w:r>
      <w:r>
        <w:rPr>
          <w:rFonts w:hint="cs"/>
          <w:b/>
          <w:bCs/>
          <w:rtl/>
        </w:rPr>
        <w:t xml:space="preserve"> מדינת ישראל </w:t>
      </w:r>
      <w:r>
        <w:rPr>
          <w:rFonts w:hint="cs"/>
          <w:rtl/>
        </w:rPr>
        <w:t>(13.9.17)).</w:t>
      </w:r>
    </w:p>
    <w:p w14:paraId="3F584846" w14:textId="77777777" w:rsidR="00C040F8" w:rsidRDefault="00C040F8" w:rsidP="00C040F8">
      <w:pPr>
        <w:spacing w:line="360" w:lineRule="auto"/>
        <w:ind w:left="720"/>
        <w:jc w:val="both"/>
        <w:rPr>
          <w:rtl/>
        </w:rPr>
      </w:pPr>
    </w:p>
    <w:p w14:paraId="38D96B30" w14:textId="77777777" w:rsidR="00C040F8" w:rsidRDefault="00C040F8" w:rsidP="00C040F8">
      <w:pPr>
        <w:spacing w:line="360" w:lineRule="auto"/>
        <w:ind w:left="720" w:hanging="720"/>
        <w:jc w:val="both"/>
        <w:rPr>
          <w:rtl/>
        </w:rPr>
      </w:pPr>
      <w:r>
        <w:rPr>
          <w:rFonts w:hint="cs"/>
          <w:rtl/>
        </w:rPr>
        <w:t>8.</w:t>
      </w:r>
      <w:r>
        <w:rPr>
          <w:rFonts w:hint="cs"/>
          <w:rtl/>
        </w:rPr>
        <w:tab/>
        <w:t>אשר לענישה הנוהגת - ב"כ המאשימה הפנתה ל</w:t>
      </w:r>
      <w:hyperlink r:id="rId24" w:history="1">
        <w:r w:rsidR="00D752EF" w:rsidRPr="00D752EF">
          <w:rPr>
            <w:color w:val="0000FF"/>
            <w:u w:val="single"/>
            <w:rtl/>
          </w:rPr>
          <w:t>ע"פ 3877/16</w:t>
        </w:r>
      </w:hyperlink>
      <w:r>
        <w:rPr>
          <w:rFonts w:hint="cs"/>
          <w:rtl/>
        </w:rPr>
        <w:t xml:space="preserve"> </w:t>
      </w:r>
      <w:r>
        <w:rPr>
          <w:rFonts w:hint="cs"/>
          <w:b/>
          <w:bCs/>
          <w:rtl/>
        </w:rPr>
        <w:t xml:space="preserve">ג'באלי </w:t>
      </w:r>
      <w:r w:rsidRPr="009A5659">
        <w:rPr>
          <w:rFonts w:hint="cs"/>
          <w:rtl/>
        </w:rPr>
        <w:t>נ'</w:t>
      </w:r>
      <w:r>
        <w:rPr>
          <w:rFonts w:hint="cs"/>
          <w:b/>
          <w:bCs/>
          <w:rtl/>
        </w:rPr>
        <w:t xml:space="preserve"> מדינת ישראל</w:t>
      </w:r>
      <w:r>
        <w:rPr>
          <w:rFonts w:hint="cs"/>
          <w:rtl/>
        </w:rPr>
        <w:t xml:space="preserve"> (17.11.16), שם הורשע המערער בעקבות הסדר טיעון בעבירה של נשיאת נשק ונגזר עליו בבית המשפט המחוזי עונש של 34 חודשי מאסר בפועל. בית המשפט העליון דחה את ערעורו של המערער על חומרת העונש. עם זאת, יש לציין שבאותו עניין דובר במערער אשר נטל את האקדח לצורך מפגש עם קרוב משפחתו שעמו היה לו סכסוך, וכן יש לציין כי למערער באותו עניין היה עבר פלילי מכביד. </w:t>
      </w:r>
    </w:p>
    <w:p w14:paraId="07F1EE67" w14:textId="77777777" w:rsidR="00C040F8" w:rsidRDefault="00C040F8" w:rsidP="00C040F8">
      <w:pPr>
        <w:spacing w:line="360" w:lineRule="auto"/>
        <w:ind w:left="720" w:hanging="720"/>
        <w:jc w:val="both"/>
        <w:rPr>
          <w:rtl/>
        </w:rPr>
      </w:pPr>
      <w:r>
        <w:rPr>
          <w:rtl/>
        </w:rPr>
        <w:tab/>
      </w:r>
      <w:r>
        <w:rPr>
          <w:rFonts w:hint="cs"/>
          <w:rtl/>
        </w:rPr>
        <w:t>ב"כ המאשימה הפנתה ל</w:t>
      </w:r>
      <w:hyperlink r:id="rId25" w:history="1">
        <w:r w:rsidR="00D752EF" w:rsidRPr="00D752EF">
          <w:rPr>
            <w:color w:val="0000FF"/>
            <w:u w:val="single"/>
            <w:rtl/>
          </w:rPr>
          <w:t>ע"פ 9373/10</w:t>
        </w:r>
      </w:hyperlink>
      <w:r>
        <w:rPr>
          <w:rFonts w:hint="cs"/>
          <w:rtl/>
        </w:rPr>
        <w:t xml:space="preserve"> </w:t>
      </w:r>
      <w:r w:rsidRPr="009A5659">
        <w:rPr>
          <w:rFonts w:hint="cs"/>
          <w:b/>
          <w:bCs/>
          <w:rtl/>
        </w:rPr>
        <w:t xml:space="preserve">ותד </w:t>
      </w:r>
      <w:r w:rsidRPr="009A5659">
        <w:rPr>
          <w:rFonts w:hint="cs"/>
          <w:rtl/>
        </w:rPr>
        <w:t>נ'</w:t>
      </w:r>
      <w:r w:rsidRPr="009A5659">
        <w:rPr>
          <w:rFonts w:hint="cs"/>
          <w:b/>
          <w:bCs/>
          <w:rtl/>
        </w:rPr>
        <w:t xml:space="preserve"> מדינת ישראל</w:t>
      </w:r>
      <w:r>
        <w:rPr>
          <w:rFonts w:hint="cs"/>
          <w:b/>
          <w:bCs/>
          <w:rtl/>
        </w:rPr>
        <w:t xml:space="preserve"> </w:t>
      </w:r>
      <w:r>
        <w:rPr>
          <w:rFonts w:hint="cs"/>
          <w:rtl/>
        </w:rPr>
        <w:t xml:space="preserve">(14.9.11), שם הורשע המערער בעבירות של החזקת נשק ונשיאת נשק, ונגזר עליו בבית המשפט המחוזי עונש של 50 חודשי מאסר בפועל. בית המשפט העליון קיבל את הערעור והפחית את העונש ל-30 חודשי מאסר בפועל. יש לציין כי במקרה זה הורשע אותו מערער גם בעבירה של החזקת נשק, עבירה שבה לא הורשע הנאשם שלפניי. </w:t>
      </w:r>
    </w:p>
    <w:p w14:paraId="6753905A" w14:textId="77777777" w:rsidR="00C040F8" w:rsidRDefault="00C040F8" w:rsidP="00C040F8">
      <w:pPr>
        <w:spacing w:line="360" w:lineRule="auto"/>
        <w:ind w:left="720" w:hanging="720"/>
        <w:jc w:val="both"/>
        <w:rPr>
          <w:rtl/>
        </w:rPr>
      </w:pPr>
      <w:r>
        <w:rPr>
          <w:rtl/>
        </w:rPr>
        <w:tab/>
      </w:r>
      <w:r>
        <w:rPr>
          <w:rFonts w:hint="cs"/>
          <w:rtl/>
        </w:rPr>
        <w:t>ב</w:t>
      </w:r>
      <w:hyperlink r:id="rId26" w:history="1">
        <w:r w:rsidR="00D752EF" w:rsidRPr="00D752EF">
          <w:rPr>
            <w:color w:val="0000FF"/>
            <w:u w:val="single"/>
            <w:rtl/>
          </w:rPr>
          <w:t>ע"פ 4329/10</w:t>
        </w:r>
      </w:hyperlink>
      <w:r>
        <w:rPr>
          <w:rFonts w:hint="cs"/>
          <w:rtl/>
        </w:rPr>
        <w:t xml:space="preserve"> </w:t>
      </w:r>
      <w:r>
        <w:rPr>
          <w:rFonts w:hint="cs"/>
          <w:b/>
          <w:bCs/>
          <w:rtl/>
        </w:rPr>
        <w:t xml:space="preserve">פלוני </w:t>
      </w:r>
      <w:r>
        <w:rPr>
          <w:rFonts w:hint="cs"/>
          <w:rtl/>
        </w:rPr>
        <w:t xml:space="preserve">נ' </w:t>
      </w:r>
      <w:r>
        <w:rPr>
          <w:rFonts w:hint="cs"/>
          <w:b/>
          <w:bCs/>
          <w:rtl/>
        </w:rPr>
        <w:t>מדינת ישראל</w:t>
      </w:r>
      <w:r>
        <w:rPr>
          <w:rFonts w:hint="cs"/>
          <w:rtl/>
        </w:rPr>
        <w:t xml:space="preserve"> (14.11.10), הורשע המערער על יסוד הודאתו בעבירות של החזקת נשק ונשיאת נשק ונדון לעונש של 16 חודשי מאסר. ערעורו של המערער נדחה לאחר שבית המשפט העליון קבע שהעונש שהשית בית המשפט המחוזי על המערער איננו חמור באופן שמצדיק התערבות. </w:t>
      </w:r>
    </w:p>
    <w:p w14:paraId="0BD5A99C" w14:textId="77777777" w:rsidR="00C040F8" w:rsidRDefault="00C040F8" w:rsidP="00C040F8">
      <w:pPr>
        <w:spacing w:line="360" w:lineRule="auto"/>
        <w:ind w:left="720" w:hanging="720"/>
        <w:jc w:val="both"/>
        <w:rPr>
          <w:rtl/>
        </w:rPr>
      </w:pPr>
      <w:r>
        <w:rPr>
          <w:rtl/>
        </w:rPr>
        <w:tab/>
      </w:r>
      <w:r>
        <w:rPr>
          <w:rFonts w:hint="cs"/>
          <w:rtl/>
        </w:rPr>
        <w:t>ב</w:t>
      </w:r>
      <w:hyperlink r:id="rId27" w:history="1">
        <w:r w:rsidR="00D752EF" w:rsidRPr="00D752EF">
          <w:rPr>
            <w:color w:val="0000FF"/>
            <w:u w:val="single"/>
            <w:rtl/>
          </w:rPr>
          <w:t>ע"פ 5900/15</w:t>
        </w:r>
      </w:hyperlink>
      <w:r>
        <w:rPr>
          <w:rFonts w:hint="cs"/>
          <w:rtl/>
        </w:rPr>
        <w:t xml:space="preserve"> </w:t>
      </w:r>
      <w:r w:rsidRPr="00A44A99">
        <w:rPr>
          <w:rFonts w:hint="cs"/>
          <w:b/>
          <w:bCs/>
          <w:rtl/>
        </w:rPr>
        <w:t>מעוז</w:t>
      </w:r>
      <w:r>
        <w:rPr>
          <w:rFonts w:hint="cs"/>
          <w:rtl/>
        </w:rPr>
        <w:t xml:space="preserve"> נ' </w:t>
      </w:r>
      <w:r w:rsidRPr="00A44A99">
        <w:rPr>
          <w:rFonts w:hint="cs"/>
          <w:b/>
          <w:bCs/>
          <w:rtl/>
        </w:rPr>
        <w:t>מדינת ישראל</w:t>
      </w:r>
      <w:r>
        <w:rPr>
          <w:rFonts w:hint="cs"/>
          <w:rtl/>
        </w:rPr>
        <w:t xml:space="preserve"> (10.5.16), הורשע המערער על יסוד הודאתו בעבירות של החזקת נשק, נשיאת נשק וסיוע להחזקת נשק. באותו מקרה כתב האישום עסק ברובה ובאקדח עם מחסנית וכדורים אשר נרכשו לצורך פגיעה באנשים שהיו מסוכסכים עם חברו של המערער. בית המשפט המחוזי גזר על המערער עונש של 34 חודשי מאסר בפועל, ובית המשפט העליון דחה את ערעורו של המערער. יצוין שעניין </w:t>
      </w:r>
      <w:r w:rsidRPr="00C32195">
        <w:rPr>
          <w:rFonts w:hint="cs"/>
          <w:b/>
          <w:bCs/>
          <w:rtl/>
        </w:rPr>
        <w:t>מעוז</w:t>
      </w:r>
      <w:r>
        <w:rPr>
          <w:rFonts w:hint="cs"/>
          <w:rtl/>
        </w:rPr>
        <w:t xml:space="preserve"> חמור מהמקרה של הנאשם שלפניי כיוון שבאותו עניין היה מדובר בעבירות חמורות יותר שנעברו בקשר עם שני כלי נשק, שאחד מהם היה רובה. </w:t>
      </w:r>
    </w:p>
    <w:p w14:paraId="1ED88224" w14:textId="77777777" w:rsidR="00C040F8" w:rsidRDefault="00C040F8" w:rsidP="00C040F8">
      <w:pPr>
        <w:spacing w:line="360" w:lineRule="auto"/>
        <w:ind w:left="720" w:hanging="720"/>
        <w:jc w:val="both"/>
        <w:rPr>
          <w:rtl/>
        </w:rPr>
      </w:pPr>
      <w:r>
        <w:rPr>
          <w:rtl/>
        </w:rPr>
        <w:tab/>
      </w:r>
      <w:r>
        <w:rPr>
          <w:rFonts w:hint="cs"/>
          <w:rtl/>
        </w:rPr>
        <w:t>ב"כ המאשימה הפנתה גם לגזר דיני שניתן ב</w:t>
      </w:r>
      <w:hyperlink r:id="rId28" w:history="1">
        <w:r w:rsidR="00D752EF" w:rsidRPr="00D752EF">
          <w:rPr>
            <w:color w:val="0000FF"/>
            <w:u w:val="single"/>
            <w:rtl/>
          </w:rPr>
          <w:t>ת"פ (מחוזי י-ם) 52219-06-17</w:t>
        </w:r>
      </w:hyperlink>
      <w:r>
        <w:rPr>
          <w:rFonts w:hint="cs"/>
          <w:rtl/>
        </w:rPr>
        <w:t xml:space="preserve"> </w:t>
      </w:r>
      <w:r>
        <w:rPr>
          <w:rFonts w:hint="cs"/>
          <w:b/>
          <w:bCs/>
          <w:rtl/>
        </w:rPr>
        <w:t xml:space="preserve">מדינת ישראל </w:t>
      </w:r>
      <w:r>
        <w:rPr>
          <w:rFonts w:hint="cs"/>
          <w:rtl/>
        </w:rPr>
        <w:t xml:space="preserve">נ' </w:t>
      </w:r>
      <w:r>
        <w:rPr>
          <w:rFonts w:hint="cs"/>
          <w:b/>
          <w:bCs/>
          <w:rtl/>
        </w:rPr>
        <w:t>נורי</w:t>
      </w:r>
      <w:r>
        <w:rPr>
          <w:rFonts w:hint="cs"/>
          <w:rtl/>
        </w:rPr>
        <w:t xml:space="preserve"> (20.3.18), שם נגזר על הנאשם עונש של 38 חודשי מאסר בפועל. ואולם, שם היה מדובר בנאשם אשר הורשע בעבירה של נשיאת נשק בגין כך שניסה להעביר שני מטעני נפץ מאולתרים מישראל לשטחים, וכמו כן לאותו נאשם היה עבר פלילי מכביד שכלל 19 הרשעות קודמות. </w:t>
      </w:r>
    </w:p>
    <w:p w14:paraId="730568F4" w14:textId="77777777" w:rsidR="00C040F8" w:rsidRDefault="00C040F8" w:rsidP="00C040F8">
      <w:pPr>
        <w:spacing w:line="360" w:lineRule="auto"/>
        <w:ind w:left="720" w:hanging="720"/>
        <w:jc w:val="both"/>
        <w:rPr>
          <w:rtl/>
        </w:rPr>
      </w:pPr>
      <w:r>
        <w:rPr>
          <w:rtl/>
        </w:rPr>
        <w:tab/>
      </w:r>
      <w:r>
        <w:rPr>
          <w:rFonts w:hint="cs"/>
          <w:rtl/>
        </w:rPr>
        <w:t>ב"כ הנאשם הפנה ל</w:t>
      </w:r>
      <w:hyperlink r:id="rId29" w:history="1">
        <w:r w:rsidR="00D752EF" w:rsidRPr="00D752EF">
          <w:rPr>
            <w:color w:val="0000FF"/>
            <w:u w:val="single"/>
            <w:rtl/>
          </w:rPr>
          <w:t>ע"פ 5681/14</w:t>
        </w:r>
      </w:hyperlink>
      <w:r>
        <w:rPr>
          <w:rFonts w:hint="cs"/>
          <w:rtl/>
        </w:rPr>
        <w:t xml:space="preserve"> </w:t>
      </w:r>
      <w:r>
        <w:rPr>
          <w:rFonts w:hint="cs"/>
          <w:b/>
          <w:bCs/>
          <w:rtl/>
        </w:rPr>
        <w:t xml:space="preserve">מדינת ישראל </w:t>
      </w:r>
      <w:r>
        <w:rPr>
          <w:rFonts w:hint="cs"/>
          <w:rtl/>
        </w:rPr>
        <w:t xml:space="preserve">נ' </w:t>
      </w:r>
      <w:r>
        <w:rPr>
          <w:rFonts w:hint="cs"/>
          <w:b/>
          <w:bCs/>
          <w:rtl/>
        </w:rPr>
        <w:t>טאטור</w:t>
      </w:r>
      <w:r>
        <w:rPr>
          <w:rFonts w:hint="cs"/>
          <w:rtl/>
        </w:rPr>
        <w:t xml:space="preserve"> (1.2.15), שם הורשע המשיב על יסוד הודאתו בכתב אישום מתוקן בעבירות של רכישה והחזקת נשק, וכן בעבירות של נשיאה והובלת נשק והפרעה לשוטר בשעת מילוי תפקידו. באותו מקרה היה מדובר במשיב אשר רכש אקדח יחד עם 11 כדורי סרק וכדור חי אחד אשר היה במצב "הכנס" כאשר נתפס המשיב. בית המשפט המחוזי גזר על המשיב עונש של 18 חודשי מאסר, מהם 6 חודשים לריצוי בעבודות שירות והיתרה על תנאי, זאת לאחר שסבר כי משיקולי שיקום ועבר נקי יש לסטות לקולא ממתחם העונש ההולם, אשר הועמד על 36-10 חודשי מאסר בפועל. בית המשפט העליון קיבל את ערעורה של המדינה והעמיד את עונשו של המשיב על 20 חודשי מאסר, מהם 8 חודשים לריצוי בפועל ו-12 חודשים לריצוי על תנאי. בית המשפט העליון הדגיש כי חרף קבלת הערעור הוא איננו מתערב במתחם העונש ההולם שקבע בית המשפט המחוזי, וכן הודגש כי העונש שנגזר במסגרת הערעור איננו ממצה את הדין עם הנאשם. </w:t>
      </w:r>
    </w:p>
    <w:p w14:paraId="31985C97" w14:textId="77777777" w:rsidR="00C040F8" w:rsidRDefault="00C040F8" w:rsidP="00C040F8">
      <w:pPr>
        <w:spacing w:line="360" w:lineRule="auto"/>
        <w:ind w:left="720" w:hanging="720"/>
        <w:jc w:val="both"/>
        <w:rPr>
          <w:rtl/>
        </w:rPr>
      </w:pPr>
    </w:p>
    <w:p w14:paraId="3D24E1C0" w14:textId="77777777" w:rsidR="00C040F8" w:rsidRDefault="00C040F8" w:rsidP="00C040F8">
      <w:pPr>
        <w:spacing w:line="360" w:lineRule="auto"/>
        <w:ind w:left="720" w:hanging="720"/>
        <w:jc w:val="both"/>
        <w:rPr>
          <w:rtl/>
        </w:rPr>
      </w:pPr>
      <w:r>
        <w:rPr>
          <w:rFonts w:hint="cs"/>
          <w:rtl/>
        </w:rPr>
        <w:t>9.</w:t>
      </w:r>
      <w:r>
        <w:rPr>
          <w:rFonts w:hint="cs"/>
          <w:rtl/>
        </w:rPr>
        <w:tab/>
        <w:t xml:space="preserve">אשר לנסיבות הקשורות בביצוע העבירה. </w:t>
      </w:r>
    </w:p>
    <w:p w14:paraId="4AF554DF" w14:textId="77777777" w:rsidR="00C040F8" w:rsidRDefault="00C040F8" w:rsidP="00C040F8">
      <w:pPr>
        <w:spacing w:line="360" w:lineRule="auto"/>
        <w:ind w:left="720" w:hanging="720"/>
        <w:jc w:val="both"/>
        <w:rPr>
          <w:rtl/>
        </w:rPr>
      </w:pPr>
      <w:r>
        <w:rPr>
          <w:rtl/>
        </w:rPr>
        <w:tab/>
      </w:r>
      <w:r>
        <w:rPr>
          <w:rFonts w:hint="cs"/>
          <w:rtl/>
        </w:rPr>
        <w:t>העבירות בהן הורשע הנאשם בוצעו לאחר תכנון מוקדם. כעולה מכתב האישום הנאשם היה נחוש למכור את האקדח ולשם כך יצר קשר עם בן דודו, ואף ביקש ממנו לעדכן אותו ככל שישמע על קונה פוטנציאלי לאקדח. אני מקבל את טענת ב"כ הנאשם לפיה לא ניתן ללמוד מהאופן שבו נוסח כתב האישום כי האקדח היה בבעלותו הבלעדית של הנאשם. מסעיף 3 לכתב האישום עולה כי הנאשם אמר לבן דודו שהאקדח: "</w:t>
      </w:r>
      <w:r>
        <w:rPr>
          <w:rFonts w:hint="cs"/>
          <w:b/>
          <w:bCs/>
          <w:rtl/>
        </w:rPr>
        <w:t xml:space="preserve">מוחזק ע"י חברו, שהוא מבקש למכור אותו". </w:t>
      </w:r>
      <w:r>
        <w:rPr>
          <w:rFonts w:hint="cs"/>
          <w:rtl/>
        </w:rPr>
        <w:t>לא ניתן להבין מניסוח זה האם החבר מבקש למכור את האקדח שבבעלותו או שהנאשם מבקש למכור אקדח השייך לו ואשר מוחזק על ידי חברו. אני ער לכך שבסעיף 4 לכתב האישום נכתב כי בשיחה נוספת עם בן הדוד אמר לו הנאשם כי הוא מבקש למכור את האקדח: "</w:t>
      </w:r>
      <w:r>
        <w:rPr>
          <w:rFonts w:hint="cs"/>
          <w:b/>
          <w:bCs/>
          <w:rtl/>
        </w:rPr>
        <w:t>בשל מצבם הכלכלי הקשה שלו ושל חברו המחזיק באקדח".</w:t>
      </w:r>
      <w:r>
        <w:rPr>
          <w:rFonts w:hint="cs"/>
          <w:rtl/>
        </w:rPr>
        <w:t xml:space="preserve"> גם מניסוח זה לא ניתן להבין באופן חד משמעי מי היה הבעלים של האקדח. אמנם העובדה שהנאשם ציפה לרווח כלכלי שיצמח לו כתוצאה ממכירת האקדח,  יכולה להתיישב עם הטענה שהאקדח היה בבעלות הנאשם, אך היא יכולה להתיישב גם עם האפשרות שהנאשם ציפה לרווח כלכלי כתוצאה ממעורבותו במכירת האקדח. יחד עם זאת, אני סבור שלעובדה שלא ניתן לקבוע כי האקדח היה בבעלותו של הנאשם אין משמעות רבה מבחינת ההקלה בעונש, זאת לאור נחישותו של הנאשם להוציא לפועל את מכירת האקדח לאדם כלשהו, על כל הסיכון הכרוך בכך, במטרה להפיק רווח כלכלי. </w:t>
      </w:r>
    </w:p>
    <w:p w14:paraId="40C5CBD9" w14:textId="77777777" w:rsidR="00C040F8" w:rsidRDefault="00C040F8" w:rsidP="00C040F8">
      <w:pPr>
        <w:spacing w:line="360" w:lineRule="auto"/>
        <w:ind w:left="720" w:hanging="720"/>
        <w:jc w:val="both"/>
        <w:rPr>
          <w:rtl/>
        </w:rPr>
      </w:pPr>
      <w:r>
        <w:rPr>
          <w:rtl/>
        </w:rPr>
        <w:tab/>
      </w:r>
      <w:r>
        <w:rPr>
          <w:rFonts w:hint="cs"/>
          <w:rtl/>
        </w:rPr>
        <w:t xml:space="preserve">חלקו של הנאשם בביצוע העבירות מרכזי ביותר. על-פי עובדות כתב האישום הנאשם הוא שיזם את השיחות שנועדו להביא למכירת האקדח, כמתואר בחלק הראשון של כתב האישום, וכמובן הוא זה שיזם את הובלת האקדח כאמור בחלק השני של כתב האישום. </w:t>
      </w:r>
    </w:p>
    <w:p w14:paraId="7F2A1FB1" w14:textId="77777777" w:rsidR="00C040F8" w:rsidRDefault="00C040F8" w:rsidP="00C040F8">
      <w:pPr>
        <w:spacing w:line="360" w:lineRule="auto"/>
        <w:ind w:left="720" w:hanging="720"/>
        <w:jc w:val="both"/>
        <w:rPr>
          <w:rtl/>
        </w:rPr>
      </w:pPr>
      <w:r>
        <w:rPr>
          <w:rtl/>
        </w:rPr>
        <w:tab/>
      </w:r>
      <w:r>
        <w:rPr>
          <w:rFonts w:hint="cs"/>
          <w:rtl/>
        </w:rPr>
        <w:t xml:space="preserve">הנזק שצפוי היה להיגרם מביצוע העבירות הוא נזק שיכול  היה להיות חמור עד כדי קטילת חיי אדם. אמנם מדובר באקדח ולא בנשק מסוכן יותר כמו רובה, ולכך יש משמעות לקולא, כאמור בעניין </w:t>
      </w:r>
      <w:r w:rsidRPr="00B96C7C">
        <w:rPr>
          <w:rFonts w:hint="cs"/>
          <w:b/>
          <w:bCs/>
          <w:rtl/>
        </w:rPr>
        <w:t>בראנסי</w:t>
      </w:r>
      <w:r>
        <w:rPr>
          <w:rFonts w:hint="cs"/>
          <w:rtl/>
        </w:rPr>
        <w:t xml:space="preserve"> שצוטט לעיל, אך פשיטא שכלי נשק, ובמיוחד כלי נשק תקני, אשר מבקשים להעבירו מיד אל יד, עלול בסופו של דבר להגיע לידי מי שיעשה בו שימוש ויקטול חיי אדם. עם זאת, הלכה למעשה הנזק שנגרם כתוצאה מהעבירות איננו קיצוני, שכן האקדח נתפס בטרם נגרם נזק לגופו או לחייו של אדם.</w:t>
      </w:r>
    </w:p>
    <w:p w14:paraId="0E0EBDAB" w14:textId="77777777" w:rsidR="00C040F8" w:rsidRDefault="00C040F8" w:rsidP="00C040F8">
      <w:pPr>
        <w:spacing w:line="360" w:lineRule="auto"/>
        <w:ind w:left="720" w:hanging="720"/>
        <w:jc w:val="both"/>
        <w:rPr>
          <w:rtl/>
        </w:rPr>
      </w:pPr>
      <w:r>
        <w:rPr>
          <w:rtl/>
        </w:rPr>
        <w:tab/>
      </w:r>
      <w:r>
        <w:rPr>
          <w:rFonts w:hint="cs"/>
          <w:rtl/>
        </w:rPr>
        <w:t xml:space="preserve">הנסיבות שהביאו את הנאשם לבצע את העבירות נעוצות, לכאורה, במצוקה כלכלית בה היה נתון הנאשם. כך נלמד מהדברים שאמר הנאשם לבן דודו כמתואר בסעיף 4 לכתב האישום המתוקן. אין טענה בכתב האישום לפיה ביסוד העבירות מצוי מניע לאומני, או מניע שעניינו ביצוע עבירה פלילית כלשהי, מעבר לעבירה של נשיאת הנשק והובלתו. אכן, במקרים מסוימים החומרה הגלומה בביצוע עבירה בשל מצוקה כלכלית יכולה להיות נמוכה בהשוואה לביצוע עבירות נשק לצורך קידום מיזם לאומני או עברייני, אך ראוי לציין שלדברי ב"כ הנאשם בטיעונו לעונש הנאשם כלל לא סבל ממצוקה כלכלית, כיוון שהוא בן למשפחה אמידה למדי. במצב דברים זה לא ניתן להתייחס אל הנאשם כאל מי שביצע את העבירות מתוך מצוקה כלכלית קשה. </w:t>
      </w:r>
    </w:p>
    <w:p w14:paraId="668F000B" w14:textId="77777777" w:rsidR="00C040F8" w:rsidRDefault="00C040F8" w:rsidP="00C040F8">
      <w:pPr>
        <w:spacing w:line="360" w:lineRule="auto"/>
        <w:ind w:left="720" w:hanging="720"/>
        <w:jc w:val="both"/>
        <w:rPr>
          <w:rtl/>
        </w:rPr>
      </w:pPr>
      <w:r>
        <w:rPr>
          <w:rtl/>
        </w:rPr>
        <w:tab/>
      </w:r>
      <w:r>
        <w:rPr>
          <w:rFonts w:hint="cs"/>
          <w:rtl/>
        </w:rPr>
        <w:t xml:space="preserve">הנאשם יליד שנת 1996, כך שהוא היה בן 22 כאשר ביצע את העבירות. אין ספק שלנוכח גילו של הנאשם, ולנוכח היותו אדם נבון בעל אישיות בוגרת </w:t>
      </w:r>
      <w:r>
        <w:rPr>
          <w:rtl/>
        </w:rPr>
        <w:t>–</w:t>
      </w:r>
      <w:r>
        <w:rPr>
          <w:rFonts w:hint="cs"/>
          <w:rtl/>
        </w:rPr>
        <w:t xml:space="preserve"> כאמור במכתבו של פרופ' עבאדין </w:t>
      </w:r>
      <w:r>
        <w:rPr>
          <w:rtl/>
        </w:rPr>
        <w:t>–</w:t>
      </w:r>
      <w:r>
        <w:rPr>
          <w:rFonts w:hint="cs"/>
          <w:rtl/>
        </w:rPr>
        <w:t xml:space="preserve"> הבין הנאשם היטב את הפסול שדבק במעשים שעשה, ואת משמעותם החמורה של המעשים. </w:t>
      </w:r>
    </w:p>
    <w:p w14:paraId="1701854F" w14:textId="77777777" w:rsidR="00C040F8" w:rsidRDefault="00C040F8" w:rsidP="00C040F8">
      <w:pPr>
        <w:spacing w:line="360" w:lineRule="auto"/>
        <w:ind w:left="720" w:hanging="720"/>
        <w:jc w:val="both"/>
        <w:rPr>
          <w:rtl/>
        </w:rPr>
      </w:pPr>
      <w:r>
        <w:rPr>
          <w:rtl/>
        </w:rPr>
        <w:tab/>
      </w:r>
      <w:r>
        <w:rPr>
          <w:rFonts w:hint="cs"/>
          <w:rtl/>
        </w:rPr>
        <w:t>כאמור לעיל, העבירות לא בוצעו כתוצאה ממצוקה נפשית כלשהי או כתוצאה מהתגרות של אדם כלשהו בנאשם.</w:t>
      </w:r>
    </w:p>
    <w:p w14:paraId="3063DCF9" w14:textId="77777777" w:rsidR="00C040F8" w:rsidRDefault="00C040F8" w:rsidP="00C040F8">
      <w:pPr>
        <w:spacing w:line="360" w:lineRule="auto"/>
        <w:ind w:left="720"/>
        <w:jc w:val="both"/>
        <w:rPr>
          <w:rtl/>
        </w:rPr>
      </w:pPr>
      <w:r>
        <w:rPr>
          <w:rFonts w:hint="cs"/>
          <w:rtl/>
        </w:rPr>
        <w:t>ולסיום, בקביעת מתחם העונש ההולם יש להביא בחשבון כי בנוסף לביצוע עבירה של נשיאה והובלת נשק ביצע הנאשם גם עבירה של קשירת קשר לביצוע פשע.</w:t>
      </w:r>
    </w:p>
    <w:p w14:paraId="02211BEB" w14:textId="77777777" w:rsidR="00C040F8" w:rsidRDefault="00C040F8" w:rsidP="00C040F8">
      <w:pPr>
        <w:spacing w:line="360" w:lineRule="auto"/>
        <w:ind w:left="720" w:hanging="720"/>
        <w:jc w:val="both"/>
        <w:rPr>
          <w:rtl/>
        </w:rPr>
      </w:pPr>
    </w:p>
    <w:p w14:paraId="4B38C995" w14:textId="77777777" w:rsidR="00C040F8" w:rsidRDefault="00C040F8" w:rsidP="00C040F8">
      <w:pPr>
        <w:spacing w:line="360" w:lineRule="auto"/>
        <w:ind w:left="720" w:hanging="720"/>
        <w:jc w:val="both"/>
        <w:rPr>
          <w:rtl/>
        </w:rPr>
      </w:pPr>
      <w:r>
        <w:rPr>
          <w:rFonts w:hint="cs"/>
          <w:rtl/>
        </w:rPr>
        <w:t>10.</w:t>
      </w:r>
      <w:r>
        <w:rPr>
          <w:rFonts w:hint="cs"/>
          <w:rtl/>
        </w:rPr>
        <w:tab/>
        <w:t>לאור כל האמור אני סבור כי מתחם העונש ההולם בגין שתי העבירות שביצע הנאשם נע בין מספר חודשי מאסר לריצוי בפועל ממש לבין 48  חודשי מאסר בפועל.</w:t>
      </w:r>
    </w:p>
    <w:p w14:paraId="5C9A3059" w14:textId="77777777" w:rsidR="00C040F8" w:rsidRDefault="00C040F8" w:rsidP="00C040F8">
      <w:pPr>
        <w:spacing w:line="360" w:lineRule="auto"/>
        <w:ind w:left="720" w:hanging="720"/>
        <w:jc w:val="both"/>
        <w:rPr>
          <w:rtl/>
        </w:rPr>
      </w:pPr>
    </w:p>
    <w:p w14:paraId="223DA14C" w14:textId="77777777" w:rsidR="00C040F8" w:rsidRDefault="00C040F8" w:rsidP="00C040F8">
      <w:pPr>
        <w:spacing w:line="360" w:lineRule="auto"/>
        <w:ind w:left="720" w:hanging="720"/>
        <w:jc w:val="both"/>
        <w:rPr>
          <w:rtl/>
        </w:rPr>
      </w:pPr>
      <w:r>
        <w:rPr>
          <w:rFonts w:hint="cs"/>
          <w:rtl/>
        </w:rPr>
        <w:t>11.</w:t>
      </w:r>
      <w:r>
        <w:rPr>
          <w:rFonts w:hint="cs"/>
          <w:rtl/>
        </w:rPr>
        <w:tab/>
        <w:t xml:space="preserve">אשר לעונש המתאים, ולנסיבות שאינן קשורות בביצוע העבירות. </w:t>
      </w:r>
    </w:p>
    <w:p w14:paraId="3161A7B8" w14:textId="77777777" w:rsidR="00C040F8" w:rsidRDefault="00C040F8" w:rsidP="00C040F8">
      <w:pPr>
        <w:spacing w:line="360" w:lineRule="auto"/>
        <w:ind w:left="720" w:hanging="720"/>
        <w:jc w:val="both"/>
        <w:rPr>
          <w:rtl/>
        </w:rPr>
      </w:pPr>
      <w:r>
        <w:rPr>
          <w:rtl/>
        </w:rPr>
        <w:tab/>
      </w:r>
      <w:r>
        <w:rPr>
          <w:rFonts w:hint="cs"/>
          <w:rtl/>
        </w:rPr>
        <w:t xml:space="preserve">כאמור לעיל, מדובר בנאשם אשר ניהל חיים נורמטיביים לחלוטין עד לאירועים נושא כתב האישום. הנאשם הוא בן למשפחה נורמטיבית, אשר עובר לאירועים למד לימודים אקדמיים לתואר ראשון בחינוך ובאנגלית באוניברסיטת ביר זית. משפחתו של הנאשם אמידה למדי כך שיש להניח שהיה ביכולתה לממן את כל צרכיו של הנאשם בזמן לימודיו, ובכל זאת הנאשם עבד כמציל בבתי מלון כדי להתפרנס למחייתו. עברו הפלילי של הנאשם נקי לגמרי. ניכר מהמסמכים שהוגשו בעניינו של הנאשם שמדובר בנאשם אשר שאיפותיו לעתיד היו נורמטיביות לחלוטין והתמקדו בהעמקת השכלתו ובעיסוק בתחום החינוך. כל אלו נסיבות שיש להביא בחשבון לזכות הנאשם לעת גזירת עונשו. </w:t>
      </w:r>
    </w:p>
    <w:p w14:paraId="0A6BFFC9" w14:textId="77777777" w:rsidR="00C040F8" w:rsidRDefault="00C040F8" w:rsidP="00C040F8">
      <w:pPr>
        <w:spacing w:line="360" w:lineRule="auto"/>
        <w:ind w:left="720" w:hanging="720"/>
        <w:jc w:val="both"/>
        <w:rPr>
          <w:rtl/>
        </w:rPr>
      </w:pPr>
      <w:r>
        <w:rPr>
          <w:rtl/>
        </w:rPr>
        <w:tab/>
      </w:r>
      <w:r>
        <w:rPr>
          <w:rFonts w:hint="cs"/>
          <w:rtl/>
        </w:rPr>
        <w:t>כמו כן, יש להביא בחשבון את העובדה שהנאשם נטל אחריות על מעשיו בכך שהודה במיוחס לו במסגרת הסדר טיעון, ובכך גם חסך מזמנה של המאשימה ומזמנו של בית המשפט. טענתה של ב"כ המאשימה לפיה לא ניתן לעמוד על כנות החרטה כיוון שלא נערך תסקיר מטעם שירות מבחן לגבי הנאשם איננה יכולה להתקבל. הנאשם איננו חייב לבקש ששירות המבחן יערוך לגביו תסקיר על מנת שיוכל לטעון לחרטה כנה, ומנגד יש לומר שבמקרים רבים דווקא כאשר מבקשים נאשמים עריכת תסקיר מתנגדת לכך המאשימה. על רקע התנהלותו הנורמטיבית של הנאשם עד לאירועים נושא כתב האישום, לנוכח שאיפותיו הנורמטיביות לעתיד, ולנוכח התרשמותי מהנאשם בדיון לפניי, אני סבור שחרטתו של הנאשם כנה ואמתית.</w:t>
      </w:r>
    </w:p>
    <w:p w14:paraId="6C406F80" w14:textId="77777777" w:rsidR="00C040F8" w:rsidRDefault="00C040F8" w:rsidP="00C040F8">
      <w:pPr>
        <w:spacing w:line="360" w:lineRule="auto"/>
        <w:ind w:left="720"/>
        <w:jc w:val="both"/>
        <w:rPr>
          <w:rtl/>
        </w:rPr>
      </w:pPr>
      <w:r>
        <w:rPr>
          <w:rFonts w:hint="cs"/>
          <w:rtl/>
        </w:rPr>
        <w:t xml:space="preserve">יתר הנסיבות המפורטות </w:t>
      </w:r>
      <w:hyperlink r:id="rId30" w:history="1">
        <w:r w:rsidR="00643C1E" w:rsidRPr="00643C1E">
          <w:rPr>
            <w:color w:val="0000FF"/>
            <w:u w:val="single"/>
            <w:rtl/>
          </w:rPr>
          <w:t>בסעיף 40יא</w:t>
        </w:r>
      </w:hyperlink>
      <w:r>
        <w:rPr>
          <w:rFonts w:hint="cs"/>
          <w:rtl/>
        </w:rPr>
        <w:t xml:space="preserve"> ל</w:t>
      </w:r>
      <w:hyperlink r:id="rId31" w:history="1">
        <w:r w:rsidR="00D752EF" w:rsidRPr="00D752EF">
          <w:rPr>
            <w:color w:val="0000FF"/>
            <w:u w:val="single"/>
            <w:rtl/>
          </w:rPr>
          <w:t>חוק העונשין</w:t>
        </w:r>
      </w:hyperlink>
      <w:r>
        <w:rPr>
          <w:rFonts w:hint="cs"/>
          <w:rtl/>
        </w:rPr>
        <w:t>, אינן רלוונטיות לענייננו; העבירות לא בוצעו לפני זמן רב, הנאשם לא סבל מנסיבות חיים קשות אשר הייתה להן השפעה על ביצוע העבירות, ולא נראה כי שליחתו של הנאשם למאסר עלולה לגרום לו או למשפחתו נזקים קשים מעבר לנזקים הטבעיים הנגרמים כתוצאה משליחתו של אדם למאסר בגין עבירות שביצע.</w:t>
      </w:r>
    </w:p>
    <w:p w14:paraId="7F026527" w14:textId="77777777" w:rsidR="00C040F8" w:rsidRDefault="00C040F8" w:rsidP="00C040F8">
      <w:pPr>
        <w:spacing w:line="360" w:lineRule="auto"/>
        <w:ind w:left="720" w:hanging="720"/>
        <w:jc w:val="both"/>
        <w:rPr>
          <w:rtl/>
        </w:rPr>
      </w:pPr>
      <w:r>
        <w:rPr>
          <w:rFonts w:hint="cs"/>
          <w:rtl/>
        </w:rPr>
        <w:t>12.</w:t>
      </w:r>
      <w:r>
        <w:rPr>
          <w:rFonts w:hint="cs"/>
          <w:rtl/>
        </w:rPr>
        <w:tab/>
        <w:t xml:space="preserve">בגזירת העונש המתאים יש להביא בחשבון את העונש שנגזר על חברו של הנאשם </w:t>
      </w:r>
      <w:r>
        <w:rPr>
          <w:rtl/>
        </w:rPr>
        <w:t>–</w:t>
      </w:r>
      <w:r>
        <w:rPr>
          <w:rFonts w:hint="cs"/>
          <w:rtl/>
        </w:rPr>
        <w:t xml:space="preserve"> אותו אחמד אבו אלהווא שנזכר בכתב האישום. אחמד הורשע במסגרת הסדר טיעון סגור בביצוע עבירה של החזקת נשק ובביצוע עבירה של נשיאה והובלת נשק, ונגזר עליו עונש מוסכם של 12 חודשי מאסר בפועל בצירוף מאסר על תנאי. העבירה הנוספת בה הורשע אחמד </w:t>
      </w:r>
      <w:r>
        <w:rPr>
          <w:rtl/>
        </w:rPr>
        <w:t>–</w:t>
      </w:r>
      <w:r>
        <w:rPr>
          <w:rFonts w:hint="cs"/>
          <w:rtl/>
        </w:rPr>
        <w:t xml:space="preserve"> עבירה של החזקת נשק, דומה בחומרתה לעבירה הנוספת בה הורשע הנאשם </w:t>
      </w:r>
      <w:r>
        <w:rPr>
          <w:rtl/>
        </w:rPr>
        <w:t>–</w:t>
      </w:r>
      <w:r>
        <w:rPr>
          <w:rFonts w:hint="cs"/>
          <w:rtl/>
        </w:rPr>
        <w:t xml:space="preserve"> קשירת קשר לביצוע פשע, כיוון שהעונש הקבוע בצידה של עבירת החזקת הנשק הוא שבע שנות מאסר, ואילו העונש המרבי בגין עבירה של קשירת קשר לביצוע פשע עומד אף הוא על שבע שנות מאסר, אם כי הוא יכול לעמוד גם על שלוש שנות מאסר כפונקציה של העבירה נושא הקשר.  במסגרת הטיעונים לעונש בעניינו של אחמד לא טענה המאשימה שהעונש המוסכם הוא פועל יוצא של קשיים ראייתיים כלשהם, אלא לדברי ב"כ המאשימה באותו דיון העונש המוסכם הוא פועל יוצא של העובדה שמדובר בנאשם נעדר עבר פלילי שהודה בחקירתו הראשונה במשטרה. עקרון אחידות הענישה, הגם שאיננו עיקרון מוחלט, מחייב שהעונש שייגזר על הנאשם שלפניי יעלה בקנה אחד עם העונש שנגזר על המעורב הנוסף. </w:t>
      </w:r>
    </w:p>
    <w:p w14:paraId="19EF797D" w14:textId="77777777" w:rsidR="00C040F8" w:rsidRDefault="00C040F8" w:rsidP="00C040F8">
      <w:pPr>
        <w:spacing w:line="360" w:lineRule="auto"/>
        <w:ind w:left="720" w:hanging="720"/>
        <w:jc w:val="both"/>
        <w:rPr>
          <w:rtl/>
        </w:rPr>
      </w:pPr>
      <w:r>
        <w:rPr>
          <w:rFonts w:hint="cs"/>
          <w:rtl/>
        </w:rPr>
        <w:t>13.</w:t>
      </w:r>
      <w:r>
        <w:rPr>
          <w:rFonts w:hint="cs"/>
          <w:rtl/>
        </w:rPr>
        <w:tab/>
        <w:t>אשר על כן, אני גוזר על הנאשם את העונשים הבאים:</w:t>
      </w:r>
    </w:p>
    <w:p w14:paraId="13146EAE" w14:textId="77777777" w:rsidR="00C040F8" w:rsidRDefault="00C040F8" w:rsidP="00C040F8">
      <w:pPr>
        <w:spacing w:line="360" w:lineRule="auto"/>
        <w:ind w:left="720" w:hanging="720"/>
        <w:jc w:val="both"/>
        <w:rPr>
          <w:rtl/>
        </w:rPr>
      </w:pPr>
      <w:r>
        <w:rPr>
          <w:rtl/>
        </w:rPr>
        <w:tab/>
      </w:r>
      <w:r>
        <w:rPr>
          <w:rFonts w:hint="cs"/>
          <w:rtl/>
        </w:rPr>
        <w:t>א. 12 חודשי מאסר בפועל בניכוי ימי מעצרו של הנאשם מיום 27.6.18.</w:t>
      </w:r>
    </w:p>
    <w:p w14:paraId="11E6BA84" w14:textId="77777777" w:rsidR="00C040F8" w:rsidRDefault="00C040F8" w:rsidP="00C040F8">
      <w:pPr>
        <w:spacing w:line="360" w:lineRule="auto"/>
        <w:ind w:left="720" w:hanging="720"/>
        <w:jc w:val="both"/>
        <w:rPr>
          <w:rtl/>
        </w:rPr>
      </w:pPr>
      <w:r>
        <w:rPr>
          <w:rtl/>
        </w:rPr>
        <w:tab/>
      </w:r>
      <w:r>
        <w:rPr>
          <w:rFonts w:hint="cs"/>
          <w:rtl/>
        </w:rPr>
        <w:t>ב. 5 חודשי מאסר על תנאי אותם ירצה הנאשם בפועל אם בתוך שלוש שנים מיום שחרורו              מהכלא יעבור עבירת נשק או עבירה של קשירת קשר לביצוע פשע.</w:t>
      </w:r>
    </w:p>
    <w:p w14:paraId="5B8E215C" w14:textId="77777777" w:rsidR="00C040F8" w:rsidRPr="00B05847" w:rsidRDefault="00C040F8" w:rsidP="00C040F8">
      <w:pPr>
        <w:spacing w:line="360" w:lineRule="auto"/>
        <w:ind w:left="720" w:hanging="720"/>
        <w:jc w:val="both"/>
        <w:rPr>
          <w:rtl/>
        </w:rPr>
      </w:pPr>
      <w:r>
        <w:rPr>
          <w:rtl/>
        </w:rPr>
        <w:tab/>
      </w:r>
      <w:r>
        <w:rPr>
          <w:rFonts w:hint="cs"/>
          <w:b/>
          <w:bCs/>
          <w:rtl/>
        </w:rPr>
        <w:t>הודע לנאשם על זכותו לערער לבית המשפט העליון תוך 45 יום.</w:t>
      </w:r>
    </w:p>
    <w:p w14:paraId="76A2A43B" w14:textId="77777777" w:rsidR="00C040F8" w:rsidRPr="00D752EF" w:rsidRDefault="00D752EF" w:rsidP="00C040F8">
      <w:pPr>
        <w:rPr>
          <w:color w:val="FFFFFF"/>
          <w:sz w:val="2"/>
          <w:szCs w:val="2"/>
          <w:rtl/>
        </w:rPr>
      </w:pPr>
      <w:r w:rsidRPr="00D752EF">
        <w:rPr>
          <w:color w:val="FFFFFF"/>
          <w:sz w:val="2"/>
          <w:szCs w:val="2"/>
          <w:rtl/>
        </w:rPr>
        <w:t>5129371</w:t>
      </w:r>
    </w:p>
    <w:p w14:paraId="58835528" w14:textId="77777777" w:rsidR="00C040F8" w:rsidRDefault="00D752EF" w:rsidP="00C040F8">
      <w:pPr>
        <w:rPr>
          <w:rFonts w:cs="FrankRuehl"/>
          <w:sz w:val="28"/>
          <w:szCs w:val="28"/>
          <w:rtl/>
        </w:rPr>
      </w:pPr>
      <w:r w:rsidRPr="00D752EF">
        <w:rPr>
          <w:rFonts w:ascii="Arial" w:hAnsi="Arial"/>
          <w:color w:val="FFFFFF"/>
          <w:sz w:val="2"/>
          <w:szCs w:val="2"/>
          <w:rtl/>
        </w:rPr>
        <w:t>54678313</w:t>
      </w:r>
      <w:r>
        <w:rPr>
          <w:rFonts w:ascii="Arial" w:hAnsi="Arial"/>
          <w:rtl/>
        </w:rPr>
        <w:t xml:space="preserve">ניתן היום,  כ"ג שבט תשע"ט, 29 ינואר 2019, בנוכחות הצדדים. </w:t>
      </w:r>
    </w:p>
    <w:p w14:paraId="4166C4C2" w14:textId="77777777" w:rsidR="00C040F8" w:rsidRDefault="00C040F8" w:rsidP="00C040F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972F87" w14:textId="77777777" w:rsidR="00D752EF" w:rsidRDefault="00D752EF" w:rsidP="00D752EF">
      <w:pPr>
        <w:rPr>
          <w:rtl/>
        </w:rPr>
      </w:pPr>
    </w:p>
    <w:p w14:paraId="29071AD9" w14:textId="77777777" w:rsidR="00D752EF" w:rsidRDefault="00D752EF" w:rsidP="00D752E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09DB148" w14:textId="77777777" w:rsidR="00643C1E" w:rsidRPr="00643C1E" w:rsidRDefault="00643C1E" w:rsidP="00643C1E">
      <w:pPr>
        <w:keepNext/>
        <w:rPr>
          <w:rFonts w:ascii="David" w:hAnsi="David"/>
          <w:color w:val="000000"/>
          <w:sz w:val="22"/>
          <w:szCs w:val="22"/>
          <w:rtl/>
        </w:rPr>
      </w:pPr>
    </w:p>
    <w:p w14:paraId="0CA6BE59" w14:textId="77777777" w:rsidR="00643C1E" w:rsidRPr="00643C1E" w:rsidRDefault="00643C1E" w:rsidP="00643C1E">
      <w:pPr>
        <w:keepNext/>
        <w:rPr>
          <w:rFonts w:ascii="David" w:hAnsi="David"/>
          <w:color w:val="000000"/>
          <w:sz w:val="22"/>
          <w:szCs w:val="22"/>
          <w:rtl/>
        </w:rPr>
      </w:pPr>
      <w:r w:rsidRPr="00643C1E">
        <w:rPr>
          <w:rFonts w:ascii="David" w:hAnsi="David"/>
          <w:color w:val="000000"/>
          <w:sz w:val="22"/>
          <w:szCs w:val="22"/>
          <w:rtl/>
        </w:rPr>
        <w:t>אברהם רובין 54678313-/</w:t>
      </w:r>
    </w:p>
    <w:p w14:paraId="73E10FBB" w14:textId="77777777" w:rsidR="00D752EF" w:rsidRPr="00D752EF" w:rsidRDefault="00643C1E" w:rsidP="00643C1E">
      <w:pPr>
        <w:rPr>
          <w:color w:val="0000FF"/>
          <w:u w:val="single"/>
        </w:rPr>
      </w:pPr>
      <w:r w:rsidRPr="00643C1E">
        <w:rPr>
          <w:color w:val="000000"/>
          <w:u w:val="single"/>
          <w:rtl/>
        </w:rPr>
        <w:t>נוסח מסמך זה כפוף לשינויי ניסוח ועריכה</w:t>
      </w:r>
    </w:p>
    <w:sectPr w:rsidR="00D752EF" w:rsidRPr="00D752EF" w:rsidSect="00643C1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CDAD4" w14:textId="77777777" w:rsidR="00532D49" w:rsidRDefault="00532D49" w:rsidP="00BA27D0">
      <w:r>
        <w:separator/>
      </w:r>
    </w:p>
  </w:endnote>
  <w:endnote w:type="continuationSeparator" w:id="0">
    <w:p w14:paraId="032AEB9F" w14:textId="77777777" w:rsidR="00532D49" w:rsidRDefault="00532D49" w:rsidP="00BA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59025" w14:textId="77777777" w:rsidR="00643C1E" w:rsidRDefault="00643C1E" w:rsidP="00643C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97CC96" w14:textId="77777777" w:rsidR="002B6298" w:rsidRPr="00643C1E" w:rsidRDefault="00643C1E" w:rsidP="00643C1E">
    <w:pPr>
      <w:pStyle w:val="a5"/>
      <w:pBdr>
        <w:top w:val="single" w:sz="4" w:space="1" w:color="auto"/>
        <w:between w:val="single" w:sz="4" w:space="0" w:color="auto"/>
      </w:pBdr>
      <w:spacing w:after="60"/>
      <w:jc w:val="center"/>
      <w:rPr>
        <w:rFonts w:ascii="FrankRuehl" w:hAnsi="FrankRuehl" w:cs="FrankRuehl"/>
        <w:color w:val="000000"/>
      </w:rPr>
    </w:pPr>
    <w:r w:rsidRPr="00643C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06E25" w14:textId="77777777" w:rsidR="00643C1E" w:rsidRDefault="00643C1E" w:rsidP="00643C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3AC6">
      <w:rPr>
        <w:rFonts w:ascii="FrankRuehl" w:hAnsi="FrankRuehl" w:cs="FrankRuehl"/>
        <w:noProof/>
        <w:rtl/>
      </w:rPr>
      <w:t>1</w:t>
    </w:r>
    <w:r>
      <w:rPr>
        <w:rFonts w:ascii="FrankRuehl" w:hAnsi="FrankRuehl" w:cs="FrankRuehl"/>
        <w:rtl/>
      </w:rPr>
      <w:fldChar w:fldCharType="end"/>
    </w:r>
  </w:p>
  <w:p w14:paraId="485E48D9" w14:textId="77777777" w:rsidR="002B6298" w:rsidRPr="00643C1E" w:rsidRDefault="00643C1E" w:rsidP="00643C1E">
    <w:pPr>
      <w:pStyle w:val="a5"/>
      <w:pBdr>
        <w:top w:val="single" w:sz="4" w:space="1" w:color="auto"/>
        <w:between w:val="single" w:sz="4" w:space="0" w:color="auto"/>
      </w:pBdr>
      <w:spacing w:after="60"/>
      <w:jc w:val="center"/>
      <w:rPr>
        <w:rFonts w:ascii="FrankRuehl" w:hAnsi="FrankRuehl" w:cs="FrankRuehl"/>
        <w:color w:val="000000"/>
      </w:rPr>
    </w:pPr>
    <w:r w:rsidRPr="00643C1E">
      <w:rPr>
        <w:rFonts w:ascii="FrankRuehl" w:hAnsi="FrankRuehl" w:cs="FrankRuehl"/>
        <w:color w:val="000000"/>
      </w:rPr>
      <w:pict w14:anchorId="68583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05F95" w14:textId="77777777" w:rsidR="00532D49" w:rsidRDefault="00532D49" w:rsidP="00BA27D0">
      <w:r>
        <w:separator/>
      </w:r>
    </w:p>
  </w:footnote>
  <w:footnote w:type="continuationSeparator" w:id="0">
    <w:p w14:paraId="79741236" w14:textId="77777777" w:rsidR="00532D49" w:rsidRDefault="00532D49" w:rsidP="00BA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3CF79" w14:textId="77777777" w:rsidR="00D752EF" w:rsidRPr="00643C1E" w:rsidRDefault="00643C1E" w:rsidP="00643C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60648-07-18</w:t>
    </w:r>
    <w:r>
      <w:rPr>
        <w:rFonts w:ascii="David" w:hAnsi="David"/>
        <w:color w:val="000000"/>
        <w:sz w:val="22"/>
        <w:szCs w:val="22"/>
        <w:rtl/>
      </w:rPr>
      <w:tab/>
      <w:t xml:space="preserve"> מדינת ישראל נ' מחמוד מונה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A8D7" w14:textId="77777777" w:rsidR="00D752EF" w:rsidRPr="00643C1E" w:rsidRDefault="00643C1E" w:rsidP="00643C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60648-07-18</w:t>
    </w:r>
    <w:r>
      <w:rPr>
        <w:rFonts w:ascii="David" w:hAnsi="David"/>
        <w:color w:val="000000"/>
        <w:sz w:val="22"/>
        <w:szCs w:val="22"/>
        <w:rtl/>
      </w:rPr>
      <w:tab/>
      <w:t xml:space="preserve"> מדינת ישראל נ' מחמוד מונה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40F8"/>
    <w:rsid w:val="00165052"/>
    <w:rsid w:val="002B6298"/>
    <w:rsid w:val="00381020"/>
    <w:rsid w:val="00532D49"/>
    <w:rsid w:val="00643C1E"/>
    <w:rsid w:val="0074751B"/>
    <w:rsid w:val="00A93AC6"/>
    <w:rsid w:val="00BA27D0"/>
    <w:rsid w:val="00C040F8"/>
    <w:rsid w:val="00C61A04"/>
    <w:rsid w:val="00C67C35"/>
    <w:rsid w:val="00D550A0"/>
    <w:rsid w:val="00D752EF"/>
    <w:rsid w:val="00D804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86B0BAD"/>
  <w15:chartTrackingRefBased/>
  <w15:docId w15:val="{BB4ABF1A-5EB7-4A5C-BBB1-568C8039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40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40F8"/>
    <w:pPr>
      <w:tabs>
        <w:tab w:val="center" w:pos="4153"/>
        <w:tab w:val="right" w:pos="8306"/>
      </w:tabs>
    </w:pPr>
  </w:style>
  <w:style w:type="character" w:customStyle="1" w:styleId="a4">
    <w:name w:val="כותרת עליונה תו"/>
    <w:link w:val="a3"/>
    <w:rsid w:val="00C040F8"/>
    <w:rPr>
      <w:rFonts w:ascii="Times New Roman" w:eastAsia="Times New Roman" w:hAnsi="Times New Roman" w:cs="David"/>
      <w:sz w:val="24"/>
      <w:szCs w:val="24"/>
    </w:rPr>
  </w:style>
  <w:style w:type="paragraph" w:styleId="a5">
    <w:name w:val="footer"/>
    <w:basedOn w:val="a"/>
    <w:link w:val="a6"/>
    <w:rsid w:val="00C040F8"/>
    <w:pPr>
      <w:tabs>
        <w:tab w:val="center" w:pos="4153"/>
        <w:tab w:val="right" w:pos="8306"/>
      </w:tabs>
    </w:pPr>
  </w:style>
  <w:style w:type="character" w:customStyle="1" w:styleId="a6">
    <w:name w:val="כותרת תחתונה תו"/>
    <w:link w:val="a5"/>
    <w:rsid w:val="00C040F8"/>
    <w:rPr>
      <w:rFonts w:ascii="Times New Roman" w:eastAsia="Times New Roman" w:hAnsi="Times New Roman" w:cs="David"/>
      <w:sz w:val="24"/>
      <w:szCs w:val="24"/>
    </w:rPr>
  </w:style>
  <w:style w:type="table" w:styleId="a7">
    <w:name w:val="Table Grid"/>
    <w:basedOn w:val="a1"/>
    <w:rsid w:val="00C040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40F8"/>
  </w:style>
  <w:style w:type="character" w:styleId="Hyperlink">
    <w:name w:val="Hyperlink"/>
    <w:rsid w:val="00C040F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2788" TargetMode="External"/><Relationship Id="rId18" Type="http://schemas.openxmlformats.org/officeDocument/2006/relationships/hyperlink" Target="http://www.nevo.co.il/case/17929065" TargetMode="External"/><Relationship Id="rId26" Type="http://schemas.openxmlformats.org/officeDocument/2006/relationships/hyperlink" Target="http://www.nevo.co.il/case/5950172" TargetMode="External"/><Relationship Id="rId21" Type="http://schemas.openxmlformats.org/officeDocument/2006/relationships/hyperlink" Target="http://www.nevo.co.il/case/5762686" TargetMode="External"/><Relationship Id="rId34" Type="http://schemas.openxmlformats.org/officeDocument/2006/relationships/header" Target="header2.xml"/><Relationship Id="rId7" Type="http://schemas.openxmlformats.org/officeDocument/2006/relationships/hyperlink" Target="http://www.nevo.co.il/law/70301/144.b"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7791493" TargetMode="External"/><Relationship Id="rId25" Type="http://schemas.openxmlformats.org/officeDocument/2006/relationships/hyperlink" Target="http://www.nevo.co.il/case/615155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594385" TargetMode="External"/><Relationship Id="rId20" Type="http://schemas.openxmlformats.org/officeDocument/2006/relationships/hyperlink" Target="http://www.nevo.co.il/case/492472" TargetMode="External"/><Relationship Id="rId29" Type="http://schemas.openxmlformats.org/officeDocument/2006/relationships/hyperlink" Target="http://www.nevo.co.il/case/1795422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47416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3750625"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case/22760253" TargetMode="External"/><Relationship Id="rId36" Type="http://schemas.openxmlformats.org/officeDocument/2006/relationships/footer" Target="footer2.xml"/><Relationship Id="rId10" Type="http://schemas.openxmlformats.org/officeDocument/2006/relationships/hyperlink" Target="http://www.nevo.co.il/law/70301/499.a.1" TargetMode="External"/><Relationship Id="rId19" Type="http://schemas.openxmlformats.org/officeDocument/2006/relationships/hyperlink" Target="http://www.nevo.co.il/case/20178885"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case/17954235"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21472954"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70301/40j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3203</Words>
  <Characters>16017</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19182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4063348</vt:i4>
      </vt:variant>
      <vt:variant>
        <vt:i4>69</vt:i4>
      </vt:variant>
      <vt:variant>
        <vt:i4>0</vt:i4>
      </vt:variant>
      <vt:variant>
        <vt:i4>5</vt:i4>
      </vt:variant>
      <vt:variant>
        <vt:lpwstr>http://www.nevo.co.il/case/17954222</vt:lpwstr>
      </vt:variant>
      <vt:variant>
        <vt:lpwstr/>
      </vt:variant>
      <vt:variant>
        <vt:i4>3145842</vt:i4>
      </vt:variant>
      <vt:variant>
        <vt:i4>66</vt:i4>
      </vt:variant>
      <vt:variant>
        <vt:i4>0</vt:i4>
      </vt:variant>
      <vt:variant>
        <vt:i4>5</vt:i4>
      </vt:variant>
      <vt:variant>
        <vt:lpwstr>http://www.nevo.co.il/case/22760253</vt:lpwstr>
      </vt:variant>
      <vt:variant>
        <vt:lpwstr/>
      </vt:variant>
      <vt:variant>
        <vt:i4>3211387</vt:i4>
      </vt:variant>
      <vt:variant>
        <vt:i4>63</vt:i4>
      </vt:variant>
      <vt:variant>
        <vt:i4>0</vt:i4>
      </vt:variant>
      <vt:variant>
        <vt:i4>5</vt:i4>
      </vt:variant>
      <vt:variant>
        <vt:lpwstr>http://www.nevo.co.il/case/21472954</vt:lpwstr>
      </vt:variant>
      <vt:variant>
        <vt:lpwstr/>
      </vt:variant>
      <vt:variant>
        <vt:i4>3342458</vt:i4>
      </vt:variant>
      <vt:variant>
        <vt:i4>60</vt:i4>
      </vt:variant>
      <vt:variant>
        <vt:i4>0</vt:i4>
      </vt:variant>
      <vt:variant>
        <vt:i4>5</vt:i4>
      </vt:variant>
      <vt:variant>
        <vt:lpwstr>http://www.nevo.co.il/case/5950172</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3407987</vt:i4>
      </vt:variant>
      <vt:variant>
        <vt:i4>54</vt:i4>
      </vt:variant>
      <vt:variant>
        <vt:i4>0</vt:i4>
      </vt:variant>
      <vt:variant>
        <vt:i4>5</vt:i4>
      </vt:variant>
      <vt:variant>
        <vt:lpwstr>http://www.nevo.co.il/case/21474168</vt:lpwstr>
      </vt:variant>
      <vt:variant>
        <vt:lpwstr/>
      </vt:variant>
      <vt:variant>
        <vt:i4>3407990</vt:i4>
      </vt:variant>
      <vt:variant>
        <vt:i4>51</vt:i4>
      </vt:variant>
      <vt:variant>
        <vt:i4>0</vt:i4>
      </vt:variant>
      <vt:variant>
        <vt:i4>5</vt:i4>
      </vt:variant>
      <vt:variant>
        <vt:lpwstr>http://www.nevo.co.il/case/21771409</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3342457</vt:i4>
      </vt:variant>
      <vt:variant>
        <vt:i4>45</vt:i4>
      </vt:variant>
      <vt:variant>
        <vt:i4>0</vt:i4>
      </vt:variant>
      <vt:variant>
        <vt:i4>5</vt:i4>
      </vt:variant>
      <vt:variant>
        <vt:lpwstr>http://www.nevo.co.il/case/5762686</vt:lpwstr>
      </vt:variant>
      <vt:variant>
        <vt:lpwstr/>
      </vt:variant>
      <vt:variant>
        <vt:i4>65609</vt:i4>
      </vt:variant>
      <vt:variant>
        <vt:i4>42</vt:i4>
      </vt:variant>
      <vt:variant>
        <vt:i4>0</vt:i4>
      </vt:variant>
      <vt:variant>
        <vt:i4>5</vt:i4>
      </vt:variant>
      <vt:variant>
        <vt:lpwstr>http://www.nevo.co.il/case/492472</vt:lpwstr>
      </vt:variant>
      <vt:variant>
        <vt:lpwstr/>
      </vt:variant>
      <vt:variant>
        <vt:i4>3342459</vt:i4>
      </vt:variant>
      <vt:variant>
        <vt:i4>39</vt:i4>
      </vt:variant>
      <vt:variant>
        <vt:i4>0</vt:i4>
      </vt:variant>
      <vt:variant>
        <vt:i4>5</vt:i4>
      </vt:variant>
      <vt:variant>
        <vt:lpwstr>http://www.nevo.co.il/case/20178885</vt:lpwstr>
      </vt:variant>
      <vt:variant>
        <vt:lpwstr/>
      </vt:variant>
      <vt:variant>
        <vt:i4>3604593</vt:i4>
      </vt:variant>
      <vt:variant>
        <vt:i4>36</vt:i4>
      </vt:variant>
      <vt:variant>
        <vt:i4>0</vt:i4>
      </vt:variant>
      <vt:variant>
        <vt:i4>5</vt:i4>
      </vt:variant>
      <vt:variant>
        <vt:lpwstr>http://www.nevo.co.il/case/17929065</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3801213</vt:i4>
      </vt:variant>
      <vt:variant>
        <vt:i4>30</vt:i4>
      </vt:variant>
      <vt:variant>
        <vt:i4>0</vt:i4>
      </vt:variant>
      <vt:variant>
        <vt:i4>5</vt:i4>
      </vt:variant>
      <vt:variant>
        <vt:lpwstr>http://www.nevo.co.il/case/5594385</vt:lpwstr>
      </vt:variant>
      <vt:variant>
        <vt:lpwstr/>
      </vt:variant>
      <vt:variant>
        <vt:i4>3604596</vt:i4>
      </vt:variant>
      <vt:variant>
        <vt:i4>27</vt:i4>
      </vt:variant>
      <vt:variant>
        <vt:i4>0</vt:i4>
      </vt:variant>
      <vt:variant>
        <vt:i4>5</vt:i4>
      </vt:variant>
      <vt:variant>
        <vt:lpwstr>http://www.nevo.co.il/case/23750625</vt:lpwstr>
      </vt:variant>
      <vt:variant>
        <vt:lpwstr/>
      </vt:variant>
      <vt:variant>
        <vt:i4>4128884</vt:i4>
      </vt:variant>
      <vt:variant>
        <vt:i4>24</vt:i4>
      </vt:variant>
      <vt:variant>
        <vt:i4>0</vt:i4>
      </vt:variant>
      <vt:variant>
        <vt:i4>5</vt:i4>
      </vt:variant>
      <vt:variant>
        <vt:lpwstr>http://www.nevo.co.il/case/17954235</vt:lpwstr>
      </vt:variant>
      <vt:variant>
        <vt:lpwstr/>
      </vt:variant>
      <vt:variant>
        <vt:i4>3932277</vt:i4>
      </vt:variant>
      <vt:variant>
        <vt:i4>21</vt:i4>
      </vt:variant>
      <vt:variant>
        <vt:i4>0</vt:i4>
      </vt:variant>
      <vt:variant>
        <vt:i4>5</vt:i4>
      </vt:variant>
      <vt:variant>
        <vt:lpwstr>http://www.nevo.co.il/case/21472788</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60648</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מחמוד מונה</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20190129</vt:lpwstr>
  </property>
  <property fmtid="{D5CDD505-2E9C-101B-9397-08002B2CF9AE}" pid="13" name="TYPE_N_DATE">
    <vt:lpwstr>39020190129</vt:lpwstr>
  </property>
  <property fmtid="{D5CDD505-2E9C-101B-9397-08002B2CF9AE}" pid="14" name="CASESLISTTMP1">
    <vt:lpwstr>21472788;17954235;23750625;5594385;7791493;17929065;20178885;492472;6000182;21771409;21474168;6151556;5950172;21472954;22760253;17954222</vt:lpwstr>
  </property>
  <property fmtid="{D5CDD505-2E9C-101B-9397-08002B2CF9AE}" pid="15" name="CASENOTES1">
    <vt:lpwstr>ProcID=235&amp;PartA=36&amp;PartC=10</vt:lpwstr>
  </property>
  <property fmtid="{D5CDD505-2E9C-101B-9397-08002B2CF9AE}" pid="16" name="CASENOTES2">
    <vt:lpwstr>ProcID=133;209&amp;PartA=1332&amp;PartC=04</vt:lpwstr>
  </property>
  <property fmtid="{D5CDD505-2E9C-101B-9397-08002B2CF9AE}" pid="17" name="WORDNUMPAGES">
    <vt:lpwstr>9</vt:lpwstr>
  </property>
  <property fmtid="{D5CDD505-2E9C-101B-9397-08002B2CF9AE}" pid="18" name="TYPE_ABS_DATE">
    <vt:lpwstr>390020190129</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70301/499.a.1;144.b;40ja</vt:lpwstr>
  </property>
</Properties>
</file>