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018" w:type="dxa"/>
        <w:jc w:val="center"/>
        <w:tblLook w:val="0000" w:firstRow="0" w:lastRow="0" w:firstColumn="0" w:lastColumn="0" w:noHBand="0" w:noVBand="0"/>
      </w:tblPr>
      <w:tblGrid>
        <w:gridCol w:w="3298"/>
        <w:gridCol w:w="1759"/>
        <w:gridCol w:w="3664"/>
        <w:gridCol w:w="297"/>
      </w:tblGrid>
      <w:tr w:rsidR="005F0548" w:rsidRPr="002434BA" w14:paraId="54FBBF5C" w14:textId="77777777" w:rsidTr="00E11AD1">
        <w:trPr>
          <w:gridAfter w:val="1"/>
          <w:wAfter w:w="297" w:type="dxa"/>
          <w:trHeight w:hRule="exact" w:val="418"/>
          <w:jc w:val="center"/>
        </w:trPr>
        <w:tc>
          <w:tcPr>
            <w:tcW w:w="8721" w:type="dxa"/>
            <w:gridSpan w:val="3"/>
          </w:tcPr>
          <w:p w14:paraId="647E1BC2" w14:textId="77777777" w:rsidR="005F0548" w:rsidRPr="002434BA" w:rsidRDefault="005F0548" w:rsidP="00850270">
            <w:pPr>
              <w:pStyle w:val="a3"/>
              <w:jc w:val="center"/>
              <w:rPr>
                <w:rFonts w:ascii="Tahoma" w:hAnsi="Tahoma" w:cs="Tahoma"/>
                <w:color w:val="000080"/>
                <w:rtl/>
              </w:rPr>
            </w:pPr>
            <w:r w:rsidRPr="002434BA">
              <w:rPr>
                <w:rFonts w:ascii="Tahoma" w:hAnsi="Tahoma" w:cs="Tahoma"/>
                <w:b/>
                <w:bCs/>
                <w:color w:val="000080"/>
                <w:rtl/>
              </w:rPr>
              <w:t>בית המשפט המחוזי בחיפה</w:t>
            </w:r>
          </w:p>
        </w:tc>
      </w:tr>
      <w:tr w:rsidR="005F0548" w:rsidRPr="002434BA" w14:paraId="5781C7C8" w14:textId="77777777" w:rsidTr="00E11AD1">
        <w:trPr>
          <w:gridAfter w:val="1"/>
          <w:wAfter w:w="297" w:type="dxa"/>
          <w:trHeight w:val="337"/>
          <w:jc w:val="center"/>
        </w:trPr>
        <w:tc>
          <w:tcPr>
            <w:tcW w:w="5057" w:type="dxa"/>
            <w:gridSpan w:val="2"/>
          </w:tcPr>
          <w:p w14:paraId="58E91D1D" w14:textId="77777777" w:rsidR="005F0548" w:rsidRPr="002434BA" w:rsidRDefault="005F0548" w:rsidP="00850270">
            <w:pPr>
              <w:rPr>
                <w:rFonts w:cs="FrankRuehl"/>
                <w:sz w:val="28"/>
                <w:szCs w:val="28"/>
                <w:rtl/>
              </w:rPr>
            </w:pPr>
            <w:r w:rsidRPr="002434BA">
              <w:rPr>
                <w:rFonts w:cs="FrankRuehl"/>
                <w:sz w:val="28"/>
                <w:szCs w:val="28"/>
                <w:rtl/>
              </w:rPr>
              <w:t>תפ"ח</w:t>
            </w:r>
            <w:r w:rsidRPr="002434BA">
              <w:rPr>
                <w:rFonts w:cs="FrankRuehl" w:hint="cs"/>
                <w:sz w:val="28"/>
                <w:szCs w:val="28"/>
                <w:rtl/>
              </w:rPr>
              <w:t xml:space="preserve"> </w:t>
            </w:r>
            <w:r w:rsidRPr="002434BA">
              <w:rPr>
                <w:rFonts w:cs="FrankRuehl"/>
                <w:sz w:val="28"/>
                <w:szCs w:val="28"/>
                <w:rtl/>
              </w:rPr>
              <w:t>42980-08-18</w:t>
            </w:r>
            <w:r w:rsidRPr="002434BA">
              <w:rPr>
                <w:rFonts w:cs="FrankRuehl" w:hint="cs"/>
                <w:sz w:val="28"/>
                <w:szCs w:val="28"/>
                <w:rtl/>
              </w:rPr>
              <w:t xml:space="preserve"> </w:t>
            </w:r>
            <w:r w:rsidRPr="002434BA">
              <w:rPr>
                <w:rFonts w:cs="FrankRuehl"/>
                <w:sz w:val="28"/>
                <w:szCs w:val="28"/>
                <w:rtl/>
              </w:rPr>
              <w:t>מדינת ישראל נ' דדון(עציר)</w:t>
            </w:r>
          </w:p>
          <w:p w14:paraId="020EC292" w14:textId="77777777" w:rsidR="005F0548" w:rsidRPr="002434BA" w:rsidRDefault="005F0548" w:rsidP="00850270">
            <w:pPr>
              <w:pStyle w:val="a3"/>
              <w:rPr>
                <w:rFonts w:cs="FrankRuehl"/>
                <w:sz w:val="28"/>
                <w:szCs w:val="28"/>
                <w:rtl/>
              </w:rPr>
            </w:pPr>
          </w:p>
          <w:p w14:paraId="0B4B1723" w14:textId="77777777" w:rsidR="005F0548" w:rsidRPr="002434BA" w:rsidRDefault="005F0548" w:rsidP="00850270">
            <w:pPr>
              <w:rPr>
                <w:rFonts w:cs="FrankRuehl"/>
                <w:sz w:val="28"/>
                <w:szCs w:val="28"/>
                <w:rtl/>
              </w:rPr>
            </w:pPr>
            <w:r w:rsidRPr="002434BA">
              <w:rPr>
                <w:rFonts w:cs="FrankRuehl"/>
                <w:sz w:val="28"/>
                <w:szCs w:val="28"/>
                <w:rtl/>
              </w:rPr>
              <w:t>תפ"ח</w:t>
            </w:r>
            <w:r w:rsidRPr="002434BA">
              <w:rPr>
                <w:rFonts w:cs="FrankRuehl" w:hint="cs"/>
                <w:sz w:val="28"/>
                <w:szCs w:val="28"/>
                <w:rtl/>
              </w:rPr>
              <w:t xml:space="preserve"> </w:t>
            </w:r>
            <w:r w:rsidRPr="002434BA">
              <w:rPr>
                <w:rFonts w:cs="FrankRuehl"/>
                <w:sz w:val="28"/>
                <w:szCs w:val="28"/>
                <w:rtl/>
              </w:rPr>
              <w:t>29407-01-19</w:t>
            </w:r>
            <w:r w:rsidRPr="002434BA">
              <w:rPr>
                <w:rFonts w:cs="FrankRuehl" w:hint="cs"/>
                <w:sz w:val="28"/>
                <w:szCs w:val="28"/>
                <w:rtl/>
              </w:rPr>
              <w:t xml:space="preserve"> </w:t>
            </w:r>
            <w:r w:rsidRPr="002434BA">
              <w:rPr>
                <w:rFonts w:cs="FrankRuehl"/>
                <w:sz w:val="28"/>
                <w:szCs w:val="28"/>
                <w:rtl/>
              </w:rPr>
              <w:t>מדינת ישראל נ' דדון(עציר) ואח'</w:t>
            </w:r>
          </w:p>
          <w:p w14:paraId="5AC340C1" w14:textId="77777777" w:rsidR="005F0548" w:rsidRPr="002434BA" w:rsidRDefault="005F0548" w:rsidP="00850270">
            <w:pPr>
              <w:pStyle w:val="a3"/>
              <w:rPr>
                <w:rFonts w:cs="FrankRuehl"/>
                <w:sz w:val="28"/>
                <w:szCs w:val="28"/>
                <w:rtl/>
              </w:rPr>
            </w:pPr>
          </w:p>
        </w:tc>
        <w:tc>
          <w:tcPr>
            <w:tcW w:w="3664" w:type="dxa"/>
          </w:tcPr>
          <w:p w14:paraId="0F980EF0" w14:textId="77777777" w:rsidR="005F0548" w:rsidRPr="002434BA" w:rsidRDefault="005F0548" w:rsidP="00850270">
            <w:pPr>
              <w:pStyle w:val="a3"/>
              <w:jc w:val="right"/>
              <w:rPr>
                <w:rFonts w:cs="FrankRuehl"/>
                <w:sz w:val="28"/>
                <w:szCs w:val="28"/>
                <w:rtl/>
              </w:rPr>
            </w:pPr>
          </w:p>
        </w:tc>
      </w:tr>
      <w:tr w:rsidR="005F0548" w:rsidRPr="002434BA" w14:paraId="52E99FF6" w14:textId="77777777" w:rsidTr="00E11AD1">
        <w:tblPrEx>
          <w:jc w:val="left"/>
          <w:tblLook w:val="01E0" w:firstRow="1" w:lastRow="1" w:firstColumn="1" w:lastColumn="1" w:noHBand="0" w:noVBand="0"/>
        </w:tblPrEx>
        <w:tc>
          <w:tcPr>
            <w:tcW w:w="9018" w:type="dxa"/>
            <w:gridSpan w:val="4"/>
            <w:shd w:val="clear" w:color="auto" w:fill="auto"/>
          </w:tcPr>
          <w:p w14:paraId="28DA1F25" w14:textId="77777777" w:rsidR="005F0548" w:rsidRPr="002434BA" w:rsidRDefault="005F0548" w:rsidP="005F0548">
            <w:pPr>
              <w:spacing w:line="360" w:lineRule="auto"/>
              <w:rPr>
                <w:rFonts w:ascii="David" w:hAnsi="David"/>
                <w:b/>
                <w:bCs/>
              </w:rPr>
            </w:pPr>
            <w:r w:rsidRPr="002434BA">
              <w:rPr>
                <w:rFonts w:hint="cs"/>
                <w:rtl/>
              </w:rPr>
              <w:t xml:space="preserve"> </w:t>
            </w:r>
            <w:r w:rsidRPr="002434BA">
              <w:rPr>
                <w:rFonts w:ascii="David" w:hAnsi="David"/>
                <w:b/>
                <w:bCs/>
                <w:rtl/>
              </w:rPr>
              <w:t>לפני הרכב כבוד השופטים:</w:t>
            </w:r>
            <w:r w:rsidRPr="002434BA">
              <w:rPr>
                <w:rFonts w:ascii="David" w:hAnsi="David"/>
                <w:b/>
                <w:bCs/>
                <w:rtl/>
              </w:rPr>
              <w:br/>
              <w:t>יחיאל ליפשיץ [אב"ד]</w:t>
            </w:r>
            <w:r w:rsidRPr="002434BA">
              <w:rPr>
                <w:rFonts w:ascii="David" w:hAnsi="David"/>
                <w:b/>
                <w:bCs/>
                <w:rtl/>
              </w:rPr>
              <w:br/>
              <w:t xml:space="preserve">גלית ציגלר, </w:t>
            </w:r>
            <w:r w:rsidRPr="002434BA">
              <w:rPr>
                <w:rFonts w:ascii="David" w:hAnsi="David"/>
                <w:b/>
                <w:bCs/>
                <w:rtl/>
              </w:rPr>
              <w:br/>
              <w:t>שמואל מנדלבום</w:t>
            </w:r>
            <w:r w:rsidRPr="002434BA">
              <w:rPr>
                <w:rFonts w:ascii="David" w:hAnsi="David"/>
                <w:b/>
                <w:bCs/>
                <w:rtl/>
              </w:rPr>
              <w:br/>
            </w:r>
          </w:p>
        </w:tc>
      </w:tr>
      <w:tr w:rsidR="005F0548" w:rsidRPr="002434BA" w14:paraId="610E4785" w14:textId="77777777" w:rsidTr="00E11AD1">
        <w:tblPrEx>
          <w:jc w:val="left"/>
          <w:tblLook w:val="01E0" w:firstRow="1" w:lastRow="1" w:firstColumn="1" w:lastColumn="1" w:noHBand="0" w:noVBand="0"/>
        </w:tblPrEx>
        <w:trPr>
          <w:cantSplit/>
          <w:trHeight w:val="516"/>
        </w:trPr>
        <w:tc>
          <w:tcPr>
            <w:tcW w:w="3298" w:type="dxa"/>
            <w:shd w:val="clear" w:color="auto" w:fill="auto"/>
          </w:tcPr>
          <w:p w14:paraId="67AA922E" w14:textId="77777777" w:rsidR="005F0548" w:rsidRPr="002434BA" w:rsidRDefault="005F0548" w:rsidP="005F0548">
            <w:pPr>
              <w:spacing w:line="360" w:lineRule="auto"/>
              <w:ind w:left="26"/>
              <w:rPr>
                <w:rFonts w:ascii="David" w:hAnsi="David"/>
                <w:b/>
                <w:bCs/>
              </w:rPr>
            </w:pPr>
            <w:bookmarkStart w:id="0" w:name="FirstAppellant"/>
            <w:bookmarkStart w:id="1" w:name="LastJudge"/>
            <w:bookmarkEnd w:id="1"/>
            <w:r w:rsidRPr="002434BA">
              <w:rPr>
                <w:rFonts w:ascii="David" w:hAnsi="David"/>
                <w:b/>
                <w:bCs/>
                <w:rtl/>
              </w:rPr>
              <w:t>המאשימה</w:t>
            </w:r>
          </w:p>
        </w:tc>
        <w:tc>
          <w:tcPr>
            <w:tcW w:w="5720" w:type="dxa"/>
            <w:gridSpan w:val="3"/>
            <w:shd w:val="clear" w:color="auto" w:fill="auto"/>
          </w:tcPr>
          <w:p w14:paraId="15B6EB8B" w14:textId="77777777" w:rsidR="005F0548" w:rsidRPr="002434BA" w:rsidRDefault="005F0548" w:rsidP="005F0548">
            <w:pPr>
              <w:spacing w:line="360" w:lineRule="auto"/>
              <w:rPr>
                <w:rFonts w:ascii="David" w:hAnsi="David"/>
                <w:b/>
                <w:bCs/>
              </w:rPr>
            </w:pPr>
            <w:r w:rsidRPr="002434BA">
              <w:rPr>
                <w:rFonts w:ascii="David" w:hAnsi="David"/>
                <w:b/>
                <w:bCs/>
                <w:rtl/>
              </w:rPr>
              <w:t>מדינת ישראל</w:t>
            </w:r>
          </w:p>
          <w:p w14:paraId="2576FE80" w14:textId="77777777" w:rsidR="005F0548" w:rsidRPr="002434BA" w:rsidRDefault="005F0548" w:rsidP="005F0548">
            <w:pPr>
              <w:spacing w:line="360" w:lineRule="auto"/>
              <w:rPr>
                <w:rFonts w:ascii="David" w:hAnsi="David"/>
                <w:b/>
                <w:bCs/>
                <w:rtl/>
              </w:rPr>
            </w:pPr>
          </w:p>
        </w:tc>
      </w:tr>
      <w:bookmarkEnd w:id="0"/>
      <w:tr w:rsidR="005F0548" w:rsidRPr="002434BA" w14:paraId="623D38FF" w14:textId="77777777" w:rsidTr="00E11AD1">
        <w:tblPrEx>
          <w:jc w:val="left"/>
          <w:tblLook w:val="01E0" w:firstRow="1" w:lastRow="1" w:firstColumn="1" w:lastColumn="1" w:noHBand="0" w:noVBand="0"/>
        </w:tblPrEx>
        <w:tc>
          <w:tcPr>
            <w:tcW w:w="9018" w:type="dxa"/>
            <w:gridSpan w:val="4"/>
            <w:shd w:val="clear" w:color="auto" w:fill="auto"/>
            <w:vAlign w:val="center"/>
          </w:tcPr>
          <w:p w14:paraId="7BDA9D0B" w14:textId="77777777" w:rsidR="005F0548" w:rsidRPr="002434BA" w:rsidRDefault="005F0548" w:rsidP="005F0548">
            <w:pPr>
              <w:spacing w:line="360" w:lineRule="auto"/>
              <w:rPr>
                <w:rFonts w:ascii="David" w:hAnsi="David"/>
                <w:b/>
                <w:bCs/>
              </w:rPr>
            </w:pPr>
            <w:r w:rsidRPr="002434BA">
              <w:rPr>
                <w:rFonts w:ascii="David" w:hAnsi="David"/>
                <w:b/>
                <w:bCs/>
                <w:rtl/>
              </w:rPr>
              <w:t>נגד</w:t>
            </w:r>
          </w:p>
          <w:p w14:paraId="0CC7A623" w14:textId="77777777" w:rsidR="005F0548" w:rsidRPr="002434BA" w:rsidRDefault="005F0548" w:rsidP="005F0548">
            <w:pPr>
              <w:spacing w:line="360" w:lineRule="auto"/>
              <w:rPr>
                <w:rFonts w:ascii="David" w:hAnsi="David"/>
                <w:b/>
                <w:bCs/>
              </w:rPr>
            </w:pPr>
          </w:p>
        </w:tc>
      </w:tr>
      <w:tr w:rsidR="005F0548" w:rsidRPr="002434BA" w14:paraId="3729475A" w14:textId="77777777" w:rsidTr="00E11AD1">
        <w:tblPrEx>
          <w:jc w:val="left"/>
          <w:tblLook w:val="01E0" w:firstRow="1" w:lastRow="1" w:firstColumn="1" w:lastColumn="1" w:noHBand="0" w:noVBand="0"/>
        </w:tblPrEx>
        <w:tc>
          <w:tcPr>
            <w:tcW w:w="3298" w:type="dxa"/>
            <w:shd w:val="clear" w:color="auto" w:fill="auto"/>
          </w:tcPr>
          <w:p w14:paraId="61C075E3" w14:textId="77777777" w:rsidR="005F0548" w:rsidRPr="002434BA" w:rsidRDefault="005F0548" w:rsidP="005F0548">
            <w:pPr>
              <w:spacing w:line="360" w:lineRule="auto"/>
              <w:ind w:left="26"/>
              <w:rPr>
                <w:rFonts w:ascii="David" w:hAnsi="David"/>
                <w:b/>
                <w:bCs/>
              </w:rPr>
            </w:pPr>
            <w:r w:rsidRPr="002434BA">
              <w:rPr>
                <w:rFonts w:ascii="David" w:hAnsi="David"/>
                <w:b/>
                <w:bCs/>
                <w:rtl/>
              </w:rPr>
              <w:t>הנאשמים</w:t>
            </w:r>
          </w:p>
        </w:tc>
        <w:tc>
          <w:tcPr>
            <w:tcW w:w="5720" w:type="dxa"/>
            <w:gridSpan w:val="3"/>
            <w:shd w:val="clear" w:color="auto" w:fill="auto"/>
          </w:tcPr>
          <w:p w14:paraId="2F776AD8" w14:textId="77777777" w:rsidR="005F0548" w:rsidRPr="002434BA" w:rsidRDefault="005F0548" w:rsidP="005F0548">
            <w:pPr>
              <w:spacing w:line="360" w:lineRule="auto"/>
              <w:rPr>
                <w:rFonts w:ascii="David" w:hAnsi="David"/>
                <w:b/>
                <w:bCs/>
              </w:rPr>
            </w:pPr>
            <w:r w:rsidRPr="002434BA">
              <w:rPr>
                <w:rFonts w:ascii="David" w:hAnsi="David"/>
                <w:b/>
                <w:bCs/>
                <w:rtl/>
              </w:rPr>
              <w:t>1. ראובן דדון (עציר)</w:t>
            </w:r>
            <w:r w:rsidRPr="002434BA">
              <w:rPr>
                <w:rFonts w:ascii="David" w:hAnsi="David"/>
                <w:rtl/>
              </w:rPr>
              <w:t xml:space="preserve"> </w:t>
            </w:r>
            <w:r w:rsidRPr="002434BA">
              <w:rPr>
                <w:rFonts w:ascii="David" w:hAnsi="David"/>
                <w:b/>
                <w:bCs/>
                <w:rtl/>
              </w:rPr>
              <w:t xml:space="preserve"> ת"ז </w:t>
            </w:r>
            <w:r w:rsidR="002434BA">
              <w:rPr>
                <w:rFonts w:ascii="David" w:hAnsi="David"/>
                <w:b/>
                <w:bCs/>
              </w:rPr>
              <w:t>xxxxxxxxxx</w:t>
            </w:r>
          </w:p>
          <w:p w14:paraId="134AB118" w14:textId="77777777" w:rsidR="005F0548" w:rsidRPr="002434BA" w:rsidRDefault="005F0548" w:rsidP="005F0548">
            <w:pPr>
              <w:spacing w:line="360" w:lineRule="auto"/>
              <w:rPr>
                <w:rFonts w:ascii="David" w:hAnsi="David"/>
                <w:b/>
                <w:bCs/>
              </w:rPr>
            </w:pPr>
            <w:r w:rsidRPr="002434BA">
              <w:rPr>
                <w:rFonts w:ascii="David" w:hAnsi="David"/>
                <w:b/>
                <w:bCs/>
                <w:rtl/>
              </w:rPr>
              <w:t>2. עוז דדון (עציר)</w:t>
            </w:r>
            <w:r w:rsidRPr="002434BA">
              <w:rPr>
                <w:rFonts w:ascii="David" w:hAnsi="David"/>
                <w:rtl/>
              </w:rPr>
              <w:t xml:space="preserve"> </w:t>
            </w:r>
            <w:r w:rsidRPr="002434BA">
              <w:rPr>
                <w:rFonts w:ascii="David" w:hAnsi="David"/>
                <w:b/>
                <w:bCs/>
                <w:rtl/>
              </w:rPr>
              <w:t xml:space="preserve"> ת"ז </w:t>
            </w:r>
            <w:r w:rsidR="002434BA">
              <w:rPr>
                <w:rFonts w:ascii="David" w:hAnsi="David"/>
                <w:b/>
                <w:bCs/>
              </w:rPr>
              <w:t>xxxxxxxxx</w:t>
            </w:r>
          </w:p>
          <w:p w14:paraId="3378AA47" w14:textId="77777777" w:rsidR="005F0548" w:rsidRPr="002434BA" w:rsidRDefault="005F0548" w:rsidP="005F0548">
            <w:pPr>
              <w:spacing w:line="360" w:lineRule="auto"/>
              <w:rPr>
                <w:rFonts w:ascii="David" w:hAnsi="David"/>
                <w:b/>
                <w:bCs/>
              </w:rPr>
            </w:pPr>
            <w:r w:rsidRPr="002434BA">
              <w:rPr>
                <w:rFonts w:ascii="David" w:hAnsi="David"/>
                <w:b/>
                <w:bCs/>
                <w:rtl/>
              </w:rPr>
              <w:t>3. רועי ישראל דדון (עציר)</w:t>
            </w:r>
            <w:r w:rsidRPr="002434BA">
              <w:rPr>
                <w:rFonts w:ascii="David" w:hAnsi="David"/>
                <w:rtl/>
              </w:rPr>
              <w:t xml:space="preserve">  </w:t>
            </w:r>
            <w:r w:rsidRPr="002434BA">
              <w:rPr>
                <w:rFonts w:ascii="David" w:hAnsi="David"/>
                <w:b/>
                <w:bCs/>
                <w:rtl/>
              </w:rPr>
              <w:t xml:space="preserve">ת"ז </w:t>
            </w:r>
            <w:r w:rsidR="002434BA">
              <w:rPr>
                <w:rFonts w:ascii="David" w:hAnsi="David"/>
                <w:b/>
                <w:bCs/>
              </w:rPr>
              <w:t>xxxxxxxxx</w:t>
            </w:r>
          </w:p>
        </w:tc>
      </w:tr>
    </w:tbl>
    <w:p w14:paraId="45A30E34" w14:textId="77777777" w:rsidR="005F0548" w:rsidRPr="002434BA" w:rsidRDefault="005F0548" w:rsidP="005F0548">
      <w:pPr>
        <w:spacing w:line="360" w:lineRule="auto"/>
        <w:jc w:val="both"/>
        <w:rPr>
          <w:rFonts w:ascii="David" w:hAnsi="David"/>
          <w:sz w:val="6"/>
          <w:szCs w:val="6"/>
          <w:rtl/>
        </w:rPr>
      </w:pPr>
      <w:r w:rsidRPr="002434BA">
        <w:rPr>
          <w:rFonts w:ascii="David" w:hAnsi="David"/>
          <w:sz w:val="6"/>
          <w:szCs w:val="6"/>
          <w:rtl/>
        </w:rPr>
        <w:t>&lt;#2#&gt;</w:t>
      </w:r>
    </w:p>
    <w:p w14:paraId="1B64B7CF" w14:textId="77777777" w:rsidR="002434BA" w:rsidRPr="002434BA" w:rsidRDefault="002434BA" w:rsidP="002434BA">
      <w:pPr>
        <w:spacing w:before="120" w:after="120" w:line="240" w:lineRule="exact"/>
        <w:ind w:left="283" w:hanging="283"/>
        <w:jc w:val="both"/>
        <w:rPr>
          <w:rFonts w:ascii="FrankRuehl" w:hAnsi="FrankRuehl" w:cs="FrankRuehl"/>
          <w:rtl/>
        </w:rPr>
      </w:pPr>
    </w:p>
    <w:p w14:paraId="01EC4EA7" w14:textId="77777777" w:rsidR="008C4677" w:rsidRPr="008C4677" w:rsidRDefault="008C4677" w:rsidP="008C4677">
      <w:pPr>
        <w:spacing w:before="120" w:after="120" w:line="240" w:lineRule="exact"/>
        <w:ind w:left="283" w:hanging="283"/>
        <w:jc w:val="both"/>
        <w:rPr>
          <w:rFonts w:ascii="FrankRuehl" w:hAnsi="FrankRuehl" w:cs="FrankRuehl"/>
          <w:rtl/>
        </w:rPr>
      </w:pPr>
    </w:p>
    <w:p w14:paraId="619216F6" w14:textId="77777777" w:rsidR="00FC2624" w:rsidRDefault="00FC2624" w:rsidP="00FC2624">
      <w:pPr>
        <w:spacing w:line="360" w:lineRule="auto"/>
        <w:jc w:val="both"/>
        <w:rPr>
          <w:rFonts w:ascii="David" w:hAnsi="David"/>
          <w:rtl/>
        </w:rPr>
      </w:pPr>
      <w:bookmarkStart w:id="2" w:name="LawTable"/>
      <w:bookmarkEnd w:id="2"/>
    </w:p>
    <w:p w14:paraId="3C87C159" w14:textId="77777777" w:rsidR="00FC2624" w:rsidRPr="00FC2624" w:rsidRDefault="00FC2624" w:rsidP="00FC2624">
      <w:pPr>
        <w:spacing w:before="120" w:after="120" w:line="240" w:lineRule="exact"/>
        <w:ind w:left="283" w:hanging="283"/>
        <w:jc w:val="both"/>
        <w:rPr>
          <w:rFonts w:ascii="FrankRuehl" w:hAnsi="FrankRuehl" w:cs="FrankRuehl"/>
          <w:rtl/>
        </w:rPr>
      </w:pPr>
    </w:p>
    <w:p w14:paraId="3F1145FA" w14:textId="77777777" w:rsidR="00FC2624" w:rsidRPr="00FC2624" w:rsidRDefault="00FC2624" w:rsidP="00FC2624">
      <w:pPr>
        <w:spacing w:before="120" w:after="120" w:line="240" w:lineRule="exact"/>
        <w:ind w:left="283" w:hanging="283"/>
        <w:jc w:val="both"/>
        <w:rPr>
          <w:rFonts w:ascii="FrankRuehl" w:hAnsi="FrankRuehl" w:cs="FrankRuehl"/>
          <w:rtl/>
        </w:rPr>
      </w:pPr>
    </w:p>
    <w:p w14:paraId="14B66F13" w14:textId="77777777" w:rsidR="00FC2624" w:rsidRPr="00FC2624" w:rsidRDefault="00FC2624" w:rsidP="00FC2624">
      <w:pPr>
        <w:spacing w:before="120" w:after="120" w:line="240" w:lineRule="exact"/>
        <w:ind w:left="283" w:hanging="283"/>
        <w:jc w:val="both"/>
        <w:rPr>
          <w:rFonts w:ascii="FrankRuehl" w:hAnsi="FrankRuehl" w:cs="FrankRuehl"/>
          <w:rtl/>
        </w:rPr>
      </w:pPr>
      <w:r w:rsidRPr="00FC2624">
        <w:rPr>
          <w:rFonts w:ascii="FrankRuehl" w:hAnsi="FrankRuehl" w:cs="FrankRuehl"/>
          <w:rtl/>
        </w:rPr>
        <w:t xml:space="preserve">חקיקה שאוזכרה: </w:t>
      </w:r>
    </w:p>
    <w:p w14:paraId="35CFEAEB" w14:textId="77777777" w:rsidR="00FC2624" w:rsidRPr="00FC2624" w:rsidRDefault="00FC2624" w:rsidP="00FC2624">
      <w:pPr>
        <w:spacing w:before="120" w:after="120" w:line="240" w:lineRule="exact"/>
        <w:ind w:left="283" w:hanging="283"/>
        <w:jc w:val="both"/>
        <w:rPr>
          <w:rFonts w:ascii="FrankRuehl" w:hAnsi="FrankRuehl" w:cs="FrankRuehl"/>
          <w:rtl/>
        </w:rPr>
      </w:pPr>
      <w:hyperlink r:id="rId6" w:history="1">
        <w:r w:rsidRPr="00FC2624">
          <w:rPr>
            <w:rFonts w:ascii="FrankRuehl" w:hAnsi="FrankRuehl" w:cs="FrankRuehl"/>
            <w:color w:val="0000FF"/>
            <w:rtl/>
          </w:rPr>
          <w:t>חוק העונשין, תשל"ז-1977</w:t>
        </w:r>
      </w:hyperlink>
      <w:r w:rsidRPr="00FC2624">
        <w:rPr>
          <w:rFonts w:ascii="FrankRuehl" w:hAnsi="FrankRuehl" w:cs="FrankRuehl"/>
          <w:rtl/>
        </w:rPr>
        <w:t xml:space="preserve">: סע'  </w:t>
      </w:r>
      <w:hyperlink r:id="rId7" w:history="1">
        <w:r w:rsidRPr="00FC2624">
          <w:rPr>
            <w:rFonts w:ascii="FrankRuehl" w:hAnsi="FrankRuehl" w:cs="FrankRuehl"/>
            <w:color w:val="0000FF"/>
            <w:rtl/>
          </w:rPr>
          <w:t>29</w:t>
        </w:r>
      </w:hyperlink>
      <w:r w:rsidRPr="00FC2624">
        <w:rPr>
          <w:rFonts w:ascii="FrankRuehl" w:hAnsi="FrankRuehl" w:cs="FrankRuehl"/>
          <w:rtl/>
        </w:rPr>
        <w:t xml:space="preserve">, </w:t>
      </w:r>
      <w:hyperlink r:id="rId8" w:history="1">
        <w:r w:rsidRPr="00FC2624">
          <w:rPr>
            <w:rFonts w:ascii="FrankRuehl" w:hAnsi="FrankRuehl" w:cs="FrankRuehl"/>
            <w:color w:val="0000FF"/>
            <w:rtl/>
          </w:rPr>
          <w:t>144(א)</w:t>
        </w:r>
      </w:hyperlink>
      <w:r w:rsidRPr="00FC2624">
        <w:rPr>
          <w:rFonts w:ascii="FrankRuehl" w:hAnsi="FrankRuehl" w:cs="FrankRuehl"/>
          <w:rtl/>
        </w:rPr>
        <w:t xml:space="preserve">, </w:t>
      </w:r>
      <w:hyperlink r:id="rId9" w:history="1">
        <w:r w:rsidRPr="00FC2624">
          <w:rPr>
            <w:rFonts w:ascii="FrankRuehl" w:hAnsi="FrankRuehl" w:cs="FrankRuehl"/>
            <w:color w:val="0000FF"/>
            <w:rtl/>
          </w:rPr>
          <w:t>144(ב)</w:t>
        </w:r>
      </w:hyperlink>
      <w:r w:rsidRPr="00FC2624">
        <w:rPr>
          <w:rFonts w:ascii="FrankRuehl" w:hAnsi="FrankRuehl" w:cs="FrankRuehl"/>
          <w:rtl/>
        </w:rPr>
        <w:t xml:space="preserve">, </w:t>
      </w:r>
      <w:hyperlink r:id="rId10" w:history="1">
        <w:r w:rsidRPr="00FC2624">
          <w:rPr>
            <w:rFonts w:ascii="FrankRuehl" w:hAnsi="FrankRuehl" w:cs="FrankRuehl"/>
            <w:color w:val="0000FF"/>
            <w:rtl/>
          </w:rPr>
          <w:t>300(א)(2)</w:t>
        </w:r>
      </w:hyperlink>
      <w:r w:rsidRPr="00FC2624">
        <w:rPr>
          <w:rFonts w:ascii="FrankRuehl" w:hAnsi="FrankRuehl" w:cs="FrankRuehl"/>
          <w:rtl/>
        </w:rPr>
        <w:t xml:space="preserve">, </w:t>
      </w:r>
      <w:hyperlink r:id="rId11" w:history="1">
        <w:r w:rsidRPr="00FC2624">
          <w:rPr>
            <w:rFonts w:ascii="FrankRuehl" w:hAnsi="FrankRuehl" w:cs="FrankRuehl"/>
            <w:color w:val="0000FF"/>
            <w:rtl/>
          </w:rPr>
          <w:t>301</w:t>
        </w:r>
      </w:hyperlink>
      <w:r w:rsidRPr="00FC2624">
        <w:rPr>
          <w:rFonts w:ascii="FrankRuehl" w:hAnsi="FrankRuehl" w:cs="FrankRuehl"/>
          <w:rtl/>
        </w:rPr>
        <w:t xml:space="preserve">, </w:t>
      </w:r>
      <w:hyperlink r:id="rId12" w:history="1">
        <w:r w:rsidRPr="00FC2624">
          <w:rPr>
            <w:rFonts w:ascii="FrankRuehl" w:hAnsi="FrankRuehl" w:cs="FrankRuehl"/>
            <w:color w:val="0000FF"/>
            <w:rtl/>
          </w:rPr>
          <w:t>305(ב)</w:t>
        </w:r>
      </w:hyperlink>
    </w:p>
    <w:p w14:paraId="047409FF" w14:textId="77777777" w:rsidR="00FC2624" w:rsidRPr="00FC2624" w:rsidRDefault="00FC2624" w:rsidP="00FC2624">
      <w:pPr>
        <w:spacing w:line="360" w:lineRule="auto"/>
        <w:jc w:val="both"/>
        <w:rPr>
          <w:rFonts w:ascii="David" w:hAnsi="David"/>
          <w:rtl/>
        </w:rPr>
      </w:pPr>
      <w:bookmarkStart w:id="3" w:name="LawTable_End"/>
      <w:bookmarkEnd w:id="3"/>
    </w:p>
    <w:p w14:paraId="72B04031" w14:textId="77777777" w:rsidR="005F0548" w:rsidRPr="008C4677" w:rsidRDefault="005F0548" w:rsidP="008C4677">
      <w:pPr>
        <w:spacing w:line="360" w:lineRule="auto"/>
        <w:jc w:val="both"/>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F0548" w14:paraId="5950FD36" w14:textId="77777777" w:rsidTr="005F0548">
        <w:trPr>
          <w:trHeight w:val="355"/>
          <w:jc w:val="center"/>
        </w:trPr>
        <w:tc>
          <w:tcPr>
            <w:tcW w:w="8820" w:type="dxa"/>
            <w:tcBorders>
              <w:top w:val="nil"/>
              <w:left w:val="nil"/>
              <w:bottom w:val="nil"/>
              <w:right w:val="nil"/>
            </w:tcBorders>
            <w:shd w:val="clear" w:color="auto" w:fill="auto"/>
          </w:tcPr>
          <w:p w14:paraId="6E9B9FB8" w14:textId="77777777" w:rsidR="002434BA" w:rsidRPr="002434BA" w:rsidRDefault="002434BA" w:rsidP="002434BA">
            <w:pPr>
              <w:jc w:val="center"/>
              <w:rPr>
                <w:rFonts w:ascii="David" w:hAnsi="David"/>
                <w:b/>
                <w:bCs/>
                <w:sz w:val="32"/>
                <w:szCs w:val="32"/>
                <w:u w:val="single"/>
                <w:rtl/>
              </w:rPr>
            </w:pPr>
            <w:bookmarkStart w:id="4" w:name="PsakDin" w:colFirst="0" w:colLast="0"/>
            <w:r w:rsidRPr="002434BA">
              <w:rPr>
                <w:rFonts w:ascii="David" w:hAnsi="David"/>
                <w:b/>
                <w:bCs/>
                <w:sz w:val="32"/>
                <w:szCs w:val="32"/>
                <w:u w:val="single"/>
                <w:rtl/>
              </w:rPr>
              <w:t>גזר דין</w:t>
            </w:r>
          </w:p>
          <w:p w14:paraId="634B42DD" w14:textId="77777777" w:rsidR="005F0548" w:rsidRPr="002434BA" w:rsidRDefault="005F0548" w:rsidP="002434BA">
            <w:pPr>
              <w:jc w:val="center"/>
              <w:rPr>
                <w:rFonts w:ascii="David" w:hAnsi="David"/>
                <w:bCs/>
                <w:sz w:val="32"/>
                <w:szCs w:val="32"/>
                <w:u w:val="single"/>
                <w:rtl/>
              </w:rPr>
            </w:pPr>
          </w:p>
        </w:tc>
      </w:tr>
    </w:tbl>
    <w:p w14:paraId="130EF429" w14:textId="77777777" w:rsidR="005F0548" w:rsidRDefault="005F0548" w:rsidP="005F0548">
      <w:pPr>
        <w:spacing w:line="360" w:lineRule="auto"/>
        <w:jc w:val="both"/>
        <w:rPr>
          <w:rFonts w:ascii="David" w:hAnsi="David"/>
          <w:u w:val="single"/>
        </w:rPr>
      </w:pPr>
      <w:bookmarkStart w:id="5" w:name="ABSTRACT_START"/>
      <w:bookmarkEnd w:id="4"/>
      <w:bookmarkEnd w:id="5"/>
      <w:r>
        <w:rPr>
          <w:rFonts w:ascii="David" w:hAnsi="David"/>
          <w:u w:val="single"/>
          <w:rtl/>
        </w:rPr>
        <w:t>כללי</w:t>
      </w:r>
    </w:p>
    <w:p w14:paraId="3FB97FD1" w14:textId="77777777" w:rsidR="005F0548" w:rsidRDefault="005F0548" w:rsidP="005F0548">
      <w:pPr>
        <w:spacing w:line="360" w:lineRule="auto"/>
        <w:jc w:val="both"/>
        <w:rPr>
          <w:rFonts w:ascii="David" w:hAnsi="David"/>
          <w:rtl/>
        </w:rPr>
      </w:pPr>
      <w:r>
        <w:rPr>
          <w:rFonts w:ascii="David" w:hAnsi="David"/>
          <w:rtl/>
        </w:rPr>
        <w:t xml:space="preserve">הנאשמים שלפנינו הם ראובן, עוז ורועי דדון - אב ושני בניו, שהורשעו לאחר שמיעת ראיות ברצח אביעד בן סימון ז"ל (להלן: </w:t>
      </w:r>
      <w:r>
        <w:rPr>
          <w:rFonts w:ascii="David" w:hAnsi="David"/>
          <w:b/>
          <w:bCs/>
          <w:rtl/>
        </w:rPr>
        <w:t>המנוח</w:t>
      </w:r>
      <w:r>
        <w:rPr>
          <w:rFonts w:ascii="David" w:hAnsi="David"/>
          <w:rtl/>
        </w:rPr>
        <w:t xml:space="preserve">). מדובר באירוע שהתרחש ביום 5.10.17 בקרית אתא במסגרתו ירו הנאשמים במנוח ודקרו אותו. </w:t>
      </w:r>
    </w:p>
    <w:p w14:paraId="4A69543C" w14:textId="77777777" w:rsidR="005F0548" w:rsidRDefault="005F0548" w:rsidP="005F0548">
      <w:pPr>
        <w:spacing w:line="360" w:lineRule="auto"/>
        <w:jc w:val="both"/>
        <w:rPr>
          <w:rFonts w:ascii="David" w:hAnsi="David"/>
          <w:rtl/>
        </w:rPr>
      </w:pPr>
      <w:bookmarkStart w:id="6" w:name="ABSTRACT_END"/>
      <w:bookmarkEnd w:id="6"/>
    </w:p>
    <w:p w14:paraId="45D15D6F" w14:textId="77777777" w:rsidR="005F0548" w:rsidRDefault="005F0548" w:rsidP="005F0548">
      <w:pPr>
        <w:spacing w:line="360" w:lineRule="auto"/>
        <w:jc w:val="both"/>
        <w:rPr>
          <w:rFonts w:ascii="David" w:hAnsi="David"/>
          <w:rtl/>
        </w:rPr>
      </w:pPr>
      <w:r>
        <w:rPr>
          <w:rFonts w:ascii="David" w:hAnsi="David"/>
          <w:rtl/>
        </w:rPr>
        <w:t xml:space="preserve">כמפורט בהרחבה בהכרעת הדין, בלילה שטרם הרצח היה מעורב עוז באירוע אלים במועדון באזור הצ'קפוסט עם מספר אנשים, ביניהם יוסי בן גרטי. עוז שב לביתו שבקרית אתא, אך שם לו חיכו </w:t>
      </w:r>
      <w:r>
        <w:rPr>
          <w:rFonts w:ascii="David" w:hAnsi="David"/>
          <w:rtl/>
        </w:rPr>
        <w:lastRenderedPageBreak/>
        <w:t xml:space="preserve">המנוח ובן גרטי, כשהאחרון אף רדף אחריו עם חפץ חד ואיים עליו. בצהרי היום שלמחרת התכנסה משפחת הנאשמים בבית אחותם של עוז ורועי (בתו של ראובן), הממוקם בקרבת בית הנאשמים. הנאשמים שהו בחצר הבית ואז הבחינו ברכב שחור ובו נסעו בן גרטי, המנוח, ואדם נוסף בשם תומר איסקוב. כמפורט בהכרעת הדין, הנאשמים חששו מנוסעי הרכב השחור שמא הם ירעו להם (לנאשמים) או למשפחותיהם, ובעקבות כך הם בצעו סדרת מעשים שבסופה נסעו הנאשמים  ברכבו של רועי וחיפשו, כשהם מצוידים באקדח וסכינים, אחר נוסעי הרכב השחור. לאחר זמן קצר יחסית, איתרו הנאשמים את נוסעי הרכב השחור (להלן: </w:t>
      </w:r>
      <w:r>
        <w:rPr>
          <w:rFonts w:ascii="David" w:hAnsi="David"/>
          <w:b/>
          <w:bCs/>
          <w:rtl/>
        </w:rPr>
        <w:t>החבורה</w:t>
      </w:r>
      <w:r>
        <w:rPr>
          <w:rFonts w:ascii="David" w:hAnsi="David"/>
          <w:rtl/>
        </w:rPr>
        <w:t xml:space="preserve">) עומדים ליד רחבת מכולת בקרבת מקום. הנאשמים עצרו את רכבם ויצאו ממנו, ראובן ירה באקדחו לעבר החבורה אך לא פגע במי מהם, ולאחר מכן החלו הנאשמים לרוץ לעבר החבורה שהתפזרה לכל עבר. בסופו של מרדף, השיגו הנאשמים את המנוח, דקרו וירו בו, ונמלטו מהמקום. המנוח הצליח ללכת מרחק קצר ואף להזעיק עזרה, ואז התמוטט. מותו נקבע סמוך לאחר מכן כתוצאה מהדקירות ופצעי הירי. </w:t>
      </w:r>
    </w:p>
    <w:p w14:paraId="0BFA4AC9" w14:textId="77777777" w:rsidR="005F0548" w:rsidRDefault="005F0548" w:rsidP="005F0548">
      <w:pPr>
        <w:spacing w:line="360" w:lineRule="auto"/>
        <w:jc w:val="both"/>
        <w:rPr>
          <w:rFonts w:ascii="David" w:hAnsi="David"/>
          <w:rtl/>
        </w:rPr>
      </w:pPr>
    </w:p>
    <w:p w14:paraId="1C13C43C" w14:textId="77777777" w:rsidR="005F0548" w:rsidRDefault="005F0548" w:rsidP="005F0548">
      <w:pPr>
        <w:spacing w:line="360" w:lineRule="auto"/>
        <w:jc w:val="both"/>
        <w:rPr>
          <w:rFonts w:ascii="David" w:hAnsi="David"/>
          <w:rtl/>
        </w:rPr>
      </w:pPr>
      <w:r>
        <w:rPr>
          <w:rFonts w:ascii="David" w:hAnsi="David"/>
          <w:rtl/>
        </w:rPr>
        <w:t xml:space="preserve">בסופו של משפט ארוך הורשעו כלל הנאשמים במיוחס להם ונקבע, בין היתר, כי: </w:t>
      </w:r>
    </w:p>
    <w:p w14:paraId="3D5BE2A7" w14:textId="77777777" w:rsidR="005F0548" w:rsidRDefault="005F0548" w:rsidP="005F0548">
      <w:pPr>
        <w:spacing w:line="360" w:lineRule="auto"/>
        <w:jc w:val="both"/>
        <w:rPr>
          <w:rFonts w:ascii="David" w:hAnsi="David"/>
          <w:rtl/>
        </w:rPr>
      </w:pPr>
    </w:p>
    <w:p w14:paraId="0912E4A2" w14:textId="77777777" w:rsidR="005F0548" w:rsidRDefault="005F0548" w:rsidP="005F0548">
      <w:pPr>
        <w:spacing w:line="360" w:lineRule="auto"/>
        <w:jc w:val="both"/>
        <w:rPr>
          <w:rFonts w:ascii="David" w:hAnsi="David"/>
          <w:b/>
          <w:bCs/>
          <w:rtl/>
        </w:rPr>
      </w:pPr>
      <w:r>
        <w:rPr>
          <w:rFonts w:ascii="David" w:hAnsi="David"/>
          <w:rtl/>
        </w:rPr>
        <w:t>"</w:t>
      </w:r>
      <w:r>
        <w:rPr>
          <w:b/>
          <w:bCs/>
          <w:rtl/>
        </w:rPr>
        <w:t xml:space="preserve">מדובר, כאמור לעיל, </w:t>
      </w:r>
      <w:r>
        <w:rPr>
          <w:b/>
          <w:bCs/>
          <w:u w:val="single"/>
          <w:rtl/>
        </w:rPr>
        <w:t>בהתנקשות מתוכננת</w:t>
      </w:r>
      <w:r>
        <w:rPr>
          <w:b/>
          <w:bCs/>
          <w:rtl/>
        </w:rPr>
        <w:t xml:space="preserve">. </w:t>
      </w:r>
      <w:r>
        <w:rPr>
          <w:rFonts w:ascii="David" w:hAnsi="David"/>
          <w:b/>
          <w:bCs/>
          <w:rtl/>
        </w:rPr>
        <w:t xml:space="preserve">הנאשמים, בעת שהיו בארוחה המשפחתית בבית של ליאת, הבחינו ברכב השברולט בו נסעו המנוח וחבריו וחששו מפעולה אלימה של מי מנוסעי הרכב. לא נחזור על כלל ההתרחשות ביחס ליציאת הנאשמים מהבית ונסיעתם אחר רכב השברולט, אך הוכח כי בשלב זה או בסמוך לכך, גמלה בליבם של הנאשמים </w:t>
      </w:r>
      <w:r>
        <w:rPr>
          <w:rFonts w:ascii="David" w:hAnsi="David"/>
          <w:b/>
          <w:bCs/>
          <w:u w:val="single"/>
          <w:rtl/>
        </w:rPr>
        <w:t>ההחלטה להמית</w:t>
      </w:r>
      <w:r>
        <w:rPr>
          <w:rFonts w:ascii="David" w:hAnsi="David"/>
          <w:b/>
          <w:bCs/>
          <w:rtl/>
        </w:rPr>
        <w:t xml:space="preserve"> את המנוח וחבריו.</w:t>
      </w:r>
    </w:p>
    <w:p w14:paraId="34D9C4AA" w14:textId="77777777" w:rsidR="005F0548" w:rsidRDefault="005F0548" w:rsidP="005F0548">
      <w:pPr>
        <w:spacing w:line="360" w:lineRule="auto"/>
        <w:jc w:val="both"/>
        <w:rPr>
          <w:rFonts w:ascii="David" w:hAnsi="David"/>
          <w:b/>
          <w:bCs/>
          <w:rtl/>
        </w:rPr>
      </w:pPr>
    </w:p>
    <w:p w14:paraId="215A6EDF" w14:textId="77777777" w:rsidR="005F0548" w:rsidRDefault="005F0548" w:rsidP="005F0548">
      <w:pPr>
        <w:spacing w:line="360" w:lineRule="auto"/>
        <w:jc w:val="both"/>
        <w:rPr>
          <w:rFonts w:ascii="David" w:hAnsi="David"/>
          <w:rtl/>
        </w:rPr>
      </w:pPr>
      <w:r>
        <w:rPr>
          <w:rFonts w:ascii="David" w:hAnsi="David"/>
          <w:b/>
          <w:bCs/>
          <w:rtl/>
        </w:rPr>
        <w:t xml:space="preserve">מסקנה זו נלמדת ממעשי הנאשמים לפני, בזמן הרצח ולאחריו. כאמור, לפני הרצח הנאשמים הצטיידו </w:t>
      </w:r>
      <w:r>
        <w:rPr>
          <w:rFonts w:ascii="David" w:hAnsi="David"/>
          <w:b/>
          <w:bCs/>
          <w:u w:val="single"/>
          <w:rtl/>
        </w:rPr>
        <w:t>באקדח עם תחמושת ושני סכינים</w:t>
      </w:r>
      <w:r>
        <w:rPr>
          <w:rFonts w:ascii="David" w:hAnsi="David"/>
          <w:b/>
          <w:bCs/>
          <w:rtl/>
        </w:rPr>
        <w:t xml:space="preserve">. הפנינו לכך כי יש להניח שההצטיידות בכלים המשחיתים הייתה זמן קצר לאחר נסיעת רכב השברולט, בעת הנסיעה לכיוון בית הנאשמים בשעה 17:05. הנאשמים שבו לבית של ליאת בשעה 17:07, עוז החנה את הקטנוע והשלושה יצאו לתור אחר המנוח וחבריו, עד שהבחינו בהם סמוך למכולת בשעה 17:15. הנאשמים פרקו מהרכב, תוך שראובן החל לירות לעבר החבורה כבר בעת היציאה מהרכב; ורועי ועוז רצו אחרי המנוח ויוסי בן גרטי שנמלטו לכיוון המכולת. משלב זה מצלמת המכולת תיעדה את הרצח עצמו וכאמור מדובר בתיעוד מצמרר וקשה. עוז הצליח לתפוס את המנוח והחל לדקור אותו בעוצמה מספר פעמים בפלג גופו העליון, בעיקר בגבו. בשלב זה </w:t>
      </w:r>
      <w:r>
        <w:rPr>
          <w:rFonts w:ascii="David" w:hAnsi="David"/>
          <w:b/>
          <w:bCs/>
          <w:u w:val="single"/>
          <w:rtl/>
        </w:rPr>
        <w:t>הצטרפו למעשה בצוותא רועי, שאחז בסכין, וראובן שירה מטווח קצר לעבר המנוח, וזאת תוך שעוז המשיך לדקור את המנוח והשלושה מכתרים אותו ברחבת המכולת</w:t>
      </w:r>
      <w:r>
        <w:rPr>
          <w:rFonts w:ascii="David" w:hAnsi="David"/>
          <w:b/>
          <w:bCs/>
          <w:rtl/>
        </w:rPr>
        <w:t>. המנוח הצליח להימלט מהנאשמים, עוז המשיך לרדוף אחריו מספר מטרים תוך שהוא מניף לעברו את הסכין אך לאחר מספר מטרים חדל ורץ עם ראובן ורועי חזרה לכיוון רכב היונדאי והשלושה נמלטו מהמקום. למנוח נגרמו 3 פצעי ירי, 5 פצעי דקירה בגב וכן פצע דקירה/חתך בשורש כף יד ימין. המנוח נפטר לאחר זמן קצר כתוצאה מאיבוד דם בעקבות מעבר תעלת קליע דרך הגו</w:t>
      </w:r>
      <w:r>
        <w:rPr>
          <w:rFonts w:ascii="David" w:hAnsi="David"/>
          <w:rtl/>
        </w:rPr>
        <w:t>". (פסקה 275 להכרעת הדין).</w:t>
      </w:r>
    </w:p>
    <w:p w14:paraId="255C34EF" w14:textId="77777777" w:rsidR="005F0548" w:rsidRDefault="005F0548" w:rsidP="005F0548">
      <w:pPr>
        <w:spacing w:line="360" w:lineRule="auto"/>
        <w:jc w:val="both"/>
        <w:rPr>
          <w:rFonts w:ascii="David" w:hAnsi="David"/>
        </w:rPr>
      </w:pPr>
    </w:p>
    <w:p w14:paraId="5D677915" w14:textId="77777777" w:rsidR="005F0548" w:rsidRDefault="005F0548" w:rsidP="005F0548">
      <w:pPr>
        <w:spacing w:line="360" w:lineRule="auto"/>
        <w:jc w:val="both"/>
        <w:rPr>
          <w:rFonts w:ascii="David" w:hAnsi="David"/>
          <w:rtl/>
        </w:rPr>
      </w:pPr>
      <w:r>
        <w:rPr>
          <w:rFonts w:ascii="David" w:hAnsi="David"/>
          <w:rtl/>
        </w:rPr>
        <w:lastRenderedPageBreak/>
        <w:t xml:space="preserve">בגין מעשיהם הם הורשעו בעבירות של </w:t>
      </w:r>
      <w:r>
        <w:rPr>
          <w:rFonts w:ascii="David" w:hAnsi="David"/>
          <w:b/>
          <w:bCs/>
          <w:rtl/>
        </w:rPr>
        <w:t>רצח בכוונה תחילה בצוותא</w:t>
      </w:r>
      <w:r>
        <w:rPr>
          <w:rFonts w:ascii="David" w:hAnsi="David"/>
          <w:rtl/>
        </w:rPr>
        <w:t xml:space="preserve">, לפי </w:t>
      </w:r>
      <w:r w:rsidRPr="002434BA">
        <w:rPr>
          <w:color w:val="000000"/>
          <w:rtl/>
        </w:rPr>
        <w:t xml:space="preserve">סעיפים </w:t>
      </w:r>
      <w:hyperlink r:id="rId13" w:history="1">
        <w:r w:rsidR="00E11AD1" w:rsidRPr="00E11AD1">
          <w:rPr>
            <w:rStyle w:val="Hyperlink"/>
            <w:rtl/>
          </w:rPr>
          <w:t>300(א)(2)</w:t>
        </w:r>
      </w:hyperlink>
      <w:r w:rsidRPr="002434BA">
        <w:rPr>
          <w:color w:val="000000"/>
          <w:rtl/>
        </w:rPr>
        <w:t>+</w:t>
      </w:r>
      <w:hyperlink r:id="rId14" w:history="1">
        <w:r w:rsidR="00E11AD1" w:rsidRPr="00E11AD1">
          <w:rPr>
            <w:rStyle w:val="Hyperlink"/>
            <w:rtl/>
          </w:rPr>
          <w:t>301</w:t>
        </w:r>
      </w:hyperlink>
      <w:r>
        <w:rPr>
          <w:rFonts w:ascii="David" w:hAnsi="David"/>
          <w:rtl/>
        </w:rPr>
        <w:t xml:space="preserve">+ס' </w:t>
      </w:r>
      <w:hyperlink r:id="rId15" w:history="1">
        <w:r w:rsidR="00E11AD1" w:rsidRPr="00E11AD1">
          <w:rPr>
            <w:rStyle w:val="Hyperlink"/>
            <w:rFonts w:ascii="David" w:hAnsi="David"/>
            <w:rtl/>
          </w:rPr>
          <w:t>29</w:t>
        </w:r>
      </w:hyperlink>
      <w:r>
        <w:rPr>
          <w:rFonts w:ascii="David" w:hAnsi="David"/>
          <w:rtl/>
        </w:rPr>
        <w:t xml:space="preserve"> ל</w:t>
      </w:r>
      <w:hyperlink r:id="rId16" w:history="1">
        <w:r w:rsidR="002434BA" w:rsidRPr="002434BA">
          <w:rPr>
            <w:rFonts w:ascii="David" w:hAnsi="David"/>
            <w:color w:val="0000FF"/>
            <w:u w:val="single"/>
            <w:rtl/>
          </w:rPr>
          <w:t>חוק העונשין</w:t>
        </w:r>
      </w:hyperlink>
      <w:r>
        <w:rPr>
          <w:rFonts w:ascii="David" w:hAnsi="David"/>
          <w:rtl/>
        </w:rPr>
        <w:t xml:space="preserve"> בנוסחם טרם תיקון 137 לחוק העונשין; </w:t>
      </w:r>
      <w:r>
        <w:rPr>
          <w:rFonts w:ascii="David" w:hAnsi="David"/>
          <w:b/>
          <w:bCs/>
          <w:rtl/>
        </w:rPr>
        <w:t>בעבירות בנשק</w:t>
      </w:r>
      <w:r>
        <w:rPr>
          <w:rFonts w:ascii="David" w:hAnsi="David"/>
          <w:rtl/>
        </w:rPr>
        <w:t xml:space="preserve"> </w:t>
      </w:r>
      <w:r>
        <w:rPr>
          <w:rFonts w:ascii="David" w:hAnsi="David"/>
          <w:b/>
          <w:bCs/>
          <w:rtl/>
        </w:rPr>
        <w:t>בצוותא</w:t>
      </w:r>
      <w:r>
        <w:rPr>
          <w:rFonts w:ascii="David" w:hAnsi="David"/>
          <w:rtl/>
        </w:rPr>
        <w:t xml:space="preserve"> (החזקה, נשיאה והובלה), לפי </w:t>
      </w:r>
      <w:hyperlink r:id="rId17" w:history="1">
        <w:r w:rsidR="00E11AD1" w:rsidRPr="00E11AD1">
          <w:rPr>
            <w:rStyle w:val="Hyperlink"/>
            <w:rtl/>
          </w:rPr>
          <w:t>סעיפים 144(א)</w:t>
        </w:r>
      </w:hyperlink>
      <w:r>
        <w:rPr>
          <w:rFonts w:ascii="David" w:hAnsi="David"/>
          <w:rtl/>
        </w:rPr>
        <w:t xml:space="preserve"> רישא וסיפא+ </w:t>
      </w:r>
      <w:hyperlink r:id="rId18" w:history="1">
        <w:r w:rsidR="00E11AD1" w:rsidRPr="00E11AD1">
          <w:rPr>
            <w:rStyle w:val="Hyperlink"/>
            <w:rtl/>
          </w:rPr>
          <w:t>144(ב)</w:t>
        </w:r>
      </w:hyperlink>
      <w:r>
        <w:rPr>
          <w:rFonts w:ascii="David" w:hAnsi="David"/>
          <w:rtl/>
        </w:rPr>
        <w:t xml:space="preserve"> רישא וסיפא + ס' </w:t>
      </w:r>
      <w:hyperlink r:id="rId19" w:history="1">
        <w:r w:rsidR="00E11AD1" w:rsidRPr="00E11AD1">
          <w:rPr>
            <w:rStyle w:val="Hyperlink"/>
            <w:rtl/>
          </w:rPr>
          <w:t>29</w:t>
        </w:r>
      </w:hyperlink>
      <w:r>
        <w:rPr>
          <w:rFonts w:ascii="David" w:hAnsi="David"/>
          <w:rtl/>
        </w:rPr>
        <w:t xml:space="preserve"> ל</w:t>
      </w:r>
      <w:r w:rsidRPr="002434BA">
        <w:rPr>
          <w:rFonts w:ascii="David" w:hAnsi="David"/>
          <w:color w:val="000000"/>
          <w:rtl/>
        </w:rPr>
        <w:t>חוק העונשין</w:t>
      </w:r>
      <w:r>
        <w:rPr>
          <w:rFonts w:ascii="David" w:hAnsi="David"/>
          <w:rtl/>
        </w:rPr>
        <w:t>; ו</w:t>
      </w:r>
      <w:r>
        <w:rPr>
          <w:rFonts w:ascii="David" w:hAnsi="David"/>
          <w:b/>
          <w:bCs/>
          <w:rtl/>
        </w:rPr>
        <w:t>בניסיון רצח</w:t>
      </w:r>
      <w:r>
        <w:rPr>
          <w:rFonts w:ascii="David" w:hAnsi="David"/>
          <w:rtl/>
        </w:rPr>
        <w:t xml:space="preserve"> </w:t>
      </w:r>
      <w:r>
        <w:rPr>
          <w:rFonts w:ascii="David" w:hAnsi="David"/>
          <w:b/>
          <w:bCs/>
          <w:rtl/>
        </w:rPr>
        <w:t>בצוותא</w:t>
      </w:r>
      <w:r>
        <w:rPr>
          <w:rFonts w:ascii="David" w:hAnsi="David"/>
          <w:rtl/>
        </w:rPr>
        <w:t xml:space="preserve">, לפי </w:t>
      </w:r>
      <w:r w:rsidRPr="002434BA">
        <w:rPr>
          <w:color w:val="000000"/>
          <w:rtl/>
        </w:rPr>
        <w:t xml:space="preserve">ס' </w:t>
      </w:r>
      <w:hyperlink r:id="rId20" w:history="1">
        <w:r w:rsidR="00E11AD1" w:rsidRPr="00E11AD1">
          <w:rPr>
            <w:rStyle w:val="Hyperlink"/>
            <w:rtl/>
          </w:rPr>
          <w:t>305(ב)</w:t>
        </w:r>
      </w:hyperlink>
      <w:r>
        <w:rPr>
          <w:rFonts w:ascii="David" w:hAnsi="David"/>
          <w:rtl/>
        </w:rPr>
        <w:t xml:space="preserve"> + </w:t>
      </w:r>
      <w:hyperlink r:id="rId21" w:history="1">
        <w:r w:rsidR="00E11AD1" w:rsidRPr="00E11AD1">
          <w:rPr>
            <w:rStyle w:val="Hyperlink"/>
            <w:rtl/>
          </w:rPr>
          <w:t>29</w:t>
        </w:r>
      </w:hyperlink>
      <w:r>
        <w:rPr>
          <w:rFonts w:ascii="David" w:hAnsi="David"/>
          <w:rtl/>
        </w:rPr>
        <w:t xml:space="preserve"> ל</w:t>
      </w:r>
      <w:r w:rsidRPr="002434BA">
        <w:rPr>
          <w:rFonts w:ascii="David" w:hAnsi="David"/>
          <w:color w:val="000000"/>
          <w:rtl/>
        </w:rPr>
        <w:t>חוק העונשין</w:t>
      </w:r>
      <w:r>
        <w:rPr>
          <w:rFonts w:ascii="David" w:hAnsi="David"/>
          <w:rtl/>
        </w:rPr>
        <w:t>.</w:t>
      </w:r>
    </w:p>
    <w:p w14:paraId="659D06AC" w14:textId="77777777" w:rsidR="005F0548" w:rsidRDefault="005F0548" w:rsidP="005F0548">
      <w:pPr>
        <w:spacing w:line="360" w:lineRule="auto"/>
        <w:jc w:val="both"/>
        <w:rPr>
          <w:rFonts w:ascii="David" w:hAnsi="David"/>
          <w:rtl/>
        </w:rPr>
      </w:pPr>
    </w:p>
    <w:p w14:paraId="5415F1D7" w14:textId="77777777" w:rsidR="005F0548" w:rsidRDefault="005F0548" w:rsidP="005F0548">
      <w:pPr>
        <w:spacing w:line="360" w:lineRule="auto"/>
        <w:jc w:val="both"/>
        <w:rPr>
          <w:rFonts w:ascii="David" w:hAnsi="David"/>
          <w:u w:val="single"/>
          <w:rtl/>
        </w:rPr>
      </w:pPr>
      <w:r>
        <w:rPr>
          <w:rFonts w:ascii="David" w:hAnsi="David"/>
          <w:u w:val="single"/>
          <w:rtl/>
        </w:rPr>
        <w:t>ראיות לעונש</w:t>
      </w:r>
    </w:p>
    <w:p w14:paraId="68EB9A86" w14:textId="77777777" w:rsidR="005F0548" w:rsidRDefault="005F0548" w:rsidP="005F0548">
      <w:pPr>
        <w:spacing w:line="360" w:lineRule="auto"/>
        <w:jc w:val="both"/>
        <w:rPr>
          <w:rFonts w:ascii="David" w:hAnsi="David"/>
          <w:rtl/>
        </w:rPr>
      </w:pPr>
      <w:r>
        <w:rPr>
          <w:rFonts w:ascii="David" w:hAnsi="David"/>
          <w:rtl/>
        </w:rPr>
        <w:t>מטעם המאשימה הוגשו תצהירי נפגעי העבירה והם הוריו של המנוח ואחותו. התצהירים מפרטים את השבר הגדול במשפחתם בעקבות רצח המנוח, והעובדה שעמוד התווך במשפחה אינו בין החיים, אינו נוטל חלק בשמחות ולא יעמיד צאצאים משלו. עוד תוארה השפעת הרצח על כל אחד מבני המשפחה ומטעמי צנעת הפרט לא נרחיב עוד.</w:t>
      </w:r>
    </w:p>
    <w:p w14:paraId="3193E338" w14:textId="77777777" w:rsidR="005F0548" w:rsidRDefault="005F0548" w:rsidP="005F0548">
      <w:pPr>
        <w:spacing w:line="360" w:lineRule="auto"/>
        <w:jc w:val="both"/>
        <w:rPr>
          <w:rFonts w:ascii="David" w:hAnsi="David"/>
          <w:rtl/>
        </w:rPr>
      </w:pPr>
    </w:p>
    <w:p w14:paraId="11809B56" w14:textId="77777777" w:rsidR="005F0548" w:rsidRDefault="005F0548" w:rsidP="005F0548">
      <w:pPr>
        <w:spacing w:line="360" w:lineRule="auto"/>
        <w:jc w:val="both"/>
        <w:rPr>
          <w:rFonts w:ascii="David" w:hAnsi="David"/>
          <w:rtl/>
        </w:rPr>
      </w:pPr>
      <w:r>
        <w:rPr>
          <w:rFonts w:ascii="David" w:hAnsi="David"/>
          <w:rtl/>
        </w:rPr>
        <w:t>עוד הוגש מטעם המאשימה הר"פ של רועי, שאינו מכביד, הכולל הרשעה אחת משנת 2016 בעבירה של סיוע להתפרצות בגינה נדון ל 6 חודשי ע"ש ועונשים נלווים.</w:t>
      </w:r>
    </w:p>
    <w:p w14:paraId="0DD3EA5E" w14:textId="77777777" w:rsidR="005F0548" w:rsidRDefault="005F0548" w:rsidP="005F0548">
      <w:pPr>
        <w:spacing w:line="360" w:lineRule="auto"/>
        <w:jc w:val="both"/>
        <w:rPr>
          <w:rFonts w:ascii="David" w:hAnsi="David"/>
          <w:rtl/>
        </w:rPr>
      </w:pPr>
    </w:p>
    <w:p w14:paraId="15D2CD80" w14:textId="77777777" w:rsidR="005F0548" w:rsidRDefault="005F0548" w:rsidP="005F0548">
      <w:pPr>
        <w:spacing w:line="360" w:lineRule="auto"/>
        <w:jc w:val="both"/>
        <w:rPr>
          <w:rFonts w:ascii="David" w:hAnsi="David"/>
          <w:rtl/>
        </w:rPr>
      </w:pPr>
      <w:r>
        <w:rPr>
          <w:rFonts w:ascii="David" w:hAnsi="David"/>
          <w:rtl/>
        </w:rPr>
        <w:t xml:space="preserve">מטעם ההגנה לא הוגשו ראיות לעונש, הגם שהופנינו למסמכים הרפואיים של שב"ס בעניינו של עוז, שהוגשו עוד במהלך שמיעת הראיות, ומצביעים על בעיות בתחום הנפשי. </w:t>
      </w:r>
    </w:p>
    <w:p w14:paraId="53226790" w14:textId="77777777" w:rsidR="005F0548" w:rsidRDefault="005F0548" w:rsidP="005F0548">
      <w:pPr>
        <w:spacing w:line="360" w:lineRule="auto"/>
        <w:jc w:val="both"/>
        <w:rPr>
          <w:rFonts w:ascii="David" w:hAnsi="David"/>
          <w:rtl/>
        </w:rPr>
      </w:pPr>
      <w:r>
        <w:rPr>
          <w:rFonts w:ascii="David" w:hAnsi="David"/>
          <w:rtl/>
        </w:rPr>
        <w:t xml:space="preserve"> </w:t>
      </w:r>
    </w:p>
    <w:p w14:paraId="69EBE4C3" w14:textId="77777777" w:rsidR="005F0548" w:rsidRDefault="005F0548" w:rsidP="005F0548">
      <w:pPr>
        <w:spacing w:line="360" w:lineRule="auto"/>
        <w:jc w:val="both"/>
        <w:rPr>
          <w:rFonts w:ascii="David" w:hAnsi="David"/>
          <w:u w:val="single"/>
          <w:rtl/>
        </w:rPr>
      </w:pPr>
      <w:r>
        <w:rPr>
          <w:rFonts w:ascii="David" w:hAnsi="David"/>
          <w:u w:val="single"/>
          <w:rtl/>
        </w:rPr>
        <w:t>טיעוני הצדדים לעונש ודברי הנאשמים</w:t>
      </w:r>
    </w:p>
    <w:p w14:paraId="19B40ACC" w14:textId="77777777" w:rsidR="005F0548" w:rsidRDefault="005F0548" w:rsidP="005F0548">
      <w:pPr>
        <w:spacing w:line="360" w:lineRule="auto"/>
        <w:jc w:val="both"/>
        <w:rPr>
          <w:rFonts w:ascii="David" w:hAnsi="David"/>
          <w:rtl/>
        </w:rPr>
      </w:pPr>
      <w:r>
        <w:rPr>
          <w:rFonts w:ascii="David" w:hAnsi="David"/>
          <w:rtl/>
        </w:rPr>
        <w:t>בטיעוניה של המאשימה היא עמדה על חומרת מעשי הנאשמים בכך שנטלו את חייו של המנוח, והצביעו על הצורך בענישה מרתיעה וחמורה.</w:t>
      </w:r>
      <w:r>
        <w:rPr>
          <w:rFonts w:ascii="David" w:hAnsi="David"/>
        </w:rPr>
        <w:t xml:space="preserve"> </w:t>
      </w:r>
      <w:r>
        <w:rPr>
          <w:rFonts w:ascii="David" w:hAnsi="David"/>
          <w:rtl/>
        </w:rPr>
        <w:t xml:space="preserve">המאשימה הפנתה לכך שמדובר במעשה מתוכנן שבוצע לאור יום בשכונת מגורים; באמצעות אקדח שעדיין לא נתפס; לכך שנורו מספר יריות לעבר המנוח; לשימוש בסכינים, ועוד. </w:t>
      </w:r>
    </w:p>
    <w:p w14:paraId="2B0EF48D" w14:textId="77777777" w:rsidR="005F0548" w:rsidRDefault="005F0548" w:rsidP="005F0548">
      <w:pPr>
        <w:spacing w:line="360" w:lineRule="auto"/>
        <w:jc w:val="both"/>
        <w:rPr>
          <w:rFonts w:ascii="David" w:hAnsi="David"/>
          <w:rtl/>
        </w:rPr>
      </w:pPr>
    </w:p>
    <w:p w14:paraId="77C880CA" w14:textId="77777777" w:rsidR="005F0548" w:rsidRDefault="005F0548" w:rsidP="005F0548">
      <w:pPr>
        <w:spacing w:line="360" w:lineRule="auto"/>
        <w:jc w:val="both"/>
        <w:rPr>
          <w:rFonts w:ascii="David" w:hAnsi="David"/>
          <w:rtl/>
        </w:rPr>
      </w:pPr>
      <w:r>
        <w:rPr>
          <w:rFonts w:ascii="David" w:hAnsi="David"/>
          <w:rtl/>
        </w:rPr>
        <w:t xml:space="preserve">המאשימה טענה כי יש לקבוע מתחם נפרד לעבירת ניסיון הרצח, בין 8 ל 12 שנות מאסר בפועל, וזאת בשים לב שמדובר בעבירה נפרדת ובנפגעי עבירה נוספים. כמו כן, עתרה המאשימה לקבוע עונש ברף האמצעי של המתחם לעיל וכן לצבור אותו לעונש החובה של מאסר עולם. באשר לעבירת הנשק, הסכימה המאשימה כי היא "נבלעות" בעבירת הרצח ולכן לא עתרה להצטברות עונש בנדון. </w:t>
      </w:r>
    </w:p>
    <w:p w14:paraId="6201AEBB" w14:textId="77777777" w:rsidR="005F0548" w:rsidRDefault="005F0548" w:rsidP="005F0548">
      <w:pPr>
        <w:spacing w:line="360" w:lineRule="auto"/>
        <w:jc w:val="both"/>
        <w:rPr>
          <w:rFonts w:ascii="David" w:hAnsi="David"/>
          <w:rtl/>
        </w:rPr>
      </w:pPr>
    </w:p>
    <w:p w14:paraId="759924C1" w14:textId="77777777" w:rsidR="005F0548" w:rsidRDefault="005F0548" w:rsidP="005F0548">
      <w:pPr>
        <w:spacing w:line="360" w:lineRule="auto"/>
        <w:jc w:val="both"/>
        <w:rPr>
          <w:rFonts w:ascii="David" w:hAnsi="David"/>
          <w:rtl/>
        </w:rPr>
      </w:pPr>
      <w:r>
        <w:rPr>
          <w:rFonts w:ascii="David" w:hAnsi="David"/>
          <w:rtl/>
        </w:rPr>
        <w:t xml:space="preserve">בנוסף, עתרה המאשימה להטלת הפיצוי המקסימלי על כל אחד מהנאשמים בנפרד, לטובת עזבון המנוח. </w:t>
      </w:r>
    </w:p>
    <w:p w14:paraId="0F2404BD" w14:textId="77777777" w:rsidR="005F0548" w:rsidRDefault="005F0548" w:rsidP="005F0548">
      <w:pPr>
        <w:spacing w:line="360" w:lineRule="auto"/>
        <w:jc w:val="both"/>
        <w:rPr>
          <w:rFonts w:ascii="David" w:hAnsi="David"/>
          <w:rtl/>
        </w:rPr>
      </w:pPr>
    </w:p>
    <w:p w14:paraId="73D68D9D" w14:textId="77777777" w:rsidR="005F0548" w:rsidRDefault="005F0548" w:rsidP="005F0548">
      <w:pPr>
        <w:spacing w:line="360" w:lineRule="auto"/>
        <w:jc w:val="both"/>
        <w:rPr>
          <w:rFonts w:ascii="David" w:hAnsi="David"/>
          <w:rtl/>
        </w:rPr>
      </w:pPr>
      <w:r>
        <w:rPr>
          <w:rFonts w:ascii="David" w:hAnsi="David"/>
          <w:rtl/>
        </w:rPr>
        <w:t>מנגד, הדגישו באי כוח הנאשמים כי מרשיהם עומדים על חפותם וכל טיעוניהם הם רק בהתבסס על האמור בהכרעת הדין, אשר לשיטתם תשוב ותידון בבית המשפט העליון. בשים לב לאמור לעיל, עתרה ההגנה לקבוע עונש אחד על כלל העבירות והוא של מאסר עולם בלבד. ההגנה טענה כי כל מעשי הנאשמים מהווים אירוע אחד, בלתי ניתן להפרדה, שבוצע – כפי שנקבע בהכרעת הדין – בתגובה לאיומים של המנוח וחבריו על עוז ועל משפחתו. עוד נטען כי יש להביא בחשבון את הכשלים שהתגלו במהלך שמיעת הראיות, שבית המשפט קבע שאינם של מה בכך, ועל אף שבקשת ההגנה לזכות את הנאשמים משום טענת הגנה מן הצדק נדחתה, זו צריכה לשמש כשיקול להקלה בעונש לעניין חפיפת העונשים. בנוסף, הפנה צוות ההגנה לנתוניהם ונסיבותיהם של כל אחד מהנאשמים. נטען בהקשר זה כי מדובר באנשים נורמטיביים, בעלי משפחות. עוד הופנינו למצבו הרפואי הקשה של ראובן, לשירותו הקרבי של רועי ולבעיותיו הנפשיות של עוז. בשים לב לנתונים לעיל, כמו גם מצבם הכלכלי הרעוע והעובדה כי מזה שנים הם לא מפרנסים את משפחותיהם, עתר צוות ההגנה לפיצוי מידתי ככל שניתן.</w:t>
      </w:r>
    </w:p>
    <w:p w14:paraId="0903C0C4" w14:textId="77777777" w:rsidR="005F0548" w:rsidRDefault="005F0548" w:rsidP="005F0548">
      <w:pPr>
        <w:spacing w:line="360" w:lineRule="auto"/>
        <w:jc w:val="both"/>
        <w:rPr>
          <w:rFonts w:ascii="David" w:hAnsi="David"/>
          <w:rtl/>
        </w:rPr>
      </w:pPr>
    </w:p>
    <w:p w14:paraId="7006D513" w14:textId="77777777" w:rsidR="005F0548" w:rsidRDefault="005F0548" w:rsidP="005F0548">
      <w:pPr>
        <w:spacing w:line="360" w:lineRule="auto"/>
        <w:jc w:val="both"/>
        <w:rPr>
          <w:rFonts w:ascii="David" w:hAnsi="David"/>
          <w:rtl/>
        </w:rPr>
      </w:pPr>
      <w:r>
        <w:rPr>
          <w:rFonts w:ascii="David" w:hAnsi="David"/>
          <w:rtl/>
        </w:rPr>
        <w:t xml:space="preserve">דברי הנאשמים טרם גזר הדין – רועי דיבר בשמו ושם אביו ראובן. הוא חזר על טענות החפות של הנאשמים ואף טען כי דינם נגזר מראש על ידי המותב. עם זאת, הוא ביקש להתחשב בעונש ככל שניתן ובמיוחד לעניין הפיצוי. עוז ויתר על זכותו לומר דברים. </w:t>
      </w:r>
    </w:p>
    <w:p w14:paraId="51292ABE" w14:textId="77777777" w:rsidR="005F0548" w:rsidRDefault="005F0548" w:rsidP="005F0548">
      <w:pPr>
        <w:spacing w:line="360" w:lineRule="auto"/>
        <w:jc w:val="both"/>
        <w:rPr>
          <w:rFonts w:ascii="David" w:hAnsi="David"/>
          <w:rtl/>
        </w:rPr>
      </w:pPr>
    </w:p>
    <w:p w14:paraId="3359AA25" w14:textId="77777777" w:rsidR="005F0548" w:rsidRDefault="005F0548" w:rsidP="005F0548">
      <w:pPr>
        <w:spacing w:line="360" w:lineRule="auto"/>
        <w:jc w:val="both"/>
        <w:rPr>
          <w:rFonts w:ascii="David" w:hAnsi="David"/>
          <w:u w:val="single"/>
          <w:rtl/>
        </w:rPr>
      </w:pPr>
      <w:r>
        <w:rPr>
          <w:rFonts w:ascii="David" w:hAnsi="David"/>
          <w:u w:val="single"/>
          <w:rtl/>
        </w:rPr>
        <w:t>דיון והחלטה</w:t>
      </w:r>
    </w:p>
    <w:p w14:paraId="11E10F3B" w14:textId="77777777" w:rsidR="005F0548" w:rsidRDefault="005F0548" w:rsidP="005F0548">
      <w:pPr>
        <w:spacing w:line="360" w:lineRule="auto"/>
        <w:jc w:val="both"/>
        <w:rPr>
          <w:rFonts w:ascii="David" w:hAnsi="David"/>
          <w:rtl/>
        </w:rPr>
      </w:pPr>
      <w:r>
        <w:rPr>
          <w:rFonts w:ascii="David" w:hAnsi="David"/>
          <w:rtl/>
        </w:rPr>
        <w:t>העבירה העיקרית בה הורשעו הנאשמים היא רצח בכוונה תחילה, שלצידה עונש של מאסר עולם ועונש זה בלבד. הנאשמים פגעו בערך החברתי המהותי של קדושת חיי אדם, וכפי שנקבע "</w:t>
      </w:r>
      <w:r>
        <w:rPr>
          <w:rFonts w:ascii="David" w:hAnsi="David"/>
          <w:b/>
          <w:bCs/>
          <w:rtl/>
        </w:rPr>
        <w:t>קדושת חיי האדם עומדת בראש סולם הערכים החברתיים, וחובתנו לשקף את חשיבותו של ערך זה במידת העונש שייגזר על העבריין...</w:t>
      </w:r>
      <w:r>
        <w:rPr>
          <w:rFonts w:ascii="David" w:hAnsi="David"/>
          <w:rtl/>
        </w:rPr>
        <w:t>" (</w:t>
      </w:r>
      <w:hyperlink r:id="rId22" w:history="1">
        <w:r w:rsidR="002434BA" w:rsidRPr="002434BA">
          <w:rPr>
            <w:rFonts w:ascii="David" w:hAnsi="David"/>
            <w:color w:val="0000FF"/>
            <w:u w:val="single"/>
            <w:rtl/>
          </w:rPr>
          <w:t>ע"פ 3617/13</w:t>
        </w:r>
      </w:hyperlink>
      <w:r>
        <w:rPr>
          <w:rFonts w:ascii="David" w:hAnsi="David"/>
          <w:rtl/>
        </w:rPr>
        <w:t xml:space="preserve"> </w:t>
      </w:r>
      <w:r>
        <w:rPr>
          <w:rFonts w:ascii="Miriam" w:hAnsi="Miriam" w:cs="Miriam"/>
          <w:rtl/>
        </w:rPr>
        <w:t>טייטל נ' מדינת ישראל</w:t>
      </w:r>
      <w:r>
        <w:rPr>
          <w:rFonts w:ascii="David" w:hAnsi="David"/>
          <w:rtl/>
        </w:rPr>
        <w:t>, פסקה 66 (28.6.16)).</w:t>
      </w:r>
    </w:p>
    <w:p w14:paraId="02121059" w14:textId="77777777" w:rsidR="005F0548" w:rsidRDefault="005F0548" w:rsidP="005F0548">
      <w:pPr>
        <w:spacing w:line="360" w:lineRule="auto"/>
        <w:jc w:val="both"/>
        <w:rPr>
          <w:rFonts w:ascii="David" w:hAnsi="David"/>
          <w:rtl/>
        </w:rPr>
      </w:pPr>
    </w:p>
    <w:p w14:paraId="0A09C581" w14:textId="77777777" w:rsidR="005F0548" w:rsidRDefault="005F0548" w:rsidP="005F0548">
      <w:pPr>
        <w:spacing w:line="360" w:lineRule="auto"/>
        <w:jc w:val="both"/>
        <w:rPr>
          <w:rFonts w:ascii="David" w:hAnsi="David"/>
          <w:rtl/>
        </w:rPr>
      </w:pPr>
      <w:r>
        <w:rPr>
          <w:rFonts w:ascii="David" w:hAnsi="David"/>
          <w:rtl/>
        </w:rPr>
        <w:t xml:space="preserve">לגבי יתר המעשים בהם הורשעו הנאשמים, אלה – כולל מעשה הרצח - מהווים אירוע אחד. השאלה העולה היא מהם העונשים בגין העבירות הנלוות (ניסיון רצח ועבירות נשק), ובאיזו מידה יש לחפוף או לצבור את העונשים. </w:t>
      </w:r>
    </w:p>
    <w:p w14:paraId="33EAAEEC" w14:textId="77777777" w:rsidR="005F0548" w:rsidRDefault="005F0548" w:rsidP="005F0548">
      <w:pPr>
        <w:spacing w:line="360" w:lineRule="auto"/>
        <w:jc w:val="both"/>
        <w:rPr>
          <w:rFonts w:ascii="David" w:hAnsi="David"/>
          <w:rtl/>
        </w:rPr>
      </w:pPr>
    </w:p>
    <w:p w14:paraId="4D456206" w14:textId="77777777" w:rsidR="005F0548" w:rsidRDefault="005F0548" w:rsidP="005F0548">
      <w:pPr>
        <w:spacing w:line="360" w:lineRule="auto"/>
        <w:jc w:val="both"/>
        <w:rPr>
          <w:rFonts w:ascii="David" w:hAnsi="David"/>
          <w:rtl/>
        </w:rPr>
      </w:pPr>
      <w:r>
        <w:rPr>
          <w:rFonts w:ascii="David" w:hAnsi="David"/>
          <w:rtl/>
        </w:rPr>
        <w:t xml:space="preserve">נעיר, כי לא מצאנו לאבחן בין הנאשמים לא לעניין המתחמים בעבירות הנלוות; לא לגבי העונשים בתוך המתחמים; וגם לא בנוגע למידת הצבירה או החפיפה. מדובר בנאשמים שפעלו כיחידה אחת וגם אם מעשיהם היו שונים (ראובן כאמור ירה באקדח במנוח בעוד עוז ורועי דקרו אותו), מבחינה ערכית ועונשית אין מקום לאבחנה ביניהם. גם נתוניהם האישיים השונים אינם מצדיקים אבחנה </w:t>
      </w:r>
      <w:r>
        <w:rPr>
          <w:rFonts w:ascii="David" w:hAnsi="David"/>
          <w:u w:val="single"/>
          <w:rtl/>
        </w:rPr>
        <w:t>במקרה קונקרטי זה</w:t>
      </w:r>
      <w:r>
        <w:rPr>
          <w:rFonts w:ascii="David" w:hAnsi="David"/>
          <w:rtl/>
        </w:rPr>
        <w:t xml:space="preserve">. לא התעלמנו ממצבו הרפואי של ראובן, שחלה במחלה קשה תוך כדי ניהול ההליך, אך נוכח מאסר העולם המחויב בדין וחומרת מעשיו, ונוכח מסקנתנו להלן ולפיה אין מקום במקרה דנן לצבירת עונשים, אין משמעות לנתונים אלה לעניין העונש. נעיר, כי אם היה מקום לאבחנה, חלקו של ראובן והעובדה שהוא זה שירה באקדח, היה מצדיק החמרה דווקא. </w:t>
      </w:r>
    </w:p>
    <w:p w14:paraId="79CE6A03" w14:textId="77777777" w:rsidR="005F0548" w:rsidRDefault="005F0548" w:rsidP="005F0548">
      <w:pPr>
        <w:spacing w:line="360" w:lineRule="auto"/>
        <w:jc w:val="both"/>
        <w:rPr>
          <w:rFonts w:ascii="David" w:hAnsi="David"/>
          <w:rtl/>
        </w:rPr>
      </w:pPr>
    </w:p>
    <w:p w14:paraId="7EC5F7E9" w14:textId="77777777" w:rsidR="005F0548" w:rsidRDefault="005F0548" w:rsidP="005F0548">
      <w:pPr>
        <w:spacing w:line="360" w:lineRule="auto"/>
        <w:jc w:val="both"/>
        <w:rPr>
          <w:rFonts w:ascii="David" w:hAnsi="David"/>
          <w:rtl/>
        </w:rPr>
      </w:pPr>
      <w:r>
        <w:rPr>
          <w:rFonts w:ascii="David" w:hAnsi="David"/>
          <w:rtl/>
        </w:rPr>
        <w:t>לגבי עבירת הנשק, המאשימה כאמור הבהירה כי לשיטתה העונש בגין עבירה זו "נבלע" במאסר העולם. אנו סבורים כי הדרך הנכונה היא לקבוע עונש ולהורות על חפיפה. משכך, אנו קובעים את המתחם בגין עבירות הנשק בין 3 ל 5 שנות מאסר וקובעים את העונש בנדון על 4 שנות מאסר, בחופף למאסר העולם.</w:t>
      </w:r>
    </w:p>
    <w:p w14:paraId="0BC4AB8B" w14:textId="77777777" w:rsidR="005F0548" w:rsidRDefault="005F0548" w:rsidP="005F0548">
      <w:pPr>
        <w:spacing w:line="360" w:lineRule="auto"/>
        <w:jc w:val="both"/>
        <w:rPr>
          <w:rFonts w:ascii="David" w:hAnsi="David"/>
          <w:rtl/>
        </w:rPr>
      </w:pPr>
    </w:p>
    <w:p w14:paraId="12F5BDC1" w14:textId="77777777" w:rsidR="005F0548" w:rsidRDefault="005F0548" w:rsidP="005F0548">
      <w:pPr>
        <w:spacing w:line="360" w:lineRule="auto"/>
        <w:jc w:val="both"/>
        <w:rPr>
          <w:rFonts w:ascii="David" w:hAnsi="David"/>
          <w:rtl/>
        </w:rPr>
      </w:pPr>
      <w:r>
        <w:rPr>
          <w:rFonts w:ascii="David" w:hAnsi="David"/>
          <w:rtl/>
        </w:rPr>
        <w:t xml:space="preserve">באשר לניסיון הרצח, טיעוני הצדדים הוצגו לעיל ולכן לא נחזור עליהם. בענייננו, ניסיון הרצח התבצע זמן קצר מאוד לפני רצח המנוח. הנאשמים יצאו את רכבם, ירו לעבר המנוח וחבורתו, ומיד לאחר מכן החלו לרדוף אחר יוסי בן גרטי ואחר המנוח, עד שלבסוף השיגו את המנוח ורצחו אותו. משכך, מדובר ברצף אחד של מעשים שההפרדה ביניהם תהיה מלאכותית. </w:t>
      </w:r>
    </w:p>
    <w:p w14:paraId="787D48D0" w14:textId="77777777" w:rsidR="005F0548" w:rsidRDefault="005F0548" w:rsidP="005F0548">
      <w:pPr>
        <w:spacing w:line="360" w:lineRule="auto"/>
        <w:jc w:val="both"/>
        <w:rPr>
          <w:rFonts w:ascii="David" w:hAnsi="David"/>
          <w:rtl/>
        </w:rPr>
      </w:pPr>
    </w:p>
    <w:p w14:paraId="795F3A23" w14:textId="77777777" w:rsidR="005F0548" w:rsidRDefault="005F0548" w:rsidP="005F0548">
      <w:pPr>
        <w:spacing w:line="360" w:lineRule="auto"/>
        <w:jc w:val="both"/>
        <w:rPr>
          <w:rFonts w:ascii="David" w:hAnsi="David"/>
          <w:rtl/>
        </w:rPr>
      </w:pPr>
      <w:r>
        <w:rPr>
          <w:rFonts w:ascii="David" w:hAnsi="David"/>
          <w:rtl/>
        </w:rPr>
        <w:t>השאלה האם יש מקום לצבור או לחפוף עונשי מאסר בגין עבירות שבוצעו לצד ובנוסף לעבירת רצח, היא שאלה מורכבת ותלוית נסיבות. השיקולים המנחים נוגעים ל-נתוני האירוע (האם מדובר בסדרת מעשים שניתן להפרידה אם לאו; לקשר בין עבירת הרצח לעבירות הנלוות); למידת הכיעור והחומרה שבמעשים; לנתוניהם האישיים של הנאשמים; ולשיקולים "חיצוניים" כגון שיקולי  צדק, מחדלי חקירה, וכו'. נפנה בהקשר זה לסקירה שהובאה על ידי כב' השופטת גילת שלו ב</w:t>
      </w:r>
      <w:hyperlink r:id="rId23" w:history="1">
        <w:r w:rsidR="002434BA" w:rsidRPr="002434BA">
          <w:rPr>
            <w:rFonts w:ascii="David" w:hAnsi="David"/>
            <w:color w:val="0000FF"/>
            <w:u w:val="single"/>
            <w:rtl/>
          </w:rPr>
          <w:t>תפ"ח (מחוזי באר שבע) 63357-03-18</w:t>
        </w:r>
      </w:hyperlink>
      <w:r>
        <w:rPr>
          <w:rFonts w:ascii="David" w:hAnsi="David"/>
          <w:rtl/>
        </w:rPr>
        <w:t xml:space="preserve"> </w:t>
      </w:r>
      <w:r>
        <w:rPr>
          <w:rFonts w:ascii="Miriam" w:hAnsi="Miriam" w:cs="Miriam"/>
          <w:rtl/>
        </w:rPr>
        <w:t>מדינת ישראל נ' סויסה</w:t>
      </w:r>
      <w:r>
        <w:rPr>
          <w:rFonts w:ascii="David" w:hAnsi="David"/>
          <w:rtl/>
        </w:rPr>
        <w:t xml:space="preserve"> (11.4.21)). באותו מקרה הורשעו הנאשמים, מעבר לעבירת הרצח שדינה מאסר עולם, גם בעבירות נשק בהצתה ושיבוש מהלכי משפט. הנאשמים באותו מקרה רצחו את המנוח ולאחר מכן הציתו את גופתו בתוך רכבו. בית המשפט המחוזי קבע עונש של 6 שנות מאסר בגין עבירות אלה, חציין בחופף למאסר העולם. במסגרת הערעור על חומרת העונש (</w:t>
      </w:r>
      <w:hyperlink r:id="rId24" w:history="1">
        <w:r w:rsidR="002434BA" w:rsidRPr="002434BA">
          <w:rPr>
            <w:rFonts w:ascii="David" w:hAnsi="David"/>
            <w:color w:val="0000FF"/>
            <w:u w:val="single"/>
            <w:rtl/>
          </w:rPr>
          <w:t>ע"פ 3661/21</w:t>
        </w:r>
      </w:hyperlink>
      <w:r>
        <w:rPr>
          <w:rFonts w:ascii="David" w:hAnsi="David"/>
          <w:rtl/>
        </w:rPr>
        <w:t xml:space="preserve"> </w:t>
      </w:r>
      <w:r>
        <w:rPr>
          <w:rFonts w:ascii="Miriam" w:hAnsi="Miriam" w:cs="Miriam"/>
          <w:rtl/>
        </w:rPr>
        <w:t>סויסה נ' מדינת ישראל</w:t>
      </w:r>
      <w:r>
        <w:rPr>
          <w:rFonts w:ascii="David" w:hAnsi="David"/>
          <w:rtl/>
        </w:rPr>
        <w:t xml:space="preserve"> (6.11.22)) הפנה בית המשפט העליון, מחד גיסא, לאלימות הקשה בה נקטו המערערים, לאכזריותם ולרוע ליבם; ומאידך גיסא, לכשלים שנפלו בחקירה וכן לנטילת האחריות מצד הנאשמים. נתונים אלה הובילו את בית המשפט לחפיפה מלאה של עונשי המאסר. עוד נפנה, כדוגמה למקרה בו נצברו עונשים בנוסף למאסר העולם, ל</w:t>
      </w:r>
      <w:hyperlink r:id="rId25" w:history="1">
        <w:r w:rsidR="002434BA" w:rsidRPr="002434BA">
          <w:rPr>
            <w:rFonts w:ascii="David" w:hAnsi="David"/>
            <w:color w:val="0000FF"/>
            <w:u w:val="single"/>
            <w:rtl/>
          </w:rPr>
          <w:t>תפ"ח (מחוזי ב"ש) 24704-02-19</w:t>
        </w:r>
      </w:hyperlink>
      <w:r>
        <w:rPr>
          <w:rFonts w:ascii="David" w:hAnsi="David"/>
          <w:rtl/>
        </w:rPr>
        <w:t xml:space="preserve"> </w:t>
      </w:r>
      <w:r>
        <w:rPr>
          <w:rFonts w:ascii="Miriam" w:hAnsi="Miriam" w:cs="Miriam"/>
          <w:rtl/>
        </w:rPr>
        <w:t>מדינת ישראל נ' זגורי</w:t>
      </w:r>
      <w:r>
        <w:rPr>
          <w:rFonts w:ascii="David" w:hAnsi="David"/>
          <w:rtl/>
        </w:rPr>
        <w:t xml:space="preserve"> (29.9.22); ומאידך גיסא וכדוגמה בה בחר בית המשפט שלא לעשות כן ל</w:t>
      </w:r>
      <w:hyperlink r:id="rId26" w:history="1">
        <w:r w:rsidR="002434BA" w:rsidRPr="002434BA">
          <w:rPr>
            <w:rFonts w:ascii="David" w:hAnsi="David"/>
            <w:color w:val="0000FF"/>
            <w:u w:val="single"/>
            <w:rtl/>
          </w:rPr>
          <w:t>תפ"ח (מחוזי חיפה) 46930-01-14</w:t>
        </w:r>
      </w:hyperlink>
      <w:r>
        <w:rPr>
          <w:rFonts w:ascii="David" w:hAnsi="David"/>
          <w:rtl/>
        </w:rPr>
        <w:t xml:space="preserve"> </w:t>
      </w:r>
      <w:r>
        <w:rPr>
          <w:rFonts w:ascii="Miriam" w:hAnsi="Miriam" w:cs="Miriam"/>
          <w:rtl/>
        </w:rPr>
        <w:t>מדינת ישראל נ' ג'בארין</w:t>
      </w:r>
      <w:r>
        <w:rPr>
          <w:rFonts w:ascii="David" w:hAnsi="David"/>
          <w:rtl/>
        </w:rPr>
        <w:t xml:space="preserve"> (15.2.23), שם בחר בית המשפט כלל שלא לקבוע עונש נוסף מלבד מאסר העולם, וזאת בגין העבירות הנוספות בהן הורשע הנאשם. מאליו יוצא שבית המשפט במקרה האחרון לא התייחס לחפיפת או ההצטברות העונשים ביחס למאסר העולם.</w:t>
      </w:r>
    </w:p>
    <w:p w14:paraId="5546442E" w14:textId="77777777" w:rsidR="005F0548" w:rsidRDefault="005F0548" w:rsidP="005F0548">
      <w:pPr>
        <w:spacing w:line="360" w:lineRule="auto"/>
        <w:jc w:val="both"/>
        <w:rPr>
          <w:rFonts w:ascii="David" w:hAnsi="David"/>
          <w:rtl/>
        </w:rPr>
      </w:pPr>
    </w:p>
    <w:p w14:paraId="03B26F1B" w14:textId="77777777" w:rsidR="005F0548" w:rsidRDefault="005F0548" w:rsidP="005F0548">
      <w:pPr>
        <w:spacing w:line="360" w:lineRule="auto"/>
        <w:jc w:val="both"/>
        <w:rPr>
          <w:rFonts w:ascii="David" w:hAnsi="David"/>
          <w:rtl/>
        </w:rPr>
      </w:pPr>
      <w:r>
        <w:rPr>
          <w:rFonts w:ascii="David" w:hAnsi="David"/>
          <w:rtl/>
        </w:rPr>
        <w:t xml:space="preserve">חזרה לענייננו. חרף חומרת מעשי הנאשמים בכך שירו לעבר חבורת המנוח והניסיון לרצוח אותם, הפנינו לכך כי מדובר באירוע אחד, ולכך שניסיון הרצח היה חלק מאותה מסכת מהירה יחסית של מעשים. נתונים אלה אינם מצדיקים, מבלי להפחית מחומרתם, הצטברות עונשים מעבר למאסר העולם, וזאת מבלי צורך להידרש ליתר טיעוני ההגנה. את המתחם בגין ניסיון הרצח אנו קובעים בין 8 ל 12 שנות מאסר (והשווה בנדון עם האמור בע"פ </w:t>
      </w:r>
      <w:hyperlink r:id="rId27" w:history="1">
        <w:r w:rsidR="008C4677" w:rsidRPr="008C4677">
          <w:rPr>
            <w:rFonts w:ascii="David" w:hAnsi="David"/>
            <w:color w:val="0000FF"/>
            <w:u w:val="single"/>
            <w:rtl/>
          </w:rPr>
          <w:t xml:space="preserve">3035/15 </w:t>
        </w:r>
      </w:hyperlink>
      <w:r>
        <w:rPr>
          <w:rFonts w:ascii="David" w:hAnsi="David"/>
          <w:rtl/>
        </w:rPr>
        <w:t xml:space="preserve"> </w:t>
      </w:r>
      <w:r>
        <w:rPr>
          <w:rFonts w:ascii="Miriam" w:hAnsi="Miriam" w:cs="Miriam"/>
          <w:rtl/>
        </w:rPr>
        <w:t>מוגרבי נגד מדינת ישראל</w:t>
      </w:r>
      <w:r>
        <w:rPr>
          <w:rFonts w:ascii="David" w:hAnsi="David"/>
          <w:rtl/>
        </w:rPr>
        <w:t xml:space="preserve"> (9.4.2016)), וקובעים את עונשם של הנאשמים על 10 שנות מאסר, שירוצו בחופף למאסר העולם. </w:t>
      </w:r>
    </w:p>
    <w:p w14:paraId="6F5D22D7" w14:textId="77777777" w:rsidR="005F0548" w:rsidRDefault="005F0548" w:rsidP="005F0548">
      <w:pPr>
        <w:spacing w:line="360" w:lineRule="auto"/>
        <w:jc w:val="both"/>
        <w:rPr>
          <w:rFonts w:ascii="Calibri" w:hAnsi="Calibri" w:cs="Arial"/>
          <w:sz w:val="22"/>
          <w:szCs w:val="22"/>
          <w:rtl/>
        </w:rPr>
      </w:pPr>
    </w:p>
    <w:p w14:paraId="630E8F9C" w14:textId="77777777" w:rsidR="005F0548" w:rsidRDefault="005F0548" w:rsidP="005F0548">
      <w:pPr>
        <w:spacing w:line="360" w:lineRule="auto"/>
        <w:jc w:val="both"/>
        <w:rPr>
          <w:rFonts w:ascii="David" w:hAnsi="David"/>
          <w:rtl/>
        </w:rPr>
      </w:pPr>
      <w:r>
        <w:rPr>
          <w:rFonts w:ascii="David" w:hAnsi="David"/>
          <w:rtl/>
        </w:rPr>
        <w:t xml:space="preserve">לעניין רכיב הפיצוי, בשים לב לתוצאה הקטלנית לה גרמו הנאשמים יש לטעמנו מקום להטיל פיצוי משמעותי לטובת משפחת המנוח. משום שאין מדובר בנאשם יחיד, אין מניעה שסכום הפיצוי הכולל יעלה על הסכום הקבוע בחוק ורלוונטי כאשר מדובר בנאשם יחיד (ור' בנדון האמור בע"פ </w:t>
      </w:r>
      <w:hyperlink r:id="rId28" w:history="1">
        <w:r w:rsidR="008C4677" w:rsidRPr="008C4677">
          <w:rPr>
            <w:rFonts w:ascii="David" w:hAnsi="David"/>
            <w:color w:val="0000FF"/>
            <w:u w:val="single"/>
            <w:rtl/>
          </w:rPr>
          <w:t xml:space="preserve">8076/16 </w:t>
        </w:r>
      </w:hyperlink>
      <w:r>
        <w:rPr>
          <w:rFonts w:ascii="David" w:hAnsi="David"/>
          <w:rtl/>
        </w:rPr>
        <w:t xml:space="preserve"> </w:t>
      </w:r>
      <w:r>
        <w:rPr>
          <w:rFonts w:ascii="Miriam" w:hAnsi="Miriam" w:cs="Miriam"/>
          <w:rtl/>
        </w:rPr>
        <w:t>סולימנוב נ' מדינת ישראל</w:t>
      </w:r>
      <w:r>
        <w:rPr>
          <w:rFonts w:ascii="David" w:hAnsi="David"/>
          <w:rtl/>
        </w:rPr>
        <w:t xml:space="preserve"> (2.4.20)).</w:t>
      </w:r>
    </w:p>
    <w:p w14:paraId="40A8371A" w14:textId="77777777" w:rsidR="005F0548" w:rsidRDefault="005F0548" w:rsidP="005F0548">
      <w:pPr>
        <w:spacing w:line="360" w:lineRule="auto"/>
        <w:jc w:val="both"/>
        <w:rPr>
          <w:rFonts w:ascii="David" w:hAnsi="David"/>
          <w:rtl/>
        </w:rPr>
      </w:pPr>
    </w:p>
    <w:p w14:paraId="1056BBB6" w14:textId="77777777" w:rsidR="005F0548" w:rsidRDefault="005F0548" w:rsidP="005F0548">
      <w:pPr>
        <w:spacing w:line="360" w:lineRule="auto"/>
        <w:jc w:val="both"/>
        <w:rPr>
          <w:rFonts w:ascii="David" w:hAnsi="David"/>
          <w:rtl/>
        </w:rPr>
      </w:pPr>
      <w:r>
        <w:rPr>
          <w:rFonts w:ascii="David" w:hAnsi="David"/>
          <w:rtl/>
        </w:rPr>
        <w:t>בשולי גזר הדין אך</w:t>
      </w:r>
      <w:r>
        <w:rPr>
          <w:rFonts w:ascii="David" w:hAnsi="David" w:hint="cs"/>
          <w:rtl/>
        </w:rPr>
        <w:t xml:space="preserve"> לא</w:t>
      </w:r>
      <w:r>
        <w:rPr>
          <w:rFonts w:ascii="David" w:hAnsi="David"/>
          <w:rtl/>
        </w:rPr>
        <w:t xml:space="preserve"> בשולי חשיבות הדברים, נעיר כי אמו ואחותו של המנוח נכחו בכל הדיונים בהליך זה וכאבן היה ניכר. אנו מניחים כי הקביעה השיפוטית ולפיה הנאשמים הם אלה שרצחו את המנוח לא תביא מזור לכאב המשפחה, אך יש  לקוות כי סיום ההליך המשפטי לפנינו, יהיה בו להקל במידת מה על כאב המשפחה.</w:t>
      </w:r>
    </w:p>
    <w:p w14:paraId="6A6BF1BB" w14:textId="77777777" w:rsidR="005F0548" w:rsidRDefault="005F0548" w:rsidP="005F0548">
      <w:pPr>
        <w:pStyle w:val="aa"/>
        <w:spacing w:after="0" w:line="360" w:lineRule="auto"/>
        <w:ind w:left="360"/>
        <w:jc w:val="both"/>
        <w:rPr>
          <w:rFonts w:ascii="David" w:hAnsi="David" w:cs="David"/>
          <w:sz w:val="24"/>
          <w:szCs w:val="24"/>
          <w:rtl/>
        </w:rPr>
      </w:pPr>
    </w:p>
    <w:p w14:paraId="4A25911D" w14:textId="77777777" w:rsidR="005F0548" w:rsidRDefault="005F0548" w:rsidP="005F0548">
      <w:pPr>
        <w:spacing w:line="360" w:lineRule="auto"/>
        <w:jc w:val="both"/>
        <w:rPr>
          <w:rFonts w:ascii="David" w:hAnsi="David"/>
          <w:b/>
          <w:bCs/>
          <w:rtl/>
        </w:rPr>
      </w:pPr>
      <w:r>
        <w:rPr>
          <w:rFonts w:ascii="David" w:hAnsi="David"/>
          <w:b/>
          <w:bCs/>
          <w:rtl/>
        </w:rPr>
        <w:t xml:space="preserve">סוף דבר, אנו גוזרים </w:t>
      </w:r>
      <w:r>
        <w:rPr>
          <w:rFonts w:ascii="David" w:hAnsi="David"/>
          <w:b/>
          <w:bCs/>
          <w:u w:val="single"/>
          <w:rtl/>
        </w:rPr>
        <w:t>על כל אחד</w:t>
      </w:r>
      <w:r>
        <w:rPr>
          <w:rFonts w:ascii="David" w:hAnsi="David"/>
          <w:b/>
          <w:bCs/>
          <w:rtl/>
        </w:rPr>
        <w:t xml:space="preserve"> מהנאשמים את העונשים הבאים:</w:t>
      </w:r>
    </w:p>
    <w:p w14:paraId="1E3CDAE2" w14:textId="77777777" w:rsidR="005F0548" w:rsidRDefault="005F0548" w:rsidP="005F0548">
      <w:pPr>
        <w:spacing w:line="360" w:lineRule="auto"/>
        <w:ind w:left="720" w:hanging="720"/>
        <w:jc w:val="both"/>
        <w:rPr>
          <w:rFonts w:ascii="David" w:hAnsi="David"/>
          <w:rtl/>
        </w:rPr>
      </w:pPr>
      <w:r>
        <w:rPr>
          <w:rFonts w:ascii="David" w:hAnsi="David"/>
          <w:rtl/>
        </w:rPr>
        <w:t>(-)</w:t>
      </w:r>
      <w:r>
        <w:rPr>
          <w:rFonts w:ascii="David" w:hAnsi="David"/>
          <w:rtl/>
        </w:rPr>
        <w:tab/>
      </w:r>
      <w:r>
        <w:rPr>
          <w:rFonts w:ascii="David" w:hAnsi="David"/>
          <w:b/>
          <w:bCs/>
          <w:rtl/>
        </w:rPr>
        <w:t>מאסר עולם</w:t>
      </w:r>
      <w:r>
        <w:rPr>
          <w:rFonts w:ascii="David" w:hAnsi="David"/>
          <w:rtl/>
        </w:rPr>
        <w:t>. באם ייקצב עונשם בעתיד, אנו מורים על ניכוי תקופות המעצר (</w:t>
      </w:r>
      <w:r>
        <w:rPr>
          <w:rFonts w:ascii="David" w:hAnsi="David"/>
          <w:u w:val="single"/>
          <w:rtl/>
        </w:rPr>
        <w:t>לגבי ראובן</w:t>
      </w:r>
      <w:r>
        <w:rPr>
          <w:rFonts w:ascii="David" w:hAnsi="David"/>
          <w:rtl/>
        </w:rPr>
        <w:t xml:space="preserve"> – מיום 1.1.19 ועד ליום 25.8.21, ומיום 25.4.23 ועד היום; </w:t>
      </w:r>
      <w:r>
        <w:rPr>
          <w:rFonts w:ascii="David" w:hAnsi="David"/>
          <w:u w:val="single"/>
          <w:rtl/>
        </w:rPr>
        <w:t>לגבי עוז</w:t>
      </w:r>
      <w:r>
        <w:rPr>
          <w:rFonts w:ascii="David" w:hAnsi="David"/>
          <w:rtl/>
        </w:rPr>
        <w:t xml:space="preserve"> – מיום 1.1.19 ועד היום; </w:t>
      </w:r>
      <w:r>
        <w:rPr>
          <w:rFonts w:ascii="David" w:hAnsi="David"/>
          <w:u w:val="single"/>
          <w:rtl/>
        </w:rPr>
        <w:t>ולגבי רועי</w:t>
      </w:r>
      <w:r>
        <w:rPr>
          <w:rFonts w:ascii="David" w:hAnsi="David"/>
          <w:rtl/>
        </w:rPr>
        <w:t xml:space="preserve"> – מיום 27.7.18 ועד ליום 26.5.22, ומיום 25.4.23 ועד היום);</w:t>
      </w:r>
    </w:p>
    <w:p w14:paraId="1FA5BF4F" w14:textId="77777777" w:rsidR="005F0548" w:rsidRDefault="005F0548" w:rsidP="005F0548">
      <w:pPr>
        <w:spacing w:line="360" w:lineRule="auto"/>
        <w:jc w:val="both"/>
        <w:rPr>
          <w:rFonts w:ascii="David" w:hAnsi="David"/>
          <w:rtl/>
        </w:rPr>
      </w:pPr>
      <w:r>
        <w:rPr>
          <w:rFonts w:ascii="David" w:hAnsi="David"/>
          <w:rtl/>
        </w:rPr>
        <w:t>(-)</w:t>
      </w:r>
      <w:r>
        <w:rPr>
          <w:rFonts w:ascii="David" w:hAnsi="David"/>
          <w:rtl/>
        </w:rPr>
        <w:tab/>
        <w:t>4 שנות מאסר בגין עבירות הנשק;</w:t>
      </w:r>
    </w:p>
    <w:p w14:paraId="34A8FDCF" w14:textId="77777777" w:rsidR="005F0548" w:rsidRDefault="005F0548" w:rsidP="005F0548">
      <w:pPr>
        <w:spacing w:line="360" w:lineRule="auto"/>
        <w:jc w:val="both"/>
        <w:rPr>
          <w:rFonts w:ascii="David" w:hAnsi="David"/>
          <w:rtl/>
        </w:rPr>
      </w:pPr>
      <w:r>
        <w:rPr>
          <w:rFonts w:ascii="David" w:hAnsi="David"/>
          <w:rtl/>
        </w:rPr>
        <w:t>(-)</w:t>
      </w:r>
      <w:r>
        <w:rPr>
          <w:rFonts w:ascii="David" w:hAnsi="David"/>
          <w:rtl/>
        </w:rPr>
        <w:tab/>
        <w:t>10 שנות מאסר בגין עבירת ניסיון הרצח;</w:t>
      </w:r>
    </w:p>
    <w:p w14:paraId="521DCC4F" w14:textId="77777777" w:rsidR="005F0548" w:rsidRDefault="005F0548" w:rsidP="005F0548">
      <w:pPr>
        <w:spacing w:line="360" w:lineRule="auto"/>
        <w:ind w:left="720" w:hanging="720"/>
        <w:jc w:val="both"/>
        <w:rPr>
          <w:rFonts w:ascii="David" w:hAnsi="David"/>
          <w:b/>
          <w:bCs/>
          <w:rtl/>
        </w:rPr>
      </w:pPr>
      <w:r>
        <w:rPr>
          <w:rFonts w:ascii="David" w:hAnsi="David"/>
          <w:b/>
          <w:bCs/>
          <w:rtl/>
        </w:rPr>
        <w:t>(-)</w:t>
      </w:r>
      <w:r>
        <w:rPr>
          <w:rFonts w:ascii="David" w:hAnsi="David"/>
          <w:b/>
          <w:bCs/>
          <w:rtl/>
        </w:rPr>
        <w:tab/>
        <w:t xml:space="preserve">כלל תקופות המאסר לעיל ירוצו בחופף אחת לשניה; </w:t>
      </w:r>
      <w:r>
        <w:rPr>
          <w:rFonts w:ascii="David" w:hAnsi="David"/>
          <w:b/>
          <w:bCs/>
          <w:u w:val="single"/>
          <w:rtl/>
        </w:rPr>
        <w:t>כך שבסך הכל ירצה כל אחד מהנאשמים מאסר עולם, בניכוי התקופה בה היה עצור בגין תיק זה, כמפורט לעיל</w:t>
      </w:r>
      <w:r>
        <w:rPr>
          <w:rFonts w:ascii="David" w:hAnsi="David" w:hint="cs"/>
          <w:b/>
          <w:bCs/>
          <w:rtl/>
        </w:rPr>
        <w:t xml:space="preserve"> (במקרה של קציבת העונש)</w:t>
      </w:r>
      <w:r>
        <w:rPr>
          <w:rFonts w:ascii="David" w:hAnsi="David"/>
          <w:b/>
          <w:bCs/>
          <w:rtl/>
        </w:rPr>
        <w:t>;</w:t>
      </w:r>
    </w:p>
    <w:p w14:paraId="5C33D1EF" w14:textId="77777777" w:rsidR="005F0548" w:rsidRDefault="005F0548" w:rsidP="005F0548">
      <w:pPr>
        <w:pStyle w:val="aa"/>
        <w:spacing w:after="0" w:line="360" w:lineRule="auto"/>
        <w:ind w:hanging="720"/>
        <w:jc w:val="both"/>
        <w:rPr>
          <w:rFonts w:ascii="David" w:hAnsi="David" w:cs="David"/>
          <w:sz w:val="24"/>
          <w:szCs w:val="24"/>
          <w:rtl/>
        </w:rPr>
      </w:pPr>
      <w:r>
        <w:rPr>
          <w:rFonts w:ascii="David" w:hAnsi="David" w:cs="David"/>
          <w:sz w:val="24"/>
          <w:szCs w:val="24"/>
          <w:rtl/>
        </w:rPr>
        <w:t>(-)</w:t>
      </w:r>
      <w:r>
        <w:rPr>
          <w:rFonts w:ascii="David" w:hAnsi="David" w:cs="David"/>
          <w:sz w:val="24"/>
          <w:szCs w:val="24"/>
          <w:rtl/>
        </w:rPr>
        <w:tab/>
        <w:t>פיצוי לטובת עזבון המנוח בסכום של 100,000 ₪ (סה"כ 300,000 ₪</w:t>
      </w:r>
      <w:r>
        <w:rPr>
          <w:rFonts w:ascii="David" w:hAnsi="David" w:cs="David" w:hint="cs"/>
          <w:sz w:val="24"/>
          <w:szCs w:val="24"/>
          <w:rtl/>
        </w:rPr>
        <w:t xml:space="preserve"> לכלל הנאשמים</w:t>
      </w:r>
      <w:r>
        <w:rPr>
          <w:rFonts w:ascii="David" w:hAnsi="David" w:cs="David"/>
          <w:sz w:val="24"/>
          <w:szCs w:val="24"/>
          <w:rtl/>
        </w:rPr>
        <w:t>). הפיצויים ישולמו ב 10 תשלומים שווים ורצופים כאשר הראשון בהם יהיה ב 1.</w:t>
      </w:r>
      <w:r>
        <w:rPr>
          <w:rFonts w:ascii="David" w:hAnsi="David" w:cs="David" w:hint="cs"/>
          <w:sz w:val="24"/>
          <w:szCs w:val="24"/>
          <w:rtl/>
        </w:rPr>
        <w:t>12</w:t>
      </w:r>
      <w:r>
        <w:rPr>
          <w:rFonts w:ascii="David" w:hAnsi="David" w:cs="David"/>
          <w:sz w:val="24"/>
          <w:szCs w:val="24"/>
          <w:rtl/>
        </w:rPr>
        <w:t xml:space="preserve">.23 ויתרת התשלומים בתחילת כל חודש עוקב. התשלומים יבוצעו אך ורק באמצעות מזכירות בית המשפט או המרכז לגביית קנסות הוצאות ואגרות. אי תשלום של אחד מהתשלומים, מעבר ל 3 ימי עיכוב בתשלום, יעמיד את החוב במלואו לפירעון מיידי. נאסר על הנאשמים או מי  מטעמם ליצור קשר, במישרין או עקיפין, עם משפחת המנוח בנוגע לתשלום הפיצויים. </w:t>
      </w:r>
    </w:p>
    <w:p w14:paraId="4B09927E" w14:textId="77777777" w:rsidR="005F0548" w:rsidRDefault="005F0548" w:rsidP="005F0548">
      <w:pPr>
        <w:spacing w:line="360" w:lineRule="auto"/>
        <w:ind w:firstLine="720"/>
        <w:jc w:val="both"/>
        <w:rPr>
          <w:rFonts w:ascii="David" w:hAnsi="David"/>
          <w:b/>
          <w:bCs/>
          <w:u w:val="single"/>
          <w:rtl/>
        </w:rPr>
      </w:pPr>
    </w:p>
    <w:p w14:paraId="4945CF5A" w14:textId="77777777" w:rsidR="005F0548" w:rsidRDefault="005F0548" w:rsidP="005F0548">
      <w:pPr>
        <w:spacing w:line="360" w:lineRule="auto"/>
        <w:ind w:firstLine="720"/>
        <w:jc w:val="both"/>
        <w:rPr>
          <w:rFonts w:ascii="David" w:hAnsi="David"/>
          <w:b/>
          <w:bCs/>
          <w:u w:val="single"/>
          <w:rtl/>
        </w:rPr>
      </w:pPr>
      <w:r>
        <w:rPr>
          <w:rFonts w:ascii="David" w:hAnsi="David"/>
          <w:b/>
          <w:bCs/>
          <w:u w:val="single"/>
          <w:rtl/>
        </w:rPr>
        <w:t>זכות ערעור תוך 45 יום לבית המשפט העליון.</w:t>
      </w:r>
    </w:p>
    <w:tbl>
      <w:tblPr>
        <w:bidiVisual/>
        <w:tblW w:w="0" w:type="auto"/>
        <w:tblLook w:val="01E0" w:firstRow="1" w:lastRow="1" w:firstColumn="1" w:lastColumn="1" w:noHBand="0" w:noVBand="0"/>
      </w:tblPr>
      <w:tblGrid>
        <w:gridCol w:w="2824"/>
        <w:gridCol w:w="359"/>
        <w:gridCol w:w="2405"/>
        <w:gridCol w:w="345"/>
        <w:gridCol w:w="2572"/>
      </w:tblGrid>
      <w:tr w:rsidR="005F0548" w14:paraId="4B4D78A8" w14:textId="77777777" w:rsidTr="005F0548">
        <w:tc>
          <w:tcPr>
            <w:tcW w:w="2824" w:type="dxa"/>
            <w:tcBorders>
              <w:top w:val="nil"/>
              <w:left w:val="nil"/>
              <w:bottom w:val="single" w:sz="4" w:space="0" w:color="auto"/>
              <w:right w:val="nil"/>
            </w:tcBorders>
            <w:shd w:val="clear" w:color="auto" w:fill="auto"/>
            <w:vAlign w:val="bottom"/>
          </w:tcPr>
          <w:p w14:paraId="163098E6" w14:textId="77777777" w:rsidR="005F0548" w:rsidRPr="005F0548" w:rsidRDefault="002434BA" w:rsidP="002434BA">
            <w:pPr>
              <w:jc w:val="center"/>
              <w:rPr>
                <w:rFonts w:ascii="Courier New" w:hAnsi="Courier New"/>
                <w:b/>
                <w:bCs/>
              </w:rPr>
            </w:pPr>
            <w:bookmarkStart w:id="7" w:name="Nitan"/>
            <w:r>
              <w:rPr>
                <w:rFonts w:ascii="Arial" w:hAnsi="Arial"/>
                <w:b/>
                <w:bCs/>
                <w:sz w:val="26"/>
                <w:szCs w:val="26"/>
                <w:rtl/>
              </w:rPr>
              <w:t xml:space="preserve">ניתן היום,  י"ד תמוז תשפ"ג, 03 יולי 2023, בנוכחות הצדדים. </w:t>
            </w:r>
            <w:bookmarkEnd w:id="7"/>
          </w:p>
        </w:tc>
        <w:tc>
          <w:tcPr>
            <w:tcW w:w="359" w:type="dxa"/>
            <w:shd w:val="clear" w:color="auto" w:fill="auto"/>
            <w:vAlign w:val="bottom"/>
          </w:tcPr>
          <w:p w14:paraId="616663EE" w14:textId="77777777" w:rsidR="005F0548" w:rsidRPr="005F0548" w:rsidRDefault="005F0548" w:rsidP="005F0548">
            <w:pPr>
              <w:jc w:val="center"/>
              <w:rPr>
                <w:rFonts w:ascii="Courier New" w:hAnsi="Courier New"/>
                <w:b/>
                <w:bCs/>
              </w:rPr>
            </w:pPr>
          </w:p>
        </w:tc>
        <w:tc>
          <w:tcPr>
            <w:tcW w:w="2405" w:type="dxa"/>
            <w:tcBorders>
              <w:top w:val="nil"/>
              <w:left w:val="nil"/>
              <w:bottom w:val="single" w:sz="4" w:space="0" w:color="auto"/>
              <w:right w:val="nil"/>
            </w:tcBorders>
            <w:shd w:val="clear" w:color="auto" w:fill="auto"/>
            <w:vAlign w:val="bottom"/>
          </w:tcPr>
          <w:p w14:paraId="30147A07" w14:textId="77777777" w:rsidR="005F0548" w:rsidRPr="005F0548" w:rsidRDefault="005F0548" w:rsidP="005F0548">
            <w:pPr>
              <w:jc w:val="center"/>
              <w:rPr>
                <w:rFonts w:ascii="Courier New" w:hAnsi="Courier New"/>
                <w:b/>
                <w:bCs/>
              </w:rPr>
            </w:pPr>
          </w:p>
        </w:tc>
        <w:tc>
          <w:tcPr>
            <w:tcW w:w="345" w:type="dxa"/>
            <w:shd w:val="clear" w:color="auto" w:fill="auto"/>
            <w:vAlign w:val="bottom"/>
          </w:tcPr>
          <w:p w14:paraId="1C9A2CD8" w14:textId="77777777" w:rsidR="005F0548" w:rsidRPr="005F0548" w:rsidRDefault="005F0548" w:rsidP="005F0548">
            <w:pPr>
              <w:jc w:val="center"/>
              <w:rPr>
                <w:rFonts w:ascii="Courier New" w:hAnsi="Courier New"/>
                <w:b/>
                <w:bCs/>
              </w:rPr>
            </w:pPr>
          </w:p>
        </w:tc>
        <w:tc>
          <w:tcPr>
            <w:tcW w:w="2572" w:type="dxa"/>
            <w:tcBorders>
              <w:top w:val="nil"/>
              <w:left w:val="nil"/>
              <w:bottom w:val="single" w:sz="4" w:space="0" w:color="auto"/>
              <w:right w:val="nil"/>
            </w:tcBorders>
            <w:shd w:val="clear" w:color="auto" w:fill="auto"/>
            <w:vAlign w:val="bottom"/>
          </w:tcPr>
          <w:p w14:paraId="61B72D30" w14:textId="77777777" w:rsidR="005F0548" w:rsidRPr="005F0548" w:rsidRDefault="005F0548" w:rsidP="005F0548">
            <w:pPr>
              <w:jc w:val="center"/>
              <w:rPr>
                <w:rFonts w:ascii="Courier New" w:hAnsi="Courier New"/>
                <w:b/>
                <w:bCs/>
              </w:rPr>
            </w:pPr>
          </w:p>
        </w:tc>
      </w:tr>
      <w:tr w:rsidR="005F0548" w14:paraId="050A219C" w14:textId="77777777" w:rsidTr="005F0548">
        <w:tc>
          <w:tcPr>
            <w:tcW w:w="2824" w:type="dxa"/>
            <w:tcBorders>
              <w:top w:val="single" w:sz="4" w:space="0" w:color="auto"/>
              <w:left w:val="nil"/>
              <w:bottom w:val="nil"/>
              <w:right w:val="nil"/>
            </w:tcBorders>
            <w:shd w:val="clear" w:color="auto" w:fill="auto"/>
          </w:tcPr>
          <w:p w14:paraId="761AA649" w14:textId="77777777" w:rsidR="005F0548" w:rsidRPr="005F0548" w:rsidRDefault="005F0548" w:rsidP="005F0548">
            <w:pPr>
              <w:spacing w:line="360" w:lineRule="auto"/>
              <w:jc w:val="center"/>
              <w:rPr>
                <w:b/>
                <w:bCs/>
                <w:rtl/>
              </w:rPr>
            </w:pPr>
            <w:r w:rsidRPr="005F0548">
              <w:rPr>
                <w:rFonts w:hint="cs"/>
                <w:b/>
                <w:bCs/>
                <w:rtl/>
              </w:rPr>
              <w:t xml:space="preserve">י. ליפשיץ , שופט </w:t>
            </w:r>
          </w:p>
          <w:p w14:paraId="776A35E1" w14:textId="77777777" w:rsidR="005F0548" w:rsidRPr="005F0548" w:rsidRDefault="005F0548" w:rsidP="005F0548">
            <w:pPr>
              <w:spacing w:line="360" w:lineRule="auto"/>
              <w:jc w:val="center"/>
              <w:rPr>
                <w:b/>
                <w:bCs/>
              </w:rPr>
            </w:pPr>
            <w:r w:rsidRPr="005F0548">
              <w:rPr>
                <w:rFonts w:hint="cs"/>
                <w:b/>
                <w:bCs/>
                <w:rtl/>
              </w:rPr>
              <w:t>[אב"ד]</w:t>
            </w:r>
          </w:p>
        </w:tc>
        <w:tc>
          <w:tcPr>
            <w:tcW w:w="359" w:type="dxa"/>
            <w:shd w:val="clear" w:color="auto" w:fill="auto"/>
          </w:tcPr>
          <w:p w14:paraId="40A1E037" w14:textId="77777777" w:rsidR="005F0548" w:rsidRPr="005F0548" w:rsidRDefault="005F0548" w:rsidP="005F0548">
            <w:pPr>
              <w:spacing w:line="360" w:lineRule="auto"/>
              <w:rPr>
                <w:b/>
                <w:bCs/>
                <w:color w:val="FF0000"/>
              </w:rPr>
            </w:pPr>
          </w:p>
        </w:tc>
        <w:tc>
          <w:tcPr>
            <w:tcW w:w="2405" w:type="dxa"/>
            <w:tcBorders>
              <w:top w:val="single" w:sz="4" w:space="0" w:color="auto"/>
              <w:left w:val="nil"/>
              <w:bottom w:val="nil"/>
              <w:right w:val="nil"/>
            </w:tcBorders>
            <w:shd w:val="clear" w:color="auto" w:fill="auto"/>
          </w:tcPr>
          <w:p w14:paraId="1D2371FA" w14:textId="77777777" w:rsidR="005F0548" w:rsidRPr="005F0548" w:rsidRDefault="005F0548" w:rsidP="005F0548">
            <w:pPr>
              <w:spacing w:line="360" w:lineRule="auto"/>
              <w:jc w:val="center"/>
              <w:rPr>
                <w:b/>
                <w:bCs/>
                <w:rtl/>
              </w:rPr>
            </w:pPr>
            <w:r w:rsidRPr="005F0548">
              <w:rPr>
                <w:rFonts w:hint="cs"/>
                <w:b/>
                <w:bCs/>
                <w:rtl/>
              </w:rPr>
              <w:t>ג. ציגלר , שופטת</w:t>
            </w:r>
          </w:p>
        </w:tc>
        <w:tc>
          <w:tcPr>
            <w:tcW w:w="345" w:type="dxa"/>
            <w:shd w:val="clear" w:color="auto" w:fill="auto"/>
          </w:tcPr>
          <w:p w14:paraId="73D84F0C" w14:textId="77777777" w:rsidR="005F0548" w:rsidRPr="005F0548" w:rsidRDefault="005F0548" w:rsidP="005F0548">
            <w:pPr>
              <w:spacing w:line="360" w:lineRule="auto"/>
              <w:rPr>
                <w:b/>
                <w:bCs/>
                <w:color w:val="FF0000"/>
              </w:rPr>
            </w:pPr>
          </w:p>
        </w:tc>
        <w:tc>
          <w:tcPr>
            <w:tcW w:w="2572" w:type="dxa"/>
            <w:tcBorders>
              <w:top w:val="single" w:sz="4" w:space="0" w:color="auto"/>
              <w:left w:val="nil"/>
              <w:bottom w:val="nil"/>
              <w:right w:val="nil"/>
            </w:tcBorders>
            <w:shd w:val="clear" w:color="auto" w:fill="auto"/>
          </w:tcPr>
          <w:p w14:paraId="4C5D6749" w14:textId="77777777" w:rsidR="005F0548" w:rsidRPr="005F0548" w:rsidRDefault="005F0548" w:rsidP="005F0548">
            <w:pPr>
              <w:spacing w:line="360" w:lineRule="auto"/>
              <w:rPr>
                <w:b/>
                <w:bCs/>
              </w:rPr>
            </w:pPr>
            <w:r w:rsidRPr="005F0548">
              <w:rPr>
                <w:rFonts w:hint="cs"/>
                <w:b/>
                <w:bCs/>
                <w:rtl/>
              </w:rPr>
              <w:t xml:space="preserve">         </w:t>
            </w:r>
            <w:r w:rsidRPr="005F0548">
              <w:rPr>
                <w:rFonts w:ascii="Courier New" w:hAnsi="Courier New" w:hint="cs"/>
                <w:b/>
                <w:bCs/>
                <w:rtl/>
              </w:rPr>
              <w:t>ש. מנדלבום, שופט</w:t>
            </w:r>
          </w:p>
          <w:p w14:paraId="365032F6" w14:textId="77777777" w:rsidR="002434BA" w:rsidRDefault="002434BA" w:rsidP="005F0548">
            <w:pPr>
              <w:spacing w:line="360" w:lineRule="auto"/>
              <w:jc w:val="center"/>
              <w:rPr>
                <w:b/>
                <w:bCs/>
                <w:rtl/>
              </w:rPr>
            </w:pPr>
          </w:p>
          <w:p w14:paraId="3DBFE03C" w14:textId="77777777" w:rsidR="005F0548" w:rsidRPr="005F0548" w:rsidRDefault="005F0548" w:rsidP="005F0548">
            <w:pPr>
              <w:spacing w:line="360" w:lineRule="auto"/>
              <w:jc w:val="center"/>
              <w:rPr>
                <w:b/>
                <w:bCs/>
                <w:rtl/>
              </w:rPr>
            </w:pPr>
          </w:p>
        </w:tc>
      </w:tr>
    </w:tbl>
    <w:p w14:paraId="70B81FE8" w14:textId="77777777" w:rsidR="005F0548" w:rsidRPr="002434BA" w:rsidRDefault="002434BA" w:rsidP="005F0548">
      <w:pPr>
        <w:rPr>
          <w:color w:val="FFFFFF"/>
          <w:sz w:val="2"/>
          <w:szCs w:val="2"/>
          <w:rtl/>
        </w:rPr>
      </w:pPr>
      <w:r w:rsidRPr="002434BA">
        <w:rPr>
          <w:color w:val="FFFFFF"/>
          <w:sz w:val="2"/>
          <w:szCs w:val="2"/>
          <w:rtl/>
        </w:rPr>
        <w:t>5129371</w:t>
      </w:r>
    </w:p>
    <w:p w14:paraId="62ACF6FF" w14:textId="77777777" w:rsidR="005F0548" w:rsidRPr="002434BA" w:rsidRDefault="002434BA" w:rsidP="005F0548">
      <w:pPr>
        <w:rPr>
          <w:color w:val="FFFFFF"/>
          <w:sz w:val="2"/>
          <w:szCs w:val="2"/>
          <w:rtl/>
        </w:rPr>
      </w:pPr>
      <w:r w:rsidRPr="002434BA">
        <w:rPr>
          <w:color w:val="FFFFFF"/>
          <w:sz w:val="2"/>
          <w:szCs w:val="2"/>
          <w:rtl/>
        </w:rPr>
        <w:t>54678313</w:t>
      </w:r>
    </w:p>
    <w:p w14:paraId="208C8E3F" w14:textId="77777777" w:rsidR="005F0548" w:rsidRDefault="005F0548" w:rsidP="005F0548"/>
    <w:p w14:paraId="4B39D928" w14:textId="77777777" w:rsidR="002434BA" w:rsidRDefault="002434BA" w:rsidP="002434BA">
      <w:pPr>
        <w:rPr>
          <w:rtl/>
        </w:rPr>
      </w:pPr>
    </w:p>
    <w:p w14:paraId="054CBE4F" w14:textId="77777777" w:rsidR="002434BA" w:rsidRDefault="002434BA" w:rsidP="002434BA">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6C2D89F4" w14:textId="77777777" w:rsidR="00E11AD1" w:rsidRPr="00E11AD1" w:rsidRDefault="00E11AD1" w:rsidP="00E11AD1">
      <w:pPr>
        <w:keepNext/>
        <w:rPr>
          <w:rFonts w:ascii="David" w:hAnsi="David"/>
          <w:color w:val="000000"/>
          <w:sz w:val="22"/>
          <w:szCs w:val="22"/>
          <w:rtl/>
        </w:rPr>
      </w:pPr>
    </w:p>
    <w:p w14:paraId="2A124AC1" w14:textId="77777777" w:rsidR="00E11AD1" w:rsidRPr="00E11AD1" w:rsidRDefault="00E11AD1" w:rsidP="00E11AD1">
      <w:pPr>
        <w:keepNext/>
        <w:rPr>
          <w:rFonts w:ascii="David" w:hAnsi="David"/>
          <w:color w:val="000000"/>
          <w:sz w:val="22"/>
          <w:szCs w:val="22"/>
          <w:rtl/>
        </w:rPr>
      </w:pPr>
      <w:r w:rsidRPr="00E11AD1">
        <w:rPr>
          <w:rFonts w:ascii="David" w:hAnsi="David"/>
          <w:color w:val="000000"/>
          <w:sz w:val="22"/>
          <w:szCs w:val="22"/>
          <w:rtl/>
        </w:rPr>
        <w:t>יחיאל ליפשיץ 54678313-/</w:t>
      </w:r>
    </w:p>
    <w:p w14:paraId="1ACAA45C" w14:textId="77777777" w:rsidR="002434BA" w:rsidRPr="002434BA" w:rsidRDefault="00E11AD1" w:rsidP="00E11AD1">
      <w:pPr>
        <w:rPr>
          <w:color w:val="0000FF"/>
          <w:u w:val="single"/>
        </w:rPr>
      </w:pPr>
      <w:r w:rsidRPr="00E11AD1">
        <w:rPr>
          <w:color w:val="000000"/>
          <w:u w:val="single"/>
          <w:rtl/>
        </w:rPr>
        <w:t>נוסח מסמך זה כפוף לשינויי ניסוח ועריכה</w:t>
      </w:r>
    </w:p>
    <w:sectPr w:rsidR="002434BA" w:rsidRPr="002434BA" w:rsidSect="00E11AD1">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FF7DE" w14:textId="77777777" w:rsidR="00C94CCB" w:rsidRDefault="00C94CCB" w:rsidP="00722273">
      <w:r>
        <w:separator/>
      </w:r>
    </w:p>
  </w:endnote>
  <w:endnote w:type="continuationSeparator" w:id="0">
    <w:p w14:paraId="6C09313A" w14:textId="77777777" w:rsidR="00C94CCB" w:rsidRDefault="00C94CCB" w:rsidP="0072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DE9F6" w14:textId="77777777" w:rsidR="00E11AD1" w:rsidRDefault="00E11AD1" w:rsidP="00E11AD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2B55490" w14:textId="77777777" w:rsidR="00850270" w:rsidRPr="00E11AD1" w:rsidRDefault="00E11AD1" w:rsidP="00E11AD1">
    <w:pPr>
      <w:pStyle w:val="a5"/>
      <w:pBdr>
        <w:top w:val="single" w:sz="4" w:space="1" w:color="auto"/>
        <w:between w:val="single" w:sz="4" w:space="0" w:color="auto"/>
      </w:pBdr>
      <w:spacing w:after="60"/>
      <w:jc w:val="center"/>
      <w:rPr>
        <w:rFonts w:ascii="FrankRuehl" w:hAnsi="FrankRuehl" w:cs="FrankRuehl"/>
        <w:color w:val="000000"/>
      </w:rPr>
    </w:pPr>
    <w:r w:rsidRPr="00E11AD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9E2A4" w14:textId="77777777" w:rsidR="00E11AD1" w:rsidRDefault="00E11AD1" w:rsidP="00E11AD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52351">
      <w:rPr>
        <w:rFonts w:ascii="FrankRuehl" w:hAnsi="FrankRuehl" w:cs="FrankRuehl"/>
        <w:noProof/>
        <w:rtl/>
      </w:rPr>
      <w:t>1</w:t>
    </w:r>
    <w:r>
      <w:rPr>
        <w:rFonts w:ascii="FrankRuehl" w:hAnsi="FrankRuehl" w:cs="FrankRuehl"/>
        <w:rtl/>
      </w:rPr>
      <w:fldChar w:fldCharType="end"/>
    </w:r>
  </w:p>
  <w:p w14:paraId="1F087BF5" w14:textId="77777777" w:rsidR="00850270" w:rsidRPr="00E11AD1" w:rsidRDefault="00E11AD1" w:rsidP="00E11AD1">
    <w:pPr>
      <w:pStyle w:val="a5"/>
      <w:pBdr>
        <w:top w:val="single" w:sz="4" w:space="1" w:color="auto"/>
        <w:between w:val="single" w:sz="4" w:space="0" w:color="auto"/>
      </w:pBdr>
      <w:spacing w:after="60"/>
      <w:jc w:val="center"/>
      <w:rPr>
        <w:rFonts w:ascii="FrankRuehl" w:hAnsi="FrankRuehl" w:cs="FrankRuehl"/>
        <w:color w:val="000000"/>
      </w:rPr>
    </w:pPr>
    <w:r w:rsidRPr="00E11AD1">
      <w:rPr>
        <w:rFonts w:ascii="FrankRuehl" w:hAnsi="FrankRuehl" w:cs="FrankRuehl"/>
        <w:color w:val="000000"/>
      </w:rPr>
      <w:pict w14:anchorId="43B88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9B4B3" w14:textId="77777777" w:rsidR="00C94CCB" w:rsidRDefault="00C94CCB" w:rsidP="00722273">
      <w:r>
        <w:separator/>
      </w:r>
    </w:p>
  </w:footnote>
  <w:footnote w:type="continuationSeparator" w:id="0">
    <w:p w14:paraId="23B51710" w14:textId="77777777" w:rsidR="00C94CCB" w:rsidRDefault="00C94CCB" w:rsidP="00722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66706" w14:textId="77777777" w:rsidR="002434BA" w:rsidRPr="00E11AD1" w:rsidRDefault="00E11AD1" w:rsidP="00E11AD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(חי') 42980-08-18</w:t>
    </w:r>
    <w:r>
      <w:rPr>
        <w:rFonts w:ascii="David" w:hAnsi="David"/>
        <w:color w:val="000000"/>
        <w:sz w:val="22"/>
        <w:szCs w:val="22"/>
        <w:rtl/>
      </w:rPr>
      <w:tab/>
      <w:t xml:space="preserve"> מדינת ישראל נ' ראובן דדון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590E0" w14:textId="77777777" w:rsidR="002434BA" w:rsidRPr="00E11AD1" w:rsidRDefault="00E11AD1" w:rsidP="00E11AD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(חי') 42980-08-18</w:t>
    </w:r>
    <w:r>
      <w:rPr>
        <w:rFonts w:ascii="David" w:hAnsi="David"/>
        <w:color w:val="000000"/>
        <w:sz w:val="22"/>
        <w:szCs w:val="22"/>
        <w:rtl/>
      </w:rPr>
      <w:tab/>
      <w:t xml:space="preserve"> מדינת ישראל נ' ראובן דדון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F0548"/>
    <w:rsid w:val="000A2978"/>
    <w:rsid w:val="001B5A3B"/>
    <w:rsid w:val="001E377C"/>
    <w:rsid w:val="0023445F"/>
    <w:rsid w:val="002434BA"/>
    <w:rsid w:val="005F0548"/>
    <w:rsid w:val="00722273"/>
    <w:rsid w:val="00850270"/>
    <w:rsid w:val="00894648"/>
    <w:rsid w:val="008C4677"/>
    <w:rsid w:val="00B63FB3"/>
    <w:rsid w:val="00C52351"/>
    <w:rsid w:val="00C94CCB"/>
    <w:rsid w:val="00CD3B9E"/>
    <w:rsid w:val="00E11AD1"/>
    <w:rsid w:val="00FC26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4FEA61"/>
  <w15:chartTrackingRefBased/>
  <w15:docId w15:val="{153735B5-F7AC-4B1C-879D-ADF3F807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054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F0548"/>
    <w:pPr>
      <w:tabs>
        <w:tab w:val="center" w:pos="4153"/>
        <w:tab w:val="right" w:pos="8306"/>
      </w:tabs>
    </w:pPr>
  </w:style>
  <w:style w:type="character" w:customStyle="1" w:styleId="a4">
    <w:name w:val="כותרת עליונה תו"/>
    <w:link w:val="a3"/>
    <w:rsid w:val="005F0548"/>
    <w:rPr>
      <w:rFonts w:ascii="Times New Roman" w:eastAsia="Times New Roman" w:hAnsi="Times New Roman" w:cs="David"/>
      <w:sz w:val="24"/>
      <w:szCs w:val="24"/>
    </w:rPr>
  </w:style>
  <w:style w:type="paragraph" w:styleId="a5">
    <w:name w:val="footer"/>
    <w:basedOn w:val="a"/>
    <w:link w:val="a6"/>
    <w:rsid w:val="005F0548"/>
    <w:pPr>
      <w:tabs>
        <w:tab w:val="center" w:pos="4153"/>
        <w:tab w:val="right" w:pos="8306"/>
      </w:tabs>
    </w:pPr>
  </w:style>
  <w:style w:type="character" w:customStyle="1" w:styleId="a6">
    <w:name w:val="כותרת תחתונה תו"/>
    <w:link w:val="a5"/>
    <w:rsid w:val="005F0548"/>
    <w:rPr>
      <w:rFonts w:ascii="Times New Roman" w:eastAsia="Times New Roman" w:hAnsi="Times New Roman" w:cs="David"/>
      <w:sz w:val="24"/>
      <w:szCs w:val="24"/>
    </w:rPr>
  </w:style>
  <w:style w:type="table" w:styleId="a7">
    <w:name w:val="Table Grid"/>
    <w:basedOn w:val="a1"/>
    <w:rsid w:val="005F054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F0548"/>
  </w:style>
  <w:style w:type="character" w:customStyle="1" w:styleId="a9">
    <w:name w:val="פיסקת רשימה תו"/>
    <w:link w:val="aa"/>
    <w:locked/>
    <w:rsid w:val="005F0548"/>
    <w:rPr>
      <w:rFonts w:ascii="Calibri" w:hAnsi="Calibri" w:cs="Arial"/>
    </w:rPr>
  </w:style>
  <w:style w:type="paragraph" w:styleId="aa">
    <w:name w:val="List Paragraph"/>
    <w:basedOn w:val="a"/>
    <w:link w:val="a9"/>
    <w:qFormat/>
    <w:rsid w:val="005F0548"/>
    <w:pPr>
      <w:spacing w:after="160" w:line="254" w:lineRule="auto"/>
      <w:ind w:left="720"/>
      <w:contextualSpacing/>
    </w:pPr>
    <w:rPr>
      <w:rFonts w:ascii="Calibri" w:eastAsia="Calibri" w:hAnsi="Calibri" w:cs="Arial"/>
      <w:sz w:val="22"/>
      <w:szCs w:val="22"/>
    </w:rPr>
  </w:style>
  <w:style w:type="character" w:styleId="Hyperlink">
    <w:name w:val="Hyperlink"/>
    <w:rsid w:val="005F05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00.a.2"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11266780" TargetMode="External"/><Relationship Id="rId3" Type="http://schemas.openxmlformats.org/officeDocument/2006/relationships/webSettings" Target="webSettings.xml"/><Relationship Id="rId21" Type="http://schemas.openxmlformats.org/officeDocument/2006/relationships/hyperlink" Target="http://www.nevo.co.il/law/70301/29" TargetMode="External"/><Relationship Id="rId34" Type="http://schemas.openxmlformats.org/officeDocument/2006/relationships/fontTable" Target="fontTable.xml"/><Relationship Id="rId7" Type="http://schemas.openxmlformats.org/officeDocument/2006/relationships/hyperlink" Target="http://www.nevo.co.il/law/70301/29" TargetMode="External"/><Relationship Id="rId12" Type="http://schemas.openxmlformats.org/officeDocument/2006/relationships/hyperlink" Target="http://www.nevo.co.il/law/70301/305.b"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25436506"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305.b"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01" TargetMode="External"/><Relationship Id="rId24" Type="http://schemas.openxmlformats.org/officeDocument/2006/relationships/hyperlink" Target="http://www.nevo.co.il/case/27652827"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29" TargetMode="External"/><Relationship Id="rId23" Type="http://schemas.openxmlformats.org/officeDocument/2006/relationships/hyperlink" Target="http://www.nevo.co.il/case/23828266" TargetMode="External"/><Relationship Id="rId28" Type="http://schemas.openxmlformats.org/officeDocument/2006/relationships/hyperlink" Target="http://www.nevo.co.il/case/21506844" TargetMode="External"/><Relationship Id="rId10" Type="http://schemas.openxmlformats.org/officeDocument/2006/relationships/hyperlink" Target="http://www.nevo.co.il/law/70301/300.a.2" TargetMode="External"/><Relationship Id="rId19" Type="http://schemas.openxmlformats.org/officeDocument/2006/relationships/hyperlink" Target="http://www.nevo.co.il/law/70301/29"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301" TargetMode="External"/><Relationship Id="rId22" Type="http://schemas.openxmlformats.org/officeDocument/2006/relationships/hyperlink" Target="http://www.nevo.co.il/case/7012276" TargetMode="External"/><Relationship Id="rId27" Type="http://schemas.openxmlformats.org/officeDocument/2006/relationships/hyperlink" Target="http://www.nevo.co.il/case/2024356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2169</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12990</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3473533</vt:i4>
      </vt:variant>
      <vt:variant>
        <vt:i4>66</vt:i4>
      </vt:variant>
      <vt:variant>
        <vt:i4>0</vt:i4>
      </vt:variant>
      <vt:variant>
        <vt:i4>5</vt:i4>
      </vt:variant>
      <vt:variant>
        <vt:lpwstr>http://www.nevo.co.il/case/21506844</vt:lpwstr>
      </vt:variant>
      <vt:variant>
        <vt:lpwstr/>
      </vt:variant>
      <vt:variant>
        <vt:i4>3473525</vt:i4>
      </vt:variant>
      <vt:variant>
        <vt:i4>63</vt:i4>
      </vt:variant>
      <vt:variant>
        <vt:i4>0</vt:i4>
      </vt:variant>
      <vt:variant>
        <vt:i4>5</vt:i4>
      </vt:variant>
      <vt:variant>
        <vt:lpwstr>http://www.nevo.co.il/case/20243566</vt:lpwstr>
      </vt:variant>
      <vt:variant>
        <vt:lpwstr/>
      </vt:variant>
      <vt:variant>
        <vt:i4>3997812</vt:i4>
      </vt:variant>
      <vt:variant>
        <vt:i4>60</vt:i4>
      </vt:variant>
      <vt:variant>
        <vt:i4>0</vt:i4>
      </vt:variant>
      <vt:variant>
        <vt:i4>5</vt:i4>
      </vt:variant>
      <vt:variant>
        <vt:lpwstr>http://www.nevo.co.il/case/11266780</vt:lpwstr>
      </vt:variant>
      <vt:variant>
        <vt:lpwstr/>
      </vt:variant>
      <vt:variant>
        <vt:i4>3145847</vt:i4>
      </vt:variant>
      <vt:variant>
        <vt:i4>57</vt:i4>
      </vt:variant>
      <vt:variant>
        <vt:i4>0</vt:i4>
      </vt:variant>
      <vt:variant>
        <vt:i4>5</vt:i4>
      </vt:variant>
      <vt:variant>
        <vt:lpwstr>http://www.nevo.co.il/case/25436506</vt:lpwstr>
      </vt:variant>
      <vt:variant>
        <vt:lpwstr/>
      </vt:variant>
      <vt:variant>
        <vt:i4>3407998</vt:i4>
      </vt:variant>
      <vt:variant>
        <vt:i4>54</vt:i4>
      </vt:variant>
      <vt:variant>
        <vt:i4>0</vt:i4>
      </vt:variant>
      <vt:variant>
        <vt:i4>5</vt:i4>
      </vt:variant>
      <vt:variant>
        <vt:lpwstr>http://www.nevo.co.il/case/27652827</vt:lpwstr>
      </vt:variant>
      <vt:variant>
        <vt:lpwstr/>
      </vt:variant>
      <vt:variant>
        <vt:i4>3407991</vt:i4>
      </vt:variant>
      <vt:variant>
        <vt:i4>51</vt:i4>
      </vt:variant>
      <vt:variant>
        <vt:i4>0</vt:i4>
      </vt:variant>
      <vt:variant>
        <vt:i4>5</vt:i4>
      </vt:variant>
      <vt:variant>
        <vt:lpwstr>http://www.nevo.co.il/case/23828266</vt:lpwstr>
      </vt:variant>
      <vt:variant>
        <vt:lpwstr/>
      </vt:variant>
      <vt:variant>
        <vt:i4>3276913</vt:i4>
      </vt:variant>
      <vt:variant>
        <vt:i4>48</vt:i4>
      </vt:variant>
      <vt:variant>
        <vt:i4>0</vt:i4>
      </vt:variant>
      <vt:variant>
        <vt:i4>5</vt:i4>
      </vt:variant>
      <vt:variant>
        <vt:lpwstr>http://www.nevo.co.il/case/7012276</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4915283</vt:i4>
      </vt:variant>
      <vt:variant>
        <vt:i4>42</vt:i4>
      </vt:variant>
      <vt:variant>
        <vt:i4>0</vt:i4>
      </vt:variant>
      <vt:variant>
        <vt:i4>5</vt:i4>
      </vt:variant>
      <vt:variant>
        <vt:lpwstr>http://www.nevo.co.il/law/70301/305.b</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6619238</vt:i4>
      </vt:variant>
      <vt:variant>
        <vt:i4>24</vt:i4>
      </vt:variant>
      <vt:variant>
        <vt:i4>0</vt:i4>
      </vt:variant>
      <vt:variant>
        <vt:i4>5</vt:i4>
      </vt:variant>
      <vt:variant>
        <vt:lpwstr>http://www.nevo.co.il/law/70301/301</vt:lpwstr>
      </vt:variant>
      <vt:variant>
        <vt:lpwstr/>
      </vt:variant>
      <vt:variant>
        <vt:i4>6619191</vt:i4>
      </vt:variant>
      <vt:variant>
        <vt:i4>21</vt:i4>
      </vt:variant>
      <vt:variant>
        <vt:i4>0</vt:i4>
      </vt:variant>
      <vt:variant>
        <vt:i4>5</vt:i4>
      </vt:variant>
      <vt:variant>
        <vt:lpwstr>http://www.nevo.co.il/law/70301/300.a.2</vt:lpwstr>
      </vt:variant>
      <vt:variant>
        <vt:lpwstr/>
      </vt:variant>
      <vt:variant>
        <vt:i4>4915283</vt:i4>
      </vt:variant>
      <vt:variant>
        <vt:i4>18</vt:i4>
      </vt:variant>
      <vt:variant>
        <vt:i4>0</vt:i4>
      </vt:variant>
      <vt:variant>
        <vt:i4>5</vt:i4>
      </vt:variant>
      <vt:variant>
        <vt:lpwstr>http://www.nevo.co.il/law/70301/305.b</vt:lpwstr>
      </vt:variant>
      <vt:variant>
        <vt:lpwstr/>
      </vt:variant>
      <vt:variant>
        <vt:i4>6619238</vt:i4>
      </vt:variant>
      <vt:variant>
        <vt:i4>15</vt:i4>
      </vt:variant>
      <vt:variant>
        <vt:i4>0</vt:i4>
      </vt:variant>
      <vt:variant>
        <vt:i4>5</vt:i4>
      </vt:variant>
      <vt:variant>
        <vt:lpwstr>http://www.nevo.co.il/law/70301/301</vt:lpwstr>
      </vt:variant>
      <vt:variant>
        <vt:lpwstr/>
      </vt:variant>
      <vt:variant>
        <vt:i4>6619191</vt:i4>
      </vt:variant>
      <vt:variant>
        <vt:i4>12</vt:i4>
      </vt:variant>
      <vt:variant>
        <vt:i4>0</vt:i4>
      </vt:variant>
      <vt:variant>
        <vt:i4>5</vt:i4>
      </vt:variant>
      <vt:variant>
        <vt:lpwstr>http://www.nevo.co.il/law/70301/300.a.2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2025-04-25T10:43:00Z</dcterms:created>
  <dcterms:modified xsi:type="dcterms:W3CDTF">2025-04-25T10:43:00Z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תפח;תפח</vt:lpwstr>
  </property>
  <property fmtid="{D5CDD505-2E9C-101B-9397-08002B2CF9AE}" pid="5" name="NEWPARTA">
    <vt:lpwstr>42980;29407</vt:lpwstr>
  </property>
  <property fmtid="{D5CDD505-2E9C-101B-9397-08002B2CF9AE}" pid="6" name="NEWPARTB">
    <vt:lpwstr>08;01</vt:lpwstr>
  </property>
  <property fmtid="{D5CDD505-2E9C-101B-9397-08002B2CF9AE}" pid="7" name="NEWPARTC">
    <vt:lpwstr>18;19</vt:lpwstr>
  </property>
  <property fmtid="{D5CDD505-2E9C-101B-9397-08002B2CF9AE}" pid="8" name="APPELLANT">
    <vt:lpwstr>מדינת ישראל</vt:lpwstr>
  </property>
  <property fmtid="{D5CDD505-2E9C-101B-9397-08002B2CF9AE}" pid="9" name="APPELLEE">
    <vt:lpwstr>ראובן דדון;עוז דדון;רועי ישראל דדון</vt:lpwstr>
  </property>
  <property fmtid="{D5CDD505-2E9C-101B-9397-08002B2CF9AE}" pid="10" name="JUDGE">
    <vt:lpwstr>יחיאל ליפשיץ;גלית ציגלר;שמואל מנדלבום</vt:lpwstr>
  </property>
  <property fmtid="{D5CDD505-2E9C-101B-9397-08002B2CF9AE}" pid="11" name="CITY">
    <vt:lpwstr>חי'</vt:lpwstr>
  </property>
  <property fmtid="{D5CDD505-2E9C-101B-9397-08002B2CF9AE}" pid="12" name="DATE">
    <vt:lpwstr>20230703</vt:lpwstr>
  </property>
  <property fmtid="{D5CDD505-2E9C-101B-9397-08002B2CF9AE}" pid="13" name="TYPE_N_DATE">
    <vt:lpwstr>39020230703</vt:lpwstr>
  </property>
  <property fmtid="{D5CDD505-2E9C-101B-9397-08002B2CF9AE}" pid="14" name="WORDNUMPAGES">
    <vt:lpwstr>6</vt:lpwstr>
  </property>
  <property fmtid="{D5CDD505-2E9C-101B-9397-08002B2CF9AE}" pid="15" name="TYPE_ABS_DATE">
    <vt:lpwstr>390020230703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7012276;23828266;27652827;25436506;11266780;20243566;21506844</vt:lpwstr>
  </property>
  <property fmtid="{D5CDD505-2E9C-101B-9397-08002B2CF9AE}" pid="36" name="LAWLISTTMP1">
    <vt:lpwstr>70301/300.a.2;301;029:3;144.a;144.b;305.b</vt:lpwstr>
  </property>
</Properties>
</file>