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774" w:type="dxa"/>
        <w:jc w:val="center"/>
        <w:tblLook w:val="0000" w:firstRow="0" w:lastRow="0" w:firstColumn="0" w:lastColumn="0" w:noHBand="0" w:noVBand="0"/>
      </w:tblPr>
      <w:tblGrid>
        <w:gridCol w:w="243"/>
        <w:gridCol w:w="2608"/>
        <w:gridCol w:w="2201"/>
        <w:gridCol w:w="3666"/>
        <w:gridCol w:w="56"/>
      </w:tblGrid>
      <w:tr w:rsidR="005805C0" w:rsidRPr="00EA7EBD" w14:paraId="60923DFE" w14:textId="77777777" w:rsidTr="00E441BB">
        <w:trPr>
          <w:gridAfter w:val="1"/>
          <w:wAfter w:w="53" w:type="dxa"/>
          <w:trHeight w:hRule="exact" w:val="418"/>
          <w:jc w:val="center"/>
        </w:trPr>
        <w:tc>
          <w:tcPr>
            <w:tcW w:w="8721" w:type="dxa"/>
            <w:gridSpan w:val="4"/>
          </w:tcPr>
          <w:p w14:paraId="256CF8D1" w14:textId="77777777" w:rsidR="005805C0" w:rsidRPr="00EA7EBD" w:rsidRDefault="005805C0" w:rsidP="000D0665">
            <w:pPr>
              <w:pStyle w:val="a3"/>
              <w:jc w:val="center"/>
              <w:rPr>
                <w:rFonts w:ascii="Tahoma" w:hAnsi="Tahoma" w:cs="Tahoma"/>
                <w:color w:val="000080"/>
                <w:rtl/>
              </w:rPr>
            </w:pPr>
            <w:bookmarkStart w:id="0" w:name="FirstLawyer"/>
            <w:bookmarkStart w:id="1" w:name="LastJudge"/>
            <w:r w:rsidRPr="00EA7EBD">
              <w:rPr>
                <w:rFonts w:ascii="Tahoma" w:hAnsi="Tahoma" w:cs="Tahoma"/>
                <w:b/>
                <w:bCs/>
                <w:color w:val="000080"/>
                <w:rtl/>
              </w:rPr>
              <w:t>בית המשפט המחוזי בחיפה</w:t>
            </w:r>
          </w:p>
        </w:tc>
      </w:tr>
      <w:tr w:rsidR="005805C0" w:rsidRPr="00E441BB" w14:paraId="0A918ED2" w14:textId="77777777" w:rsidTr="00E441BB">
        <w:trPr>
          <w:gridAfter w:val="1"/>
          <w:wAfter w:w="53" w:type="dxa"/>
          <w:trHeight w:val="337"/>
          <w:jc w:val="center"/>
        </w:trPr>
        <w:tc>
          <w:tcPr>
            <w:tcW w:w="5054" w:type="dxa"/>
            <w:gridSpan w:val="3"/>
          </w:tcPr>
          <w:p w14:paraId="656131D5" w14:textId="77777777" w:rsidR="005805C0" w:rsidRPr="00E441BB" w:rsidRDefault="005805C0" w:rsidP="00E441BB">
            <w:pPr>
              <w:spacing w:before="120" w:after="120"/>
              <w:rPr>
                <w:rFonts w:ascii="David" w:hAnsi="David" w:hint="cs"/>
                <w:b/>
                <w:bCs/>
                <w:sz w:val="26"/>
                <w:szCs w:val="26"/>
                <w:rtl/>
              </w:rPr>
            </w:pPr>
            <w:r w:rsidRPr="00E441BB">
              <w:rPr>
                <w:rtl/>
              </w:rPr>
              <w:t>ת"פ 8864-08-18 מדינת ישראל נ' מולא</w:t>
            </w:r>
          </w:p>
        </w:tc>
        <w:tc>
          <w:tcPr>
            <w:tcW w:w="3667" w:type="dxa"/>
          </w:tcPr>
          <w:p w14:paraId="5CC19C2F" w14:textId="77777777" w:rsidR="005805C0" w:rsidRPr="00E441BB" w:rsidRDefault="005805C0" w:rsidP="00E441BB">
            <w:pPr>
              <w:pStyle w:val="a3"/>
              <w:spacing w:before="120" w:after="120"/>
              <w:jc w:val="right"/>
              <w:rPr>
                <w:rFonts w:ascii="David" w:hAnsi="David"/>
                <w:b/>
                <w:bCs/>
                <w:sz w:val="26"/>
                <w:szCs w:val="26"/>
                <w:rtl/>
              </w:rPr>
            </w:pPr>
          </w:p>
        </w:tc>
      </w:tr>
      <w:tr w:rsidR="005805C0" w:rsidRPr="00E441BB" w14:paraId="3AFE81AA" w14:textId="77777777" w:rsidTr="00E441BB">
        <w:tblPrEx>
          <w:jc w:val="left"/>
          <w:tblLook w:val="01E0" w:firstRow="1" w:lastRow="1" w:firstColumn="1" w:lastColumn="1" w:noHBand="0" w:noVBand="0"/>
        </w:tblPrEx>
        <w:trPr>
          <w:gridBefore w:val="1"/>
          <w:gridAfter w:val="1"/>
          <w:wBefore w:w="243" w:type="dxa"/>
          <w:wAfter w:w="56" w:type="dxa"/>
        </w:trPr>
        <w:tc>
          <w:tcPr>
            <w:tcW w:w="8475" w:type="dxa"/>
            <w:gridSpan w:val="3"/>
            <w:shd w:val="clear" w:color="auto" w:fill="auto"/>
          </w:tcPr>
          <w:p w14:paraId="0D20B64E" w14:textId="77777777" w:rsidR="005805C0" w:rsidRPr="00E441BB" w:rsidRDefault="005805C0" w:rsidP="00E441BB">
            <w:pPr>
              <w:spacing w:before="120" w:after="120"/>
              <w:rPr>
                <w:rFonts w:ascii="David" w:hAnsi="David"/>
                <w:b/>
                <w:bCs/>
                <w:sz w:val="26"/>
                <w:szCs w:val="26"/>
                <w:rtl/>
              </w:rPr>
            </w:pPr>
            <w:r w:rsidRPr="00E441BB">
              <w:rPr>
                <w:rFonts w:ascii="David" w:hAnsi="David"/>
                <w:b/>
                <w:bCs/>
                <w:sz w:val="26"/>
                <w:szCs w:val="26"/>
                <w:rtl/>
              </w:rPr>
              <w:t xml:space="preserve"> לפני כבוד השופט דניאל פיש</w:t>
            </w:r>
            <w:r w:rsidRPr="00E441BB">
              <w:rPr>
                <w:rStyle w:val="TimesNewRomanTimesNewRoman"/>
                <w:rFonts w:ascii="David" w:hAnsi="David"/>
                <w:rtl/>
              </w:rPr>
              <w:t xml:space="preserve"> </w:t>
            </w:r>
          </w:p>
        </w:tc>
      </w:tr>
      <w:tr w:rsidR="005805C0" w:rsidRPr="00E441BB" w14:paraId="0A67A443" w14:textId="77777777" w:rsidTr="00E441BB">
        <w:tblPrEx>
          <w:jc w:val="left"/>
          <w:tblLook w:val="01E0" w:firstRow="1" w:lastRow="1" w:firstColumn="1" w:lastColumn="1" w:noHBand="0" w:noVBand="0"/>
        </w:tblPrEx>
        <w:trPr>
          <w:gridBefore w:val="1"/>
          <w:wBefore w:w="243" w:type="dxa"/>
          <w:cantSplit/>
          <w:trHeight w:val="724"/>
        </w:trPr>
        <w:tc>
          <w:tcPr>
            <w:tcW w:w="2609" w:type="dxa"/>
            <w:shd w:val="clear" w:color="auto" w:fill="auto"/>
          </w:tcPr>
          <w:p w14:paraId="50C11A7E" w14:textId="77777777" w:rsidR="005805C0" w:rsidRPr="00E441BB" w:rsidRDefault="005805C0" w:rsidP="00E441BB">
            <w:pPr>
              <w:spacing w:before="120" w:after="120"/>
              <w:ind w:left="26"/>
              <w:rPr>
                <w:rFonts w:ascii="David" w:hAnsi="David"/>
                <w:b/>
                <w:bCs/>
                <w:sz w:val="26"/>
                <w:szCs w:val="26"/>
                <w:rtl/>
              </w:rPr>
            </w:pPr>
            <w:bookmarkStart w:id="2" w:name="FirstAppellant"/>
            <w:r w:rsidRPr="00E441BB">
              <w:rPr>
                <w:rFonts w:ascii="David" w:hAnsi="David"/>
                <w:b/>
                <w:bCs/>
                <w:sz w:val="26"/>
                <w:szCs w:val="26"/>
                <w:rtl/>
              </w:rPr>
              <w:t>המאשימה</w:t>
            </w:r>
          </w:p>
        </w:tc>
        <w:tc>
          <w:tcPr>
            <w:tcW w:w="5922" w:type="dxa"/>
            <w:gridSpan w:val="3"/>
            <w:shd w:val="clear" w:color="auto" w:fill="auto"/>
          </w:tcPr>
          <w:p w14:paraId="1B223568" w14:textId="77777777" w:rsidR="005805C0" w:rsidRPr="00E441BB" w:rsidRDefault="005805C0" w:rsidP="00E441BB">
            <w:pPr>
              <w:spacing w:before="120" w:after="120"/>
              <w:rPr>
                <w:rFonts w:ascii="David" w:hAnsi="David" w:hint="cs"/>
                <w:b/>
                <w:bCs/>
                <w:sz w:val="26"/>
                <w:szCs w:val="26"/>
                <w:rtl/>
              </w:rPr>
            </w:pPr>
            <w:r w:rsidRPr="00E441BB">
              <w:rPr>
                <w:rFonts w:ascii="David" w:hAnsi="David"/>
                <w:b/>
                <w:bCs/>
                <w:sz w:val="26"/>
                <w:szCs w:val="26"/>
                <w:rtl/>
              </w:rPr>
              <w:t xml:space="preserve"> מדינת ישראל</w:t>
            </w:r>
            <w:r w:rsidRPr="00E441BB">
              <w:rPr>
                <w:rFonts w:ascii="David" w:hAnsi="David"/>
                <w:b/>
                <w:bCs/>
                <w:sz w:val="26"/>
                <w:szCs w:val="26"/>
                <w:rtl/>
              </w:rPr>
              <w:br/>
              <w:t>ע"י ב"כ עו"ד קרן לביא – מחלקת חקירות שוטרים</w:t>
            </w:r>
          </w:p>
        </w:tc>
      </w:tr>
      <w:bookmarkEnd w:id="2"/>
      <w:tr w:rsidR="005805C0" w:rsidRPr="00E441BB" w14:paraId="5CE25CC1" w14:textId="77777777" w:rsidTr="00E441BB">
        <w:tblPrEx>
          <w:jc w:val="left"/>
          <w:tblLook w:val="01E0" w:firstRow="1" w:lastRow="1" w:firstColumn="1" w:lastColumn="1" w:noHBand="0" w:noVBand="0"/>
        </w:tblPrEx>
        <w:trPr>
          <w:gridBefore w:val="1"/>
          <w:wBefore w:w="243" w:type="dxa"/>
        </w:trPr>
        <w:tc>
          <w:tcPr>
            <w:tcW w:w="8531" w:type="dxa"/>
            <w:gridSpan w:val="4"/>
            <w:shd w:val="clear" w:color="auto" w:fill="auto"/>
            <w:vAlign w:val="center"/>
          </w:tcPr>
          <w:p w14:paraId="45154AC6" w14:textId="77777777" w:rsidR="005805C0" w:rsidRPr="00E441BB" w:rsidRDefault="005805C0" w:rsidP="00E441BB">
            <w:pPr>
              <w:spacing w:before="240" w:after="240"/>
              <w:jc w:val="center"/>
              <w:rPr>
                <w:rFonts w:ascii="David" w:hAnsi="David" w:hint="cs"/>
                <w:b/>
                <w:bCs/>
                <w:sz w:val="26"/>
                <w:szCs w:val="26"/>
                <w:rtl/>
              </w:rPr>
            </w:pPr>
            <w:r w:rsidRPr="00E441BB">
              <w:rPr>
                <w:rFonts w:ascii="David" w:hAnsi="David"/>
                <w:b/>
                <w:bCs/>
                <w:sz w:val="26"/>
                <w:szCs w:val="26"/>
                <w:rtl/>
              </w:rPr>
              <w:t>נגד</w:t>
            </w:r>
          </w:p>
        </w:tc>
      </w:tr>
      <w:tr w:rsidR="005805C0" w:rsidRPr="00E441BB" w14:paraId="11B55E08" w14:textId="77777777" w:rsidTr="00E441BB">
        <w:tblPrEx>
          <w:jc w:val="left"/>
          <w:tblLook w:val="01E0" w:firstRow="1" w:lastRow="1" w:firstColumn="1" w:lastColumn="1" w:noHBand="0" w:noVBand="0"/>
        </w:tblPrEx>
        <w:trPr>
          <w:gridBefore w:val="1"/>
          <w:wBefore w:w="243" w:type="dxa"/>
        </w:trPr>
        <w:tc>
          <w:tcPr>
            <w:tcW w:w="2609" w:type="dxa"/>
            <w:shd w:val="clear" w:color="auto" w:fill="auto"/>
          </w:tcPr>
          <w:p w14:paraId="730D353F" w14:textId="77777777" w:rsidR="005805C0" w:rsidRPr="00E441BB" w:rsidRDefault="005805C0" w:rsidP="00E441BB">
            <w:pPr>
              <w:spacing w:before="120" w:after="120"/>
              <w:ind w:left="26"/>
              <w:rPr>
                <w:rFonts w:ascii="David" w:hAnsi="David"/>
                <w:b/>
                <w:bCs/>
                <w:sz w:val="26"/>
                <w:szCs w:val="26"/>
              </w:rPr>
            </w:pPr>
            <w:r w:rsidRPr="00E441BB">
              <w:rPr>
                <w:rFonts w:ascii="David" w:hAnsi="David"/>
                <w:b/>
                <w:bCs/>
                <w:sz w:val="26"/>
                <w:szCs w:val="26"/>
                <w:rtl/>
              </w:rPr>
              <w:t>הנאשם</w:t>
            </w:r>
          </w:p>
        </w:tc>
        <w:tc>
          <w:tcPr>
            <w:tcW w:w="5922" w:type="dxa"/>
            <w:gridSpan w:val="3"/>
            <w:shd w:val="clear" w:color="auto" w:fill="auto"/>
          </w:tcPr>
          <w:p w14:paraId="5CC0A99F" w14:textId="77777777" w:rsidR="005805C0" w:rsidRPr="00E441BB" w:rsidRDefault="005805C0" w:rsidP="00E441BB">
            <w:pPr>
              <w:spacing w:before="120" w:after="120"/>
              <w:rPr>
                <w:rFonts w:ascii="David" w:hAnsi="David"/>
                <w:b/>
                <w:bCs/>
                <w:sz w:val="26"/>
                <w:szCs w:val="26"/>
                <w:rtl/>
              </w:rPr>
            </w:pPr>
            <w:r w:rsidRPr="00E441BB">
              <w:rPr>
                <w:rFonts w:ascii="David" w:hAnsi="David"/>
                <w:b/>
                <w:bCs/>
                <w:sz w:val="26"/>
                <w:szCs w:val="26"/>
                <w:rtl/>
              </w:rPr>
              <w:t xml:space="preserve"> עמיר מולא ת.ז.  </w:t>
            </w:r>
            <w:r w:rsidR="00EA7EBD" w:rsidRPr="00E441BB">
              <w:rPr>
                <w:rFonts w:ascii="David" w:hAnsi="David"/>
                <w:b/>
                <w:bCs/>
                <w:sz w:val="26"/>
                <w:szCs w:val="26"/>
              </w:rPr>
              <w:t>xxxxxxxxxx</w:t>
            </w:r>
          </w:p>
          <w:p w14:paraId="66381CCA" w14:textId="77777777" w:rsidR="005805C0" w:rsidRPr="00E441BB" w:rsidRDefault="005805C0" w:rsidP="00E441BB">
            <w:pPr>
              <w:spacing w:before="120" w:after="120"/>
              <w:rPr>
                <w:rFonts w:ascii="David" w:hAnsi="David" w:hint="cs"/>
                <w:b/>
                <w:bCs/>
                <w:sz w:val="26"/>
                <w:szCs w:val="26"/>
                <w:rtl/>
              </w:rPr>
            </w:pPr>
            <w:r w:rsidRPr="00E441BB">
              <w:rPr>
                <w:rFonts w:ascii="David" w:hAnsi="David"/>
                <w:b/>
                <w:bCs/>
                <w:sz w:val="26"/>
                <w:szCs w:val="26"/>
                <w:rtl/>
              </w:rPr>
              <w:t>ע"י ב"כ עו"ד עדאל דבאח</w:t>
            </w:r>
          </w:p>
        </w:tc>
      </w:tr>
    </w:tbl>
    <w:p w14:paraId="75E51AEA" w14:textId="77777777" w:rsidR="00A6439E" w:rsidRPr="00A6439E" w:rsidRDefault="00A6439E" w:rsidP="00A6439E">
      <w:pPr>
        <w:spacing w:after="120" w:line="240" w:lineRule="exact"/>
        <w:ind w:left="283" w:hanging="283"/>
        <w:jc w:val="both"/>
        <w:rPr>
          <w:rFonts w:ascii="FrankRuehl" w:hAnsi="FrankRuehl" w:cs="FrankRuehl"/>
          <w:rtl/>
        </w:rPr>
      </w:pPr>
      <w:bookmarkStart w:id="3" w:name="LawTable"/>
      <w:bookmarkEnd w:id="3"/>
    </w:p>
    <w:p w14:paraId="7146842E" w14:textId="77777777" w:rsidR="00A6439E" w:rsidRPr="00A6439E" w:rsidRDefault="00A6439E" w:rsidP="00A6439E">
      <w:pPr>
        <w:spacing w:after="120" w:line="240" w:lineRule="exact"/>
        <w:ind w:left="283" w:hanging="283"/>
        <w:jc w:val="both"/>
        <w:rPr>
          <w:rFonts w:ascii="FrankRuehl" w:hAnsi="FrankRuehl" w:cs="FrankRuehl"/>
          <w:rtl/>
        </w:rPr>
      </w:pPr>
      <w:r w:rsidRPr="00A6439E">
        <w:rPr>
          <w:rFonts w:ascii="FrankRuehl" w:hAnsi="FrankRuehl" w:cs="FrankRuehl"/>
          <w:rtl/>
        </w:rPr>
        <w:t xml:space="preserve">חקיקה שאוזכרה: </w:t>
      </w:r>
    </w:p>
    <w:p w14:paraId="3949DE9C" w14:textId="77777777" w:rsidR="00A6439E" w:rsidRPr="00A6439E" w:rsidRDefault="00A6439E" w:rsidP="00A6439E">
      <w:pPr>
        <w:spacing w:after="120" w:line="240" w:lineRule="exact"/>
        <w:ind w:left="283" w:hanging="283"/>
        <w:jc w:val="both"/>
        <w:rPr>
          <w:rFonts w:ascii="FrankRuehl" w:hAnsi="FrankRuehl" w:cs="FrankRuehl"/>
          <w:rtl/>
        </w:rPr>
      </w:pPr>
      <w:hyperlink r:id="rId7" w:history="1">
        <w:r w:rsidRPr="00A6439E">
          <w:rPr>
            <w:rFonts w:ascii="FrankRuehl" w:hAnsi="FrankRuehl" w:cs="FrankRuehl"/>
            <w:color w:val="0000FF"/>
            <w:u w:val="single"/>
            <w:rtl/>
          </w:rPr>
          <w:t>חוק העונשין, תשל"ז-1977</w:t>
        </w:r>
      </w:hyperlink>
      <w:r w:rsidRPr="00A6439E">
        <w:rPr>
          <w:rFonts w:ascii="FrankRuehl" w:hAnsi="FrankRuehl" w:cs="FrankRuehl"/>
          <w:rtl/>
        </w:rPr>
        <w:t xml:space="preserve">: סע'  </w:t>
      </w:r>
      <w:hyperlink r:id="rId8" w:history="1">
        <w:r w:rsidRPr="00A6439E">
          <w:rPr>
            <w:rFonts w:ascii="FrankRuehl" w:hAnsi="FrankRuehl" w:cs="FrankRuehl"/>
            <w:color w:val="0000FF"/>
            <w:u w:val="single"/>
            <w:rtl/>
          </w:rPr>
          <w:t>144(ב)</w:t>
        </w:r>
      </w:hyperlink>
      <w:r w:rsidRPr="00A6439E">
        <w:rPr>
          <w:rFonts w:ascii="FrankRuehl" w:hAnsi="FrankRuehl" w:cs="FrankRuehl"/>
          <w:rtl/>
        </w:rPr>
        <w:t xml:space="preserve">, </w:t>
      </w:r>
      <w:hyperlink r:id="rId9" w:history="1">
        <w:r w:rsidRPr="00A6439E">
          <w:rPr>
            <w:rFonts w:ascii="FrankRuehl" w:hAnsi="FrankRuehl" w:cs="FrankRuehl"/>
            <w:color w:val="0000FF"/>
            <w:u w:val="single"/>
            <w:rtl/>
          </w:rPr>
          <w:t>144(ב2)(</w:t>
        </w:r>
      </w:hyperlink>
      <w:r w:rsidRPr="00A6439E">
        <w:rPr>
          <w:rFonts w:ascii="FrankRuehl" w:hAnsi="FrankRuehl" w:cs="FrankRuehl"/>
          <w:rtl/>
        </w:rPr>
        <w:t xml:space="preserve">, </w:t>
      </w:r>
      <w:hyperlink r:id="rId10" w:history="1">
        <w:r w:rsidRPr="00A6439E">
          <w:rPr>
            <w:rFonts w:ascii="FrankRuehl" w:hAnsi="FrankRuehl" w:cs="FrankRuehl"/>
            <w:color w:val="0000FF"/>
            <w:u w:val="single"/>
            <w:rtl/>
          </w:rPr>
          <w:t>338(א)(5)</w:t>
        </w:r>
      </w:hyperlink>
      <w:r w:rsidRPr="00A6439E">
        <w:rPr>
          <w:rFonts w:ascii="FrankRuehl" w:hAnsi="FrankRuehl" w:cs="FrankRuehl"/>
          <w:rtl/>
        </w:rPr>
        <w:t xml:space="preserve">, </w:t>
      </w:r>
      <w:hyperlink r:id="rId11" w:history="1">
        <w:r w:rsidRPr="00A6439E">
          <w:rPr>
            <w:rFonts w:ascii="FrankRuehl" w:hAnsi="FrankRuehl" w:cs="FrankRuehl"/>
            <w:color w:val="0000FF"/>
            <w:u w:val="single"/>
            <w:rtl/>
          </w:rPr>
          <w:t>340א</w:t>
        </w:r>
      </w:hyperlink>
      <w:r w:rsidRPr="00A6439E">
        <w:rPr>
          <w:rFonts w:ascii="FrankRuehl" w:hAnsi="FrankRuehl" w:cs="FrankRuehl"/>
          <w:rtl/>
        </w:rPr>
        <w:t xml:space="preserve">, </w:t>
      </w:r>
      <w:hyperlink r:id="rId12" w:history="1">
        <w:r w:rsidRPr="00A6439E">
          <w:rPr>
            <w:rFonts w:ascii="FrankRuehl" w:hAnsi="FrankRuehl" w:cs="FrankRuehl"/>
            <w:color w:val="0000FF"/>
            <w:u w:val="single"/>
            <w:rtl/>
          </w:rPr>
          <w:t>384</w:t>
        </w:r>
      </w:hyperlink>
    </w:p>
    <w:p w14:paraId="61EDD0ED" w14:textId="77777777" w:rsidR="00A6439E" w:rsidRPr="00A6439E" w:rsidRDefault="00A6439E" w:rsidP="00A6439E">
      <w:pPr>
        <w:spacing w:after="120" w:line="240" w:lineRule="exact"/>
        <w:ind w:left="283" w:hanging="283"/>
        <w:jc w:val="both"/>
        <w:rPr>
          <w:rFonts w:ascii="FrankRuehl" w:hAnsi="FrankRuehl" w:cs="FrankRuehl"/>
          <w:rtl/>
        </w:rPr>
      </w:pPr>
      <w:hyperlink r:id="rId13" w:history="1">
        <w:r w:rsidRPr="00A6439E">
          <w:rPr>
            <w:rFonts w:ascii="FrankRuehl" w:hAnsi="FrankRuehl" w:cs="FrankRuehl"/>
            <w:color w:val="0000FF"/>
            <w:u w:val="single"/>
            <w:rtl/>
          </w:rPr>
          <w:t>פקודת הסמים המסוכנים [נוסח חדש], תשל"ג-1973</w:t>
        </w:r>
      </w:hyperlink>
      <w:r w:rsidRPr="00A6439E">
        <w:rPr>
          <w:rFonts w:ascii="FrankRuehl" w:hAnsi="FrankRuehl" w:cs="FrankRuehl"/>
          <w:rtl/>
        </w:rPr>
        <w:t xml:space="preserve">: סע'  </w:t>
      </w:r>
      <w:hyperlink r:id="rId14" w:history="1">
        <w:r w:rsidRPr="00A6439E">
          <w:rPr>
            <w:rFonts w:ascii="FrankRuehl" w:hAnsi="FrankRuehl" w:cs="FrankRuehl"/>
            <w:color w:val="0000FF"/>
            <w:u w:val="single"/>
            <w:rtl/>
          </w:rPr>
          <w:t>6</w:t>
        </w:r>
      </w:hyperlink>
      <w:r w:rsidRPr="00A6439E">
        <w:rPr>
          <w:rFonts w:ascii="FrankRuehl" w:hAnsi="FrankRuehl" w:cs="FrankRuehl"/>
          <w:rtl/>
        </w:rPr>
        <w:t xml:space="preserve">, </w:t>
      </w:r>
      <w:hyperlink r:id="rId15" w:history="1">
        <w:r w:rsidRPr="00A6439E">
          <w:rPr>
            <w:rFonts w:ascii="FrankRuehl" w:hAnsi="FrankRuehl" w:cs="FrankRuehl"/>
            <w:color w:val="0000FF"/>
            <w:u w:val="single"/>
            <w:rtl/>
          </w:rPr>
          <w:t>7(ג)</w:t>
        </w:r>
      </w:hyperlink>
      <w:r w:rsidRPr="00A6439E">
        <w:rPr>
          <w:rFonts w:ascii="FrankRuehl" w:hAnsi="FrankRuehl" w:cs="FrankRuehl"/>
          <w:rtl/>
        </w:rPr>
        <w:t xml:space="preserve">, </w:t>
      </w:r>
      <w:hyperlink r:id="rId16" w:history="1">
        <w:r w:rsidRPr="00A6439E">
          <w:rPr>
            <w:rFonts w:ascii="FrankRuehl" w:hAnsi="FrankRuehl" w:cs="FrankRuehl"/>
            <w:color w:val="0000FF"/>
            <w:u w:val="single"/>
            <w:rtl/>
          </w:rPr>
          <w:t>14</w:t>
        </w:r>
      </w:hyperlink>
      <w:r w:rsidRPr="00A6439E">
        <w:rPr>
          <w:rFonts w:ascii="FrankRuehl" w:hAnsi="FrankRuehl" w:cs="FrankRuehl"/>
          <w:rtl/>
        </w:rPr>
        <w:t xml:space="preserve">, </w:t>
      </w:r>
      <w:hyperlink r:id="rId17" w:history="1">
        <w:r w:rsidRPr="00A6439E">
          <w:rPr>
            <w:rFonts w:ascii="FrankRuehl" w:hAnsi="FrankRuehl" w:cs="FrankRuehl"/>
            <w:color w:val="0000FF"/>
            <w:u w:val="single"/>
            <w:rtl/>
          </w:rPr>
          <w:t>19</w:t>
        </w:r>
      </w:hyperlink>
    </w:p>
    <w:p w14:paraId="7B74EE28" w14:textId="77777777" w:rsidR="003B6C58" w:rsidRDefault="003B6C58" w:rsidP="003B6C58">
      <w:pPr>
        <w:spacing w:after="120" w:line="240" w:lineRule="exact"/>
        <w:ind w:left="283" w:hanging="283"/>
        <w:jc w:val="both"/>
        <w:rPr>
          <w:rFonts w:ascii="FrankRuehl" w:hAnsi="FrankRuehl" w:cs="FrankRuehl" w:hint="cs"/>
          <w:rtl/>
        </w:rPr>
      </w:pPr>
      <w:bookmarkStart w:id="4" w:name="LawTable_End"/>
      <w:bookmarkEnd w:id="4"/>
    </w:p>
    <w:p w14:paraId="4FE18179" w14:textId="77777777" w:rsidR="00832CE2" w:rsidRDefault="00832CE2" w:rsidP="00832CE2">
      <w:pPr>
        <w:pBdr>
          <w:top w:val="single" w:sz="4" w:space="1" w:color="auto"/>
          <w:bottom w:val="single" w:sz="4" w:space="1" w:color="auto"/>
        </w:pBdr>
        <w:spacing w:after="120" w:line="320" w:lineRule="exact"/>
        <w:jc w:val="both"/>
        <w:rPr>
          <w:rFonts w:cs="FrankRuehl"/>
          <w:szCs w:val="26"/>
          <w:rtl/>
        </w:rPr>
      </w:pPr>
      <w:bookmarkStart w:id="5" w:name="ABSTRACT_START"/>
      <w:bookmarkEnd w:id="5"/>
      <w:r>
        <w:rPr>
          <w:rFonts w:cs="FrankRuehl"/>
          <w:szCs w:val="26"/>
          <w:rtl/>
        </w:rPr>
        <w:t>מיני-רציו:</w:t>
      </w:r>
    </w:p>
    <w:p w14:paraId="1930CC10" w14:textId="77777777" w:rsidR="00832CE2" w:rsidRPr="00832CE2" w:rsidRDefault="00832CE2" w:rsidP="00832CE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832CE2">
        <w:rPr>
          <w:rFonts w:cs="FrankRuehl" w:hint="cs"/>
          <w:szCs w:val="26"/>
          <w:rtl/>
        </w:rPr>
        <w:t>בית המשפט גזר את דינו של שוטר מג"ב שהורשע בעבירות גניבה, נשק וסמים והשית עליו 12 חודשי מאסר בפועל, 12 חודשי מאסר על תנאי וקנס בסך 2500 ₪.</w:t>
      </w:r>
    </w:p>
    <w:p w14:paraId="001131C5" w14:textId="77777777" w:rsidR="00832CE2" w:rsidRDefault="00832CE2" w:rsidP="00832CE2">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2EAF0FA2" w14:textId="77777777" w:rsidR="00832CE2" w:rsidRDefault="00832CE2" w:rsidP="00832CE2">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0CF7951E" w14:textId="77777777" w:rsidR="00832CE2" w:rsidRDefault="00832CE2" w:rsidP="00832CE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1206A28" w14:textId="77777777" w:rsidR="00832CE2" w:rsidRPr="00832CE2" w:rsidRDefault="00832CE2" w:rsidP="00832CE2">
      <w:pPr>
        <w:pBdr>
          <w:top w:val="single" w:sz="4" w:space="1" w:color="auto"/>
          <w:bottom w:val="single" w:sz="4" w:space="1" w:color="auto"/>
        </w:pBdr>
        <w:spacing w:after="120" w:line="320" w:lineRule="exact"/>
        <w:jc w:val="both"/>
        <w:rPr>
          <w:rFonts w:cs="FrankRuehl" w:hint="cs"/>
          <w:szCs w:val="26"/>
          <w:rtl/>
        </w:rPr>
      </w:pPr>
      <w:r w:rsidRPr="00832CE2">
        <w:rPr>
          <w:rFonts w:cs="FrankRuehl" w:hint="cs"/>
          <w:szCs w:val="26"/>
          <w:rtl/>
        </w:rPr>
        <w:t>הנאשם הורשע בעבירות גניבה; נשיאה והובלה של נשק; עשיית עסקה בנשק; ייצוא הכנה והפקה של סם מסוכן; תיווך לעסקה בסם מסוכן; שימוש בסם מסוכן לצריכה עצמית, מעשה פזיזות ורשלנות בנשק וירי בשטח עירוני. כל זאת בהיותו שוטר מג"ב.</w:t>
      </w:r>
    </w:p>
    <w:p w14:paraId="2395343C" w14:textId="77777777" w:rsidR="00832CE2" w:rsidRDefault="00832CE2" w:rsidP="00832CE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E01A203" w14:textId="77777777" w:rsidR="00832CE2" w:rsidRPr="00832CE2" w:rsidRDefault="00832CE2" w:rsidP="00832CE2">
      <w:pPr>
        <w:pBdr>
          <w:top w:val="single" w:sz="4" w:space="1" w:color="auto"/>
          <w:bottom w:val="single" w:sz="4" w:space="1" w:color="auto"/>
        </w:pBdr>
        <w:spacing w:after="120" w:line="320" w:lineRule="exact"/>
        <w:jc w:val="both"/>
        <w:rPr>
          <w:rFonts w:cs="FrankRuehl" w:hint="cs"/>
          <w:szCs w:val="26"/>
          <w:rtl/>
        </w:rPr>
      </w:pPr>
      <w:r w:rsidRPr="00832CE2">
        <w:rPr>
          <w:rFonts w:cs="FrankRuehl"/>
          <w:szCs w:val="26"/>
          <w:rtl/>
        </w:rPr>
        <w:t>בית המשפט המחוזי</w:t>
      </w:r>
      <w:r w:rsidRPr="00832CE2">
        <w:rPr>
          <w:rFonts w:cs="FrankRuehl" w:hint="cs"/>
          <w:szCs w:val="26"/>
          <w:rtl/>
        </w:rPr>
        <w:t xml:space="preserve"> גזר את הדין כדלהלן:</w:t>
      </w:r>
    </w:p>
    <w:p w14:paraId="0FB11A1F" w14:textId="77777777" w:rsidR="00832CE2" w:rsidRPr="00832CE2" w:rsidRDefault="00832CE2" w:rsidP="00832CE2">
      <w:pPr>
        <w:pBdr>
          <w:top w:val="single" w:sz="4" w:space="1" w:color="auto"/>
          <w:bottom w:val="single" w:sz="4" w:space="1" w:color="auto"/>
        </w:pBdr>
        <w:spacing w:after="120" w:line="320" w:lineRule="exact"/>
        <w:jc w:val="both"/>
        <w:rPr>
          <w:rFonts w:cs="FrankRuehl" w:hint="cs"/>
          <w:szCs w:val="26"/>
          <w:rtl/>
        </w:rPr>
      </w:pPr>
      <w:r w:rsidRPr="00832CE2">
        <w:rPr>
          <w:rFonts w:cs="FrankRuehl" w:hint="cs"/>
          <w:szCs w:val="26"/>
          <w:rtl/>
        </w:rPr>
        <w:t>בעבירות הנשק קיים מנעד רחב ביחס למתחם הענישה, שיכול לנוע בין מאסר לריצוי בעבודות שירות לבין מספר שנות מאסר בפועל. ביחס לעבירות הסמים, מתחם הענישה נע בין של"צ לבין מאסר על תנאי. ביחס לעבירות הירי מתחם הענישה נע בין של"צ לבין חודשי מאסר ספורים. המקרה דנן מתאים לקביעת מתחם כולל לכל העבירות והוא נע בין 9 חודשי מאסר בפועל לבין 3 שנות מאסר בפועל. באשר לקביעת העונש בתוך המתחם יש לקחת בחשבון שהנאשם הודה במרבית העבירות ולא הודה בעסקת הסחר כיוון שלא ראה את הנסיבות ככאלה שהצביעו על תשלום. בהתחשב בשיקולים השונים הוטלו על הנאשם 12 חודשי מאסר בפועל, 12 חודשי מאסר על תנאי וקנס בסך 2500 ₪.</w:t>
      </w:r>
    </w:p>
    <w:p w14:paraId="1843C040" w14:textId="77777777" w:rsidR="00832CE2" w:rsidRDefault="00832CE2" w:rsidP="003B6C58">
      <w:pPr>
        <w:spacing w:after="120" w:line="240" w:lineRule="exact"/>
        <w:ind w:left="283" w:hanging="283"/>
        <w:jc w:val="both"/>
        <w:rPr>
          <w:rFonts w:ascii="FrankRuehl" w:hAnsi="FrankRuehl" w:cs="FrankRueh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05C0" w14:paraId="153D5B94" w14:textId="77777777" w:rsidTr="005805C0">
        <w:trPr>
          <w:trHeight w:val="355"/>
          <w:jc w:val="center"/>
        </w:trPr>
        <w:tc>
          <w:tcPr>
            <w:tcW w:w="8820" w:type="dxa"/>
            <w:tcBorders>
              <w:top w:val="nil"/>
              <w:left w:val="nil"/>
              <w:bottom w:val="nil"/>
              <w:right w:val="nil"/>
            </w:tcBorders>
            <w:shd w:val="clear" w:color="auto" w:fill="auto"/>
          </w:tcPr>
          <w:p w14:paraId="7A33186F" w14:textId="77777777" w:rsidR="005805C0" w:rsidRPr="00EA7EBD" w:rsidRDefault="00EA7EBD" w:rsidP="00EA7EBD">
            <w:pPr>
              <w:jc w:val="center"/>
              <w:rPr>
                <w:rFonts w:ascii="Arial" w:hAnsi="Arial" w:cs="FrankRuehl"/>
                <w:bCs/>
                <w:sz w:val="32"/>
                <w:szCs w:val="32"/>
                <w:u w:val="single"/>
                <w:rtl/>
              </w:rPr>
            </w:pPr>
            <w:bookmarkStart w:id="7" w:name="PsakDin" w:colFirst="0" w:colLast="0"/>
            <w:bookmarkEnd w:id="0"/>
            <w:bookmarkEnd w:id="1"/>
            <w:r w:rsidRPr="00EA7EBD">
              <w:rPr>
                <w:rFonts w:ascii="Arial" w:hAnsi="Arial" w:cs="FrankRuehl"/>
                <w:b/>
                <w:bCs/>
                <w:sz w:val="32"/>
                <w:szCs w:val="32"/>
                <w:u w:val="single"/>
                <w:rtl/>
              </w:rPr>
              <w:t>גזר דין</w:t>
            </w:r>
          </w:p>
        </w:tc>
      </w:tr>
      <w:bookmarkEnd w:id="7"/>
    </w:tbl>
    <w:p w14:paraId="6DEEFCFA" w14:textId="77777777" w:rsidR="005805C0" w:rsidRPr="00B05847" w:rsidRDefault="005805C0" w:rsidP="005805C0">
      <w:pPr>
        <w:rPr>
          <w:rFonts w:ascii="Arial" w:hAnsi="Arial"/>
          <w:rtl/>
        </w:rPr>
      </w:pPr>
    </w:p>
    <w:p w14:paraId="046BF637" w14:textId="77777777" w:rsidR="005805C0" w:rsidRDefault="005805C0" w:rsidP="005805C0">
      <w:pPr>
        <w:pStyle w:val="ListParagraph"/>
        <w:numPr>
          <w:ilvl w:val="0"/>
          <w:numId w:val="1"/>
        </w:numPr>
        <w:spacing w:line="360" w:lineRule="auto"/>
        <w:ind w:left="567" w:hanging="851"/>
        <w:jc w:val="both"/>
        <w:rPr>
          <w:rtl/>
        </w:rPr>
      </w:pPr>
      <w:r>
        <w:rPr>
          <w:rFonts w:hint="cs"/>
          <w:rtl/>
        </w:rPr>
        <w:t xml:space="preserve">הנאשם הורשע לאחר ניהול הליך בעבירות גניבה לפי </w:t>
      </w:r>
      <w:hyperlink r:id="rId18" w:history="1">
        <w:r w:rsidR="003B6C58" w:rsidRPr="003B6C58">
          <w:rPr>
            <w:color w:val="0000FF"/>
            <w:u w:val="single"/>
            <w:rtl/>
          </w:rPr>
          <w:t>סעיף 384</w:t>
        </w:r>
      </w:hyperlink>
      <w:r>
        <w:rPr>
          <w:rFonts w:hint="cs"/>
          <w:rtl/>
        </w:rPr>
        <w:t xml:space="preserve"> ל</w:t>
      </w:r>
      <w:hyperlink r:id="rId19" w:history="1">
        <w:r w:rsidR="00EA7EBD" w:rsidRPr="00EA7EBD">
          <w:rPr>
            <w:color w:val="0000FF"/>
            <w:u w:val="single"/>
            <w:rtl/>
          </w:rPr>
          <w:t>חוק העונשין</w:t>
        </w:r>
      </w:hyperlink>
      <w:r>
        <w:rPr>
          <w:rFonts w:hint="cs"/>
          <w:rtl/>
        </w:rPr>
        <w:t xml:space="preserve">; נשיאה והובלה של נשק לפי </w:t>
      </w:r>
      <w:hyperlink r:id="rId20" w:history="1">
        <w:r w:rsidR="003B6C58" w:rsidRPr="003B6C58">
          <w:rPr>
            <w:color w:val="0000FF"/>
            <w:u w:val="single"/>
            <w:rtl/>
          </w:rPr>
          <w:t>סעיף 144(ב)</w:t>
        </w:r>
      </w:hyperlink>
      <w:r>
        <w:rPr>
          <w:rFonts w:hint="cs"/>
          <w:rtl/>
        </w:rPr>
        <w:t xml:space="preserve"> לחוק (אישום ראשון); עשיית עסקה בנשק לפי סעיף </w:t>
      </w:r>
      <w:hyperlink r:id="rId21" w:history="1">
        <w:r w:rsidR="003B6C58" w:rsidRPr="003B6C58">
          <w:rPr>
            <w:color w:val="0000FF"/>
            <w:u w:val="single"/>
            <w:rtl/>
          </w:rPr>
          <w:t>144(ב2)(</w:t>
        </w:r>
      </w:hyperlink>
      <w:r>
        <w:rPr>
          <w:rFonts w:hint="cs"/>
          <w:rtl/>
        </w:rPr>
        <w:t xml:space="preserve">אישום שני); ייצוא הכנה והפקה של סם מסוכן לפי </w:t>
      </w:r>
      <w:hyperlink r:id="rId22" w:history="1">
        <w:r w:rsidR="003B6C58" w:rsidRPr="003B6C58">
          <w:rPr>
            <w:color w:val="0000FF"/>
            <w:u w:val="single"/>
            <w:rtl/>
          </w:rPr>
          <w:t>סעיף 6</w:t>
        </w:r>
      </w:hyperlink>
      <w:r>
        <w:rPr>
          <w:rFonts w:hint="cs"/>
          <w:rtl/>
        </w:rPr>
        <w:t xml:space="preserve"> ל</w:t>
      </w:r>
      <w:hyperlink r:id="rId23" w:history="1">
        <w:r w:rsidR="00EA7EBD" w:rsidRPr="00EA7EBD">
          <w:rPr>
            <w:color w:val="0000FF"/>
            <w:u w:val="single"/>
            <w:rtl/>
          </w:rPr>
          <w:t>פקודת הסמים המסוכנים</w:t>
        </w:r>
      </w:hyperlink>
      <w:r>
        <w:rPr>
          <w:rFonts w:hint="cs"/>
          <w:rtl/>
        </w:rPr>
        <w:t xml:space="preserve">, תיווך לעסקה בסם מסוכן לפי סעיפים </w:t>
      </w:r>
      <w:hyperlink r:id="rId24" w:history="1">
        <w:r w:rsidR="003B6C58" w:rsidRPr="003B6C58">
          <w:rPr>
            <w:color w:val="0000FF"/>
            <w:u w:val="single"/>
            <w:rtl/>
          </w:rPr>
          <w:t>14+ 19</w:t>
        </w:r>
      </w:hyperlink>
      <w:r>
        <w:rPr>
          <w:rFonts w:hint="cs"/>
          <w:rtl/>
        </w:rPr>
        <w:t xml:space="preserve"> לפקודה ושימוש בסם מסוכן לצריכה עצמית לפי </w:t>
      </w:r>
      <w:hyperlink r:id="rId25" w:history="1">
        <w:r w:rsidR="003B6C58" w:rsidRPr="003B6C58">
          <w:rPr>
            <w:color w:val="0000FF"/>
            <w:u w:val="single"/>
            <w:rtl/>
          </w:rPr>
          <w:t>סעיף 7(ג)</w:t>
        </w:r>
      </w:hyperlink>
      <w:r>
        <w:rPr>
          <w:rFonts w:hint="cs"/>
          <w:rtl/>
        </w:rPr>
        <w:t xml:space="preserve"> סיפא לפקודה (אישום שלישי) ומעשה פזיזות ורשלנות בנשק לפי </w:t>
      </w:r>
      <w:hyperlink r:id="rId26" w:history="1">
        <w:r w:rsidR="003B6C58" w:rsidRPr="003B6C58">
          <w:rPr>
            <w:color w:val="0000FF"/>
            <w:u w:val="single"/>
            <w:rtl/>
          </w:rPr>
          <w:t>סעיף 338(א)(5)</w:t>
        </w:r>
      </w:hyperlink>
      <w:r>
        <w:rPr>
          <w:rFonts w:hint="cs"/>
          <w:rtl/>
        </w:rPr>
        <w:t xml:space="preserve"> לחוק העונשין וירי בשטח עירוני לפי </w:t>
      </w:r>
      <w:hyperlink r:id="rId27" w:history="1">
        <w:r w:rsidR="003B6C58" w:rsidRPr="003B6C58">
          <w:rPr>
            <w:color w:val="0000FF"/>
            <w:u w:val="single"/>
            <w:rtl/>
          </w:rPr>
          <w:t>סעיף 340א</w:t>
        </w:r>
      </w:hyperlink>
      <w:r>
        <w:rPr>
          <w:rFonts w:hint="cs"/>
          <w:rtl/>
        </w:rPr>
        <w:t xml:space="preserve"> לחוק. </w:t>
      </w:r>
    </w:p>
    <w:p w14:paraId="3CD144F7" w14:textId="77777777" w:rsidR="005805C0" w:rsidRDefault="005805C0" w:rsidP="005805C0">
      <w:pPr>
        <w:spacing w:line="360" w:lineRule="auto"/>
        <w:jc w:val="both"/>
        <w:rPr>
          <w:rtl/>
        </w:rPr>
      </w:pPr>
    </w:p>
    <w:p w14:paraId="434F9F48" w14:textId="77777777" w:rsidR="005805C0" w:rsidRDefault="005805C0" w:rsidP="005805C0">
      <w:pPr>
        <w:pStyle w:val="ListParagraph"/>
        <w:numPr>
          <w:ilvl w:val="0"/>
          <w:numId w:val="1"/>
        </w:numPr>
        <w:spacing w:line="360" w:lineRule="auto"/>
        <w:ind w:left="567" w:hanging="992"/>
        <w:jc w:val="both"/>
        <w:rPr>
          <w:rtl/>
        </w:rPr>
      </w:pPr>
      <w:r>
        <w:rPr>
          <w:rFonts w:hint="cs"/>
          <w:rtl/>
        </w:rPr>
        <w:t>כל המעשים נעשו כאשר הנאשם היה שוטר בפלוגת מג"ב ושירת באיו"ש ופורטו בהכרעת הדין.  יצוין עוד  שהנאשם הודה בשלב הסיכומים באישום הראשון, השלישי והרביעי והכרעת הדין התייחסה הלכה למעשה לאישום השני בלבד.</w:t>
      </w:r>
    </w:p>
    <w:p w14:paraId="609E680B" w14:textId="77777777" w:rsidR="005805C0" w:rsidRDefault="005805C0" w:rsidP="005805C0">
      <w:pPr>
        <w:spacing w:line="360" w:lineRule="auto"/>
        <w:jc w:val="both"/>
        <w:rPr>
          <w:rtl/>
        </w:rPr>
      </w:pPr>
    </w:p>
    <w:p w14:paraId="380A5480" w14:textId="77777777" w:rsidR="005805C0" w:rsidRPr="000C5D81" w:rsidRDefault="005805C0" w:rsidP="005805C0">
      <w:pPr>
        <w:spacing w:line="360" w:lineRule="auto"/>
        <w:jc w:val="both"/>
        <w:rPr>
          <w:b/>
          <w:bCs/>
          <w:u w:val="single"/>
          <w:rtl/>
        </w:rPr>
      </w:pPr>
      <w:r>
        <w:rPr>
          <w:rFonts w:hint="cs"/>
          <w:b/>
          <w:bCs/>
          <w:u w:val="single"/>
          <w:rtl/>
        </w:rPr>
        <w:t>טיעוני ה</w:t>
      </w:r>
      <w:r w:rsidRPr="000C5D81">
        <w:rPr>
          <w:rFonts w:hint="cs"/>
          <w:b/>
          <w:bCs/>
          <w:u w:val="single"/>
          <w:rtl/>
        </w:rPr>
        <w:t>מדינה לעניין העונש</w:t>
      </w:r>
    </w:p>
    <w:p w14:paraId="7F58788E" w14:textId="77777777" w:rsidR="005805C0" w:rsidRDefault="005805C0" w:rsidP="005805C0">
      <w:pPr>
        <w:rPr>
          <w:rtl/>
        </w:rPr>
      </w:pPr>
    </w:p>
    <w:p w14:paraId="0015D96C" w14:textId="77777777" w:rsidR="005805C0" w:rsidRDefault="005805C0" w:rsidP="005805C0">
      <w:pPr>
        <w:pStyle w:val="ListParagraph"/>
        <w:numPr>
          <w:ilvl w:val="0"/>
          <w:numId w:val="1"/>
        </w:numPr>
        <w:spacing w:line="360" w:lineRule="auto"/>
        <w:ind w:left="567" w:hanging="993"/>
        <w:jc w:val="both"/>
        <w:rPr>
          <w:rtl/>
        </w:rPr>
      </w:pPr>
      <w:r>
        <w:rPr>
          <w:rFonts w:hint="cs"/>
          <w:rtl/>
        </w:rPr>
        <w:t xml:space="preserve">המדינה טענה שמדובר במקרה חמור בו הנאשם, שהיה שוטר מג"ב, ניצל נגישותו הרבה לאמל"ח בגזרה מבצעית ואת תפקידו ומעמדו כמי ששימש כנהג חפ"ק המג"ד ברכב המג"ד ונחשב לבני המעגל הקרוב אליו, על מנת לגנוב באין מפריע רימוני הלם ורימון גז ובהמשך למכור אותם לאחר. </w:t>
      </w:r>
    </w:p>
    <w:p w14:paraId="6142C532" w14:textId="77777777" w:rsidR="005805C0" w:rsidRDefault="005805C0" w:rsidP="005805C0">
      <w:pPr>
        <w:spacing w:line="360" w:lineRule="auto"/>
        <w:jc w:val="both"/>
        <w:rPr>
          <w:rtl/>
        </w:rPr>
      </w:pPr>
    </w:p>
    <w:p w14:paraId="5993FB83" w14:textId="77777777" w:rsidR="005805C0" w:rsidRDefault="005805C0" w:rsidP="00E441BB">
      <w:pPr>
        <w:spacing w:line="360" w:lineRule="auto"/>
        <w:ind w:left="567"/>
        <w:jc w:val="both"/>
        <w:rPr>
          <w:rtl/>
        </w:rPr>
      </w:pPr>
      <w:r>
        <w:rPr>
          <w:rFonts w:hint="cs"/>
          <w:rtl/>
        </w:rPr>
        <w:t>המדינה הדגישה את החומרה שמייחסת הפסיקה לעבירות נשק (</w:t>
      </w:r>
      <w:hyperlink r:id="rId28" w:history="1">
        <w:r w:rsidR="00EA7EBD" w:rsidRPr="00EA7EBD">
          <w:rPr>
            <w:color w:val="0000FF"/>
            <w:u w:val="single"/>
            <w:rtl/>
          </w:rPr>
          <w:t>ע"פ 2251/11</w:t>
        </w:r>
      </w:hyperlink>
      <w:r>
        <w:rPr>
          <w:rFonts w:hint="cs"/>
          <w:rtl/>
        </w:rPr>
        <w:t xml:space="preserve"> </w:t>
      </w:r>
      <w:r w:rsidRPr="00B62904">
        <w:rPr>
          <w:rFonts w:hint="cs"/>
          <w:b/>
          <w:bCs/>
          <w:rtl/>
        </w:rPr>
        <w:t>נפאע נ' מדינת ישראל</w:t>
      </w:r>
      <w:r>
        <w:rPr>
          <w:rFonts w:hint="cs"/>
          <w:rtl/>
        </w:rPr>
        <w:t xml:space="preserve"> </w:t>
      </w:r>
      <w:r w:rsidR="00E441BB" w:rsidRPr="00E441BB">
        <w:rPr>
          <w:sz w:val="22"/>
          <w:rtl/>
        </w:rPr>
        <w:t xml:space="preserve">[פורסם בנבו] </w:t>
      </w:r>
      <w:r>
        <w:rPr>
          <w:rFonts w:hint="cs"/>
          <w:rtl/>
        </w:rPr>
        <w:t>ו</w:t>
      </w:r>
      <w:hyperlink r:id="rId29" w:history="1">
        <w:r w:rsidR="00EA7EBD" w:rsidRPr="00EA7EBD">
          <w:rPr>
            <w:color w:val="0000FF"/>
            <w:u w:val="single"/>
            <w:rtl/>
          </w:rPr>
          <w:t>ע"פ 4154/16</w:t>
        </w:r>
      </w:hyperlink>
      <w:r>
        <w:rPr>
          <w:rFonts w:hint="cs"/>
          <w:rtl/>
        </w:rPr>
        <w:t xml:space="preserve"> </w:t>
      </w:r>
      <w:r w:rsidRPr="00B62904">
        <w:rPr>
          <w:rFonts w:hint="cs"/>
          <w:b/>
          <w:bCs/>
          <w:rtl/>
        </w:rPr>
        <w:t>דאוד נ' מדינת ישראל</w:t>
      </w:r>
      <w:r w:rsidR="00E441BB">
        <w:rPr>
          <w:rFonts w:hint="cs"/>
          <w:b/>
          <w:bCs/>
          <w:rtl/>
        </w:rPr>
        <w:t xml:space="preserve"> </w:t>
      </w:r>
      <w:r w:rsidR="00E441BB" w:rsidRPr="00E441BB">
        <w:rPr>
          <w:sz w:val="22"/>
          <w:rtl/>
        </w:rPr>
        <w:t>[פורסם בנבו]</w:t>
      </w:r>
      <w:r>
        <w:rPr>
          <w:rFonts w:hint="cs"/>
          <w:rtl/>
        </w:rPr>
        <w:t xml:space="preserve">). </w:t>
      </w:r>
    </w:p>
    <w:p w14:paraId="1D24AABB" w14:textId="77777777" w:rsidR="005805C0" w:rsidRDefault="005805C0" w:rsidP="005805C0">
      <w:pPr>
        <w:spacing w:line="360" w:lineRule="auto"/>
        <w:ind w:left="720"/>
        <w:jc w:val="both"/>
        <w:rPr>
          <w:rtl/>
        </w:rPr>
      </w:pPr>
    </w:p>
    <w:p w14:paraId="22B68F1E" w14:textId="77777777" w:rsidR="005805C0" w:rsidRDefault="005805C0" w:rsidP="005805C0">
      <w:pPr>
        <w:spacing w:line="360" w:lineRule="auto"/>
        <w:ind w:left="567"/>
        <w:jc w:val="both"/>
        <w:rPr>
          <w:rtl/>
        </w:rPr>
      </w:pPr>
      <w:r>
        <w:rPr>
          <w:rFonts w:hint="cs"/>
          <w:rtl/>
        </w:rPr>
        <w:t xml:space="preserve">צוינה חומרת התופעה של הסחר בנשק ונטען שהערכים המוגנים שנפגעו היו שמירה על שלמות הגוף והרכוש ופגיעה באמון הציבור במערכת אכיפת החוק ותדמית המשטרה. </w:t>
      </w:r>
    </w:p>
    <w:p w14:paraId="509D3ACE" w14:textId="77777777" w:rsidR="005805C0" w:rsidRDefault="005805C0" w:rsidP="005805C0">
      <w:pPr>
        <w:spacing w:line="360" w:lineRule="auto"/>
        <w:ind w:left="720"/>
        <w:jc w:val="both"/>
        <w:rPr>
          <w:rtl/>
        </w:rPr>
      </w:pPr>
    </w:p>
    <w:p w14:paraId="3AE5C08F" w14:textId="77777777" w:rsidR="005805C0" w:rsidRDefault="005805C0" w:rsidP="005805C0">
      <w:pPr>
        <w:spacing w:line="360" w:lineRule="auto"/>
        <w:ind w:left="720"/>
        <w:jc w:val="both"/>
        <w:rPr>
          <w:rtl/>
        </w:rPr>
      </w:pPr>
      <w:r>
        <w:rPr>
          <w:rFonts w:hint="cs"/>
          <w:rtl/>
        </w:rPr>
        <w:t xml:space="preserve">נטען שחלקו היחסי של הנאשם היה מרכזי והנאשם היה זה שחולל את ביצוע העבירה וביצע את הפעולות המרכזיות סביבה. באשר לנזק הוזכר הנזק שבעבירות הנשק ונטען שהנאשם יכול היה להימנע מביצוע העבירה ובוודאי הבין את חומרת מעשיו. </w:t>
      </w:r>
    </w:p>
    <w:p w14:paraId="1B1911FB" w14:textId="77777777" w:rsidR="005805C0" w:rsidRDefault="005805C0" w:rsidP="005805C0">
      <w:pPr>
        <w:spacing w:line="360" w:lineRule="auto"/>
        <w:ind w:left="720"/>
        <w:jc w:val="both"/>
        <w:rPr>
          <w:rtl/>
        </w:rPr>
      </w:pPr>
    </w:p>
    <w:p w14:paraId="2BD39078" w14:textId="77777777" w:rsidR="005805C0" w:rsidRPr="00DC11EB" w:rsidRDefault="005805C0" w:rsidP="005805C0">
      <w:pPr>
        <w:spacing w:line="360" w:lineRule="auto"/>
        <w:ind w:left="720"/>
        <w:jc w:val="both"/>
        <w:rPr>
          <w:rtl/>
        </w:rPr>
      </w:pPr>
      <w:r w:rsidRPr="00152BB0">
        <w:rPr>
          <w:rFonts w:hint="cs"/>
          <w:rtl/>
        </w:rPr>
        <w:t xml:space="preserve">באשר </w:t>
      </w:r>
      <w:r>
        <w:rPr>
          <w:rFonts w:hint="cs"/>
          <w:rtl/>
        </w:rPr>
        <w:t xml:space="preserve">למדיניות הענישה אוזכר </w:t>
      </w:r>
      <w:hyperlink r:id="rId30" w:history="1">
        <w:r w:rsidR="00EA7EBD" w:rsidRPr="00EA7EBD">
          <w:rPr>
            <w:color w:val="0000FF"/>
            <w:u w:val="single"/>
            <w:rtl/>
          </w:rPr>
          <w:t>ע"פ 7386/13</w:t>
        </w:r>
      </w:hyperlink>
      <w:r>
        <w:rPr>
          <w:rFonts w:hint="cs"/>
          <w:rtl/>
        </w:rPr>
        <w:t xml:space="preserve"> </w:t>
      </w:r>
      <w:r>
        <w:rPr>
          <w:rFonts w:hint="cs"/>
          <w:b/>
          <w:bCs/>
          <w:rtl/>
        </w:rPr>
        <w:t xml:space="preserve">חוסיין עווד נ' מדינת ישראל </w:t>
      </w:r>
      <w:r w:rsidR="00E441BB" w:rsidRPr="00E441BB">
        <w:rPr>
          <w:sz w:val="22"/>
          <w:rtl/>
        </w:rPr>
        <w:t xml:space="preserve">[פורסם בנבו] </w:t>
      </w:r>
      <w:r>
        <w:rPr>
          <w:rFonts w:hint="cs"/>
          <w:rtl/>
        </w:rPr>
        <w:t>(5.6.13), כאשר באותו מקרה הערכאה הדיונית הטילה על נאשם 18 חודשי מאסר בפועל בגין עבירות נשק - החזקת רימוני רסס ומכירת רימוני הלם. ביהמ"ש העליון לא התערב בתוצאה; ב</w:t>
      </w:r>
      <w:hyperlink r:id="rId31" w:history="1">
        <w:r w:rsidR="00EA7EBD" w:rsidRPr="00EA7EBD">
          <w:rPr>
            <w:color w:val="0000FF"/>
            <w:u w:val="single"/>
            <w:rtl/>
          </w:rPr>
          <w:t>ע"פ 1323/06</w:t>
        </w:r>
      </w:hyperlink>
      <w:r>
        <w:rPr>
          <w:rFonts w:hint="cs"/>
          <w:rtl/>
        </w:rPr>
        <w:t xml:space="preserve"> </w:t>
      </w:r>
      <w:r>
        <w:rPr>
          <w:rFonts w:hint="cs"/>
          <w:b/>
          <w:bCs/>
          <w:rtl/>
        </w:rPr>
        <w:t xml:space="preserve">רך חסן נ' מדינת ישראל </w:t>
      </w:r>
      <w:r w:rsidR="00E441BB" w:rsidRPr="00E441BB">
        <w:rPr>
          <w:sz w:val="22"/>
          <w:rtl/>
        </w:rPr>
        <w:t xml:space="preserve">[פורסם בנבו] </w:t>
      </w:r>
      <w:r w:rsidRPr="00DC11EB">
        <w:rPr>
          <w:rFonts w:hint="cs"/>
          <w:rtl/>
        </w:rPr>
        <w:t>(5.</w:t>
      </w:r>
      <w:r>
        <w:rPr>
          <w:rFonts w:hint="cs"/>
          <w:rtl/>
        </w:rPr>
        <w:t>12</w:t>
      </w:r>
      <w:r w:rsidRPr="00DC11EB">
        <w:rPr>
          <w:rFonts w:hint="cs"/>
          <w:rtl/>
        </w:rPr>
        <w:t>.</w:t>
      </w:r>
      <w:r>
        <w:rPr>
          <w:rFonts w:hint="cs"/>
          <w:rtl/>
        </w:rPr>
        <w:t>06</w:t>
      </w:r>
      <w:r w:rsidRPr="00DC11EB">
        <w:rPr>
          <w:rFonts w:hint="cs"/>
          <w:rtl/>
        </w:rPr>
        <w:t>)</w:t>
      </w:r>
      <w:r>
        <w:rPr>
          <w:rFonts w:hint="cs"/>
          <w:rtl/>
        </w:rPr>
        <w:t xml:space="preserve">, דחה ביהמ"ש את ערעור על גזר דין של הערכאה הדיונית כאשר נאשמים מכרו רימון הלם צה"לי והורשעו על </w:t>
      </w:r>
      <w:r>
        <w:rPr>
          <w:rFonts w:hint="cs"/>
          <w:rtl/>
        </w:rPr>
        <w:lastRenderedPageBreak/>
        <w:t>סמך הודאתם בעבירות של החזקת נשק, ונשיאה והובלת נשק. אחד מהם הורשע גם בהחזקה וסחר בסם מסוכן. הסחר נעשה ביחס לרימון הלם ונקבע מתחם ענישה בין 1-4 שנות מאסר ושני המערערים נידונו ל-24 חודשי מאסר בפועל.</w:t>
      </w:r>
    </w:p>
    <w:p w14:paraId="6E5A0D9A" w14:textId="77777777" w:rsidR="005805C0" w:rsidRDefault="005805C0" w:rsidP="005805C0">
      <w:pPr>
        <w:spacing w:line="360" w:lineRule="auto"/>
        <w:ind w:left="720"/>
        <w:jc w:val="both"/>
        <w:rPr>
          <w:rtl/>
        </w:rPr>
      </w:pPr>
    </w:p>
    <w:p w14:paraId="0FC8CE20" w14:textId="77777777" w:rsidR="005805C0" w:rsidRDefault="005805C0" w:rsidP="005805C0">
      <w:pPr>
        <w:spacing w:line="360" w:lineRule="auto"/>
        <w:ind w:left="720"/>
        <w:jc w:val="both"/>
        <w:rPr>
          <w:rtl/>
        </w:rPr>
      </w:pPr>
      <w:r>
        <w:rPr>
          <w:rFonts w:hint="cs"/>
          <w:rtl/>
        </w:rPr>
        <w:t xml:space="preserve">באשר לאישום השלישי אוזכר </w:t>
      </w:r>
      <w:hyperlink r:id="rId32" w:history="1">
        <w:r w:rsidR="00EA7EBD" w:rsidRPr="00EA7EBD">
          <w:rPr>
            <w:color w:val="0000FF"/>
            <w:u w:val="single"/>
            <w:rtl/>
          </w:rPr>
          <w:t>עפ"ג 4706-10-15</w:t>
        </w:r>
      </w:hyperlink>
      <w:r>
        <w:rPr>
          <w:rFonts w:hint="cs"/>
          <w:rtl/>
        </w:rPr>
        <w:t xml:space="preserve"> </w:t>
      </w:r>
      <w:r>
        <w:rPr>
          <w:rFonts w:hint="cs"/>
          <w:b/>
          <w:bCs/>
          <w:rtl/>
        </w:rPr>
        <w:t xml:space="preserve">מדינת ישראל נ' עומרי מסרי </w:t>
      </w:r>
      <w:r w:rsidR="00E441BB" w:rsidRPr="00E441BB">
        <w:rPr>
          <w:sz w:val="22"/>
          <w:rtl/>
        </w:rPr>
        <w:t xml:space="preserve">[פורסם בנבו] </w:t>
      </w:r>
      <w:r>
        <w:rPr>
          <w:rFonts w:hint="cs"/>
          <w:rtl/>
        </w:rPr>
        <w:t>(23.11.15) ששם בגין שימוש בסמים לצריכה עצמית וגידול, ייצור והכנת סמים מסוג קנאביס בהיקף של עשרות ומאות גרם הטילה ערכאת הערעור צו מבחן ושל"צ  בהיקף של 120 שעות; ב</w:t>
      </w:r>
      <w:hyperlink r:id="rId33" w:history="1">
        <w:r w:rsidR="00EA7EBD" w:rsidRPr="00EA7EBD">
          <w:rPr>
            <w:color w:val="0000FF"/>
            <w:u w:val="single"/>
            <w:rtl/>
          </w:rPr>
          <w:t>ת"פ 16759-07-17</w:t>
        </w:r>
      </w:hyperlink>
      <w:r>
        <w:rPr>
          <w:rFonts w:hint="cs"/>
          <w:rtl/>
        </w:rPr>
        <w:t xml:space="preserve"> </w:t>
      </w:r>
      <w:r>
        <w:rPr>
          <w:rFonts w:hint="cs"/>
          <w:b/>
          <w:bCs/>
          <w:rtl/>
        </w:rPr>
        <w:t>מדינת ישראל נ' דוד ביסמוט</w:t>
      </w:r>
      <w:r>
        <w:rPr>
          <w:rFonts w:hint="cs"/>
          <w:rtl/>
        </w:rPr>
        <w:t xml:space="preserve"> </w:t>
      </w:r>
      <w:r w:rsidR="00E441BB" w:rsidRPr="00E441BB">
        <w:rPr>
          <w:sz w:val="22"/>
          <w:rtl/>
        </w:rPr>
        <w:t xml:space="preserve">[פורסם בנבו] </w:t>
      </w:r>
      <w:r>
        <w:rPr>
          <w:rFonts w:hint="cs"/>
          <w:rtl/>
        </w:rPr>
        <w:t>(15.10.18) בגין עבירות של גידול סמים והחזקת כלים להכנת סם לצריכה עצמית, הוטלה התחייבות להימנע מביצוע העבירה ושירות של"צ בהיקף של 250 שעות; ב</w:t>
      </w:r>
      <w:hyperlink r:id="rId34" w:history="1">
        <w:r w:rsidR="00EA7EBD" w:rsidRPr="00EA7EBD">
          <w:rPr>
            <w:color w:val="0000FF"/>
            <w:u w:val="single"/>
            <w:rtl/>
          </w:rPr>
          <w:t>ת"פ 39274-04-15</w:t>
        </w:r>
      </w:hyperlink>
      <w:r>
        <w:rPr>
          <w:rFonts w:hint="cs"/>
          <w:rtl/>
        </w:rPr>
        <w:t xml:space="preserve"> </w:t>
      </w:r>
      <w:r>
        <w:rPr>
          <w:rFonts w:hint="cs"/>
          <w:b/>
          <w:bCs/>
          <w:rtl/>
        </w:rPr>
        <w:t xml:space="preserve">מדינת ישראל נ' פיליפ דוד אוזן </w:t>
      </w:r>
      <w:r w:rsidR="00E441BB" w:rsidRPr="00E441BB">
        <w:rPr>
          <w:sz w:val="22"/>
          <w:rtl/>
        </w:rPr>
        <w:t xml:space="preserve">[פורסם בנבו] </w:t>
      </w:r>
      <w:r>
        <w:rPr>
          <w:rFonts w:hint="cs"/>
          <w:rtl/>
        </w:rPr>
        <w:t>(14.4.19) בגין עבירות של ייצור והחזקת סמים וכלים הוטלו על הנאשם מאסר על תנאי וקנס ושירות לתועלת הציבור בהיקף של 200 שעות.</w:t>
      </w:r>
    </w:p>
    <w:p w14:paraId="25985ACC" w14:textId="77777777" w:rsidR="005805C0" w:rsidRDefault="005805C0" w:rsidP="005805C0">
      <w:pPr>
        <w:spacing w:line="360" w:lineRule="auto"/>
        <w:ind w:left="720"/>
        <w:jc w:val="both"/>
        <w:rPr>
          <w:rtl/>
        </w:rPr>
      </w:pPr>
    </w:p>
    <w:p w14:paraId="60E00E49" w14:textId="77777777" w:rsidR="005805C0" w:rsidRDefault="005805C0" w:rsidP="005805C0">
      <w:pPr>
        <w:spacing w:line="360" w:lineRule="auto"/>
        <w:ind w:left="720"/>
        <w:jc w:val="both"/>
        <w:rPr>
          <w:rtl/>
        </w:rPr>
      </w:pPr>
      <w:r>
        <w:rPr>
          <w:rFonts w:hint="cs"/>
          <w:rtl/>
        </w:rPr>
        <w:t xml:space="preserve">בקשר לאישום הרביעי אוזכר </w:t>
      </w:r>
      <w:hyperlink r:id="rId35" w:history="1">
        <w:r w:rsidR="00EA7EBD" w:rsidRPr="00EA7EBD">
          <w:rPr>
            <w:color w:val="0000FF"/>
            <w:u w:val="single"/>
            <w:rtl/>
          </w:rPr>
          <w:t>ת"פ 25165-10-10</w:t>
        </w:r>
      </w:hyperlink>
      <w:r>
        <w:rPr>
          <w:rFonts w:hint="cs"/>
          <w:rtl/>
        </w:rPr>
        <w:t xml:space="preserve"> </w:t>
      </w:r>
      <w:r>
        <w:rPr>
          <w:rFonts w:hint="cs"/>
          <w:b/>
          <w:bCs/>
          <w:rtl/>
        </w:rPr>
        <w:t xml:space="preserve">מדינת ישראל נ' עבד אבו סמחאן </w:t>
      </w:r>
      <w:r w:rsidR="00E441BB" w:rsidRPr="00E441BB">
        <w:rPr>
          <w:sz w:val="22"/>
          <w:rtl/>
        </w:rPr>
        <w:t xml:space="preserve">[פורסם בנבו] </w:t>
      </w:r>
      <w:r>
        <w:rPr>
          <w:rFonts w:hint="cs"/>
          <w:rtl/>
        </w:rPr>
        <w:t>(17.7.11) שם נאשם הורשע בגין יריות באזור מגורים. הוטלו 6 חודשי מאסר על תנאי וקנס; ב</w:t>
      </w:r>
      <w:hyperlink r:id="rId36" w:history="1">
        <w:r w:rsidR="00EA7EBD" w:rsidRPr="00EA7EBD">
          <w:rPr>
            <w:color w:val="0000FF"/>
            <w:u w:val="single"/>
            <w:rtl/>
          </w:rPr>
          <w:t>ע"פ  1303/06</w:t>
        </w:r>
      </w:hyperlink>
      <w:r>
        <w:rPr>
          <w:rFonts w:hint="cs"/>
          <w:rtl/>
        </w:rPr>
        <w:t xml:space="preserve"> </w:t>
      </w:r>
      <w:r>
        <w:rPr>
          <w:rFonts w:hint="cs"/>
          <w:b/>
          <w:bCs/>
          <w:rtl/>
        </w:rPr>
        <w:t xml:space="preserve">מדחת טליעה נ' מדינת ישראל </w:t>
      </w:r>
      <w:r w:rsidR="00E441BB" w:rsidRPr="00E441BB">
        <w:rPr>
          <w:sz w:val="22"/>
          <w:rtl/>
        </w:rPr>
        <w:t xml:space="preserve">[פורסם בנבו] </w:t>
      </w:r>
      <w:r>
        <w:rPr>
          <w:rFonts w:hint="cs"/>
          <w:rtl/>
        </w:rPr>
        <w:t xml:space="preserve">בוצע ירי באזור מגורים שבוצע באמצעות </w:t>
      </w:r>
      <w:r>
        <w:rPr>
          <w:rFonts w:hint="cs"/>
        </w:rPr>
        <w:t>M16</w:t>
      </w:r>
      <w:r>
        <w:rPr>
          <w:rFonts w:hint="cs"/>
          <w:rtl/>
        </w:rPr>
        <w:t xml:space="preserve"> על ידי חייל ששירת במשמר הגבול במהלך חתונה בכפרו. ביהמ"ש העליון דחה את הערעור כאשר הערכאה הדיונית גזרה קנס בסך 5000 ₪ ומאסר לתקופה של 9 חודשים מתוכם 4 חודשים בפועל לריצוי בעבודות שירות. </w:t>
      </w:r>
    </w:p>
    <w:p w14:paraId="0E90FFFB" w14:textId="77777777" w:rsidR="005805C0" w:rsidRDefault="005805C0" w:rsidP="005805C0">
      <w:pPr>
        <w:spacing w:line="360" w:lineRule="auto"/>
        <w:ind w:left="720"/>
        <w:jc w:val="both"/>
        <w:rPr>
          <w:rtl/>
        </w:rPr>
      </w:pPr>
    </w:p>
    <w:p w14:paraId="6BB90484" w14:textId="77777777" w:rsidR="005805C0" w:rsidRDefault="005805C0" w:rsidP="005805C0">
      <w:pPr>
        <w:spacing w:line="360" w:lineRule="auto"/>
        <w:ind w:left="720"/>
        <w:jc w:val="both"/>
        <w:rPr>
          <w:rtl/>
        </w:rPr>
      </w:pPr>
      <w:r>
        <w:rPr>
          <w:rFonts w:hint="cs"/>
          <w:rtl/>
        </w:rPr>
        <w:t>ביחס לעבירות הנשק הוצע מתחם ענישה שנע בין 1-4 שנות מאסר בפועל. ביחס לעבירות הסמים הוצע מתחם שנע בין של"צ לקנס ועד מספר חודשי מאסר בפועל ובגין עבירות הפזיזות והרשלנות בכלי ירייה וירי בשטח מגורים הוצע מתחם ענישה שנע בין מאסר על תנאי ובין מספר קצר של חודשי מאסר בפועל שירוצו בעבודות שירות.</w:t>
      </w:r>
    </w:p>
    <w:p w14:paraId="33EF2EF8" w14:textId="77777777" w:rsidR="005805C0" w:rsidRDefault="005805C0" w:rsidP="005805C0">
      <w:pPr>
        <w:spacing w:line="360" w:lineRule="auto"/>
        <w:ind w:left="720"/>
        <w:jc w:val="both"/>
        <w:rPr>
          <w:rtl/>
        </w:rPr>
      </w:pPr>
    </w:p>
    <w:p w14:paraId="79E9B309" w14:textId="77777777" w:rsidR="005805C0" w:rsidRPr="00DC11EB" w:rsidRDefault="005805C0" w:rsidP="005805C0">
      <w:pPr>
        <w:spacing w:line="360" w:lineRule="auto"/>
        <w:ind w:left="720"/>
        <w:jc w:val="both"/>
        <w:rPr>
          <w:rtl/>
        </w:rPr>
      </w:pPr>
      <w:r>
        <w:rPr>
          <w:rFonts w:hint="cs"/>
          <w:rtl/>
        </w:rPr>
        <w:t xml:space="preserve">המאשימה ביקשה להעמיד את עונשו של הנאשם עבור כל האישומים על 30 חודשי מאסר בפועל לצד ענישה צופה פני עתיד באופן משמעותי. עוד הוסף שמדובר בנאשם צעיר, שזו ההסתבכות הראשונה שלו וצוינה לקולא החרטה שהביע הנאשם. </w:t>
      </w:r>
    </w:p>
    <w:p w14:paraId="15866366" w14:textId="77777777" w:rsidR="005805C0" w:rsidRDefault="005805C0" w:rsidP="005805C0">
      <w:pPr>
        <w:spacing w:line="360" w:lineRule="auto"/>
        <w:jc w:val="both"/>
        <w:rPr>
          <w:rtl/>
        </w:rPr>
      </w:pPr>
    </w:p>
    <w:p w14:paraId="5F9FEEBC" w14:textId="77777777" w:rsidR="005805C0" w:rsidRPr="00DC11EB" w:rsidRDefault="005805C0" w:rsidP="005805C0">
      <w:pPr>
        <w:spacing w:line="360" w:lineRule="auto"/>
        <w:jc w:val="both"/>
        <w:rPr>
          <w:b/>
          <w:bCs/>
          <w:u w:val="single"/>
          <w:rtl/>
        </w:rPr>
      </w:pPr>
      <w:r w:rsidRPr="00DC11EB">
        <w:rPr>
          <w:rFonts w:hint="cs"/>
          <w:b/>
          <w:bCs/>
          <w:u w:val="single"/>
          <w:rtl/>
        </w:rPr>
        <w:t>טיעוני הסנגור לעונש</w:t>
      </w:r>
    </w:p>
    <w:p w14:paraId="1596825C" w14:textId="77777777" w:rsidR="005805C0" w:rsidRDefault="005805C0" w:rsidP="005805C0">
      <w:pPr>
        <w:spacing w:line="360" w:lineRule="auto"/>
        <w:ind w:left="720"/>
        <w:jc w:val="both"/>
        <w:rPr>
          <w:rtl/>
        </w:rPr>
      </w:pPr>
    </w:p>
    <w:p w14:paraId="4A13B1A7" w14:textId="77777777" w:rsidR="005805C0" w:rsidRDefault="005805C0" w:rsidP="005805C0">
      <w:pPr>
        <w:pStyle w:val="ListParagraph"/>
        <w:numPr>
          <w:ilvl w:val="0"/>
          <w:numId w:val="1"/>
        </w:numPr>
        <w:spacing w:line="360" w:lineRule="auto"/>
        <w:jc w:val="both"/>
        <w:rPr>
          <w:rtl/>
        </w:rPr>
      </w:pPr>
      <w:r>
        <w:rPr>
          <w:rFonts w:hint="cs"/>
          <w:rtl/>
        </w:rPr>
        <w:t>ב"כ הנאשם טען שביחס לאישום השלישי והרביעי מתחם הענישה של בתי המשפט נע בין של"צ ועד מאסר מותנה וקנס, במיוחד עבור אנשים ללא עבר פלילי. ביחס לאישום הראשון והשני טען הסנגור שאין ספק שעבירות הנשק הן חמורות ושיש לשקול לחומרא את העובדה שהעבירות בוצעו בעת השירות הצבאי אך נטען שעמדת שירות המבחן אינה הגיונית כאשר הנאשם מודה ומקבל אחריות ועוד טען טענות לקולא באשר למניעיו.</w:t>
      </w:r>
    </w:p>
    <w:p w14:paraId="70933047" w14:textId="77777777" w:rsidR="005805C0" w:rsidRDefault="005805C0" w:rsidP="005805C0">
      <w:pPr>
        <w:spacing w:line="360" w:lineRule="auto"/>
        <w:jc w:val="both"/>
        <w:rPr>
          <w:rtl/>
        </w:rPr>
      </w:pPr>
    </w:p>
    <w:p w14:paraId="59B0011D" w14:textId="77777777" w:rsidR="005805C0" w:rsidRDefault="005805C0" w:rsidP="005805C0">
      <w:pPr>
        <w:spacing w:line="360" w:lineRule="auto"/>
        <w:ind w:left="1080"/>
        <w:jc w:val="both"/>
        <w:rPr>
          <w:rtl/>
        </w:rPr>
      </w:pPr>
      <w:r>
        <w:rPr>
          <w:rFonts w:hint="cs"/>
          <w:rtl/>
        </w:rPr>
        <w:t xml:space="preserve">הסנגור טען שהנאשם קיצר את ההליכים כאשר הודה ברוב האישומים והיה גלוי גם עם רשויות החוק שחקרו את העבירות. הוספו טענות בקשר לעונש המקל שהוטל על השותף שיש לחובתו עבר פלילי אך בסופו של יום נטען שנערך עמו הסדר טיעון במסגרתו הוטלו 10 חודשי מאסר בלבד. נטען שיש לדבוק בעיקרון אחדות הענישה ונטען שהענישה המבוקשת ע"י המדינה מחמירה מדי. נטען שיש לזכור שאמנם מדובר בעבירות נשק אך לא מדובר בסחר ברף גבוה, אלא להיפך. </w:t>
      </w:r>
    </w:p>
    <w:p w14:paraId="50278FF9" w14:textId="77777777" w:rsidR="005805C0" w:rsidRDefault="005805C0" w:rsidP="005805C0">
      <w:pPr>
        <w:spacing w:line="360" w:lineRule="auto"/>
        <w:ind w:left="1080"/>
        <w:jc w:val="both"/>
        <w:rPr>
          <w:rtl/>
        </w:rPr>
      </w:pPr>
    </w:p>
    <w:p w14:paraId="18CB2684" w14:textId="77777777" w:rsidR="005805C0" w:rsidRDefault="005805C0" w:rsidP="005805C0">
      <w:pPr>
        <w:spacing w:line="360" w:lineRule="auto"/>
        <w:ind w:left="1080"/>
        <w:jc w:val="both"/>
        <w:rPr>
          <w:rtl/>
        </w:rPr>
      </w:pPr>
      <w:r>
        <w:rPr>
          <w:rFonts w:hint="cs"/>
          <w:rtl/>
        </w:rPr>
        <w:t xml:space="preserve">הסנגור הסתמך על החלקים בתסקיר שהטיבו עם הנאשם וביקש לא למצות את הדין עמו ולכל הפחות להשוות את חלקו לחלקו של השותף. הוזכר שהנאשם נמצא בתנאי מעצר בית מלא מאז אוגוסט 2018. </w:t>
      </w:r>
    </w:p>
    <w:p w14:paraId="44914E60" w14:textId="77777777" w:rsidR="005805C0" w:rsidRDefault="005805C0" w:rsidP="005805C0">
      <w:pPr>
        <w:spacing w:line="360" w:lineRule="auto"/>
        <w:jc w:val="both"/>
        <w:rPr>
          <w:rtl/>
        </w:rPr>
      </w:pPr>
    </w:p>
    <w:p w14:paraId="15788A1A" w14:textId="77777777" w:rsidR="005805C0" w:rsidRDefault="005805C0" w:rsidP="005805C0">
      <w:pPr>
        <w:spacing w:line="360" w:lineRule="auto"/>
        <w:jc w:val="both"/>
        <w:rPr>
          <w:b/>
          <w:bCs/>
          <w:u w:val="single"/>
          <w:rtl/>
        </w:rPr>
      </w:pPr>
      <w:r w:rsidRPr="0045066F">
        <w:rPr>
          <w:rFonts w:hint="cs"/>
          <w:b/>
          <w:bCs/>
          <w:u w:val="single"/>
          <w:rtl/>
        </w:rPr>
        <w:t>תסקיר שירות המבחן</w:t>
      </w:r>
    </w:p>
    <w:p w14:paraId="4C56B706" w14:textId="77777777" w:rsidR="005805C0" w:rsidRDefault="005805C0" w:rsidP="005805C0">
      <w:pPr>
        <w:spacing w:line="360" w:lineRule="auto"/>
        <w:jc w:val="both"/>
        <w:rPr>
          <w:b/>
          <w:bCs/>
          <w:u w:val="single"/>
          <w:rtl/>
        </w:rPr>
      </w:pPr>
    </w:p>
    <w:p w14:paraId="35B84822" w14:textId="77777777" w:rsidR="005805C0" w:rsidRDefault="005805C0" w:rsidP="005805C0">
      <w:pPr>
        <w:spacing w:line="360" w:lineRule="auto"/>
        <w:ind w:left="992"/>
        <w:jc w:val="both"/>
        <w:rPr>
          <w:rtl/>
        </w:rPr>
      </w:pPr>
      <w:r>
        <w:rPr>
          <w:rFonts w:hint="cs"/>
          <w:rtl/>
        </w:rPr>
        <w:t xml:space="preserve">התסקיר סקר את קורותיו של הנאשם, שהוא בן 21, רווק וטרם מעורבותו בפרשה הנוכחית היה סמל ראשון ששירת כלוחם ובהמשך כנהג חפ"ק ועוזר לקצין תחבורה במג"ב. טרם שנעצר נותרו לו חודשיים לסיום שירותו הצבאי. </w:t>
      </w:r>
    </w:p>
    <w:p w14:paraId="79B409DA" w14:textId="77777777" w:rsidR="005805C0" w:rsidRDefault="005805C0" w:rsidP="005805C0">
      <w:pPr>
        <w:spacing w:line="360" w:lineRule="auto"/>
        <w:ind w:left="992"/>
        <w:jc w:val="both"/>
        <w:rPr>
          <w:rtl/>
        </w:rPr>
      </w:pPr>
    </w:p>
    <w:p w14:paraId="0AEAF7AB" w14:textId="77777777" w:rsidR="005805C0" w:rsidRDefault="005805C0" w:rsidP="005805C0">
      <w:pPr>
        <w:spacing w:line="360" w:lineRule="auto"/>
        <w:ind w:left="992"/>
        <w:jc w:val="both"/>
        <w:rPr>
          <w:rtl/>
        </w:rPr>
      </w:pPr>
      <w:r>
        <w:rPr>
          <w:rFonts w:hint="cs"/>
          <w:rtl/>
        </w:rPr>
        <w:t xml:space="preserve">הוא סיים 12 שנות לימוד עם בגרות מלאה, ותכנן להמשיך לשרת בקבע ולפתח קריירה צבאית. ממצאי בדיקת שתן שנערכה לו יצאו נקיים משרידי סם. משפחתו נורמטיבית. צוין שלנאשם אין עבר פלילי והוא השתתף בקבוצה ייעודית לעצורי בית במהלך תקופת מעצר הבית והשתתף בצורה משביעת רצון. הנאשם לקח אחריות על ביצוע העבירות והביע הבנה באשר לפסול בהתנהגותו. באשר להערכת הסיכון צוין קושי בהצבת גבולות פנימיים וויסות דחפים ופער בין תפקוד כללי לבין מה שמיוחס לו בכתב האישום. לא צוינו דפוסי התנהגות עבריינים. </w:t>
      </w:r>
    </w:p>
    <w:p w14:paraId="732C1E2E" w14:textId="77777777" w:rsidR="005805C0" w:rsidRDefault="005805C0" w:rsidP="005805C0">
      <w:pPr>
        <w:spacing w:line="360" w:lineRule="auto"/>
        <w:ind w:left="992"/>
        <w:jc w:val="both"/>
        <w:rPr>
          <w:rtl/>
        </w:rPr>
      </w:pPr>
    </w:p>
    <w:p w14:paraId="7E8EBA5A" w14:textId="77777777" w:rsidR="005805C0" w:rsidRDefault="005805C0" w:rsidP="005805C0">
      <w:pPr>
        <w:spacing w:line="360" w:lineRule="auto"/>
        <w:ind w:left="992"/>
        <w:jc w:val="both"/>
        <w:rPr>
          <w:rtl/>
        </w:rPr>
      </w:pPr>
      <w:r>
        <w:rPr>
          <w:rFonts w:hint="cs"/>
          <w:rtl/>
        </w:rPr>
        <w:t>בסיכומו של דבר, לאור חומרת העבירה נמנע שירות המבחן מהמלצה טיפולית.</w:t>
      </w:r>
    </w:p>
    <w:p w14:paraId="44900169" w14:textId="77777777" w:rsidR="005805C0" w:rsidRDefault="005805C0" w:rsidP="005805C0">
      <w:pPr>
        <w:spacing w:line="360" w:lineRule="auto"/>
        <w:jc w:val="both"/>
        <w:rPr>
          <w:rtl/>
        </w:rPr>
      </w:pPr>
    </w:p>
    <w:p w14:paraId="6392F694" w14:textId="77777777" w:rsidR="005805C0" w:rsidRDefault="005805C0" w:rsidP="005805C0">
      <w:pPr>
        <w:spacing w:line="360" w:lineRule="auto"/>
        <w:jc w:val="both"/>
        <w:rPr>
          <w:b/>
          <w:bCs/>
          <w:u w:val="single"/>
          <w:rtl/>
        </w:rPr>
      </w:pPr>
      <w:r w:rsidRPr="00302EA1">
        <w:rPr>
          <w:rFonts w:hint="cs"/>
          <w:b/>
          <w:bCs/>
          <w:u w:val="single"/>
          <w:rtl/>
        </w:rPr>
        <w:t>דיון והכרעה</w:t>
      </w:r>
      <w:r>
        <w:rPr>
          <w:rFonts w:hint="cs"/>
          <w:b/>
          <w:bCs/>
          <w:u w:val="single"/>
          <w:rtl/>
        </w:rPr>
        <w:t>:</w:t>
      </w:r>
    </w:p>
    <w:p w14:paraId="180A7904" w14:textId="77777777" w:rsidR="005805C0" w:rsidRDefault="005805C0" w:rsidP="005805C0">
      <w:pPr>
        <w:spacing w:line="360" w:lineRule="auto"/>
        <w:jc w:val="both"/>
        <w:rPr>
          <w:b/>
          <w:bCs/>
          <w:u w:val="single"/>
          <w:rtl/>
        </w:rPr>
      </w:pPr>
    </w:p>
    <w:p w14:paraId="64D13B7C" w14:textId="77777777" w:rsidR="005805C0" w:rsidRDefault="005805C0" w:rsidP="005805C0">
      <w:pPr>
        <w:spacing w:line="360" w:lineRule="auto"/>
        <w:ind w:left="720"/>
        <w:jc w:val="both"/>
        <w:rPr>
          <w:rtl/>
        </w:rPr>
      </w:pPr>
      <w:r>
        <w:rPr>
          <w:rFonts w:hint="cs"/>
          <w:rtl/>
        </w:rPr>
        <w:t xml:space="preserve">הערכים החברתיים שנפגעו בעבירות הנשק היו כמובן ביטחון הציבור ושמירה על שלומו, כמו גם השמירה על טוהר המידות, המשמעת והאמון במסגרת הצבאית. הפגיעה בערכים אלה למעט האחרונים הייתה ברמה בינונית-נמוכה כיוון שמדובר בנשק מסוג שאינו קטלני ואולם הפגיעה ככלל הייתה יותר משמעותית לאור העובדה שהגניבה בוצעה מתוך מערך מבצעי במסגרת ביצוע תפקיד. עבירת הסחר גם היא ברמה נמוכה כאשר לא היה שווי רב בעסקה שבוצעה. </w:t>
      </w:r>
    </w:p>
    <w:p w14:paraId="49E3E441" w14:textId="77777777" w:rsidR="005805C0" w:rsidRDefault="005805C0" w:rsidP="005805C0">
      <w:pPr>
        <w:spacing w:line="360" w:lineRule="auto"/>
        <w:ind w:left="720"/>
        <w:jc w:val="both"/>
        <w:rPr>
          <w:rtl/>
        </w:rPr>
      </w:pPr>
    </w:p>
    <w:p w14:paraId="46B87425" w14:textId="77777777" w:rsidR="005805C0" w:rsidRDefault="005805C0" w:rsidP="005805C0">
      <w:pPr>
        <w:spacing w:line="360" w:lineRule="auto"/>
        <w:ind w:left="720"/>
        <w:jc w:val="both"/>
        <w:rPr>
          <w:rtl/>
        </w:rPr>
      </w:pPr>
      <w:r>
        <w:rPr>
          <w:rFonts w:hint="cs"/>
          <w:rtl/>
        </w:rPr>
        <w:t>באשר לאישום השלישי מדובר על גידול  5 שתילי קנאביס בלבד אך צריכת הסם בזמן ששהה בבסיס מהווה נסיבה מחמירה. יש להוסיף את צריכת הקנאביס בעת החופשה. בעניין זה נפגעו הערכים של שמירה על שלום הציבור.</w:t>
      </w:r>
    </w:p>
    <w:p w14:paraId="2D4C83D0" w14:textId="77777777" w:rsidR="005805C0" w:rsidRDefault="005805C0" w:rsidP="005805C0">
      <w:pPr>
        <w:spacing w:line="360" w:lineRule="auto"/>
        <w:ind w:left="720"/>
        <w:jc w:val="both"/>
        <w:rPr>
          <w:rtl/>
        </w:rPr>
      </w:pPr>
    </w:p>
    <w:p w14:paraId="6B698A44" w14:textId="77777777" w:rsidR="005805C0" w:rsidRDefault="005805C0" w:rsidP="005805C0">
      <w:pPr>
        <w:spacing w:line="360" w:lineRule="auto"/>
        <w:ind w:left="720"/>
        <w:jc w:val="both"/>
        <w:rPr>
          <w:rtl/>
        </w:rPr>
      </w:pPr>
      <w:r>
        <w:rPr>
          <w:rFonts w:hint="cs"/>
          <w:rtl/>
        </w:rPr>
        <w:t xml:space="preserve">ביחס לאישום הרביעי, הירי מתוך הנשק האישי בתוך הכפר והשלכת רימון גז לבאר, מדובר בעבירות ברמת חומרה נמוכה יחסית לפי נסיבותיהן וזאת מבלי להקל ראש בסכנות שבשימוש לא חוקי בנשק. </w:t>
      </w:r>
    </w:p>
    <w:p w14:paraId="4AEA4C63" w14:textId="77777777" w:rsidR="005805C0" w:rsidRDefault="005805C0" w:rsidP="005805C0">
      <w:pPr>
        <w:spacing w:line="360" w:lineRule="auto"/>
        <w:ind w:left="720"/>
        <w:jc w:val="both"/>
        <w:rPr>
          <w:rtl/>
        </w:rPr>
      </w:pPr>
    </w:p>
    <w:p w14:paraId="19814B35" w14:textId="77777777" w:rsidR="005805C0" w:rsidRDefault="005805C0" w:rsidP="005805C0">
      <w:pPr>
        <w:spacing w:line="360" w:lineRule="auto"/>
        <w:ind w:left="720"/>
        <w:jc w:val="both"/>
        <w:rPr>
          <w:rtl/>
        </w:rPr>
      </w:pPr>
      <w:r>
        <w:rPr>
          <w:rFonts w:hint="cs"/>
          <w:rtl/>
        </w:rPr>
        <w:t>באשר לכל העבירות הנאשם היה אחראי בלעדי לביצוען. כמו כן הוא יכל להימנע מביצוע כל העבירות כאחת.</w:t>
      </w:r>
    </w:p>
    <w:p w14:paraId="102EF08C" w14:textId="77777777" w:rsidR="005805C0" w:rsidRDefault="005805C0" w:rsidP="005805C0">
      <w:pPr>
        <w:spacing w:line="360" w:lineRule="auto"/>
        <w:ind w:left="720"/>
        <w:jc w:val="both"/>
        <w:rPr>
          <w:rtl/>
        </w:rPr>
      </w:pPr>
    </w:p>
    <w:p w14:paraId="73CED87D" w14:textId="77777777" w:rsidR="005805C0" w:rsidRDefault="005805C0" w:rsidP="005805C0">
      <w:pPr>
        <w:spacing w:line="360" w:lineRule="auto"/>
        <w:ind w:left="720"/>
        <w:jc w:val="both"/>
        <w:rPr>
          <w:rtl/>
        </w:rPr>
      </w:pPr>
      <w:r>
        <w:rPr>
          <w:rFonts w:hint="cs"/>
          <w:rtl/>
        </w:rPr>
        <w:t xml:space="preserve">באשר למתחמי הענישה, בעבירות הנשק קיים מנעד רחב ביחס למתחם הענישה, שיכול לנוע בין מאסר לריצוי בעבודות שירות לבין מספר שנות מאסר בפועל כפי שטענה המדינה. </w:t>
      </w:r>
    </w:p>
    <w:p w14:paraId="61542500" w14:textId="77777777" w:rsidR="005805C0" w:rsidRDefault="005805C0" w:rsidP="005805C0">
      <w:pPr>
        <w:spacing w:line="360" w:lineRule="auto"/>
        <w:ind w:left="720"/>
        <w:jc w:val="both"/>
        <w:rPr>
          <w:rtl/>
        </w:rPr>
      </w:pPr>
    </w:p>
    <w:p w14:paraId="741C58EC" w14:textId="77777777" w:rsidR="005805C0" w:rsidRDefault="005805C0" w:rsidP="005805C0">
      <w:pPr>
        <w:spacing w:line="360" w:lineRule="auto"/>
        <w:ind w:left="720"/>
        <w:jc w:val="both"/>
        <w:rPr>
          <w:rtl/>
        </w:rPr>
      </w:pPr>
      <w:r>
        <w:rPr>
          <w:rFonts w:hint="cs"/>
          <w:rtl/>
        </w:rPr>
        <w:t>ביחס לעבירות הסמים מדובר בסמים קלים וזאת מבלי להקל ראש ובכמויות קטנות עד קטנות מאוד. ישנה כמובן חומרה יתרה בכך שהשימוש בחלק מהסמים נעשה בעת ששהה בבסיס. מתחם הענישה נע בין של"צ לבין מאסר על תנאי.</w:t>
      </w:r>
    </w:p>
    <w:p w14:paraId="7E8C5376" w14:textId="77777777" w:rsidR="005805C0" w:rsidRDefault="005805C0" w:rsidP="005805C0">
      <w:pPr>
        <w:spacing w:line="360" w:lineRule="auto"/>
        <w:ind w:left="720"/>
        <w:jc w:val="both"/>
        <w:rPr>
          <w:rtl/>
        </w:rPr>
      </w:pPr>
    </w:p>
    <w:p w14:paraId="686ACE46" w14:textId="77777777" w:rsidR="005805C0" w:rsidRDefault="005805C0" w:rsidP="005805C0">
      <w:pPr>
        <w:spacing w:line="360" w:lineRule="auto"/>
        <w:ind w:left="720"/>
        <w:jc w:val="both"/>
        <w:rPr>
          <w:rtl/>
        </w:rPr>
      </w:pPr>
      <w:r>
        <w:rPr>
          <w:rFonts w:hint="cs"/>
          <w:rtl/>
        </w:rPr>
        <w:t>ביחס לעבירות הירי מתחם הענישה נע בין של"צ לבין חודשי מאסר ספורים.</w:t>
      </w:r>
    </w:p>
    <w:p w14:paraId="64784FBC" w14:textId="77777777" w:rsidR="005805C0" w:rsidRDefault="005805C0" w:rsidP="005805C0">
      <w:pPr>
        <w:spacing w:line="360" w:lineRule="auto"/>
        <w:ind w:left="720"/>
        <w:jc w:val="both"/>
        <w:rPr>
          <w:rtl/>
        </w:rPr>
      </w:pPr>
      <w:r>
        <w:rPr>
          <w:rFonts w:hint="cs"/>
          <w:rtl/>
        </w:rPr>
        <w:t>המקרה דנן מתאים לקביעת מתחם כולל לכל העבירות והוא נע בין 9 חודשי מאסר בפועל לבין 3 שנות מאסר בפועל.</w:t>
      </w:r>
    </w:p>
    <w:p w14:paraId="7697C63F" w14:textId="77777777" w:rsidR="005805C0" w:rsidRDefault="005805C0" w:rsidP="005805C0">
      <w:pPr>
        <w:spacing w:line="360" w:lineRule="auto"/>
        <w:ind w:left="720"/>
        <w:jc w:val="both"/>
        <w:rPr>
          <w:rtl/>
        </w:rPr>
      </w:pPr>
    </w:p>
    <w:p w14:paraId="379D4EC1" w14:textId="77777777" w:rsidR="005805C0" w:rsidRDefault="005805C0" w:rsidP="005805C0">
      <w:pPr>
        <w:spacing w:line="360" w:lineRule="auto"/>
        <w:ind w:left="720"/>
        <w:jc w:val="both"/>
        <w:rPr>
          <w:rtl/>
        </w:rPr>
      </w:pPr>
      <w:r>
        <w:rPr>
          <w:rFonts w:hint="cs"/>
          <w:rtl/>
        </w:rPr>
        <w:t>באשר לקביעת העונש בתוך המתחם יש לקחת בחשבון שהנאשם הודה במרבית העבירות ולא הודה בעסקת הסחר כיוון שלא ראה את הנסיבות ככאלה שהצביעו על תשלום.</w:t>
      </w:r>
    </w:p>
    <w:p w14:paraId="28E3234C" w14:textId="77777777" w:rsidR="005805C0" w:rsidRDefault="005805C0" w:rsidP="005805C0">
      <w:pPr>
        <w:spacing w:line="360" w:lineRule="auto"/>
        <w:ind w:left="720"/>
        <w:jc w:val="both"/>
        <w:rPr>
          <w:rtl/>
        </w:rPr>
      </w:pPr>
    </w:p>
    <w:p w14:paraId="2CCDE4A4" w14:textId="77777777" w:rsidR="005805C0" w:rsidRDefault="005805C0" w:rsidP="005805C0">
      <w:pPr>
        <w:spacing w:line="360" w:lineRule="auto"/>
        <w:ind w:left="720"/>
        <w:jc w:val="both"/>
        <w:rPr>
          <w:rtl/>
        </w:rPr>
      </w:pPr>
      <w:r>
        <w:rPr>
          <w:rFonts w:hint="cs"/>
          <w:rtl/>
        </w:rPr>
        <w:t>לטעמי הנאשם הביע חרטה אמיתית על מעשיו וגם שילם מחיר זה מכבר בדמות הדחתו מהצבא ומניעת המשך השירות בקבע.</w:t>
      </w:r>
    </w:p>
    <w:p w14:paraId="71C92CBC" w14:textId="77777777" w:rsidR="005805C0" w:rsidRDefault="005805C0" w:rsidP="005805C0">
      <w:pPr>
        <w:spacing w:line="360" w:lineRule="auto"/>
        <w:ind w:left="720"/>
        <w:jc w:val="both"/>
        <w:rPr>
          <w:rtl/>
        </w:rPr>
      </w:pPr>
    </w:p>
    <w:p w14:paraId="4DC61B3D" w14:textId="77777777" w:rsidR="005805C0" w:rsidRDefault="005805C0" w:rsidP="005805C0">
      <w:pPr>
        <w:spacing w:line="360" w:lineRule="auto"/>
        <w:ind w:left="720"/>
        <w:jc w:val="both"/>
        <w:rPr>
          <w:rtl/>
        </w:rPr>
      </w:pPr>
      <w:r>
        <w:rPr>
          <w:rFonts w:hint="cs"/>
          <w:rtl/>
        </w:rPr>
        <w:t>אודה שלא ירדתי לסוף דעת שירות המבחן כאשר נראה היה כי הממצאים ובייחוד ההשתתפות המוצלחת של הנאשם בקבוצת עצורי הבית מצביעים על אדם שהוא בר שיקום מחוץ לכותלי בית הסוהר. יחד עם זאת אקח בחשבון ששירות המבחן לא הביא המלצה שיקומית בסופו של עניין.</w:t>
      </w:r>
    </w:p>
    <w:p w14:paraId="440FBF36" w14:textId="77777777" w:rsidR="005805C0" w:rsidRDefault="005805C0" w:rsidP="005805C0">
      <w:pPr>
        <w:spacing w:line="360" w:lineRule="auto"/>
        <w:ind w:left="720"/>
        <w:jc w:val="both"/>
        <w:rPr>
          <w:rtl/>
        </w:rPr>
      </w:pPr>
    </w:p>
    <w:p w14:paraId="2B276278" w14:textId="77777777" w:rsidR="005805C0" w:rsidRDefault="005805C0" w:rsidP="005805C0">
      <w:pPr>
        <w:spacing w:line="360" w:lineRule="auto"/>
        <w:ind w:left="720"/>
        <w:jc w:val="both"/>
        <w:rPr>
          <w:rtl/>
        </w:rPr>
      </w:pPr>
      <w:r>
        <w:rPr>
          <w:rFonts w:hint="cs"/>
          <w:rtl/>
        </w:rPr>
        <w:t xml:space="preserve">בהתאם לטיעוני הסנגור, אין להתעלם מהעונש שהוטל על השותף באשר לאחת העבירות המרכזיות שביצע הנאשם. </w:t>
      </w:r>
    </w:p>
    <w:p w14:paraId="20F965FE" w14:textId="77777777" w:rsidR="005805C0" w:rsidRDefault="005805C0" w:rsidP="005805C0">
      <w:pPr>
        <w:spacing w:line="360" w:lineRule="auto"/>
        <w:ind w:left="720"/>
        <w:jc w:val="both"/>
        <w:rPr>
          <w:rtl/>
        </w:rPr>
      </w:pPr>
    </w:p>
    <w:p w14:paraId="1ACA974B" w14:textId="77777777" w:rsidR="005805C0" w:rsidRDefault="005805C0" w:rsidP="005805C0">
      <w:pPr>
        <w:spacing w:line="360" w:lineRule="auto"/>
        <w:ind w:left="720"/>
        <w:jc w:val="both"/>
        <w:rPr>
          <w:b/>
          <w:bCs/>
          <w:u w:val="single"/>
          <w:rtl/>
        </w:rPr>
      </w:pPr>
      <w:r w:rsidRPr="000F471D">
        <w:rPr>
          <w:rFonts w:hint="cs"/>
          <w:b/>
          <w:bCs/>
          <w:u w:val="single"/>
          <w:rtl/>
        </w:rPr>
        <w:t xml:space="preserve">לסיכומו של דבר החלטתי להטיל על הנאשם עונשים כדלקמן: </w:t>
      </w:r>
    </w:p>
    <w:p w14:paraId="691ADFCD" w14:textId="77777777" w:rsidR="005805C0" w:rsidRDefault="005805C0" w:rsidP="005805C0">
      <w:pPr>
        <w:spacing w:line="360" w:lineRule="auto"/>
        <w:ind w:left="720"/>
        <w:jc w:val="both"/>
        <w:rPr>
          <w:b/>
          <w:bCs/>
          <w:u w:val="single"/>
          <w:rtl/>
        </w:rPr>
      </w:pPr>
    </w:p>
    <w:p w14:paraId="4708A738" w14:textId="77777777" w:rsidR="005805C0" w:rsidRDefault="005805C0" w:rsidP="005805C0">
      <w:pPr>
        <w:spacing w:line="360" w:lineRule="auto"/>
        <w:ind w:left="1440" w:hanging="720"/>
        <w:jc w:val="both"/>
        <w:rPr>
          <w:rtl/>
        </w:rPr>
      </w:pPr>
      <w:r>
        <w:rPr>
          <w:rFonts w:hint="cs"/>
          <w:b/>
          <w:bCs/>
          <w:u w:val="single"/>
          <w:rtl/>
        </w:rPr>
        <w:t>א</w:t>
      </w:r>
      <w:r>
        <w:rPr>
          <w:rtl/>
        </w:rPr>
        <w:tab/>
      </w:r>
      <w:r>
        <w:rPr>
          <w:rFonts w:hint="cs"/>
          <w:rtl/>
        </w:rPr>
        <w:t>12 חודשי מאסר בפועל. הנאשם יתייצב לתחילת ריצוי עונשו ביום 27.10.19 בבית מעצר קישון.</w:t>
      </w:r>
    </w:p>
    <w:p w14:paraId="3203F0D4" w14:textId="77777777" w:rsidR="005805C0" w:rsidRDefault="005805C0" w:rsidP="005805C0">
      <w:pPr>
        <w:spacing w:line="360" w:lineRule="auto"/>
        <w:ind w:left="1440" w:hanging="720"/>
        <w:jc w:val="both"/>
        <w:rPr>
          <w:rtl/>
        </w:rPr>
      </w:pPr>
    </w:p>
    <w:p w14:paraId="5C3AB48E" w14:textId="77777777" w:rsidR="005805C0" w:rsidRDefault="005805C0" w:rsidP="005805C0">
      <w:pPr>
        <w:spacing w:line="360" w:lineRule="auto"/>
        <w:ind w:left="1440" w:hanging="720"/>
        <w:jc w:val="both"/>
        <w:rPr>
          <w:rtl/>
        </w:rPr>
      </w:pPr>
      <w:r>
        <w:rPr>
          <w:rFonts w:hint="cs"/>
          <w:b/>
          <w:bCs/>
          <w:u w:val="single"/>
          <w:rtl/>
        </w:rPr>
        <w:t>ב</w:t>
      </w:r>
      <w:r>
        <w:rPr>
          <w:rtl/>
        </w:rPr>
        <w:tab/>
      </w:r>
      <w:r>
        <w:rPr>
          <w:rFonts w:hint="cs"/>
          <w:rtl/>
        </w:rPr>
        <w:t>12 חודשי מאסר על תנאי למשך 3 שנים מיום שחרורו כאשר התנאי יופעל במידה והנאשם יבצע עבירות נשק מסוג פשע.</w:t>
      </w:r>
    </w:p>
    <w:p w14:paraId="532D869F" w14:textId="77777777" w:rsidR="005805C0" w:rsidRDefault="005805C0" w:rsidP="005805C0">
      <w:pPr>
        <w:spacing w:line="360" w:lineRule="auto"/>
        <w:ind w:left="1440" w:hanging="720"/>
        <w:jc w:val="both"/>
        <w:rPr>
          <w:rtl/>
        </w:rPr>
      </w:pPr>
    </w:p>
    <w:p w14:paraId="14927634" w14:textId="77777777" w:rsidR="005805C0" w:rsidRPr="000F471D" w:rsidRDefault="005805C0" w:rsidP="005805C0">
      <w:pPr>
        <w:spacing w:line="360" w:lineRule="auto"/>
        <w:ind w:left="1440" w:hanging="720"/>
        <w:jc w:val="both"/>
        <w:rPr>
          <w:rtl/>
        </w:rPr>
      </w:pPr>
      <w:r>
        <w:rPr>
          <w:rFonts w:hint="cs"/>
          <w:b/>
          <w:bCs/>
          <w:u w:val="single"/>
          <w:rtl/>
        </w:rPr>
        <w:t>ג</w:t>
      </w:r>
      <w:r>
        <w:rPr>
          <w:rtl/>
        </w:rPr>
        <w:tab/>
      </w:r>
      <w:r>
        <w:rPr>
          <w:rFonts w:hint="cs"/>
          <w:rtl/>
        </w:rPr>
        <w:t xml:space="preserve">קנס בסך 2500 ₪ שישולם עד ליום 30.11.19. </w:t>
      </w:r>
    </w:p>
    <w:p w14:paraId="51CD66B5" w14:textId="77777777" w:rsidR="005805C0" w:rsidRDefault="005805C0" w:rsidP="005805C0">
      <w:pPr>
        <w:spacing w:line="360" w:lineRule="auto"/>
        <w:ind w:left="720"/>
        <w:jc w:val="both"/>
        <w:rPr>
          <w:rtl/>
        </w:rPr>
      </w:pPr>
    </w:p>
    <w:p w14:paraId="4FEA01F9" w14:textId="77777777" w:rsidR="005805C0" w:rsidRPr="00EA7EBD" w:rsidRDefault="00EA7EBD" w:rsidP="005805C0">
      <w:pPr>
        <w:rPr>
          <w:color w:val="FFFFFF"/>
          <w:sz w:val="2"/>
          <w:szCs w:val="2"/>
          <w:rtl/>
        </w:rPr>
      </w:pPr>
      <w:r w:rsidRPr="00EA7EBD">
        <w:rPr>
          <w:color w:val="FFFFFF"/>
          <w:sz w:val="2"/>
          <w:szCs w:val="2"/>
          <w:rtl/>
        </w:rPr>
        <w:t>5129371</w:t>
      </w:r>
    </w:p>
    <w:p w14:paraId="5F5A8D97" w14:textId="77777777" w:rsidR="005805C0" w:rsidRPr="00E441BB" w:rsidRDefault="00EA7EBD" w:rsidP="005805C0">
      <w:pPr>
        <w:rPr>
          <w:rFonts w:cs="FrankRuehl"/>
          <w:b/>
          <w:bCs/>
          <w:sz w:val="28"/>
          <w:szCs w:val="28"/>
          <w:rtl/>
        </w:rPr>
      </w:pPr>
      <w:bookmarkStart w:id="8" w:name="Nitan"/>
      <w:r w:rsidRPr="00E441BB">
        <w:rPr>
          <w:rFonts w:ascii="Arial" w:hAnsi="Arial"/>
          <w:b/>
          <w:bCs/>
          <w:color w:val="FFFFFF"/>
          <w:sz w:val="2"/>
          <w:szCs w:val="2"/>
          <w:rtl/>
        </w:rPr>
        <w:t>54678313</w:t>
      </w:r>
      <w:r w:rsidRPr="00E441BB">
        <w:rPr>
          <w:rFonts w:ascii="Arial" w:hAnsi="Arial"/>
          <w:b/>
          <w:bCs/>
          <w:rtl/>
        </w:rPr>
        <w:t xml:space="preserve">ניתן היום,  כ"ו אלול תשע"ט, 26 ספטמבר 2019, בנוכחות הצדדים. </w:t>
      </w:r>
      <w:bookmarkEnd w:id="8"/>
    </w:p>
    <w:p w14:paraId="2FF6B56B" w14:textId="77777777" w:rsidR="005805C0" w:rsidRDefault="005805C0" w:rsidP="00EA7EB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69AA25D" w14:textId="77777777" w:rsidR="005805C0" w:rsidRDefault="005805C0" w:rsidP="005805C0">
      <w:pPr>
        <w:jc w:val="center"/>
        <w:rPr>
          <w:rFonts w:ascii="Arial" w:hAnsi="Arial" w:cs="FrankRuehl"/>
          <w:sz w:val="28"/>
          <w:szCs w:val="28"/>
          <w:rtl/>
        </w:rPr>
      </w:pPr>
    </w:p>
    <w:p w14:paraId="1553911F" w14:textId="77777777" w:rsidR="00EA7EBD" w:rsidRDefault="00EA7EBD" w:rsidP="00EA7EBD">
      <w:pPr>
        <w:rPr>
          <w:rtl/>
        </w:rPr>
      </w:pPr>
    </w:p>
    <w:p w14:paraId="41F302BE" w14:textId="77777777" w:rsidR="00EA7EBD" w:rsidRDefault="00EA7EBD" w:rsidP="00EA7EB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22BCFA82" w14:textId="77777777" w:rsidR="002A7193" w:rsidRPr="002A7193" w:rsidRDefault="002A7193" w:rsidP="002A7193">
      <w:pPr>
        <w:keepNext/>
        <w:rPr>
          <w:rFonts w:ascii="David" w:hAnsi="David"/>
          <w:color w:val="000000"/>
          <w:sz w:val="22"/>
          <w:szCs w:val="22"/>
          <w:rtl/>
        </w:rPr>
      </w:pPr>
    </w:p>
    <w:p w14:paraId="46E30BA4" w14:textId="77777777" w:rsidR="002A7193" w:rsidRPr="002A7193" w:rsidRDefault="002A7193" w:rsidP="002A7193">
      <w:pPr>
        <w:keepNext/>
        <w:rPr>
          <w:rFonts w:ascii="David" w:hAnsi="David"/>
          <w:color w:val="000000"/>
          <w:sz w:val="22"/>
          <w:szCs w:val="22"/>
          <w:rtl/>
        </w:rPr>
      </w:pPr>
      <w:r w:rsidRPr="002A7193">
        <w:rPr>
          <w:rFonts w:ascii="David" w:hAnsi="David"/>
          <w:color w:val="000000"/>
          <w:sz w:val="22"/>
          <w:szCs w:val="22"/>
          <w:rtl/>
        </w:rPr>
        <w:t>דניאל פיש 54678313-/</w:t>
      </w:r>
    </w:p>
    <w:p w14:paraId="0F42782F" w14:textId="77777777" w:rsidR="00EA7EBD" w:rsidRPr="00EA7EBD" w:rsidRDefault="002A7193" w:rsidP="002A7193">
      <w:pPr>
        <w:rPr>
          <w:color w:val="0000FF"/>
          <w:u w:val="single"/>
        </w:rPr>
      </w:pPr>
      <w:r w:rsidRPr="002A7193">
        <w:rPr>
          <w:color w:val="000000"/>
          <w:u w:val="single"/>
          <w:rtl/>
        </w:rPr>
        <w:t>נוסח מסמך זה כפוף לשינויי ניסוח ועריכה</w:t>
      </w:r>
    </w:p>
    <w:sectPr w:rsidR="00EA7EBD" w:rsidRPr="00EA7EBD" w:rsidSect="002A7193">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0B0B5" w14:textId="77777777" w:rsidR="00105AA6" w:rsidRDefault="00105AA6" w:rsidP="007B0B8E">
      <w:r>
        <w:separator/>
      </w:r>
    </w:p>
  </w:endnote>
  <w:endnote w:type="continuationSeparator" w:id="0">
    <w:p w14:paraId="3364518D" w14:textId="77777777" w:rsidR="00105AA6" w:rsidRDefault="00105AA6" w:rsidP="007B0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A1860" w14:textId="77777777" w:rsidR="00E441BB" w:rsidRDefault="00E441BB" w:rsidP="002A71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975FC0E" w14:textId="77777777" w:rsidR="00E441BB" w:rsidRPr="002A7193" w:rsidRDefault="00E441BB" w:rsidP="002A7193">
    <w:pPr>
      <w:pStyle w:val="a5"/>
      <w:pBdr>
        <w:top w:val="single" w:sz="4" w:space="1" w:color="auto"/>
        <w:between w:val="single" w:sz="4" w:space="0" w:color="auto"/>
      </w:pBdr>
      <w:spacing w:after="60"/>
      <w:jc w:val="center"/>
      <w:rPr>
        <w:rFonts w:ascii="FrankRuehl" w:hAnsi="FrankRuehl" w:cs="FrankRuehl"/>
        <w:color w:val="000000"/>
      </w:rPr>
    </w:pPr>
    <w:r w:rsidRPr="002A71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A54D8" w14:textId="77777777" w:rsidR="00E441BB" w:rsidRDefault="00E441BB" w:rsidP="002A71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3932">
      <w:rPr>
        <w:rFonts w:ascii="FrankRuehl" w:hAnsi="FrankRuehl" w:cs="FrankRuehl"/>
        <w:noProof/>
        <w:rtl/>
      </w:rPr>
      <w:t>1</w:t>
    </w:r>
    <w:r>
      <w:rPr>
        <w:rFonts w:ascii="FrankRuehl" w:hAnsi="FrankRuehl" w:cs="FrankRuehl"/>
        <w:rtl/>
      </w:rPr>
      <w:fldChar w:fldCharType="end"/>
    </w:r>
  </w:p>
  <w:p w14:paraId="66B5AF0B" w14:textId="77777777" w:rsidR="00E441BB" w:rsidRPr="002A7193" w:rsidRDefault="00E441BB" w:rsidP="002A7193">
    <w:pPr>
      <w:pStyle w:val="a5"/>
      <w:pBdr>
        <w:top w:val="single" w:sz="4" w:space="1" w:color="auto"/>
        <w:between w:val="single" w:sz="4" w:space="0" w:color="auto"/>
      </w:pBdr>
      <w:spacing w:after="60"/>
      <w:jc w:val="center"/>
      <w:rPr>
        <w:rFonts w:ascii="FrankRuehl" w:hAnsi="FrankRuehl" w:cs="FrankRuehl"/>
        <w:color w:val="000000"/>
      </w:rPr>
    </w:pPr>
    <w:r w:rsidRPr="002A7193">
      <w:rPr>
        <w:rFonts w:ascii="FrankRuehl" w:hAnsi="FrankRuehl" w:cs="FrankRuehl"/>
        <w:color w:val="000000"/>
      </w:rPr>
      <w:pict w14:anchorId="74312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A9CB7" w14:textId="77777777" w:rsidR="00105AA6" w:rsidRDefault="00105AA6" w:rsidP="007B0B8E">
      <w:r>
        <w:separator/>
      </w:r>
    </w:p>
  </w:footnote>
  <w:footnote w:type="continuationSeparator" w:id="0">
    <w:p w14:paraId="2AB1F410" w14:textId="77777777" w:rsidR="00105AA6" w:rsidRDefault="00105AA6" w:rsidP="007B0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1AC7D" w14:textId="77777777" w:rsidR="00E441BB" w:rsidRPr="002A7193" w:rsidRDefault="00E441BB" w:rsidP="002A71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8864-08-18</w:t>
    </w:r>
    <w:r>
      <w:rPr>
        <w:rFonts w:ascii="David" w:hAnsi="David"/>
        <w:color w:val="000000"/>
        <w:sz w:val="22"/>
        <w:szCs w:val="22"/>
        <w:rtl/>
      </w:rPr>
      <w:tab/>
      <w:t xml:space="preserve"> מדינת ישראל נ' עמיר מולא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BBD5A" w14:textId="77777777" w:rsidR="00E441BB" w:rsidRPr="002A7193" w:rsidRDefault="00E441BB" w:rsidP="002A71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8864-08-18</w:t>
    </w:r>
    <w:r>
      <w:rPr>
        <w:rFonts w:ascii="David" w:hAnsi="David"/>
        <w:color w:val="000000"/>
        <w:sz w:val="22"/>
        <w:szCs w:val="22"/>
        <w:rtl/>
      </w:rPr>
      <w:tab/>
      <w:t xml:space="preserve"> מדינת ישראל נ' עמיר מולא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A7B9A"/>
    <w:multiLevelType w:val="hybridMultilevel"/>
    <w:tmpl w:val="D95E7AA6"/>
    <w:lvl w:ilvl="0" w:tplc="7EF4C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69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05C0"/>
    <w:rsid w:val="000D0665"/>
    <w:rsid w:val="00105AA6"/>
    <w:rsid w:val="001538BD"/>
    <w:rsid w:val="001F5E5B"/>
    <w:rsid w:val="002A7193"/>
    <w:rsid w:val="002E66D1"/>
    <w:rsid w:val="00313932"/>
    <w:rsid w:val="00381020"/>
    <w:rsid w:val="003B6C58"/>
    <w:rsid w:val="00461A9B"/>
    <w:rsid w:val="005805C0"/>
    <w:rsid w:val="006F6194"/>
    <w:rsid w:val="007B0B8E"/>
    <w:rsid w:val="00832CE2"/>
    <w:rsid w:val="00840E44"/>
    <w:rsid w:val="008A2E46"/>
    <w:rsid w:val="00A6439E"/>
    <w:rsid w:val="00E441BB"/>
    <w:rsid w:val="00EA7E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E5EBA5"/>
  <w15:chartTrackingRefBased/>
  <w15:docId w15:val="{DE9523A9-23C3-4618-AD5C-5BB45535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05C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05C0"/>
    <w:pPr>
      <w:tabs>
        <w:tab w:val="center" w:pos="4153"/>
        <w:tab w:val="right" w:pos="8306"/>
      </w:tabs>
    </w:pPr>
  </w:style>
  <w:style w:type="character" w:customStyle="1" w:styleId="a4">
    <w:name w:val="כותרת עליונה תו"/>
    <w:link w:val="a3"/>
    <w:rsid w:val="005805C0"/>
    <w:rPr>
      <w:rFonts w:ascii="Times New Roman" w:eastAsia="Times New Roman" w:hAnsi="Times New Roman" w:cs="David"/>
      <w:sz w:val="24"/>
      <w:szCs w:val="24"/>
    </w:rPr>
  </w:style>
  <w:style w:type="paragraph" w:styleId="a5">
    <w:name w:val="footer"/>
    <w:basedOn w:val="a"/>
    <w:link w:val="a6"/>
    <w:rsid w:val="005805C0"/>
    <w:pPr>
      <w:tabs>
        <w:tab w:val="center" w:pos="4153"/>
        <w:tab w:val="right" w:pos="8306"/>
      </w:tabs>
    </w:pPr>
  </w:style>
  <w:style w:type="character" w:customStyle="1" w:styleId="a6">
    <w:name w:val="כותרת תחתונה תו"/>
    <w:link w:val="a5"/>
    <w:rsid w:val="005805C0"/>
    <w:rPr>
      <w:rFonts w:ascii="Times New Roman" w:eastAsia="Times New Roman" w:hAnsi="Times New Roman" w:cs="David"/>
      <w:sz w:val="24"/>
      <w:szCs w:val="24"/>
    </w:rPr>
  </w:style>
  <w:style w:type="table" w:styleId="a7">
    <w:name w:val="Table Grid"/>
    <w:basedOn w:val="a1"/>
    <w:rsid w:val="005805C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805C0"/>
  </w:style>
  <w:style w:type="character" w:customStyle="1" w:styleId="TimesNewRomanTimesNewRoman">
    <w:name w:val="סגנון (לטיני) Times New Roman (עברית ושפות אחרות) Times New Roman..."/>
    <w:rsid w:val="005805C0"/>
    <w:rPr>
      <w:rFonts w:ascii="Times New Roman" w:hAnsi="Times New Roman" w:cs="David" w:hint="default"/>
      <w:b/>
      <w:bCs/>
      <w:sz w:val="26"/>
      <w:szCs w:val="26"/>
    </w:rPr>
  </w:style>
  <w:style w:type="table" w:customStyle="1" w:styleId="1">
    <w:name w:val="רשת טבלה1"/>
    <w:basedOn w:val="a1"/>
    <w:next w:val="a7"/>
    <w:rsid w:val="005805C0"/>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 Paragraph"/>
    <w:basedOn w:val="a"/>
    <w:qFormat/>
    <w:rsid w:val="005805C0"/>
    <w:pPr>
      <w:ind w:left="720"/>
      <w:contextualSpacing/>
    </w:pPr>
  </w:style>
  <w:style w:type="character" w:styleId="Hyperlink">
    <w:name w:val="Hyperlink"/>
    <w:rsid w:val="00EA7EB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384" TargetMode="External"/><Relationship Id="rId26" Type="http://schemas.openxmlformats.org/officeDocument/2006/relationships/hyperlink" Target="http://www.nevo.co.il/law/70301/338.a.5" TargetMode="External"/><Relationship Id="rId39" Type="http://schemas.openxmlformats.org/officeDocument/2006/relationships/header" Target="header2.xml"/><Relationship Id="rId21" Type="http://schemas.openxmlformats.org/officeDocument/2006/relationships/hyperlink" Target="http://www.nevo.co.il/law/70301/144.b2" TargetMode="External"/><Relationship Id="rId34" Type="http://schemas.openxmlformats.org/officeDocument/2006/relationships/hyperlink" Target="http://www.nevo.co.il/case/20219497"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4" TargetMode="External"/><Relationship Id="rId20" Type="http://schemas.openxmlformats.org/officeDocument/2006/relationships/hyperlink" Target="http://www.nevo.co.il/law/70301/144.b" TargetMode="External"/><Relationship Id="rId29" Type="http://schemas.openxmlformats.org/officeDocument/2006/relationships/hyperlink" Target="http://www.nevo.co.il/case/21474520"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 TargetMode="External"/><Relationship Id="rId24" Type="http://schemas.openxmlformats.org/officeDocument/2006/relationships/hyperlink" Target="http://www.nevo.co.il/law/4216/14;19" TargetMode="External"/><Relationship Id="rId32" Type="http://schemas.openxmlformats.org/officeDocument/2006/relationships/hyperlink" Target="http://www.nevo.co.il/case/20604405"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4216" TargetMode="External"/><Relationship Id="rId28" Type="http://schemas.openxmlformats.org/officeDocument/2006/relationships/hyperlink" Target="http://www.nevo.co.il/case/5821327" TargetMode="External"/><Relationship Id="rId36" Type="http://schemas.openxmlformats.org/officeDocument/2006/relationships/hyperlink" Target="http://www.nevo.co.il/case/2495877" TargetMode="External"/><Relationship Id="rId10" Type="http://schemas.openxmlformats.org/officeDocument/2006/relationships/hyperlink" Target="http://www.nevo.co.il/law/70301/338.a.5"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240441"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4216/6" TargetMode="External"/><Relationship Id="rId22" Type="http://schemas.openxmlformats.org/officeDocument/2006/relationships/hyperlink" Target="http://www.nevo.co.il/law/4216/6" TargetMode="External"/><Relationship Id="rId27" Type="http://schemas.openxmlformats.org/officeDocument/2006/relationships/hyperlink" Target="http://www.nevo.co.il/law/70301/340a" TargetMode="External"/><Relationship Id="rId30" Type="http://schemas.openxmlformats.org/officeDocument/2006/relationships/hyperlink" Target="http://www.nevo.co.il/case/10443017" TargetMode="External"/><Relationship Id="rId35" Type="http://schemas.openxmlformats.org/officeDocument/2006/relationships/hyperlink" Target="http://www.nevo.co.il/case/4559785" TargetMode="External"/><Relationship Id="rId43" Type="http://schemas.openxmlformats.org/officeDocument/2006/relationships/theme" Target="theme/theme1.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law/4216/19" TargetMode="External"/><Relationship Id="rId25" Type="http://schemas.openxmlformats.org/officeDocument/2006/relationships/hyperlink" Target="http://www.nevo.co.il/law/4216/7.c" TargetMode="External"/><Relationship Id="rId33" Type="http://schemas.openxmlformats.org/officeDocument/2006/relationships/hyperlink" Target="http://www.nevo.co.il/case/22815849"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1811</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10848</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3407986</vt:i4>
      </vt:variant>
      <vt:variant>
        <vt:i4>87</vt:i4>
      </vt:variant>
      <vt:variant>
        <vt:i4>0</vt:i4>
      </vt:variant>
      <vt:variant>
        <vt:i4>5</vt:i4>
      </vt:variant>
      <vt:variant>
        <vt:lpwstr>http://www.nevo.co.il/case/2495877</vt:lpwstr>
      </vt:variant>
      <vt:variant>
        <vt:lpwstr/>
      </vt:variant>
      <vt:variant>
        <vt:i4>3342448</vt:i4>
      </vt:variant>
      <vt:variant>
        <vt:i4>84</vt:i4>
      </vt:variant>
      <vt:variant>
        <vt:i4>0</vt:i4>
      </vt:variant>
      <vt:variant>
        <vt:i4>5</vt:i4>
      </vt:variant>
      <vt:variant>
        <vt:lpwstr>http://www.nevo.co.il/case/4559785</vt:lpwstr>
      </vt:variant>
      <vt:variant>
        <vt:lpwstr/>
      </vt:variant>
      <vt:variant>
        <vt:i4>3145841</vt:i4>
      </vt:variant>
      <vt:variant>
        <vt:i4>81</vt:i4>
      </vt:variant>
      <vt:variant>
        <vt:i4>0</vt:i4>
      </vt:variant>
      <vt:variant>
        <vt:i4>5</vt:i4>
      </vt:variant>
      <vt:variant>
        <vt:lpwstr>http://www.nevo.co.il/case/20219497</vt:lpwstr>
      </vt:variant>
      <vt:variant>
        <vt:lpwstr/>
      </vt:variant>
      <vt:variant>
        <vt:i4>3866751</vt:i4>
      </vt:variant>
      <vt:variant>
        <vt:i4>78</vt:i4>
      </vt:variant>
      <vt:variant>
        <vt:i4>0</vt:i4>
      </vt:variant>
      <vt:variant>
        <vt:i4>5</vt:i4>
      </vt:variant>
      <vt:variant>
        <vt:lpwstr>http://www.nevo.co.il/case/22815849</vt:lpwstr>
      </vt:variant>
      <vt:variant>
        <vt:lpwstr/>
      </vt:variant>
      <vt:variant>
        <vt:i4>3145840</vt:i4>
      </vt:variant>
      <vt:variant>
        <vt:i4>75</vt:i4>
      </vt:variant>
      <vt:variant>
        <vt:i4>0</vt:i4>
      </vt:variant>
      <vt:variant>
        <vt:i4>5</vt:i4>
      </vt:variant>
      <vt:variant>
        <vt:lpwstr>http://www.nevo.co.il/case/20604405</vt:lpwstr>
      </vt:variant>
      <vt:variant>
        <vt:lpwstr/>
      </vt:variant>
      <vt:variant>
        <vt:i4>3342450</vt:i4>
      </vt:variant>
      <vt:variant>
        <vt:i4>72</vt:i4>
      </vt:variant>
      <vt:variant>
        <vt:i4>0</vt:i4>
      </vt:variant>
      <vt:variant>
        <vt:i4>5</vt:i4>
      </vt:variant>
      <vt:variant>
        <vt:lpwstr>http://www.nevo.co.il/case/2240441</vt:lpwstr>
      </vt:variant>
      <vt:variant>
        <vt:lpwstr/>
      </vt:variant>
      <vt:variant>
        <vt:i4>3604592</vt:i4>
      </vt:variant>
      <vt:variant>
        <vt:i4>69</vt:i4>
      </vt:variant>
      <vt:variant>
        <vt:i4>0</vt:i4>
      </vt:variant>
      <vt:variant>
        <vt:i4>5</vt:i4>
      </vt:variant>
      <vt:variant>
        <vt:lpwstr>http://www.nevo.co.il/case/10443017</vt:lpwstr>
      </vt:variant>
      <vt:variant>
        <vt:lpwstr/>
      </vt:variant>
      <vt:variant>
        <vt:i4>3145847</vt:i4>
      </vt:variant>
      <vt:variant>
        <vt:i4>66</vt:i4>
      </vt:variant>
      <vt:variant>
        <vt:i4>0</vt:i4>
      </vt:variant>
      <vt:variant>
        <vt:i4>5</vt:i4>
      </vt:variant>
      <vt:variant>
        <vt:lpwstr>http://www.nevo.co.il/case/21474520</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86</vt:i4>
      </vt:variant>
      <vt:variant>
        <vt:i4>60</vt:i4>
      </vt:variant>
      <vt:variant>
        <vt:i4>0</vt:i4>
      </vt:variant>
      <vt:variant>
        <vt:i4>5</vt:i4>
      </vt:variant>
      <vt:variant>
        <vt:lpwstr>http://www.nevo.co.il/law/70301/340a</vt:lpwstr>
      </vt:variant>
      <vt:variant>
        <vt:lpwstr/>
      </vt:variant>
      <vt:variant>
        <vt:i4>6684735</vt:i4>
      </vt:variant>
      <vt:variant>
        <vt:i4>57</vt:i4>
      </vt:variant>
      <vt:variant>
        <vt:i4>0</vt:i4>
      </vt:variant>
      <vt:variant>
        <vt:i4>5</vt:i4>
      </vt:variant>
      <vt:variant>
        <vt:lpwstr>http://www.nevo.co.il/law/70301/338.a.5</vt:lpwstr>
      </vt:variant>
      <vt:variant>
        <vt:lpwstr/>
      </vt:variant>
      <vt:variant>
        <vt:i4>2752612</vt:i4>
      </vt:variant>
      <vt:variant>
        <vt:i4>54</vt:i4>
      </vt:variant>
      <vt:variant>
        <vt:i4>0</vt:i4>
      </vt:variant>
      <vt:variant>
        <vt:i4>5</vt:i4>
      </vt:variant>
      <vt:variant>
        <vt:lpwstr>http://www.nevo.co.il/law/4216/7.c</vt:lpwstr>
      </vt:variant>
      <vt:variant>
        <vt:lpwstr/>
      </vt:variant>
      <vt:variant>
        <vt:i4>5046351</vt:i4>
      </vt:variant>
      <vt:variant>
        <vt:i4>51</vt:i4>
      </vt:variant>
      <vt:variant>
        <vt:i4>0</vt:i4>
      </vt:variant>
      <vt:variant>
        <vt:i4>5</vt:i4>
      </vt:variant>
      <vt:variant>
        <vt:lpwstr>http://www.nevo.co.il/law/4216/14;19</vt:lpwstr>
      </vt:variant>
      <vt:variant>
        <vt:lpwstr/>
      </vt:variant>
      <vt:variant>
        <vt:i4>8257637</vt:i4>
      </vt:variant>
      <vt:variant>
        <vt:i4>48</vt:i4>
      </vt:variant>
      <vt:variant>
        <vt:i4>0</vt:i4>
      </vt:variant>
      <vt:variant>
        <vt:i4>5</vt:i4>
      </vt:variant>
      <vt:variant>
        <vt:lpwstr>http://www.nevo.co.il/law/4216</vt:lpwstr>
      </vt:variant>
      <vt:variant>
        <vt:lpwstr/>
      </vt:variant>
      <vt:variant>
        <vt:i4>4718666</vt:i4>
      </vt:variant>
      <vt:variant>
        <vt:i4>45</vt:i4>
      </vt:variant>
      <vt:variant>
        <vt:i4>0</vt:i4>
      </vt:variant>
      <vt:variant>
        <vt:i4>5</vt:i4>
      </vt:variant>
      <vt:variant>
        <vt:lpwstr>http://www.nevo.co.il/law/4216/6</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7143526</vt:i4>
      </vt:variant>
      <vt:variant>
        <vt:i4>33</vt:i4>
      </vt:variant>
      <vt:variant>
        <vt:i4>0</vt:i4>
      </vt:variant>
      <vt:variant>
        <vt:i4>5</vt:i4>
      </vt:variant>
      <vt:variant>
        <vt:lpwstr>http://www.nevo.co.il/law/70301/384</vt:lpwstr>
      </vt:variant>
      <vt:variant>
        <vt:lpwstr/>
      </vt:variant>
      <vt:variant>
        <vt:i4>5177418</vt:i4>
      </vt:variant>
      <vt:variant>
        <vt:i4>30</vt:i4>
      </vt:variant>
      <vt:variant>
        <vt:i4>0</vt:i4>
      </vt:variant>
      <vt:variant>
        <vt:i4>5</vt:i4>
      </vt:variant>
      <vt:variant>
        <vt:lpwstr>http://www.nevo.co.il/law/4216/19</vt:lpwstr>
      </vt:variant>
      <vt:variant>
        <vt:lpwstr/>
      </vt:variant>
      <vt:variant>
        <vt:i4>5177418</vt:i4>
      </vt:variant>
      <vt:variant>
        <vt:i4>27</vt:i4>
      </vt:variant>
      <vt:variant>
        <vt:i4>0</vt:i4>
      </vt:variant>
      <vt:variant>
        <vt:i4>5</vt:i4>
      </vt:variant>
      <vt:variant>
        <vt:lpwstr>http://www.nevo.co.il/law/4216/14</vt:lpwstr>
      </vt:variant>
      <vt:variant>
        <vt:lpwstr/>
      </vt:variant>
      <vt:variant>
        <vt:i4>2752612</vt:i4>
      </vt:variant>
      <vt:variant>
        <vt:i4>24</vt:i4>
      </vt:variant>
      <vt:variant>
        <vt:i4>0</vt:i4>
      </vt:variant>
      <vt:variant>
        <vt:i4>5</vt:i4>
      </vt:variant>
      <vt:variant>
        <vt:lpwstr>http://www.nevo.co.il/law/4216/7.c</vt:lpwstr>
      </vt:variant>
      <vt:variant>
        <vt:lpwstr/>
      </vt:variant>
      <vt:variant>
        <vt:i4>4718666</vt:i4>
      </vt:variant>
      <vt:variant>
        <vt:i4>21</vt:i4>
      </vt:variant>
      <vt:variant>
        <vt:i4>0</vt:i4>
      </vt:variant>
      <vt:variant>
        <vt:i4>5</vt:i4>
      </vt:variant>
      <vt:variant>
        <vt:lpwstr>http://www.nevo.co.il/law/4216/6</vt:lpwstr>
      </vt:variant>
      <vt:variant>
        <vt:lpwstr/>
      </vt:variant>
      <vt:variant>
        <vt:i4>8257637</vt:i4>
      </vt:variant>
      <vt:variant>
        <vt:i4>18</vt:i4>
      </vt:variant>
      <vt:variant>
        <vt:i4>0</vt:i4>
      </vt:variant>
      <vt:variant>
        <vt:i4>5</vt:i4>
      </vt:variant>
      <vt:variant>
        <vt:lpwstr>http://www.nevo.co.il/law/4216</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86</vt:i4>
      </vt:variant>
      <vt:variant>
        <vt:i4>12</vt:i4>
      </vt:variant>
      <vt:variant>
        <vt:i4>0</vt:i4>
      </vt:variant>
      <vt:variant>
        <vt:i4>5</vt:i4>
      </vt:variant>
      <vt:variant>
        <vt:lpwstr>http://www.nevo.co.il/law/70301/340a</vt:lpwstr>
      </vt:variant>
      <vt:variant>
        <vt:lpwstr/>
      </vt:variant>
      <vt:variant>
        <vt:i4>6684735</vt:i4>
      </vt:variant>
      <vt:variant>
        <vt:i4>9</vt:i4>
      </vt:variant>
      <vt:variant>
        <vt:i4>0</vt:i4>
      </vt:variant>
      <vt:variant>
        <vt:i4>5</vt:i4>
      </vt:variant>
      <vt:variant>
        <vt:lpwstr>http://www.nevo.co.il/law/70301/338.a.5</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2025-01-19T16:24:00Z</dcterms:created>
  <dcterms:modified xsi:type="dcterms:W3CDTF">2025-01-19T16:24:00Z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8864</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עמיר מולא </vt:lpwstr>
  </property>
  <property fmtid="{D5CDD505-2E9C-101B-9397-08002B2CF9AE}" pid="10" name="LAWYER">
    <vt:lpwstr>קרן לביא;עדאל דבאח</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20190926</vt:lpwstr>
  </property>
  <property fmtid="{D5CDD505-2E9C-101B-9397-08002B2CF9AE}" pid="14" name="TYPE_N_DATE">
    <vt:lpwstr>39020190926</vt:lpwstr>
  </property>
  <property fmtid="{D5CDD505-2E9C-101B-9397-08002B2CF9AE}" pid="15" name="WORDNUMPAGES">
    <vt:lpwstr>6</vt:lpwstr>
  </property>
  <property fmtid="{D5CDD505-2E9C-101B-9397-08002B2CF9AE}" pid="16" name="TYPE_ABS_DATE">
    <vt:lpwstr>390120190926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5821327;21474520;10443017;2240441;20604405;22815849;20219497;4559785;2495877</vt:lpwstr>
  </property>
  <property fmtid="{D5CDD505-2E9C-101B-9397-08002B2CF9AE}" pid="36" name="LAWLISTTMP1">
    <vt:lpwstr>70301/384;144.b;144.b2;338.a.5;340a</vt:lpwstr>
  </property>
  <property fmtid="{D5CDD505-2E9C-101B-9397-08002B2CF9AE}" pid="37" name="LAWLISTTMP2">
    <vt:lpwstr>4216/006;014;019;007.c</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עבירות נשק</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20191124</vt:lpwstr>
  </property>
  <property fmtid="{D5CDD505-2E9C-101B-9397-08002B2CF9AE}" pid="72" name="METAKZER">
    <vt:lpwstr>מיכל</vt:lpwstr>
  </property>
</Properties>
</file>