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47090" w:rsidRPr="00DD560F" w14:paraId="3A6E41B9" w14:textId="77777777" w:rsidTr="00613C57">
        <w:trPr>
          <w:trHeight w:hRule="exact" w:val="418"/>
          <w:jc w:val="center"/>
        </w:trPr>
        <w:tc>
          <w:tcPr>
            <w:tcW w:w="8721" w:type="dxa"/>
            <w:gridSpan w:val="2"/>
          </w:tcPr>
          <w:p w14:paraId="70745859" w14:textId="77777777" w:rsidR="00E47090" w:rsidRPr="00DD560F" w:rsidRDefault="00E47090" w:rsidP="004250CB">
            <w:pPr>
              <w:pStyle w:val="a3"/>
              <w:jc w:val="center"/>
              <w:rPr>
                <w:rFonts w:ascii="Tahoma" w:hAnsi="Tahoma" w:cs="Tahoma"/>
                <w:color w:val="000080"/>
                <w:rtl/>
              </w:rPr>
            </w:pPr>
            <w:r w:rsidRPr="00DD560F">
              <w:rPr>
                <w:rFonts w:ascii="Tahoma" w:hAnsi="Tahoma" w:cs="Tahoma"/>
                <w:b/>
                <w:bCs/>
                <w:color w:val="000080"/>
                <w:rtl/>
              </w:rPr>
              <w:t>בית המשפט המחוזי בחיפה</w:t>
            </w:r>
          </w:p>
        </w:tc>
      </w:tr>
      <w:tr w:rsidR="00E47090" w:rsidRPr="00DD560F" w14:paraId="362BAF73" w14:textId="77777777" w:rsidTr="00613C57">
        <w:trPr>
          <w:trHeight w:val="337"/>
          <w:jc w:val="center"/>
        </w:trPr>
        <w:tc>
          <w:tcPr>
            <w:tcW w:w="5057" w:type="dxa"/>
          </w:tcPr>
          <w:p w14:paraId="32DC258F" w14:textId="77777777" w:rsidR="00E47090" w:rsidRPr="00DD560F" w:rsidRDefault="00E47090" w:rsidP="004250CB">
            <w:pPr>
              <w:rPr>
                <w:rFonts w:cs="FrankRuehl"/>
                <w:sz w:val="28"/>
                <w:szCs w:val="28"/>
                <w:rtl/>
              </w:rPr>
            </w:pPr>
            <w:r w:rsidRPr="00DD560F">
              <w:rPr>
                <w:rFonts w:cs="FrankRuehl"/>
                <w:sz w:val="28"/>
                <w:szCs w:val="28"/>
                <w:rtl/>
              </w:rPr>
              <w:t>תפ"ח</w:t>
            </w:r>
            <w:r w:rsidRPr="00DD560F">
              <w:rPr>
                <w:rFonts w:cs="FrankRuehl" w:hint="cs"/>
                <w:sz w:val="28"/>
                <w:szCs w:val="28"/>
                <w:rtl/>
              </w:rPr>
              <w:t xml:space="preserve"> </w:t>
            </w:r>
            <w:r w:rsidRPr="00DD560F">
              <w:rPr>
                <w:rFonts w:cs="FrankRuehl"/>
                <w:sz w:val="28"/>
                <w:szCs w:val="28"/>
                <w:rtl/>
              </w:rPr>
              <w:t>15153-09-18</w:t>
            </w:r>
            <w:r w:rsidRPr="00DD560F">
              <w:rPr>
                <w:rFonts w:cs="FrankRuehl" w:hint="cs"/>
                <w:sz w:val="28"/>
                <w:szCs w:val="28"/>
                <w:rtl/>
              </w:rPr>
              <w:t xml:space="preserve"> </w:t>
            </w:r>
            <w:r w:rsidRPr="00DD560F">
              <w:rPr>
                <w:rFonts w:cs="FrankRuehl"/>
                <w:sz w:val="28"/>
                <w:szCs w:val="28"/>
                <w:rtl/>
              </w:rPr>
              <w:t>מדינת ישראל נ' כהנא(עציר) ואח'</w:t>
            </w:r>
          </w:p>
          <w:p w14:paraId="4299A023" w14:textId="77777777" w:rsidR="00E47090" w:rsidRPr="00DD560F" w:rsidRDefault="00E47090" w:rsidP="004250CB">
            <w:pPr>
              <w:pStyle w:val="a3"/>
              <w:rPr>
                <w:rFonts w:cs="FrankRuehl"/>
                <w:sz w:val="28"/>
                <w:szCs w:val="28"/>
                <w:rtl/>
              </w:rPr>
            </w:pPr>
          </w:p>
        </w:tc>
        <w:tc>
          <w:tcPr>
            <w:tcW w:w="3664" w:type="dxa"/>
          </w:tcPr>
          <w:p w14:paraId="1AA1399B" w14:textId="77777777" w:rsidR="00E47090" w:rsidRPr="00DD560F" w:rsidRDefault="00E47090" w:rsidP="004250CB">
            <w:pPr>
              <w:pStyle w:val="a3"/>
              <w:jc w:val="right"/>
              <w:rPr>
                <w:rFonts w:cs="FrankRuehl"/>
                <w:sz w:val="28"/>
                <w:szCs w:val="28"/>
                <w:rtl/>
              </w:rPr>
            </w:pPr>
          </w:p>
        </w:tc>
      </w:tr>
    </w:tbl>
    <w:p w14:paraId="44F694D6" w14:textId="77777777" w:rsidR="00E47090" w:rsidRPr="00DD560F" w:rsidRDefault="00E47090" w:rsidP="00613C57">
      <w:pPr>
        <w:pStyle w:val="a3"/>
        <w:rPr>
          <w:rFonts w:ascii="David" w:hAnsi="David"/>
          <w:sz w:val="6"/>
          <w:szCs w:val="6"/>
          <w:rtl/>
        </w:rPr>
      </w:pPr>
      <w:r w:rsidRPr="00DD560F">
        <w:rPr>
          <w:rFonts w:hint="cs"/>
          <w:rtl/>
        </w:rPr>
        <w:t xml:space="preserve"> </w:t>
      </w:r>
    </w:p>
    <w:p w14:paraId="42B8A936" w14:textId="77777777" w:rsidR="00E47090" w:rsidRPr="00DD560F" w:rsidRDefault="00E47090" w:rsidP="00E47090">
      <w:pPr>
        <w:spacing w:line="360" w:lineRule="auto"/>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E47090" w:rsidRPr="00DD560F" w14:paraId="5E414127" w14:textId="77777777" w:rsidTr="00E47090">
        <w:trPr>
          <w:gridAfter w:val="1"/>
          <w:wAfter w:w="56" w:type="dxa"/>
        </w:trPr>
        <w:tc>
          <w:tcPr>
            <w:tcW w:w="8718" w:type="dxa"/>
            <w:gridSpan w:val="2"/>
            <w:shd w:val="clear" w:color="auto" w:fill="auto"/>
          </w:tcPr>
          <w:p w14:paraId="414063CB" w14:textId="77777777" w:rsidR="00E47090" w:rsidRPr="00DD560F" w:rsidRDefault="00E47090" w:rsidP="004250CB">
            <w:pPr>
              <w:rPr>
                <w:rFonts w:ascii="David" w:hAnsi="David"/>
                <w:b/>
                <w:bCs/>
                <w:sz w:val="26"/>
                <w:szCs w:val="26"/>
                <w:rtl/>
              </w:rPr>
            </w:pPr>
            <w:r w:rsidRPr="00DD560F">
              <w:rPr>
                <w:rFonts w:ascii="David" w:hAnsi="David"/>
                <w:b/>
                <w:bCs/>
                <w:sz w:val="26"/>
                <w:szCs w:val="26"/>
                <w:rtl/>
              </w:rPr>
              <w:t>לפני הרכב כבוד השופטים:</w:t>
            </w:r>
            <w:r w:rsidRPr="00DD560F">
              <w:rPr>
                <w:rFonts w:ascii="David" w:hAnsi="David"/>
                <w:b/>
                <w:bCs/>
                <w:sz w:val="26"/>
                <w:szCs w:val="26"/>
                <w:rtl/>
              </w:rPr>
              <w:br/>
              <w:t>יחיאל ליפשיץ, [אב"ד]</w:t>
            </w:r>
            <w:r w:rsidRPr="00DD560F">
              <w:rPr>
                <w:rFonts w:ascii="David" w:hAnsi="David"/>
                <w:b/>
                <w:bCs/>
                <w:sz w:val="26"/>
                <w:szCs w:val="26"/>
                <w:rtl/>
              </w:rPr>
              <w:br/>
              <w:t xml:space="preserve">גלית ציגלר,  </w:t>
            </w:r>
            <w:r w:rsidRPr="00DD560F">
              <w:rPr>
                <w:rFonts w:ascii="David" w:hAnsi="David"/>
                <w:b/>
                <w:bCs/>
                <w:sz w:val="26"/>
                <w:szCs w:val="26"/>
                <w:rtl/>
              </w:rPr>
              <w:br/>
              <w:t>שמואל מנדלבום</w:t>
            </w:r>
          </w:p>
        </w:tc>
      </w:tr>
      <w:tr w:rsidR="00E47090" w:rsidRPr="00DD560F" w14:paraId="374B9C51" w14:textId="77777777" w:rsidTr="00E47090">
        <w:trPr>
          <w:cantSplit/>
          <w:trHeight w:val="724"/>
        </w:trPr>
        <w:tc>
          <w:tcPr>
            <w:tcW w:w="2880" w:type="dxa"/>
            <w:shd w:val="clear" w:color="auto" w:fill="auto"/>
          </w:tcPr>
          <w:p w14:paraId="086D7047" w14:textId="77777777" w:rsidR="00E47090" w:rsidRPr="00DD560F" w:rsidRDefault="00E47090" w:rsidP="00E47090">
            <w:pPr>
              <w:ind w:left="26"/>
              <w:rPr>
                <w:rFonts w:ascii="David" w:hAnsi="David"/>
                <w:b/>
                <w:bCs/>
                <w:sz w:val="26"/>
                <w:szCs w:val="26"/>
                <w:rtl/>
              </w:rPr>
            </w:pPr>
            <w:bookmarkStart w:id="0" w:name="FirstAppellant"/>
            <w:bookmarkStart w:id="1" w:name="LastJudge"/>
            <w:bookmarkEnd w:id="1"/>
          </w:p>
          <w:p w14:paraId="697917FA" w14:textId="77777777" w:rsidR="00E47090" w:rsidRPr="00DD560F" w:rsidRDefault="00E47090" w:rsidP="00E47090">
            <w:pPr>
              <w:ind w:left="26"/>
              <w:rPr>
                <w:rFonts w:ascii="David" w:hAnsi="David"/>
                <w:b/>
                <w:bCs/>
                <w:sz w:val="26"/>
                <w:szCs w:val="26"/>
                <w:rtl/>
              </w:rPr>
            </w:pPr>
            <w:r w:rsidRPr="00DD560F">
              <w:rPr>
                <w:rFonts w:ascii="David" w:hAnsi="David"/>
                <w:b/>
                <w:bCs/>
                <w:sz w:val="26"/>
                <w:szCs w:val="26"/>
                <w:rtl/>
              </w:rPr>
              <w:t>המאשימה</w:t>
            </w:r>
          </w:p>
        </w:tc>
        <w:tc>
          <w:tcPr>
            <w:tcW w:w="5922" w:type="dxa"/>
            <w:gridSpan w:val="2"/>
            <w:shd w:val="clear" w:color="auto" w:fill="auto"/>
          </w:tcPr>
          <w:p w14:paraId="6599B6E6" w14:textId="77777777" w:rsidR="00E47090" w:rsidRPr="00DD560F" w:rsidRDefault="00E47090" w:rsidP="004250CB">
            <w:pPr>
              <w:rPr>
                <w:rFonts w:ascii="David" w:hAnsi="David"/>
                <w:rtl/>
              </w:rPr>
            </w:pPr>
          </w:p>
          <w:p w14:paraId="550A70AB" w14:textId="77777777" w:rsidR="00E47090" w:rsidRPr="00DD560F" w:rsidRDefault="00E47090" w:rsidP="004250CB">
            <w:pPr>
              <w:rPr>
                <w:rFonts w:ascii="David" w:hAnsi="David"/>
                <w:b/>
                <w:bCs/>
                <w:sz w:val="26"/>
                <w:szCs w:val="26"/>
                <w:rtl/>
              </w:rPr>
            </w:pPr>
            <w:r w:rsidRPr="00DD560F">
              <w:rPr>
                <w:rFonts w:ascii="David" w:hAnsi="David"/>
                <w:rtl/>
              </w:rPr>
              <w:t xml:space="preserve"> </w:t>
            </w:r>
            <w:r w:rsidRPr="00DD560F">
              <w:rPr>
                <w:rFonts w:ascii="David" w:hAnsi="David"/>
                <w:b/>
                <w:bCs/>
                <w:sz w:val="26"/>
                <w:szCs w:val="26"/>
                <w:rtl/>
              </w:rPr>
              <w:t>מדינת ישראל</w:t>
            </w:r>
          </w:p>
          <w:p w14:paraId="0C91252B" w14:textId="77777777" w:rsidR="00E47090" w:rsidRPr="00DD560F" w:rsidRDefault="00E47090" w:rsidP="004250CB">
            <w:pPr>
              <w:rPr>
                <w:rFonts w:ascii="David" w:hAnsi="David"/>
                <w:b/>
                <w:bCs/>
                <w:sz w:val="26"/>
                <w:szCs w:val="26"/>
                <w:rtl/>
              </w:rPr>
            </w:pPr>
          </w:p>
        </w:tc>
      </w:tr>
      <w:bookmarkEnd w:id="0"/>
      <w:tr w:rsidR="00E47090" w:rsidRPr="00DD560F" w14:paraId="7C33BBBB" w14:textId="77777777" w:rsidTr="00E47090">
        <w:tc>
          <w:tcPr>
            <w:tcW w:w="8802" w:type="dxa"/>
            <w:gridSpan w:val="3"/>
            <w:shd w:val="clear" w:color="auto" w:fill="auto"/>
            <w:vAlign w:val="center"/>
          </w:tcPr>
          <w:p w14:paraId="6AB8A404" w14:textId="77777777" w:rsidR="00E47090" w:rsidRPr="00DD560F" w:rsidRDefault="00E47090" w:rsidP="004250CB">
            <w:pPr>
              <w:rPr>
                <w:rFonts w:ascii="David" w:hAnsi="David"/>
                <w:b/>
                <w:bCs/>
                <w:sz w:val="26"/>
                <w:szCs w:val="26"/>
                <w:rtl/>
              </w:rPr>
            </w:pPr>
          </w:p>
          <w:p w14:paraId="4879306D" w14:textId="77777777" w:rsidR="00E47090" w:rsidRPr="00DD560F" w:rsidRDefault="00E47090" w:rsidP="004250CB">
            <w:pPr>
              <w:rPr>
                <w:rFonts w:ascii="David" w:hAnsi="David"/>
                <w:b/>
                <w:bCs/>
                <w:sz w:val="26"/>
                <w:szCs w:val="26"/>
                <w:rtl/>
              </w:rPr>
            </w:pPr>
            <w:r w:rsidRPr="00DD560F">
              <w:rPr>
                <w:rFonts w:ascii="David" w:hAnsi="David"/>
                <w:b/>
                <w:bCs/>
                <w:sz w:val="26"/>
                <w:szCs w:val="26"/>
                <w:rtl/>
              </w:rPr>
              <w:t>נגד</w:t>
            </w:r>
          </w:p>
          <w:p w14:paraId="6C43B2EA" w14:textId="77777777" w:rsidR="00E47090" w:rsidRPr="00DD560F" w:rsidRDefault="00E47090" w:rsidP="004250CB">
            <w:pPr>
              <w:rPr>
                <w:rFonts w:ascii="David" w:hAnsi="David"/>
                <w:b/>
                <w:bCs/>
                <w:sz w:val="26"/>
                <w:szCs w:val="26"/>
                <w:rtl/>
              </w:rPr>
            </w:pPr>
          </w:p>
        </w:tc>
      </w:tr>
      <w:tr w:rsidR="00E47090" w:rsidRPr="00DD560F" w14:paraId="150BAEA8" w14:textId="77777777" w:rsidTr="00E47090">
        <w:tc>
          <w:tcPr>
            <w:tcW w:w="2880" w:type="dxa"/>
            <w:shd w:val="clear" w:color="auto" w:fill="auto"/>
          </w:tcPr>
          <w:p w14:paraId="67B5F788" w14:textId="77777777" w:rsidR="00E47090" w:rsidRPr="00DD560F" w:rsidRDefault="00E47090" w:rsidP="00E47090">
            <w:pPr>
              <w:ind w:left="26"/>
              <w:rPr>
                <w:rFonts w:ascii="David" w:hAnsi="David"/>
                <w:b/>
                <w:bCs/>
                <w:sz w:val="26"/>
                <w:szCs w:val="26"/>
                <w:rtl/>
              </w:rPr>
            </w:pPr>
            <w:r w:rsidRPr="00DD560F">
              <w:rPr>
                <w:rFonts w:ascii="David" w:hAnsi="David"/>
                <w:b/>
                <w:bCs/>
                <w:sz w:val="26"/>
                <w:szCs w:val="26"/>
                <w:rtl/>
              </w:rPr>
              <w:t>הנאשמים</w:t>
            </w:r>
          </w:p>
        </w:tc>
        <w:tc>
          <w:tcPr>
            <w:tcW w:w="5922" w:type="dxa"/>
            <w:gridSpan w:val="2"/>
            <w:shd w:val="clear" w:color="auto" w:fill="auto"/>
          </w:tcPr>
          <w:p w14:paraId="4AE60D53" w14:textId="77777777" w:rsidR="00E47090" w:rsidRPr="00DD560F" w:rsidRDefault="00E47090" w:rsidP="004250CB">
            <w:pPr>
              <w:rPr>
                <w:rFonts w:ascii="David" w:hAnsi="David"/>
                <w:b/>
                <w:bCs/>
                <w:sz w:val="26"/>
                <w:szCs w:val="26"/>
                <w:rtl/>
              </w:rPr>
            </w:pPr>
            <w:r w:rsidRPr="00DD560F">
              <w:rPr>
                <w:rFonts w:ascii="David" w:hAnsi="David"/>
                <w:b/>
                <w:bCs/>
                <w:sz w:val="26"/>
                <w:szCs w:val="26"/>
              </w:rPr>
              <w:t>.1</w:t>
            </w:r>
            <w:r w:rsidRPr="00DD560F">
              <w:rPr>
                <w:rFonts w:ascii="David" w:hAnsi="David"/>
                <w:rtl/>
              </w:rPr>
              <w:t xml:space="preserve"> </w:t>
            </w:r>
            <w:r w:rsidRPr="00DD560F">
              <w:rPr>
                <w:rFonts w:ascii="David" w:hAnsi="David"/>
                <w:b/>
                <w:bCs/>
                <w:sz w:val="26"/>
                <w:szCs w:val="26"/>
                <w:rtl/>
              </w:rPr>
              <w:t>מאור כהנא (עציר)</w:t>
            </w:r>
            <w:r w:rsidRPr="00DD560F">
              <w:rPr>
                <w:rFonts w:ascii="David" w:hAnsi="David"/>
                <w:rtl/>
              </w:rPr>
              <w:t xml:space="preserve"> </w:t>
            </w:r>
            <w:r w:rsidRPr="00DD560F">
              <w:rPr>
                <w:rFonts w:ascii="David" w:hAnsi="David"/>
                <w:b/>
                <w:bCs/>
                <w:sz w:val="26"/>
                <w:szCs w:val="26"/>
                <w:rtl/>
              </w:rPr>
              <w:t xml:space="preserve">ת.ז.  </w:t>
            </w:r>
            <w:r w:rsidR="00DD560F">
              <w:rPr>
                <w:rFonts w:ascii="David" w:hAnsi="David"/>
                <w:b/>
                <w:bCs/>
                <w:sz w:val="26"/>
                <w:szCs w:val="26"/>
              </w:rPr>
              <w:t>xxxxxxxxxx</w:t>
            </w:r>
          </w:p>
          <w:p w14:paraId="7699F8B9" w14:textId="77777777" w:rsidR="00E47090" w:rsidRPr="00DD560F" w:rsidRDefault="00E47090" w:rsidP="004250CB">
            <w:pPr>
              <w:rPr>
                <w:rFonts w:ascii="David" w:hAnsi="David"/>
                <w:b/>
                <w:bCs/>
                <w:sz w:val="26"/>
                <w:szCs w:val="26"/>
                <w:rtl/>
              </w:rPr>
            </w:pPr>
          </w:p>
          <w:p w14:paraId="0BE7CDAB" w14:textId="77777777" w:rsidR="00E47090" w:rsidRPr="00DD560F" w:rsidRDefault="00E47090" w:rsidP="004250CB">
            <w:pPr>
              <w:rPr>
                <w:rFonts w:ascii="David" w:hAnsi="David"/>
                <w:b/>
                <w:bCs/>
                <w:sz w:val="26"/>
                <w:szCs w:val="26"/>
                <w:rtl/>
              </w:rPr>
            </w:pPr>
            <w:r w:rsidRPr="00DD560F">
              <w:rPr>
                <w:rFonts w:ascii="David" w:hAnsi="David"/>
                <w:b/>
                <w:bCs/>
                <w:sz w:val="26"/>
                <w:szCs w:val="26"/>
              </w:rPr>
              <w:t>.2</w:t>
            </w:r>
            <w:r w:rsidRPr="00DD560F">
              <w:rPr>
                <w:rFonts w:ascii="David" w:hAnsi="David"/>
                <w:rtl/>
              </w:rPr>
              <w:t xml:space="preserve"> </w:t>
            </w:r>
            <w:r w:rsidRPr="00DD560F">
              <w:rPr>
                <w:rFonts w:ascii="David" w:hAnsi="David"/>
                <w:b/>
                <w:bCs/>
                <w:sz w:val="26"/>
                <w:szCs w:val="26"/>
                <w:rtl/>
              </w:rPr>
              <w:t>אריאל ורדינאן (עציר)</w:t>
            </w:r>
            <w:r w:rsidRPr="00DD560F">
              <w:rPr>
                <w:rFonts w:ascii="David" w:hAnsi="David"/>
                <w:rtl/>
              </w:rPr>
              <w:t xml:space="preserve"> </w:t>
            </w:r>
            <w:r w:rsidRPr="00DD560F">
              <w:rPr>
                <w:rFonts w:ascii="David" w:hAnsi="David"/>
                <w:b/>
                <w:bCs/>
                <w:sz w:val="26"/>
                <w:szCs w:val="26"/>
                <w:rtl/>
              </w:rPr>
              <w:t xml:space="preserve">ת.ז.  </w:t>
            </w:r>
            <w:r w:rsidR="00DD560F">
              <w:rPr>
                <w:rFonts w:ascii="David" w:hAnsi="David"/>
                <w:b/>
                <w:bCs/>
                <w:sz w:val="26"/>
                <w:szCs w:val="26"/>
              </w:rPr>
              <w:t>xxxxxxxxxx</w:t>
            </w:r>
          </w:p>
          <w:p w14:paraId="56C9C15B" w14:textId="77777777" w:rsidR="00E47090" w:rsidRPr="00DD560F" w:rsidRDefault="00E47090" w:rsidP="004250CB">
            <w:pPr>
              <w:rPr>
                <w:rFonts w:ascii="David" w:hAnsi="David"/>
                <w:b/>
                <w:bCs/>
                <w:sz w:val="26"/>
                <w:szCs w:val="26"/>
                <w:rtl/>
              </w:rPr>
            </w:pPr>
          </w:p>
        </w:tc>
      </w:tr>
    </w:tbl>
    <w:p w14:paraId="7C381A66" w14:textId="77777777" w:rsidR="00613C57" w:rsidRDefault="00E47090" w:rsidP="00E47090">
      <w:pPr>
        <w:spacing w:line="360" w:lineRule="auto"/>
        <w:rPr>
          <w:rFonts w:ascii="David" w:hAnsi="David"/>
          <w:sz w:val="6"/>
          <w:szCs w:val="6"/>
          <w:rtl/>
        </w:rPr>
      </w:pPr>
      <w:r w:rsidRPr="00DD560F">
        <w:rPr>
          <w:rFonts w:ascii="David" w:hAnsi="David"/>
          <w:sz w:val="6"/>
          <w:szCs w:val="6"/>
          <w:rtl/>
        </w:rPr>
        <w:t>&lt;#2#&gt;</w:t>
      </w:r>
    </w:p>
    <w:p w14:paraId="0F59C42D" w14:textId="77777777" w:rsidR="00613C57" w:rsidRPr="00613C57" w:rsidRDefault="00613C57" w:rsidP="00613C57">
      <w:pPr>
        <w:spacing w:after="120" w:line="240" w:lineRule="exact"/>
        <w:ind w:left="283" w:hanging="283"/>
        <w:jc w:val="both"/>
        <w:rPr>
          <w:rFonts w:ascii="FrankRuehl" w:hAnsi="FrankRuehl" w:cs="FrankRuehl"/>
          <w:rtl/>
        </w:rPr>
      </w:pPr>
    </w:p>
    <w:p w14:paraId="01C7B56A" w14:textId="77777777" w:rsidR="00FF3618" w:rsidRDefault="00FF3618" w:rsidP="00FF3618">
      <w:pPr>
        <w:rPr>
          <w:rFonts w:ascii="Arial" w:hAnsi="Arial"/>
          <w:sz w:val="26"/>
          <w:szCs w:val="26"/>
          <w:rtl/>
        </w:rPr>
      </w:pPr>
      <w:bookmarkStart w:id="2" w:name="LawTable"/>
      <w:bookmarkEnd w:id="2"/>
    </w:p>
    <w:p w14:paraId="6587466C" w14:textId="77777777" w:rsidR="00FF3618" w:rsidRPr="00FF3618" w:rsidRDefault="00FF3618" w:rsidP="00FF3618">
      <w:pPr>
        <w:spacing w:before="120" w:after="120" w:line="240" w:lineRule="exact"/>
        <w:ind w:left="283" w:hanging="283"/>
        <w:jc w:val="both"/>
        <w:rPr>
          <w:rFonts w:ascii="FrankRuehl" w:hAnsi="FrankRuehl" w:cs="FrankRuehl"/>
          <w:rtl/>
        </w:rPr>
      </w:pPr>
    </w:p>
    <w:p w14:paraId="11A58FCE" w14:textId="77777777" w:rsidR="00FF3618" w:rsidRPr="00FF3618" w:rsidRDefault="00FF3618" w:rsidP="00FF3618">
      <w:pPr>
        <w:spacing w:before="120" w:after="120" w:line="240" w:lineRule="exact"/>
        <w:ind w:left="283" w:hanging="283"/>
        <w:jc w:val="both"/>
        <w:rPr>
          <w:rFonts w:ascii="FrankRuehl" w:hAnsi="FrankRuehl" w:cs="FrankRuehl"/>
          <w:rtl/>
        </w:rPr>
      </w:pPr>
    </w:p>
    <w:p w14:paraId="178A91E7" w14:textId="77777777" w:rsidR="00FF3618" w:rsidRPr="00FF3618" w:rsidRDefault="00FF3618" w:rsidP="00FF3618">
      <w:pPr>
        <w:spacing w:before="120" w:after="120" w:line="240" w:lineRule="exact"/>
        <w:ind w:left="283" w:hanging="283"/>
        <w:jc w:val="both"/>
        <w:rPr>
          <w:rFonts w:ascii="FrankRuehl" w:hAnsi="FrankRuehl" w:cs="FrankRuehl"/>
          <w:rtl/>
        </w:rPr>
      </w:pPr>
      <w:r w:rsidRPr="00FF3618">
        <w:rPr>
          <w:rFonts w:ascii="FrankRuehl" w:hAnsi="FrankRuehl" w:cs="FrankRuehl"/>
          <w:rtl/>
        </w:rPr>
        <w:t xml:space="preserve">חקיקה שאוזכרה: </w:t>
      </w:r>
    </w:p>
    <w:p w14:paraId="3A0C0A02" w14:textId="77777777" w:rsidR="00FF3618" w:rsidRPr="00FF3618" w:rsidRDefault="00FF3618" w:rsidP="00FF3618">
      <w:pPr>
        <w:spacing w:before="120" w:after="120" w:line="240" w:lineRule="exact"/>
        <w:ind w:left="283" w:hanging="283"/>
        <w:jc w:val="both"/>
        <w:rPr>
          <w:rFonts w:ascii="FrankRuehl" w:hAnsi="FrankRuehl" w:cs="FrankRuehl"/>
          <w:rtl/>
        </w:rPr>
      </w:pPr>
      <w:hyperlink r:id="rId6" w:history="1">
        <w:r w:rsidRPr="00FF3618">
          <w:rPr>
            <w:rFonts w:ascii="FrankRuehl" w:hAnsi="FrankRuehl" w:cs="FrankRuehl"/>
            <w:color w:val="0000FF"/>
            <w:rtl/>
          </w:rPr>
          <w:t>חוק העונשין, תשל"ז-1977</w:t>
        </w:r>
      </w:hyperlink>
      <w:r w:rsidRPr="00FF3618">
        <w:rPr>
          <w:rFonts w:ascii="FrankRuehl" w:hAnsi="FrankRuehl" w:cs="FrankRuehl"/>
          <w:rtl/>
        </w:rPr>
        <w:t xml:space="preserve">: סע'  </w:t>
      </w:r>
      <w:hyperlink r:id="rId7" w:history="1">
        <w:r w:rsidRPr="00FF3618">
          <w:rPr>
            <w:rFonts w:ascii="FrankRuehl" w:hAnsi="FrankRuehl" w:cs="FrankRuehl"/>
            <w:color w:val="0000FF"/>
            <w:rtl/>
          </w:rPr>
          <w:t>29</w:t>
        </w:r>
      </w:hyperlink>
      <w:r w:rsidRPr="00FF3618">
        <w:rPr>
          <w:rFonts w:ascii="FrankRuehl" w:hAnsi="FrankRuehl" w:cs="FrankRuehl"/>
          <w:rtl/>
        </w:rPr>
        <w:t xml:space="preserve">, </w:t>
      </w:r>
      <w:hyperlink r:id="rId8" w:history="1">
        <w:r w:rsidRPr="00FF3618">
          <w:rPr>
            <w:rFonts w:ascii="FrankRuehl" w:hAnsi="FrankRuehl" w:cs="FrankRuehl"/>
            <w:color w:val="0000FF"/>
            <w:rtl/>
          </w:rPr>
          <w:t>31</w:t>
        </w:r>
      </w:hyperlink>
      <w:r w:rsidRPr="00FF3618">
        <w:rPr>
          <w:rFonts w:ascii="FrankRuehl" w:hAnsi="FrankRuehl" w:cs="FrankRuehl"/>
          <w:rtl/>
        </w:rPr>
        <w:t xml:space="preserve">, </w:t>
      </w:r>
      <w:hyperlink r:id="rId9" w:history="1">
        <w:r w:rsidRPr="00FF3618">
          <w:rPr>
            <w:rFonts w:ascii="FrankRuehl" w:hAnsi="FrankRuehl" w:cs="FrankRuehl"/>
            <w:color w:val="0000FF"/>
            <w:rtl/>
          </w:rPr>
          <w:t>40(יא)(6))</w:t>
        </w:r>
      </w:hyperlink>
      <w:r w:rsidRPr="00FF3618">
        <w:rPr>
          <w:rFonts w:ascii="FrankRuehl" w:hAnsi="FrankRuehl" w:cs="FrankRuehl"/>
          <w:rtl/>
        </w:rPr>
        <w:t xml:space="preserve">, </w:t>
      </w:r>
      <w:hyperlink r:id="rId10" w:history="1">
        <w:r w:rsidRPr="00FF3618">
          <w:rPr>
            <w:rFonts w:ascii="FrankRuehl" w:hAnsi="FrankRuehl" w:cs="FrankRuehl"/>
            <w:color w:val="0000FF"/>
            <w:rtl/>
          </w:rPr>
          <w:t>58</w:t>
        </w:r>
      </w:hyperlink>
      <w:r w:rsidRPr="00FF3618">
        <w:rPr>
          <w:rFonts w:ascii="FrankRuehl" w:hAnsi="FrankRuehl" w:cs="FrankRuehl"/>
          <w:rtl/>
        </w:rPr>
        <w:t xml:space="preserve">, </w:t>
      </w:r>
      <w:hyperlink r:id="rId11" w:history="1">
        <w:r w:rsidRPr="00FF3618">
          <w:rPr>
            <w:rFonts w:ascii="FrankRuehl" w:hAnsi="FrankRuehl" w:cs="FrankRuehl"/>
            <w:color w:val="0000FF"/>
            <w:rtl/>
          </w:rPr>
          <w:t>144(ב)</w:t>
        </w:r>
      </w:hyperlink>
      <w:r w:rsidRPr="00FF3618">
        <w:rPr>
          <w:rFonts w:ascii="FrankRuehl" w:hAnsi="FrankRuehl" w:cs="FrankRuehl"/>
          <w:rtl/>
        </w:rPr>
        <w:t xml:space="preserve">, </w:t>
      </w:r>
      <w:hyperlink r:id="rId12" w:history="1">
        <w:r w:rsidRPr="00FF3618">
          <w:rPr>
            <w:rFonts w:ascii="FrankRuehl" w:hAnsi="FrankRuehl" w:cs="FrankRuehl"/>
            <w:color w:val="0000FF"/>
            <w:rtl/>
          </w:rPr>
          <w:t>244</w:t>
        </w:r>
      </w:hyperlink>
      <w:r w:rsidRPr="00FF3618">
        <w:rPr>
          <w:rFonts w:ascii="FrankRuehl" w:hAnsi="FrankRuehl" w:cs="FrankRuehl"/>
          <w:rtl/>
        </w:rPr>
        <w:t xml:space="preserve">, </w:t>
      </w:r>
      <w:hyperlink r:id="rId13" w:history="1">
        <w:r w:rsidRPr="00FF3618">
          <w:rPr>
            <w:rFonts w:ascii="FrankRuehl" w:hAnsi="FrankRuehl" w:cs="FrankRuehl"/>
            <w:color w:val="0000FF"/>
            <w:rtl/>
          </w:rPr>
          <w:t>300.א.2.</w:t>
        </w:r>
      </w:hyperlink>
      <w:r w:rsidRPr="00FF3618">
        <w:rPr>
          <w:rFonts w:ascii="FrankRuehl" w:hAnsi="FrankRuehl" w:cs="FrankRuehl"/>
          <w:rtl/>
        </w:rPr>
        <w:t xml:space="preserve">, </w:t>
      </w:r>
      <w:hyperlink r:id="rId14" w:history="1">
        <w:r w:rsidRPr="00FF3618">
          <w:rPr>
            <w:rFonts w:ascii="FrankRuehl" w:hAnsi="FrankRuehl" w:cs="FrankRuehl"/>
            <w:color w:val="0000FF"/>
            <w:rtl/>
          </w:rPr>
          <w:t>301</w:t>
        </w:r>
      </w:hyperlink>
    </w:p>
    <w:p w14:paraId="7AE8C651" w14:textId="77777777" w:rsidR="00FF3618" w:rsidRPr="00FF3618" w:rsidRDefault="00FF3618" w:rsidP="00FF3618">
      <w:pPr>
        <w:rPr>
          <w:rFonts w:ascii="Arial" w:hAnsi="Arial"/>
          <w:sz w:val="26"/>
          <w:szCs w:val="26"/>
          <w:rtl/>
        </w:rPr>
      </w:pPr>
      <w:bookmarkStart w:id="3" w:name="LawTable_End"/>
      <w:bookmarkEnd w:id="3"/>
    </w:p>
    <w:p w14:paraId="4F0CF83A" w14:textId="77777777" w:rsidR="00E47090" w:rsidRPr="00DD560F" w:rsidRDefault="00E47090" w:rsidP="00E47090">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7090" w14:paraId="4CD92702" w14:textId="77777777" w:rsidTr="00E47090">
        <w:trPr>
          <w:trHeight w:val="355"/>
          <w:jc w:val="center"/>
        </w:trPr>
        <w:tc>
          <w:tcPr>
            <w:tcW w:w="8820" w:type="dxa"/>
            <w:tcBorders>
              <w:top w:val="nil"/>
              <w:left w:val="nil"/>
              <w:bottom w:val="nil"/>
              <w:right w:val="nil"/>
            </w:tcBorders>
            <w:shd w:val="clear" w:color="auto" w:fill="auto"/>
          </w:tcPr>
          <w:p w14:paraId="3F9BAB00" w14:textId="77777777" w:rsidR="00DD560F" w:rsidRPr="00DD560F" w:rsidRDefault="00DD560F" w:rsidP="00DD560F">
            <w:pPr>
              <w:jc w:val="center"/>
              <w:rPr>
                <w:rFonts w:ascii="David" w:hAnsi="David"/>
                <w:b/>
                <w:bCs/>
                <w:sz w:val="32"/>
                <w:szCs w:val="32"/>
                <w:u w:val="single"/>
                <w:rtl/>
              </w:rPr>
            </w:pPr>
            <w:bookmarkStart w:id="4" w:name="PsakDin" w:colFirst="0" w:colLast="0"/>
            <w:r w:rsidRPr="00DD560F">
              <w:rPr>
                <w:rFonts w:ascii="David" w:hAnsi="David"/>
                <w:b/>
                <w:bCs/>
                <w:sz w:val="32"/>
                <w:szCs w:val="32"/>
                <w:u w:val="single"/>
                <w:rtl/>
              </w:rPr>
              <w:t>גזר דין</w:t>
            </w:r>
          </w:p>
          <w:p w14:paraId="51FC0859" w14:textId="77777777" w:rsidR="00E47090" w:rsidRPr="00DD560F" w:rsidRDefault="00E47090" w:rsidP="00DD560F">
            <w:pPr>
              <w:jc w:val="center"/>
              <w:rPr>
                <w:rFonts w:ascii="David" w:hAnsi="David"/>
                <w:bCs/>
                <w:sz w:val="32"/>
                <w:szCs w:val="32"/>
                <w:u w:val="single"/>
                <w:rtl/>
              </w:rPr>
            </w:pPr>
          </w:p>
        </w:tc>
      </w:tr>
      <w:bookmarkEnd w:id="4"/>
    </w:tbl>
    <w:p w14:paraId="41BA480D" w14:textId="77777777" w:rsidR="00E47090" w:rsidRPr="000F2247" w:rsidRDefault="00E47090" w:rsidP="00E47090">
      <w:pPr>
        <w:rPr>
          <w:rFonts w:ascii="Arial" w:hAnsi="Arial"/>
          <w:b/>
          <w:bCs/>
          <w:sz w:val="26"/>
          <w:szCs w:val="26"/>
          <w:rtl/>
        </w:rPr>
      </w:pPr>
    </w:p>
    <w:p w14:paraId="226AE9C6" w14:textId="77777777" w:rsidR="00E47090" w:rsidRDefault="00E47090" w:rsidP="00E47090">
      <w:pPr>
        <w:pStyle w:val="a9"/>
        <w:spacing w:after="0" w:line="360" w:lineRule="auto"/>
        <w:ind w:left="0"/>
        <w:jc w:val="both"/>
        <w:rPr>
          <w:rFonts w:ascii="David" w:hAnsi="David" w:cs="David"/>
          <w:sz w:val="24"/>
          <w:szCs w:val="24"/>
          <w:u w:val="single"/>
        </w:rPr>
      </w:pPr>
      <w:r>
        <w:rPr>
          <w:rFonts w:ascii="David" w:hAnsi="David" w:cs="David"/>
          <w:sz w:val="24"/>
          <w:szCs w:val="24"/>
          <w:u w:val="single"/>
          <w:rtl/>
        </w:rPr>
        <w:t>כללי</w:t>
      </w:r>
    </w:p>
    <w:p w14:paraId="7A971C9B" w14:textId="77777777" w:rsidR="00E47090" w:rsidRDefault="00E47090" w:rsidP="00E47090">
      <w:pPr>
        <w:pStyle w:val="a9"/>
        <w:spacing w:after="0" w:line="360" w:lineRule="auto"/>
        <w:ind w:left="0"/>
        <w:jc w:val="both"/>
        <w:rPr>
          <w:rFonts w:ascii="David" w:hAnsi="David" w:cs="David"/>
          <w:sz w:val="24"/>
          <w:szCs w:val="24"/>
          <w:rtl/>
        </w:rPr>
      </w:pPr>
      <w:bookmarkStart w:id="5" w:name="ABSTRACT_START"/>
      <w:bookmarkEnd w:id="5"/>
      <w:r>
        <w:rPr>
          <w:rFonts w:ascii="David" w:hAnsi="David" w:cs="David"/>
          <w:sz w:val="24"/>
          <w:szCs w:val="24"/>
          <w:rtl/>
        </w:rPr>
        <w:t xml:space="preserve">הנאשמים הורשעו, בהכרעת דין מנומקת, בעבירות הנוגעות לאירוע שהתרחש ביום 1.8.18 ובו נרצח מאור בן חיים (להלן: </w:t>
      </w:r>
      <w:r>
        <w:rPr>
          <w:rFonts w:ascii="Miriam" w:hAnsi="Miriam" w:cs="Miriam"/>
          <w:sz w:val="24"/>
          <w:szCs w:val="24"/>
          <w:rtl/>
        </w:rPr>
        <w:t>המנוח</w:t>
      </w:r>
      <w:r>
        <w:rPr>
          <w:rFonts w:ascii="David" w:hAnsi="David" w:cs="David"/>
          <w:sz w:val="24"/>
          <w:szCs w:val="24"/>
          <w:rtl/>
        </w:rPr>
        <w:t xml:space="preserve">). </w:t>
      </w:r>
    </w:p>
    <w:p w14:paraId="123151AF" w14:textId="77777777" w:rsidR="00E47090" w:rsidRDefault="00E47090" w:rsidP="00E47090">
      <w:pPr>
        <w:pStyle w:val="a9"/>
        <w:spacing w:after="0" w:line="360" w:lineRule="auto"/>
        <w:ind w:left="0"/>
        <w:jc w:val="both"/>
        <w:rPr>
          <w:rFonts w:ascii="David" w:hAnsi="David" w:cs="David"/>
          <w:sz w:val="24"/>
          <w:szCs w:val="24"/>
          <w:rtl/>
        </w:rPr>
      </w:pPr>
    </w:p>
    <w:p w14:paraId="0917654B"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במועד לעיל בסביבות השעה 19:00 הגיעו הנאשמים כשהם רכובים על אופנוע למסעדת "החוף של ג'קי" בקרית ים. הנאשם 2 (להלן: </w:t>
      </w:r>
      <w:r>
        <w:rPr>
          <w:rFonts w:ascii="Miriam" w:hAnsi="Miriam" w:cs="Miriam"/>
          <w:sz w:val="24"/>
          <w:szCs w:val="24"/>
          <w:rtl/>
        </w:rPr>
        <w:t>ורדיניאן</w:t>
      </w:r>
      <w:r>
        <w:rPr>
          <w:rFonts w:ascii="David" w:hAnsi="David" w:cs="David"/>
          <w:sz w:val="24"/>
          <w:szCs w:val="24"/>
          <w:rtl/>
        </w:rPr>
        <w:t xml:space="preserve">) נהג באופנוע ומאחוריו ישב הנאשם 1 (להלן: </w:t>
      </w:r>
      <w:r>
        <w:rPr>
          <w:rFonts w:ascii="Miriam" w:hAnsi="Miriam" w:cs="Miriam"/>
          <w:sz w:val="24"/>
          <w:szCs w:val="24"/>
          <w:rtl/>
        </w:rPr>
        <w:t>כהנא</w:t>
      </w:r>
      <w:r>
        <w:rPr>
          <w:rFonts w:ascii="David" w:hAnsi="David" w:cs="David"/>
          <w:sz w:val="24"/>
          <w:szCs w:val="24"/>
          <w:rtl/>
        </w:rPr>
        <w:t xml:space="preserve">). ורדיניאן עצר את האופנוע בכיכר הסמוכה למסעדה לעיל, כהנא ירד מהאופנוע וצעד כשקסדה על ראשו לרחבת המסעדה שהמתה אדם. באחד משולחנות המסעדה ישבו שלושה ובהם המנוח. כהנא התקרב לשולחן בו ישב המנוח, שלף אקדח וירה לעברו. המנוח ניסה להימלט אך הקליעים השיגוהו והוא התמוטט ומת סמוך לאחר מכן. לאחר הירי חזר כהנא לעבר האופנוע והשניים נמלטו לאתר באזור שמורת נחל נעמן בו נהגו לגדל קנביס, שם הסתתרו עד שנעצרו על ידי המשטרה מספר שעות לאחר מכן. </w:t>
      </w:r>
    </w:p>
    <w:p w14:paraId="6195A2FE" w14:textId="77777777" w:rsidR="00E47090" w:rsidRDefault="00E47090" w:rsidP="00E47090">
      <w:pPr>
        <w:pStyle w:val="a9"/>
        <w:spacing w:after="0" w:line="360" w:lineRule="auto"/>
        <w:ind w:left="0"/>
        <w:jc w:val="both"/>
        <w:rPr>
          <w:rFonts w:ascii="David" w:hAnsi="David" w:cs="David"/>
          <w:sz w:val="24"/>
          <w:szCs w:val="24"/>
        </w:rPr>
      </w:pPr>
    </w:p>
    <w:p w14:paraId="449AE5AE" w14:textId="77777777" w:rsidR="00E47090" w:rsidRDefault="00E47090" w:rsidP="00E47090">
      <w:pPr>
        <w:spacing w:line="360" w:lineRule="auto"/>
        <w:jc w:val="both"/>
        <w:rPr>
          <w:rFonts w:ascii="David" w:hAnsi="David"/>
        </w:rPr>
      </w:pPr>
      <w:bookmarkStart w:id="6" w:name="ABSTRACT_END"/>
      <w:bookmarkEnd w:id="6"/>
      <w:r>
        <w:rPr>
          <w:rFonts w:ascii="David" w:hAnsi="David"/>
          <w:rtl/>
        </w:rPr>
        <w:t xml:space="preserve">כתב האישום ייחס לשני הנאשמים עבירת רצח ועבירות נוספות. כהנא הכחיש מכל וכל לכל אורך שלבי המשפט כי היה לו קשר לאירוע, ואילו ורדיניאן, בתמצות נמרץ, אישר רק בעת שעלה להעיד כי נהג באופנוע אך טען שלא ידע את מטרת הנסיעה. עוד טען ורדיניאן כי מי שהרכיב על האופנוע ושירה למוות במנוח לא היה כהנא, אך סירב למסור את פרטי אותו אדם. כאמור לעיל, גרסאות השניים נדחו מכל וכל. </w:t>
      </w:r>
    </w:p>
    <w:p w14:paraId="056A2446" w14:textId="77777777" w:rsidR="00E47090" w:rsidRDefault="00E47090" w:rsidP="00E47090">
      <w:pPr>
        <w:spacing w:line="360" w:lineRule="auto"/>
        <w:jc w:val="both"/>
        <w:rPr>
          <w:rFonts w:ascii="David" w:hAnsi="David"/>
          <w:rtl/>
        </w:rPr>
      </w:pPr>
    </w:p>
    <w:p w14:paraId="53FE3FA9" w14:textId="77777777" w:rsidR="00E47090" w:rsidRDefault="00E47090" w:rsidP="00E47090">
      <w:pPr>
        <w:spacing w:line="360" w:lineRule="auto"/>
        <w:jc w:val="both"/>
        <w:rPr>
          <w:rFonts w:ascii="David" w:hAnsi="David"/>
          <w:rtl/>
        </w:rPr>
      </w:pPr>
      <w:r>
        <w:rPr>
          <w:rFonts w:ascii="David" w:hAnsi="David"/>
          <w:rtl/>
        </w:rPr>
        <w:t xml:space="preserve">בהכרעת הדין שניתנה ביום 20.3.22 הרשענו את כהנא בעבירה של </w:t>
      </w:r>
      <w:r>
        <w:rPr>
          <w:rFonts w:ascii="David" w:hAnsi="David"/>
          <w:b/>
          <w:bCs/>
          <w:rtl/>
        </w:rPr>
        <w:t>רצח בכוונה תחילה</w:t>
      </w:r>
      <w:r>
        <w:rPr>
          <w:rFonts w:ascii="David" w:hAnsi="David"/>
          <w:rtl/>
        </w:rPr>
        <w:t xml:space="preserve">, לפי </w:t>
      </w:r>
      <w:hyperlink r:id="rId15" w:history="1">
        <w:r w:rsidR="00613C57" w:rsidRPr="00613C57">
          <w:rPr>
            <w:rStyle w:val="Hyperlink"/>
            <w:rFonts w:ascii="David" w:hAnsi="David"/>
            <w:rtl/>
          </w:rPr>
          <w:t>סעיפים 300(א)(2)+301</w:t>
        </w:r>
      </w:hyperlink>
      <w:r>
        <w:rPr>
          <w:rFonts w:ascii="David" w:hAnsi="David"/>
          <w:rtl/>
        </w:rPr>
        <w:t xml:space="preserve"> ל</w:t>
      </w:r>
      <w:hyperlink r:id="rId16" w:history="1">
        <w:r w:rsidR="00DD560F" w:rsidRPr="00DD560F">
          <w:rPr>
            <w:rFonts w:ascii="David" w:hAnsi="David"/>
            <w:color w:val="0000FF"/>
            <w:u w:val="single"/>
            <w:rtl/>
          </w:rPr>
          <w:t>חוק העונשין</w:t>
        </w:r>
      </w:hyperlink>
      <w:r>
        <w:rPr>
          <w:rFonts w:ascii="David" w:hAnsi="David"/>
          <w:rtl/>
        </w:rPr>
        <w:t xml:space="preserve">, בנוסחו טרם תיקון 137 לחוק; את ורדיניאן, הרשענו </w:t>
      </w:r>
      <w:r>
        <w:rPr>
          <w:rFonts w:ascii="David" w:hAnsi="David"/>
          <w:b/>
          <w:bCs/>
          <w:rtl/>
        </w:rPr>
        <w:t>בסיוע לרצח</w:t>
      </w:r>
      <w:r>
        <w:rPr>
          <w:rFonts w:ascii="David" w:hAnsi="David"/>
          <w:rtl/>
        </w:rPr>
        <w:t xml:space="preserve"> לפי ס' </w:t>
      </w:r>
      <w:hyperlink r:id="rId17" w:history="1">
        <w:r w:rsidR="00613C57" w:rsidRPr="00613C57">
          <w:rPr>
            <w:rStyle w:val="Hyperlink"/>
            <w:rFonts w:ascii="David" w:hAnsi="David"/>
            <w:rtl/>
          </w:rPr>
          <w:t>300(א)(2)</w:t>
        </w:r>
      </w:hyperlink>
      <w:r>
        <w:rPr>
          <w:rFonts w:ascii="David" w:hAnsi="David"/>
          <w:rtl/>
        </w:rPr>
        <w:t xml:space="preserve">+ס' </w:t>
      </w:r>
      <w:hyperlink r:id="rId18" w:history="1">
        <w:r w:rsidR="00613C57" w:rsidRPr="00613C57">
          <w:rPr>
            <w:rStyle w:val="Hyperlink"/>
            <w:rFonts w:ascii="David" w:hAnsi="David"/>
            <w:rtl/>
          </w:rPr>
          <w:t>31</w:t>
        </w:r>
      </w:hyperlink>
      <w:r>
        <w:rPr>
          <w:rFonts w:ascii="David" w:hAnsi="David"/>
          <w:rtl/>
        </w:rPr>
        <w:t xml:space="preserve"> לחוק העונשין, בנוסחו טרם תיקון 137 לחוק. בנוסף, הרשענו את שני הנאשמים ב</w:t>
      </w:r>
      <w:r>
        <w:rPr>
          <w:rFonts w:ascii="David" w:hAnsi="David"/>
          <w:b/>
          <w:bCs/>
          <w:rtl/>
        </w:rPr>
        <w:t>עבירות בנשק (נשיאה והובלה)</w:t>
      </w:r>
      <w:r>
        <w:rPr>
          <w:rFonts w:ascii="David" w:hAnsi="David"/>
          <w:rtl/>
        </w:rPr>
        <w:t xml:space="preserve">, לפי </w:t>
      </w:r>
      <w:hyperlink r:id="rId19" w:history="1">
        <w:r w:rsidR="00613C57" w:rsidRPr="00613C57">
          <w:rPr>
            <w:rStyle w:val="Hyperlink"/>
            <w:rFonts w:ascii="David" w:hAnsi="David"/>
            <w:rtl/>
          </w:rPr>
          <w:t>סעיפים 144(ב)</w:t>
        </w:r>
      </w:hyperlink>
      <w:r>
        <w:rPr>
          <w:rFonts w:ascii="David" w:hAnsi="David"/>
          <w:rtl/>
        </w:rPr>
        <w:t xml:space="preserve"> רישא וסיפא+</w:t>
      </w:r>
      <w:hyperlink r:id="rId20" w:history="1">
        <w:r w:rsidR="00613C57" w:rsidRPr="00613C57">
          <w:rPr>
            <w:rStyle w:val="Hyperlink"/>
            <w:rFonts w:ascii="David" w:hAnsi="David"/>
            <w:rtl/>
          </w:rPr>
          <w:t>29</w:t>
        </w:r>
      </w:hyperlink>
      <w:r>
        <w:rPr>
          <w:rFonts w:ascii="David" w:hAnsi="David"/>
          <w:rtl/>
        </w:rPr>
        <w:t xml:space="preserve"> לחוק; ו</w:t>
      </w:r>
      <w:r>
        <w:rPr>
          <w:rFonts w:ascii="David" w:hAnsi="David"/>
          <w:b/>
          <w:bCs/>
          <w:rtl/>
        </w:rPr>
        <w:t>שיבוש מהלכי משפט</w:t>
      </w:r>
      <w:r>
        <w:rPr>
          <w:rFonts w:ascii="David" w:hAnsi="David"/>
          <w:rtl/>
        </w:rPr>
        <w:t xml:space="preserve">, לפי סעיפים </w:t>
      </w:r>
      <w:hyperlink r:id="rId21" w:history="1">
        <w:r w:rsidR="00613C57" w:rsidRPr="00613C57">
          <w:rPr>
            <w:rStyle w:val="Hyperlink"/>
            <w:rFonts w:ascii="David" w:hAnsi="David"/>
            <w:rtl/>
          </w:rPr>
          <w:t>244</w:t>
        </w:r>
      </w:hyperlink>
      <w:r>
        <w:rPr>
          <w:rFonts w:ascii="David" w:hAnsi="David"/>
          <w:rtl/>
        </w:rPr>
        <w:t xml:space="preserve">+ </w:t>
      </w:r>
      <w:hyperlink r:id="rId22" w:history="1">
        <w:r w:rsidR="00613C57" w:rsidRPr="00613C57">
          <w:rPr>
            <w:rStyle w:val="Hyperlink"/>
            <w:rFonts w:ascii="David" w:hAnsi="David"/>
            <w:rtl/>
          </w:rPr>
          <w:t>29</w:t>
        </w:r>
      </w:hyperlink>
      <w:r>
        <w:rPr>
          <w:rFonts w:ascii="David" w:hAnsi="David"/>
          <w:rtl/>
        </w:rPr>
        <w:t xml:space="preserve"> לחוק.</w:t>
      </w:r>
    </w:p>
    <w:p w14:paraId="5BDD1301" w14:textId="77777777" w:rsidR="00E47090" w:rsidRDefault="00E47090" w:rsidP="00E47090">
      <w:pPr>
        <w:spacing w:line="360" w:lineRule="auto"/>
        <w:jc w:val="both"/>
        <w:rPr>
          <w:rFonts w:ascii="David" w:hAnsi="David"/>
          <w:rtl/>
        </w:rPr>
      </w:pPr>
    </w:p>
    <w:p w14:paraId="4B2EFAAF" w14:textId="77777777" w:rsidR="00E47090" w:rsidRDefault="00E47090" w:rsidP="00E47090">
      <w:pPr>
        <w:spacing w:line="360" w:lineRule="auto"/>
        <w:jc w:val="both"/>
        <w:rPr>
          <w:rFonts w:ascii="David" w:hAnsi="David"/>
          <w:u w:val="single"/>
          <w:rtl/>
        </w:rPr>
      </w:pPr>
      <w:r>
        <w:rPr>
          <w:rFonts w:ascii="David" w:hAnsi="David"/>
          <w:u w:val="single"/>
          <w:rtl/>
        </w:rPr>
        <w:t>תסקירי נפגעי עבירה</w:t>
      </w:r>
    </w:p>
    <w:p w14:paraId="6453E5F0" w14:textId="77777777" w:rsidR="00E47090" w:rsidRDefault="00E47090" w:rsidP="00E47090">
      <w:pPr>
        <w:spacing w:line="360" w:lineRule="auto"/>
        <w:jc w:val="both"/>
        <w:rPr>
          <w:rFonts w:ascii="David" w:hAnsi="David"/>
          <w:rtl/>
        </w:rPr>
      </w:pPr>
      <w:r>
        <w:rPr>
          <w:rFonts w:ascii="David" w:hAnsi="David"/>
          <w:rtl/>
        </w:rPr>
        <w:t xml:space="preserve">המנוח היה בן 27 במותו והותיר אחריו אישה, תאומים שכיום הם כבני 6.5 ופעוט שכיום הוא כבן  3.5 ושנולד לאחר מות אביו. בנוסף הותיר המנוח הורים ו 5 אחים. רצח המנוח נפל על בני משפחת המנוח כרעם ביום בהיר והותיר מעגלי נזק שעדיין קיימים ומתרחבים. אלמנת המנוח תיארה שהכירה את המנוח כשהיתה בת 15 וסיפרה אודות זוגיות מלאת אהבה. עורכת חוות הדעת תיארה שהאלמנה מתקשה לעבד את האובדן, הגם שכיום היא בזוגיות חדשה. במועד הרצח היתה אלמנת המנוח בתחילת ההריון עם בנה הקטן והמשך ההיריון היה קשה עד מאוד. עוד תוארו קשייה הנפשיים הרגשיים, המשפחתיים והכלכליים של אלמנת המנוח כתוצאה מהאובדן, וכן קשיי ילדיו של המנוח שלא הצליחו משום גילם להבין עד תום את משמעות העדרו ומותו של אביהם. בתסקיר נפרד הובא פירוט אודות הוריו וחלק מאחיו של המנוח. המנוח תואר על ידם כבעל אישיות כובשת ויכולת נתינה שסייע לאחרים. בני המשפחה התקשו להבין את הגורמים והנסיבות שהובילו את הנאשמים לרצוח את המנוח, ועורכת התסקיר תיארה את דרכי ההתמודדות והקשיים של בני המשפחה כתוצאה ממותו הטראגי, הפתאומי והאלים. תוארו חוויות של פחד, חרדה ואימה אשר הקשו ומקשים על תהליך האבל ועיבוד האובדן. עוד תואר כי ההווי המשפחתי נפגע קשות וכיום הוא נעדר שמחה והנאה. עורכת התסקיר התייחסה גם לאחיו של המנוח, תומר, שהיה עד תביעה מרכזי ועניינו נדון באריכות במסגרת הכרעת הדין. מטעמי צנעת הפרט לא ארחיב בנדון. </w:t>
      </w:r>
    </w:p>
    <w:p w14:paraId="01A90447" w14:textId="77777777" w:rsidR="00E47090" w:rsidRDefault="00E47090" w:rsidP="00E47090">
      <w:pPr>
        <w:spacing w:line="360" w:lineRule="auto"/>
        <w:jc w:val="both"/>
        <w:rPr>
          <w:rFonts w:ascii="David" w:hAnsi="David"/>
          <w:rtl/>
        </w:rPr>
      </w:pPr>
    </w:p>
    <w:p w14:paraId="4C15D456" w14:textId="77777777" w:rsidR="00E47090" w:rsidRDefault="00E47090" w:rsidP="00E47090">
      <w:pPr>
        <w:pStyle w:val="a9"/>
        <w:spacing w:after="0" w:line="360" w:lineRule="auto"/>
        <w:ind w:left="0"/>
        <w:jc w:val="both"/>
        <w:rPr>
          <w:rFonts w:ascii="David" w:hAnsi="David" w:cs="David"/>
          <w:sz w:val="24"/>
          <w:szCs w:val="24"/>
          <w:u w:val="single"/>
          <w:rtl/>
        </w:rPr>
      </w:pPr>
      <w:r>
        <w:rPr>
          <w:rFonts w:ascii="David" w:hAnsi="David" w:cs="David"/>
          <w:sz w:val="24"/>
          <w:szCs w:val="24"/>
          <w:u w:val="single"/>
          <w:rtl/>
        </w:rPr>
        <w:t>ראיות הצדדים לעונש</w:t>
      </w:r>
    </w:p>
    <w:p w14:paraId="7C7FB816"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המאשימה הגישה את גיליון הרישום הפלילי של כהנא. חרף גילו הצעיר יחסית (יליד 1995) הוא הורשע כבר בגיל צעיר בעבירות סמים ואלימות ונדון למאסרים על תנאי; ובשנת 2015 הוא נדון בבית המשפט המחוזי ל 26 חודשי מאסר וכן למאסר על תנאי בר הפעלה בענייננו, לאחר שהורשע </w:t>
      </w:r>
      <w:r>
        <w:rPr>
          <w:rFonts w:ascii="David" w:hAnsi="David" w:cs="David"/>
          <w:sz w:val="24"/>
          <w:szCs w:val="24"/>
          <w:rtl/>
        </w:rPr>
        <w:lastRenderedPageBreak/>
        <w:t>בניסיון שוד. ההרשעה מתייחסת לאירוע מיום 2.4.15 אז ניסה יחד עם אחר לשדוד סניף דואר כשהם רעולי פנים ומצוידים בסכין (</w:t>
      </w:r>
      <w:hyperlink r:id="rId23" w:history="1">
        <w:r w:rsidR="00DD560F" w:rsidRPr="00DD560F">
          <w:rPr>
            <w:rFonts w:ascii="David" w:hAnsi="David" w:cs="David"/>
            <w:color w:val="0000FF"/>
            <w:sz w:val="24"/>
            <w:szCs w:val="24"/>
            <w:u w:val="single"/>
            <w:rtl/>
          </w:rPr>
          <w:t>ת.פ. (מחוזי חיפה) 16975-04-15</w:t>
        </w:r>
      </w:hyperlink>
      <w:r>
        <w:rPr>
          <w:rFonts w:ascii="David" w:hAnsi="David" w:cs="David"/>
          <w:sz w:val="24"/>
          <w:szCs w:val="24"/>
          <w:rtl/>
        </w:rPr>
        <w:t xml:space="preserve">, גז"ד מיום 11.10.15). </w:t>
      </w:r>
    </w:p>
    <w:p w14:paraId="4AC62F49" w14:textId="77777777" w:rsidR="00E47090" w:rsidRDefault="00E47090" w:rsidP="00E47090">
      <w:pPr>
        <w:pStyle w:val="a9"/>
        <w:spacing w:after="0" w:line="360" w:lineRule="auto"/>
        <w:ind w:left="0"/>
        <w:jc w:val="both"/>
        <w:rPr>
          <w:rFonts w:ascii="David" w:hAnsi="David" w:cs="David"/>
          <w:sz w:val="24"/>
          <w:szCs w:val="24"/>
          <w:rtl/>
        </w:rPr>
      </w:pPr>
    </w:p>
    <w:p w14:paraId="3010D0C6"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מכיוון שלא הוכן תסקיר בתיק הנוכחי בנוגע למי מהנאשמים, ומשום שעל רקע הכחשתו של כהנא את הרצח ומשום הנחייתו לבא כוחו גם לא הוגשו בדיון הנוכחי ראיות לעונש והוא אף בחר שלא לטעון לעונש, קיימת חשיבות מסוימת לגזר הדין שניתן בתיק ניסיון השוד לעיל בו הכין שירות המבחן תסקיר, אשר מוסיף על הנתונים שנתגלו לנו אודות כהנא במהלך שמיעת הראיות. עולה, כי הוריו של כהנא התגרשו כאשר היה תינוק והם נישאו לבני זוג אחרים; כהנא נשלח לפנימיות בגיל 13 וסמוך לאחר מכן החל לצרוך סמים; בגיל 16 חזר לבית אמו ומשם עבר לבית סבתו,  התחבר לחברת שוליים, החל להשתמש בסמים קשים ונגרר לפלילים; בגיל 17 נקלט כהנא לבקשתו בקהילת "מלכישוע" אך נפלט משם כעבור כחצי שנה עקב קושי להתמודד עם גבולות; בגיל 18 הוא נפצע בתאונת דרכים ונפגע בראשו; בגיל 20 עבר שוב גמילה פיזית מסמים, הפעם ב"בית חם" במשך חודשיים, אך חזר לאחר מכן לשימוש בסמים. שירות המבחן חיווה דעתו באותו הליך כי נוכח המציאות המשפחתית הקשה והמורכבת בה גדל, העדר דמויות הוריות מציבות גבולות, אין לו כוחות להליך טיפולי משמעותי. עוד צוין כי מדובר במי שלאורך השנים סיגל לעצמו דפוסי התנהגות עברייניים וקשרים בעייתיים בסביבת מגוריו, ולכן נשקפת ממנו רמת סיכון גבוהה להמשך שימוש בסמים ולהישנות התנהגות פורצת גבולות ועוברת חוק בעתיד. </w:t>
      </w:r>
    </w:p>
    <w:p w14:paraId="1025F9D3" w14:textId="77777777" w:rsidR="00E47090" w:rsidRDefault="00E47090" w:rsidP="00E47090">
      <w:pPr>
        <w:pStyle w:val="a9"/>
        <w:spacing w:after="0" w:line="360" w:lineRule="auto"/>
        <w:ind w:left="0"/>
        <w:jc w:val="both"/>
        <w:rPr>
          <w:rFonts w:ascii="David" w:hAnsi="David" w:cs="David"/>
          <w:sz w:val="24"/>
          <w:szCs w:val="24"/>
          <w:rtl/>
        </w:rPr>
      </w:pPr>
    </w:p>
    <w:p w14:paraId="1BEDC87B"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לגבי המאסר על תנאי שהושת על כהנא בתיק ניסיון השוד לעיל, מדובר ב 14 חודשי מאסר, ונקבע כי הם יופעלו באם הנאשם יעבור במשך 3 שנים מיום שחרורו את העבירה בה הורשע "או כל עבירת אלימות או רכוש מסוג פשע ...". גזר הדין ניתן ביום 11.10.15 וכהנא שוחרר ממאסרו במחצית שנת 2017. משכך אין מחלוקת בדבר חלות התנאי. </w:t>
      </w:r>
    </w:p>
    <w:p w14:paraId="0C30CC56" w14:textId="77777777" w:rsidR="00E47090" w:rsidRDefault="00E47090" w:rsidP="00E47090">
      <w:pPr>
        <w:pStyle w:val="a9"/>
        <w:spacing w:after="0" w:line="360" w:lineRule="auto"/>
        <w:ind w:left="0"/>
        <w:jc w:val="both"/>
        <w:rPr>
          <w:rFonts w:ascii="David" w:hAnsi="David" w:cs="David"/>
          <w:sz w:val="24"/>
          <w:szCs w:val="24"/>
          <w:rtl/>
        </w:rPr>
      </w:pPr>
    </w:p>
    <w:p w14:paraId="471BB4D1"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בנוסף הגישה המאשימה את פלט הרישום הפלילי של ורדיניאן. מדובר ביליד 1990 אשר ריצה מספר מאסרים: בשנת 2011 הוא נדון ל 15 חודשי מאסר בפועל לאחר שהורשע בעבירות רכוש, סמים ואחרות; באותה שנה נדון ל 3 חודשי מאסר בגין עבירות סמים; ובשנת 2014 הוא נדון ל 23 חודשי מאסר בגין עבירות סמים. בנוסף הוא הורשע עוד מספר פעמים ונדון "רק" למאסרים על תנאי, לרוב על עבירות אלימות. </w:t>
      </w:r>
    </w:p>
    <w:p w14:paraId="0CF48AE6" w14:textId="77777777" w:rsidR="00E47090" w:rsidRPr="00E47090" w:rsidRDefault="00E47090" w:rsidP="00E47090">
      <w:pPr>
        <w:spacing w:line="360" w:lineRule="auto"/>
        <w:jc w:val="both"/>
        <w:rPr>
          <w:rFonts w:ascii="Calibri" w:hAnsi="Calibri" w:cs="Arial"/>
          <w:sz w:val="22"/>
          <w:szCs w:val="22"/>
          <w:rtl/>
        </w:rPr>
      </w:pPr>
    </w:p>
    <w:p w14:paraId="1C814C49" w14:textId="77777777" w:rsidR="00E47090" w:rsidRDefault="00E47090" w:rsidP="00E47090">
      <w:pPr>
        <w:spacing w:line="360" w:lineRule="auto"/>
        <w:jc w:val="both"/>
        <w:rPr>
          <w:rFonts w:ascii="David" w:hAnsi="David"/>
          <w:u w:val="single"/>
          <w:rtl/>
        </w:rPr>
      </w:pPr>
      <w:r>
        <w:rPr>
          <w:rFonts w:ascii="David" w:hAnsi="David"/>
          <w:u w:val="single"/>
          <w:rtl/>
        </w:rPr>
        <w:t xml:space="preserve">טיעוני המאשימה </w:t>
      </w:r>
    </w:p>
    <w:p w14:paraId="27583EE0"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המאשימה עמדה מטבע הדברים על חומרת מעשי הנאשמים וציינה כי הם הוציאו לפועל תכנית לרצח המנוח, שהותיר אחריו אלמנה ו 3 ילדים, אחד מהם נולד לאחר מות אביו. המאשימה עמדה על האכזריות וקור הרוח בה פעל כהנא והפנתה להכרעת הדין שם צוין, בין היתר, כי מדובר בהתנקשות מתוכננת היטב שהוצאה לפועל באורח קר ומחושב. המאשימה עתרה להשית על כהנא את עונש החובה הקבוע בחוק בגין עבירת הרצח, היינו מאסר עולם; וכן לגזור עליו עונשי מאסר בגין יתר העבירות בהן הורשע (עבירות נשק ושיבוש מהלכי משפט). עם זאת, הוסכם כי יש לקבוע את המאסרים בעבירות הנלוות בחופף למאסר העולם (ר' טיעוני המאשימה בפרוטוקול הדיון מיום 22.9.22 ואשר תיקנו את הטיעונים הכתובים שהוגשו ונסרקו לתיק). בנוסף, עתרה המאשימה להפעיל את המאסר על תנאי לעיל במצטבר למאסר העולם, וכן עתרה למאסרים מותנים ולפיצוי לטובת ילדיו של המנוח. </w:t>
      </w:r>
    </w:p>
    <w:p w14:paraId="7F70CD3F" w14:textId="77777777" w:rsidR="00E47090" w:rsidRDefault="00E47090" w:rsidP="00E47090">
      <w:pPr>
        <w:pStyle w:val="a9"/>
        <w:spacing w:after="0" w:line="360" w:lineRule="auto"/>
        <w:ind w:left="0"/>
        <w:jc w:val="both"/>
        <w:rPr>
          <w:rFonts w:ascii="David" w:hAnsi="David" w:cs="David"/>
          <w:sz w:val="24"/>
          <w:szCs w:val="24"/>
          <w:rtl/>
        </w:rPr>
      </w:pPr>
    </w:p>
    <w:p w14:paraId="257EDABB"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גם לגבי ורדיניאן עמדה המאשימה על חומרת מעשיו. נטען כי חרף הרשעתו "רק" בעבירת סיוע (ובשתי העבירות הנלוות), מעשיו מצויים ברף חומרה גבוה. מדובר, כך נטען, במי שהיה חלק בלתי נפרד מתוכנית הרצח ותרומתו להוצאתה לפועל היתה קריטית; הוא ידע מה מטרתו של כהנא וסייע לו באופן אקטיבי בכך שהסיע אותו לזירת הרצח; המתין לו עד שהאחרון ביצע את משימתו הקטלנית; ומילט אותו לאחר מכן. ורדיניאן הבין את משמעות מעשיו, היתה לו שליטה עליהם והוא יכול היה להימנע מעשייתם. המאשימה הסכימה כי יש לקבוע מתחם אחד לגבי כלל מעשיו (ר' עמ' 920 לפרוטוקול הדיון מיום 22.9.22); הפנתה לפסיקה שלשיטתה מייצגת את מדיניות הענישה הנוהגת בעבירות שכאלה; ועתרה למתחם שבין 16 ל 20 שנות מאסר. לגבי העונש בתוך המתחם, הפנתה המאשימה לעברו הפלילי המכביד של ורדיניאן; לכך שלא קיבל אחריות על מעשיו ואף אחז בגרסה שקרית במהלך ניהול משפטו. נתונים אלה מצדיקים לשיטת המאשימה את קביעת העונש על הרף הגבוה של המתחם לעיל. בנוסף, עתרה המאשימה למאסרים על תנאי ופיצויים לטובת ילדיו של המנוח. </w:t>
      </w:r>
    </w:p>
    <w:p w14:paraId="0E9A00B1" w14:textId="77777777" w:rsidR="00E47090" w:rsidRDefault="00E47090" w:rsidP="00E47090">
      <w:pPr>
        <w:pStyle w:val="a9"/>
        <w:spacing w:after="0" w:line="360" w:lineRule="auto"/>
        <w:ind w:left="0"/>
        <w:jc w:val="both"/>
        <w:rPr>
          <w:rFonts w:ascii="David" w:hAnsi="David" w:cs="David"/>
          <w:sz w:val="24"/>
          <w:szCs w:val="24"/>
          <w:rtl/>
        </w:rPr>
      </w:pPr>
    </w:p>
    <w:p w14:paraId="45194816" w14:textId="77777777" w:rsidR="00E47090" w:rsidRDefault="00E47090" w:rsidP="00E47090">
      <w:pPr>
        <w:pStyle w:val="a9"/>
        <w:spacing w:after="0" w:line="360" w:lineRule="auto"/>
        <w:ind w:left="0"/>
        <w:jc w:val="both"/>
        <w:rPr>
          <w:rFonts w:ascii="David" w:hAnsi="David" w:cs="David"/>
          <w:sz w:val="24"/>
          <w:szCs w:val="24"/>
          <w:u w:val="single"/>
          <w:rtl/>
        </w:rPr>
      </w:pPr>
      <w:r>
        <w:rPr>
          <w:rFonts w:ascii="David" w:hAnsi="David" w:cs="David"/>
          <w:sz w:val="24"/>
          <w:szCs w:val="24"/>
          <w:u w:val="single"/>
          <w:rtl/>
        </w:rPr>
        <w:t>טיעוני הנאשמים ודבריהם טרם גזר הדין</w:t>
      </w:r>
    </w:p>
    <w:p w14:paraId="75EF6043"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בא כוחו של כהנא – עו"ד ליאור בר-זוהר, לא טען לעונש. הוא מסר, על פי הנחיית מרשו, כי הוא עומד על חפותו ובקשתו היחידה היתה להפעיל את המאסר על תנאי בחופף. </w:t>
      </w:r>
    </w:p>
    <w:p w14:paraId="7B4CD63C" w14:textId="77777777" w:rsidR="00E47090" w:rsidRDefault="00E47090" w:rsidP="00E47090">
      <w:pPr>
        <w:pStyle w:val="a9"/>
        <w:spacing w:after="0" w:line="360" w:lineRule="auto"/>
        <w:ind w:left="0"/>
        <w:jc w:val="both"/>
        <w:rPr>
          <w:rFonts w:ascii="David" w:hAnsi="David" w:cs="David"/>
          <w:sz w:val="24"/>
          <w:szCs w:val="24"/>
          <w:rtl/>
        </w:rPr>
      </w:pPr>
    </w:p>
    <w:p w14:paraId="4DC3AB37"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בא כוחו של ורדיניאן – עו"ד דן גלעד, טען את כל הטענות שניתן להעלות לזכות מרשו. עיקר הטיעון בא להציג את מעשיו של ורדיניאן באור שאינו חמור, ולו באופן יחסי. בהתאם לכך הובאו קביעות מהכרעת הדין שם צוין כי ורדיניאן היה דמות שולית יחסית ופאסיבית שעיקר חלקה היה בהסעת כהנא ממקום למקום. נטען כי נוכח קביעות אלה מדובר בדמות משנית ואחריותו היא עקיפה בלבד. בנוסף, הפנה בא כוח הנאשם לפסיקה שלשיטתו מייצגת את הענישה הנוהגת במקרים דומים. על בסיס כלל הנתונים הרלוונטיים, שרק תמציתם הוצג במסגרת זו, עתר ורדיניאן למתחם כולל שבין 4 ל 9 שנות מאסר. לגבי העונש בתוך המתחם, נטען לנסיבות חייו הקשות של ורדיניאן – בן יחיד שעלה לארץ רק עם אמו כאשר היה כבן 6 שנים, גדל ללא דמות אב ועקב בעיותיו אף לא גויס לצבא. נטען כי הנאשם נטל אחריות ולו באופן מסוים כאשר אישר שהוא זה שהסיע את הרוצח לזירה. עוד נטען כי ביחס לכהנא, ורדיניאן הוא "דג רקק", אדם דל ולא מתוחכם ש"מקומו בהיררכיה" נמוך למדי. על רקע נתונים ושיקולים אלה נטען שיש להסתפק בתקופת המעצר.</w:t>
      </w:r>
    </w:p>
    <w:p w14:paraId="668C3AB7" w14:textId="77777777" w:rsidR="00E47090" w:rsidRDefault="00E47090" w:rsidP="00E47090">
      <w:pPr>
        <w:pStyle w:val="a9"/>
        <w:spacing w:after="0" w:line="360" w:lineRule="auto"/>
        <w:ind w:left="0"/>
        <w:jc w:val="both"/>
        <w:rPr>
          <w:rFonts w:ascii="David" w:hAnsi="David" w:cs="David"/>
          <w:sz w:val="24"/>
          <w:szCs w:val="24"/>
          <w:rtl/>
        </w:rPr>
      </w:pPr>
    </w:p>
    <w:p w14:paraId="2CB5613D"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כאשר ניתנה לנאשמים לומר את דברם טרם גזר הדין (זכות המילה האחרונה), הביע כהנא ביטחון שעניינו ישוב לידון בבית המשפט המחוזי לאחר שיישמע ערעורו בבית המשפט העליון. ורדיניאן ויתר על זכותו למסור דברים טרם גזר הדין. </w:t>
      </w:r>
    </w:p>
    <w:p w14:paraId="45602412" w14:textId="77777777" w:rsidR="00E47090" w:rsidRDefault="00E47090" w:rsidP="00E47090">
      <w:pPr>
        <w:pStyle w:val="a9"/>
        <w:spacing w:after="0" w:line="360" w:lineRule="auto"/>
        <w:ind w:left="0"/>
        <w:jc w:val="both"/>
        <w:rPr>
          <w:rFonts w:ascii="David" w:hAnsi="David" w:cs="David"/>
          <w:sz w:val="24"/>
          <w:szCs w:val="24"/>
          <w:rtl/>
        </w:rPr>
      </w:pPr>
    </w:p>
    <w:p w14:paraId="1454A840" w14:textId="77777777" w:rsidR="00E47090" w:rsidRDefault="00E47090" w:rsidP="00E47090">
      <w:pPr>
        <w:pStyle w:val="a9"/>
        <w:spacing w:after="0" w:line="360" w:lineRule="auto"/>
        <w:ind w:left="0"/>
        <w:jc w:val="both"/>
        <w:rPr>
          <w:rFonts w:ascii="David" w:hAnsi="David" w:cs="David"/>
          <w:sz w:val="24"/>
          <w:szCs w:val="24"/>
          <w:u w:val="single"/>
          <w:rtl/>
        </w:rPr>
      </w:pPr>
      <w:r>
        <w:rPr>
          <w:rFonts w:ascii="David" w:hAnsi="David" w:cs="David"/>
          <w:sz w:val="24"/>
          <w:szCs w:val="24"/>
          <w:u w:val="single"/>
          <w:rtl/>
        </w:rPr>
        <w:t>דיון ומסקנות</w:t>
      </w:r>
    </w:p>
    <w:p w14:paraId="0EC74D56"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הדיון בעונשו של כהנא יהיה קצר. העבירה העיקרית בה הורשע, רצח בכוונה תחילה לפי </w:t>
      </w:r>
      <w:hyperlink r:id="rId24" w:history="1">
        <w:r w:rsidR="00613C57" w:rsidRPr="00613C57">
          <w:rPr>
            <w:rStyle w:val="Hyperlink"/>
            <w:rFonts w:ascii="David" w:hAnsi="David" w:cs="David"/>
            <w:sz w:val="24"/>
            <w:szCs w:val="24"/>
            <w:rtl/>
          </w:rPr>
          <w:t>ס' 300(א)(2)</w:t>
        </w:r>
      </w:hyperlink>
      <w:r>
        <w:rPr>
          <w:rFonts w:ascii="David" w:hAnsi="David" w:cs="David"/>
          <w:sz w:val="24"/>
          <w:szCs w:val="24"/>
          <w:rtl/>
        </w:rPr>
        <w:t xml:space="preserve"> +</w:t>
      </w:r>
      <w:hyperlink r:id="rId25" w:history="1">
        <w:r w:rsidR="00613C57" w:rsidRPr="00613C57">
          <w:rPr>
            <w:rStyle w:val="Hyperlink"/>
            <w:rFonts w:ascii="David" w:hAnsi="David" w:cs="David"/>
            <w:sz w:val="24"/>
            <w:szCs w:val="24"/>
            <w:rtl/>
          </w:rPr>
          <w:t>301</w:t>
        </w:r>
      </w:hyperlink>
      <w:r>
        <w:rPr>
          <w:rFonts w:ascii="David" w:hAnsi="David" w:cs="David"/>
          <w:sz w:val="24"/>
          <w:szCs w:val="24"/>
          <w:rtl/>
        </w:rPr>
        <w:t xml:space="preserve"> ל</w:t>
      </w:r>
      <w:hyperlink r:id="rId26" w:history="1">
        <w:r w:rsidR="00DD560F" w:rsidRPr="00DD560F">
          <w:rPr>
            <w:rFonts w:ascii="David" w:hAnsi="David" w:cs="David"/>
            <w:color w:val="0000FF"/>
            <w:sz w:val="24"/>
            <w:szCs w:val="24"/>
            <w:u w:val="single"/>
            <w:rtl/>
          </w:rPr>
          <w:t>חוק העונשין</w:t>
        </w:r>
      </w:hyperlink>
      <w:r>
        <w:rPr>
          <w:rFonts w:ascii="David" w:hAnsi="David" w:cs="David"/>
          <w:sz w:val="24"/>
          <w:szCs w:val="24"/>
          <w:rtl/>
        </w:rPr>
        <w:t xml:space="preserve"> בנוסחו טרם תיקון 137 לחוק, מחייבת השתת מאסר עולם כעונש חובה. מיעוט הדברים שייכתב בעניינו עומד ביחס הפוך לחומרת מעשיו. קבענו בהקשר אליו כי </w:t>
      </w:r>
      <w:r>
        <w:rPr>
          <w:rFonts w:ascii="David" w:hAnsi="David" w:cs="David"/>
          <w:b/>
          <w:bCs/>
          <w:sz w:val="24"/>
          <w:szCs w:val="24"/>
          <w:rtl/>
        </w:rPr>
        <w:t>"מדובר בהתנקשות מתוכננת היטב, במסגרתה הוציא כהנא לפועל את תכניתו להמית את המנוח; הוא עשה כן באכזריות, בקור רוח ותוך שהוא מסכן אחרים</w:t>
      </w:r>
      <w:r>
        <w:rPr>
          <w:rFonts w:ascii="David" w:hAnsi="David" w:cs="David"/>
          <w:sz w:val="24"/>
          <w:szCs w:val="24"/>
          <w:rtl/>
        </w:rPr>
        <w:t xml:space="preserve">" (פסקה 231 להכרעת הדין). מדובר במי שנטל חייו של אחר ובכך פגע בערך החשוב מכל של שמירת חיי האדם. </w:t>
      </w:r>
    </w:p>
    <w:p w14:paraId="0EEE848F" w14:textId="77777777" w:rsidR="00E47090" w:rsidRDefault="00E47090" w:rsidP="00E47090">
      <w:pPr>
        <w:pStyle w:val="a9"/>
        <w:spacing w:after="0" w:line="360" w:lineRule="auto"/>
        <w:ind w:left="0"/>
        <w:jc w:val="both"/>
        <w:rPr>
          <w:rFonts w:ascii="David" w:hAnsi="David" w:cs="David"/>
          <w:sz w:val="24"/>
          <w:szCs w:val="24"/>
          <w:rtl/>
        </w:rPr>
      </w:pPr>
    </w:p>
    <w:p w14:paraId="6F600AC8"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הנאשם במעשיו הותיר אחריו אלמנה עם 3 ילדים קטנים שאחד מהם נולד לאחר שאביו נרצח באכזריות. מעגלי הנזק שנגרמו כתוצאה ממעשיו הנפשעים הם עצומים וילוו את משפחת המנוח עוד שנים רבות. </w:t>
      </w:r>
    </w:p>
    <w:p w14:paraId="528A9AA2" w14:textId="77777777" w:rsidR="00E47090" w:rsidRDefault="00E47090" w:rsidP="00E47090">
      <w:pPr>
        <w:pStyle w:val="a9"/>
        <w:spacing w:after="0" w:line="360" w:lineRule="auto"/>
        <w:ind w:left="0"/>
        <w:jc w:val="both"/>
        <w:rPr>
          <w:rFonts w:ascii="David" w:hAnsi="David" w:cs="David"/>
          <w:sz w:val="24"/>
          <w:szCs w:val="24"/>
          <w:rtl/>
        </w:rPr>
      </w:pPr>
    </w:p>
    <w:p w14:paraId="2A5B1BFC"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המאשימה הסכימה בטיעוניה כי העונשים בגין העבירות הנוספות בהן הורשע כהנא יהיו בחופף למאסר העולם. לא נהיה בהקשר זה יותר תובעים מהתובעים (ור' בנדון האמור בע"פ </w:t>
      </w:r>
      <w:hyperlink r:id="rId27" w:history="1">
        <w:r w:rsidR="00DD560F" w:rsidRPr="00DD560F">
          <w:rPr>
            <w:rFonts w:ascii="David" w:hAnsi="David" w:cs="David"/>
            <w:color w:val="0000FF"/>
            <w:sz w:val="24"/>
            <w:szCs w:val="24"/>
            <w:u w:val="single"/>
            <w:rtl/>
          </w:rPr>
          <w:t>ע"פ 5733/13</w:t>
        </w:r>
      </w:hyperlink>
      <w:r>
        <w:rPr>
          <w:rFonts w:ascii="David" w:hAnsi="David" w:cs="David"/>
          <w:sz w:val="24"/>
          <w:szCs w:val="24"/>
          <w:rtl/>
        </w:rPr>
        <w:t xml:space="preserve"> </w:t>
      </w:r>
      <w:r>
        <w:rPr>
          <w:rFonts w:ascii="Miriam" w:hAnsi="Miriam" w:cs="Miriam"/>
          <w:sz w:val="24"/>
          <w:szCs w:val="24"/>
          <w:rtl/>
        </w:rPr>
        <w:t>מעוז נגד מדינת ישראל</w:t>
      </w:r>
      <w:r>
        <w:rPr>
          <w:rFonts w:ascii="David" w:hAnsi="David" w:cs="David"/>
          <w:sz w:val="24"/>
          <w:szCs w:val="24"/>
          <w:rtl/>
        </w:rPr>
        <w:t xml:space="preserve"> (5.7.2016)) ולכן נאמץ, במקרה זה, עמדה זו. </w:t>
      </w:r>
    </w:p>
    <w:p w14:paraId="044D51F1" w14:textId="77777777" w:rsidR="00E47090" w:rsidRDefault="00E47090" w:rsidP="00E47090">
      <w:pPr>
        <w:pStyle w:val="a9"/>
        <w:spacing w:after="0" w:line="360" w:lineRule="auto"/>
        <w:ind w:left="0"/>
        <w:jc w:val="both"/>
        <w:rPr>
          <w:rFonts w:ascii="David" w:hAnsi="David" w:cs="David"/>
          <w:sz w:val="24"/>
          <w:szCs w:val="24"/>
          <w:rtl/>
        </w:rPr>
      </w:pPr>
    </w:p>
    <w:p w14:paraId="254D314A"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משכך, אמליץ לחבריי לגזור על הנאשם 1 – מאור כהנא, מאסר עולם; 4 שנות מאסר בגין הרשעתו בעבירת הנשק ובעבירה של שיבוש מהלכי משפט. עוד אמליץ לחבריי לחפוף את כלל העונשים לעיל באופן שבסופו של דבר ייגזר על הנאשם עונש מאסר עולם, בנוסף לרכיב פיצוי כמפורט להלן. באשר למאסר על תנאי, בשים לב לכלל הקבוע </w:t>
      </w:r>
      <w:hyperlink r:id="rId28" w:history="1">
        <w:r w:rsidR="00613C57" w:rsidRPr="00613C57">
          <w:rPr>
            <w:rStyle w:val="Hyperlink"/>
            <w:rFonts w:ascii="David" w:hAnsi="David" w:cs="David"/>
            <w:sz w:val="24"/>
            <w:szCs w:val="24"/>
            <w:rtl/>
          </w:rPr>
          <w:t>בס' 58</w:t>
        </w:r>
      </w:hyperlink>
      <w:r>
        <w:rPr>
          <w:rFonts w:ascii="David" w:hAnsi="David" w:cs="David"/>
          <w:sz w:val="24"/>
          <w:szCs w:val="24"/>
          <w:rtl/>
        </w:rPr>
        <w:t xml:space="preserve"> ל</w:t>
      </w:r>
      <w:hyperlink r:id="rId29" w:history="1">
        <w:r w:rsidR="00DD560F" w:rsidRPr="00DD560F">
          <w:rPr>
            <w:rFonts w:ascii="David" w:hAnsi="David" w:cs="David"/>
            <w:color w:val="0000FF"/>
            <w:sz w:val="24"/>
            <w:szCs w:val="24"/>
            <w:u w:val="single"/>
            <w:rtl/>
          </w:rPr>
          <w:t>חוק העונשין</w:t>
        </w:r>
      </w:hyperlink>
      <w:r>
        <w:rPr>
          <w:rFonts w:ascii="David" w:hAnsi="David" w:cs="David"/>
          <w:sz w:val="24"/>
          <w:szCs w:val="24"/>
          <w:rtl/>
        </w:rPr>
        <w:t xml:space="preserve">, להלכות בנדון (ר' לדוגמה </w:t>
      </w:r>
      <w:hyperlink r:id="rId30" w:history="1">
        <w:r w:rsidR="00DD560F" w:rsidRPr="00DD560F">
          <w:rPr>
            <w:rFonts w:ascii="David" w:hAnsi="David" w:cs="David"/>
            <w:color w:val="0000FF"/>
            <w:sz w:val="24"/>
            <w:szCs w:val="24"/>
            <w:u w:val="single"/>
            <w:rtl/>
          </w:rPr>
          <w:t>ע"פ 1944/20</w:t>
        </w:r>
      </w:hyperlink>
      <w:r>
        <w:rPr>
          <w:rFonts w:ascii="David" w:hAnsi="David" w:cs="David"/>
          <w:sz w:val="24"/>
          <w:szCs w:val="24"/>
          <w:rtl/>
        </w:rPr>
        <w:t xml:space="preserve"> </w:t>
      </w:r>
      <w:r>
        <w:rPr>
          <w:rFonts w:ascii="Miriam" w:hAnsi="Miriam" w:cs="Miriam"/>
          <w:sz w:val="24"/>
          <w:szCs w:val="24"/>
          <w:rtl/>
        </w:rPr>
        <w:t>מדינת ישראל נ' מדינת ישראל</w:t>
      </w:r>
      <w:r>
        <w:rPr>
          <w:rFonts w:ascii="David" w:hAnsi="David" w:cs="David"/>
          <w:sz w:val="24"/>
          <w:szCs w:val="24"/>
          <w:rtl/>
        </w:rPr>
        <w:t xml:space="preserve">, פסקה 11 (2.9.20); </w:t>
      </w:r>
      <w:hyperlink r:id="rId31" w:history="1">
        <w:r w:rsidR="00DD560F" w:rsidRPr="00DD560F">
          <w:rPr>
            <w:rFonts w:ascii="David" w:hAnsi="David" w:cs="David"/>
            <w:color w:val="0000FF"/>
            <w:sz w:val="24"/>
            <w:szCs w:val="24"/>
            <w:u w:val="single"/>
            <w:rtl/>
          </w:rPr>
          <w:t>ע"פ 2471/21</w:t>
        </w:r>
      </w:hyperlink>
      <w:r>
        <w:rPr>
          <w:rFonts w:ascii="David" w:hAnsi="David" w:cs="David"/>
          <w:sz w:val="24"/>
          <w:szCs w:val="24"/>
          <w:rtl/>
        </w:rPr>
        <w:t xml:space="preserve"> </w:t>
      </w:r>
      <w:r>
        <w:rPr>
          <w:rFonts w:ascii="Miriam" w:hAnsi="Miriam" w:cs="Miriam"/>
          <w:sz w:val="24"/>
          <w:szCs w:val="24"/>
          <w:rtl/>
        </w:rPr>
        <w:t>מדינת ישראל נ' אבו ערישה</w:t>
      </w:r>
      <w:r>
        <w:rPr>
          <w:rFonts w:ascii="David" w:hAnsi="David" w:cs="David"/>
          <w:sz w:val="24"/>
          <w:szCs w:val="24"/>
          <w:rtl/>
        </w:rPr>
        <w:t>, פסקה 12 (16.1.22)) ומשלא הוצגו נימוקים לסטות מכלל זה, אמליץ לחבריי להפעיל את תקופת התנאי במצטבר לעונש מאסר העולם לעיל.</w:t>
      </w:r>
    </w:p>
    <w:p w14:paraId="1D68BA34" w14:textId="77777777" w:rsidR="00E47090" w:rsidRDefault="00E47090" w:rsidP="00E47090">
      <w:pPr>
        <w:pStyle w:val="a9"/>
        <w:spacing w:after="0" w:line="360" w:lineRule="auto"/>
        <w:ind w:left="0"/>
        <w:jc w:val="both"/>
        <w:rPr>
          <w:rFonts w:ascii="David" w:hAnsi="David" w:cs="David"/>
          <w:sz w:val="24"/>
          <w:szCs w:val="24"/>
          <w:rtl/>
        </w:rPr>
      </w:pPr>
    </w:p>
    <w:p w14:paraId="55BC19F5"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לגבי ורדיניאן, העבירה המרכזית בה הורשע היתה סיוע לרצח, שהעונש המרבי הקבוע לצידה הוא 20 שנות מאסר. בנוסף, הוא הורשע גם בעבירת נשק וכן בעבירה של שיבוש מהלכי משפט. כלל מעשיו מהווים אירוע אחד ולכן ייקבע גם מתחם אחד. עם זאת, יש לזכור כי על המתחם לשקף את כלל המעשים וכן את העבירות הנלוות (ור' בנדון בהקשר זה האמור ב</w:t>
      </w:r>
      <w:hyperlink r:id="rId32" w:history="1">
        <w:r w:rsidR="00DD560F" w:rsidRPr="00DD560F">
          <w:rPr>
            <w:rFonts w:ascii="David" w:hAnsi="David" w:cs="David"/>
            <w:color w:val="0000FF"/>
            <w:sz w:val="24"/>
            <w:szCs w:val="24"/>
            <w:u w:val="single"/>
            <w:rtl/>
          </w:rPr>
          <w:t>ע"פ 1082/14</w:t>
        </w:r>
      </w:hyperlink>
      <w:r>
        <w:rPr>
          <w:rFonts w:ascii="David" w:hAnsi="David" w:cs="David"/>
          <w:sz w:val="24"/>
          <w:szCs w:val="24"/>
          <w:rtl/>
        </w:rPr>
        <w:t xml:space="preserve"> </w:t>
      </w:r>
      <w:r>
        <w:rPr>
          <w:rFonts w:ascii="Miriam" w:hAnsi="Miriam" w:cs="Miriam"/>
          <w:sz w:val="24"/>
          <w:szCs w:val="24"/>
          <w:rtl/>
        </w:rPr>
        <w:t>ג'סאר נ' מדינת ישראל</w:t>
      </w:r>
      <w:r>
        <w:rPr>
          <w:rFonts w:ascii="David" w:hAnsi="David" w:cs="David"/>
          <w:sz w:val="24"/>
          <w:szCs w:val="24"/>
          <w:rtl/>
        </w:rPr>
        <w:t xml:space="preserve">, פסקה 31 (23.7.15)). </w:t>
      </w:r>
    </w:p>
    <w:p w14:paraId="2C3CA745" w14:textId="77777777" w:rsidR="00E47090" w:rsidRDefault="00E47090" w:rsidP="00E47090">
      <w:pPr>
        <w:pStyle w:val="a9"/>
        <w:spacing w:after="0" w:line="360" w:lineRule="auto"/>
        <w:ind w:left="0"/>
        <w:jc w:val="both"/>
        <w:rPr>
          <w:rFonts w:ascii="David" w:hAnsi="David" w:cs="David"/>
          <w:sz w:val="24"/>
          <w:szCs w:val="24"/>
          <w:rtl/>
        </w:rPr>
      </w:pPr>
    </w:p>
    <w:p w14:paraId="2DE9BEAF" w14:textId="77777777" w:rsidR="00E47090" w:rsidRDefault="00E47090" w:rsidP="00E47090">
      <w:pPr>
        <w:pStyle w:val="a9"/>
        <w:spacing w:after="0" w:line="360" w:lineRule="auto"/>
        <w:ind w:left="0"/>
        <w:jc w:val="both"/>
        <w:rPr>
          <w:rFonts w:ascii="David" w:hAnsi="David" w:cs="David"/>
          <w:rtl/>
        </w:rPr>
      </w:pPr>
      <w:r>
        <w:rPr>
          <w:rFonts w:ascii="David" w:hAnsi="David" w:cs="David"/>
          <w:sz w:val="24"/>
          <w:szCs w:val="24"/>
          <w:rtl/>
        </w:rPr>
        <w:t xml:space="preserve">נקבע על ידנו לגבי ורדיניאן, כי הוא </w:t>
      </w:r>
      <w:r>
        <w:rPr>
          <w:rFonts w:ascii="David" w:hAnsi="David" w:cs="David"/>
          <w:sz w:val="24"/>
          <w:szCs w:val="24"/>
          <w:u w:val="single"/>
          <w:rtl/>
        </w:rPr>
        <w:t>היה מודע לכוונותיו של כהנא לרצוח את המנוח</w:t>
      </w:r>
      <w:r>
        <w:rPr>
          <w:rFonts w:ascii="David" w:hAnsi="David" w:cs="David"/>
          <w:sz w:val="24"/>
          <w:szCs w:val="24"/>
          <w:rtl/>
        </w:rPr>
        <w:t xml:space="preserve"> וכתימוכין הפנינו לכך כי הוא הגיע עם כהנא למפגש המקדים בבריכת אפק כשעה לפני הרצח וכי לא היה זה מפגש סתמי או חברי; הוא שהה עם כהנא גם לאחר שהשניים עזבו את בריכה; הסיע את כהנא על גבי אופנוע עד לזירת הרצח; הוריד את כהנא בכיכר ליד המסעדה כחלק מהסיוע שנתן לו ומתוך מודעות לנתון זה; המתין לכהנא תוך שהוא מקיף בנסיעה את הכיכר הסמוכה למסעדה שם נרצח המנוח; ולאחר הרצח מילט את עצמו ואת כהנא מזירת הרצח לשמורת נחל נעמן. נתונים אלה עומדים באופן מובהק לחובתו. עם זאת, הוספנו וקבענו כי הוא  היה דמות פאסיבית, שולית באופן יחסי, שהיתה אמורה להסיע את כהנא ממקום למקום. </w:t>
      </w:r>
    </w:p>
    <w:p w14:paraId="7B451763" w14:textId="77777777" w:rsidR="00E47090" w:rsidRDefault="00E47090" w:rsidP="00E47090">
      <w:pPr>
        <w:pStyle w:val="a9"/>
        <w:spacing w:after="0"/>
        <w:ind w:left="0"/>
        <w:rPr>
          <w:rFonts w:ascii="David" w:hAnsi="David" w:cs="David"/>
          <w:sz w:val="24"/>
          <w:szCs w:val="24"/>
        </w:rPr>
      </w:pPr>
    </w:p>
    <w:p w14:paraId="249F2CAC"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בפסיקה נקבע שעונשו של מסייע ייגזר ממאפייני הסיוע וממידת תרומתו למימוש התוכנית העבריינית (</w:t>
      </w:r>
      <w:hyperlink r:id="rId33" w:history="1">
        <w:r w:rsidR="00DD560F" w:rsidRPr="00DD560F">
          <w:rPr>
            <w:rFonts w:ascii="David" w:hAnsi="David" w:cs="David"/>
            <w:color w:val="0000FF"/>
            <w:sz w:val="24"/>
            <w:szCs w:val="24"/>
            <w:u w:val="single"/>
            <w:rtl/>
          </w:rPr>
          <w:t>ע"פ 3706/15</w:t>
        </w:r>
      </w:hyperlink>
      <w:r>
        <w:rPr>
          <w:rFonts w:ascii="David" w:hAnsi="David" w:cs="David"/>
          <w:sz w:val="24"/>
          <w:szCs w:val="24"/>
          <w:rtl/>
        </w:rPr>
        <w:t xml:space="preserve"> </w:t>
      </w:r>
      <w:r>
        <w:rPr>
          <w:rFonts w:ascii="Miriam" w:hAnsi="Miriam" w:cs="Miriam"/>
          <w:b/>
          <w:sz w:val="24"/>
          <w:szCs w:val="24"/>
          <w:rtl/>
        </w:rPr>
        <w:t>טובאסי נ' מדינת ישראל</w:t>
      </w:r>
      <w:r>
        <w:rPr>
          <w:rFonts w:ascii="David" w:hAnsi="David" w:cs="David"/>
          <w:sz w:val="24"/>
          <w:szCs w:val="24"/>
          <w:rtl/>
        </w:rPr>
        <w:t xml:space="preserve">, פסקה 12 (2.5.2016); </w:t>
      </w:r>
      <w:hyperlink r:id="rId34" w:history="1">
        <w:r w:rsidR="00DD560F" w:rsidRPr="00DD560F">
          <w:rPr>
            <w:rFonts w:ascii="David" w:hAnsi="David" w:cs="David"/>
            <w:color w:val="0000FF"/>
            <w:sz w:val="24"/>
            <w:szCs w:val="24"/>
            <w:u w:val="single"/>
            <w:rtl/>
          </w:rPr>
          <w:t>ע"פ 7881/20</w:t>
        </w:r>
      </w:hyperlink>
      <w:r>
        <w:rPr>
          <w:rFonts w:ascii="David" w:hAnsi="David" w:cs="David"/>
          <w:sz w:val="24"/>
          <w:szCs w:val="24"/>
          <w:rtl/>
        </w:rPr>
        <w:t xml:space="preserve"> </w:t>
      </w:r>
      <w:r>
        <w:rPr>
          <w:rFonts w:ascii="Miriam" w:hAnsi="Miriam" w:cs="Miriam"/>
          <w:sz w:val="24"/>
          <w:szCs w:val="24"/>
          <w:rtl/>
        </w:rPr>
        <w:t>קשאש נ' מדינת ישראל,</w:t>
      </w:r>
      <w:r>
        <w:rPr>
          <w:rFonts w:ascii="David" w:hAnsi="David" w:cs="David"/>
          <w:sz w:val="24"/>
          <w:szCs w:val="24"/>
          <w:rtl/>
        </w:rPr>
        <w:t xml:space="preserve"> פסקאות 14-16 (10.5.21)). בענייננו מדובר בסיוע ברף בינוני-גבוה. מחד, אין מדובר, לדוגמה, במתן אמצעים לפני עשיית העבירה או בסיוע "נקודתי" אחר. ומנגד, שירותי הליווי וההסעה שנתן לכהנא לכל אורך הדרך אינם מגיעים, לדוגמה, ל"משיכת" קורבן העבירה למקום הרצח, או בהפעלת אלימות כלשהי על הנרצח לצד המבצע העיקרי. ודוק, תפקידו של ורדיניאן בעיקר כנהג אינו קל ערך, אינו "טכני" ואינו מפחית מחומרת מעשיו, שכן כפי שצוין לעיל מדובר בליוויו של כהנא משך זמן משמעותי עוד משלבי ההכנה של האירוע, היו לו אינספור "נקודות יציאה", תרתי משמע, במהלך הדרך בהן יכול היה להימלך בדעתו, לשנות את מהלך חייו וייתכן ואף להציל את חייו של המנוח. זאת ועוד, העובדה שורדיניאן הוריד את כהנא ליד זירת הרצח והמתין לו בעת שהאחרון מבצע את זממו ולאחר מכן מילט אותו, מצביעה על קור רוחו ועל היעדר גבולות מצדו. </w:t>
      </w:r>
    </w:p>
    <w:p w14:paraId="09819822" w14:textId="77777777" w:rsidR="00E47090" w:rsidRDefault="00E47090" w:rsidP="00E47090">
      <w:pPr>
        <w:pStyle w:val="a9"/>
        <w:spacing w:after="0" w:line="360" w:lineRule="auto"/>
        <w:ind w:left="0"/>
        <w:jc w:val="both"/>
        <w:rPr>
          <w:rFonts w:ascii="David" w:hAnsi="David" w:cs="David"/>
          <w:sz w:val="24"/>
          <w:szCs w:val="24"/>
          <w:rtl/>
        </w:rPr>
      </w:pPr>
    </w:p>
    <w:p w14:paraId="4BB5F511"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עיון בפסיקה מלמד כי קיים מנעד רחב של עונשים בעבירה של סיוע לרצח, והכל כאמור בשים לב למאפייני הסיוע שהגיש. במסגרת הכרעת הדין, בפרק בו ניתחנו את חלקו המשפטי של ורדיניאן, התמקדנו ב"נהגי מילוט", והפנינו למספר מקרים בהם הורשעו מי ששימשו בפועל כנהגי מילוט כמבצעים בצוותא כאשר אלה היו ב"מעגל הפנימי" של המבצעים בצוותא. ורדיניאן, כאמור, אינו נמנה עם אלה. עוד הפנינו למקרה בו הורשע נהג מילוט בסיוע לרצח וכן בקשירת קשר ועבירות נשק (</w:t>
      </w:r>
      <w:hyperlink r:id="rId35" w:history="1">
        <w:r w:rsidR="00DD560F" w:rsidRPr="00DD560F">
          <w:rPr>
            <w:rFonts w:ascii="David" w:hAnsi="David" w:cs="David"/>
            <w:color w:val="0000FF"/>
            <w:sz w:val="24"/>
            <w:szCs w:val="24"/>
            <w:u w:val="single"/>
            <w:rtl/>
          </w:rPr>
          <w:t>ע"פ 1817/17</w:t>
        </w:r>
      </w:hyperlink>
      <w:r>
        <w:rPr>
          <w:rFonts w:ascii="David" w:hAnsi="David" w:cs="David"/>
          <w:sz w:val="24"/>
          <w:szCs w:val="24"/>
          <w:rtl/>
        </w:rPr>
        <w:t xml:space="preserve"> </w:t>
      </w:r>
      <w:r>
        <w:rPr>
          <w:rFonts w:ascii="Miriam" w:hAnsi="Miriam" w:cs="Miriam"/>
          <w:sz w:val="24"/>
          <w:szCs w:val="24"/>
          <w:rtl/>
        </w:rPr>
        <w:t>סולימנוב ואח' נ' מדינת ישראל</w:t>
      </w:r>
      <w:r>
        <w:rPr>
          <w:rFonts w:ascii="David" w:hAnsi="David" w:cs="David"/>
          <w:sz w:val="24"/>
          <w:szCs w:val="24"/>
          <w:rtl/>
        </w:rPr>
        <w:t xml:space="preserve"> (2.4.20); להלן: </w:t>
      </w:r>
      <w:r>
        <w:rPr>
          <w:rFonts w:ascii="Miriam" w:hAnsi="Miriam" w:cs="Miriam"/>
          <w:sz w:val="24"/>
          <w:szCs w:val="24"/>
          <w:rtl/>
        </w:rPr>
        <w:t>עניין סולימנוב</w:t>
      </w:r>
      <w:r>
        <w:rPr>
          <w:rFonts w:ascii="David" w:hAnsi="David" w:cs="David"/>
          <w:sz w:val="24"/>
          <w:szCs w:val="24"/>
          <w:rtl/>
        </w:rPr>
        <w:t xml:space="preserve">) בעניין סולימנוב לעיל נדון, בין היתר, </w:t>
      </w:r>
      <w:r>
        <w:rPr>
          <w:rFonts w:ascii="David" w:hAnsi="David" w:cs="David" w:hint="cs"/>
          <w:sz w:val="24"/>
          <w:szCs w:val="24"/>
          <w:rtl/>
        </w:rPr>
        <w:t xml:space="preserve">נאשם בשם </w:t>
      </w:r>
      <w:r>
        <w:rPr>
          <w:rFonts w:ascii="David" w:hAnsi="David" w:cs="David"/>
          <w:sz w:val="24"/>
          <w:szCs w:val="24"/>
          <w:rtl/>
        </w:rPr>
        <w:t xml:space="preserve">שלומוב ששימש כנהג שהסיע שניים נוספים לזירת רצח, שם ירדו מבצעי הרצח מהרכב; שלומוב נסע מהמקום; השניים שנותרו שם ירו למוות בשומר מפעל; ועם קריאה טלפונית חזר  לזירת הרצח ומילט את המבצעים. הערכאה הדיונית קבעה </w:t>
      </w:r>
      <w:r>
        <w:rPr>
          <w:rFonts w:ascii="David" w:hAnsi="David" w:cs="David" w:hint="cs"/>
          <w:sz w:val="24"/>
          <w:szCs w:val="24"/>
          <w:rtl/>
        </w:rPr>
        <w:t xml:space="preserve">לגבי שלומוב </w:t>
      </w:r>
      <w:r>
        <w:rPr>
          <w:rFonts w:ascii="David" w:hAnsi="David" w:cs="David"/>
          <w:sz w:val="24"/>
          <w:szCs w:val="24"/>
          <w:rtl/>
        </w:rPr>
        <w:t>מתחם בין 10 ל 15 שנות מאסר וגזרה את דינו ל 13 שנות מאסר. בפסק הדין שניתן בערעור צוין ש"</w:t>
      </w:r>
      <w:r>
        <w:rPr>
          <w:rFonts w:ascii="David" w:hAnsi="David" w:cs="David"/>
          <w:b/>
          <w:bCs/>
          <w:sz w:val="24"/>
          <w:szCs w:val="24"/>
          <w:rtl/>
        </w:rPr>
        <w:t xml:space="preserve">מעורבותו של רפי </w:t>
      </w:r>
      <w:r w:rsidRPr="009C3A97">
        <w:rPr>
          <w:rFonts w:ascii="David" w:hAnsi="David" w:cs="David" w:hint="cs"/>
          <w:sz w:val="24"/>
          <w:szCs w:val="24"/>
          <w:rtl/>
        </w:rPr>
        <w:t xml:space="preserve">(שלומוב </w:t>
      </w:r>
      <w:r w:rsidRPr="009C3A97">
        <w:rPr>
          <w:rFonts w:ascii="David" w:hAnsi="David" w:cs="David"/>
          <w:sz w:val="24"/>
          <w:szCs w:val="24"/>
          <w:rtl/>
        </w:rPr>
        <w:t>–</w:t>
      </w:r>
      <w:r w:rsidRPr="009C3A97">
        <w:rPr>
          <w:rFonts w:ascii="David" w:hAnsi="David" w:cs="David" w:hint="cs"/>
          <w:sz w:val="24"/>
          <w:szCs w:val="24"/>
          <w:rtl/>
        </w:rPr>
        <w:t xml:space="preserve"> י.ל.)</w:t>
      </w:r>
      <w:r>
        <w:rPr>
          <w:rFonts w:ascii="David" w:hAnsi="David" w:cs="David" w:hint="cs"/>
          <w:b/>
          <w:bCs/>
          <w:sz w:val="24"/>
          <w:szCs w:val="24"/>
          <w:rtl/>
        </w:rPr>
        <w:t xml:space="preserve"> </w:t>
      </w:r>
      <w:r>
        <w:rPr>
          <w:rFonts w:ascii="David" w:hAnsi="David" w:cs="David"/>
          <w:b/>
          <w:bCs/>
          <w:sz w:val="24"/>
          <w:szCs w:val="24"/>
          <w:rtl/>
        </w:rPr>
        <w:t>באירוע הרצח הייתה מוגבלת כאמור, ובמובן זה מקומו הוא בחלקו התחתון של המנעד של מסייע</w:t>
      </w:r>
      <w:r>
        <w:rPr>
          <w:rFonts w:ascii="David" w:hAnsi="David" w:cs="David"/>
          <w:sz w:val="24"/>
          <w:szCs w:val="24"/>
          <w:rtl/>
        </w:rPr>
        <w:t xml:space="preserve">". לכן הופחת עונשו ל 9 שנות מאסר. אני סבור כי חלקו של ורדיניאן חמור באופן מובהק מעניינו של שלומוב לעיל, שכן כפי שצוין לעיל הוא ליווה את כהנא פרק זמן משמעותי בהקשר להוצאת התוכנית לפועל – החל מלפני הרצח, בכך שהסיעו לזירת הרצח והמתין לו בעת שהאחרון רצח את המנוח, וכן מילט אותו לאחר מכן והיה שותף לעבירת השיבוש ולעבירת הנשק. </w:t>
      </w:r>
    </w:p>
    <w:p w14:paraId="1E87672B" w14:textId="77777777" w:rsidR="00E47090" w:rsidRDefault="00E47090" w:rsidP="00E47090">
      <w:pPr>
        <w:pStyle w:val="a9"/>
        <w:spacing w:after="0" w:line="360" w:lineRule="auto"/>
        <w:ind w:left="0"/>
        <w:jc w:val="both"/>
        <w:rPr>
          <w:rFonts w:ascii="David" w:hAnsi="David" w:cs="David"/>
          <w:sz w:val="24"/>
          <w:szCs w:val="24"/>
          <w:rtl/>
        </w:rPr>
      </w:pPr>
    </w:p>
    <w:p w14:paraId="4B8D95DE" w14:textId="77777777" w:rsidR="00E47090" w:rsidRDefault="00E47090" w:rsidP="00E47090">
      <w:pPr>
        <w:pStyle w:val="a9"/>
        <w:spacing w:after="0" w:line="360" w:lineRule="auto"/>
        <w:ind w:left="0"/>
        <w:jc w:val="both"/>
        <w:rPr>
          <w:rFonts w:ascii="David" w:hAnsi="David" w:cs="David"/>
          <w:sz w:val="24"/>
          <w:szCs w:val="24"/>
          <w:u w:val="single"/>
          <w:rtl/>
        </w:rPr>
      </w:pPr>
      <w:r>
        <w:rPr>
          <w:rFonts w:ascii="David" w:hAnsi="David" w:cs="David"/>
          <w:sz w:val="24"/>
          <w:szCs w:val="24"/>
          <w:rtl/>
        </w:rPr>
        <w:t xml:space="preserve">בשים לב לנסיבות ביצוע העבירות ולכך כי על המתחם לשקף הן את עבירת הסיוע לרצח והן את עבירת הנשק ואת עבירת שיבוש מהלכי המשפט; בהתחשב במידת הפגיעה של הנאשם בערכים החברתיים ובפרט בכך שהוא סייע בגדיעת חייו של המנוח; וכן בהתחשב במדיניות הענישה הנהוגה, </w:t>
      </w:r>
      <w:r>
        <w:rPr>
          <w:rFonts w:ascii="David" w:hAnsi="David" w:cs="David"/>
          <w:sz w:val="24"/>
          <w:szCs w:val="24"/>
          <w:u w:val="single"/>
          <w:rtl/>
        </w:rPr>
        <w:t xml:space="preserve">אציע לחבריי לקבוע מתחם עונש שבין 10 ל 16 שנות מאסר בפועל. </w:t>
      </w:r>
    </w:p>
    <w:p w14:paraId="11BB36CD" w14:textId="77777777" w:rsidR="00E47090" w:rsidRDefault="00E47090" w:rsidP="00E47090">
      <w:pPr>
        <w:pStyle w:val="a9"/>
        <w:spacing w:after="0" w:line="360" w:lineRule="auto"/>
        <w:ind w:left="0"/>
        <w:jc w:val="both"/>
        <w:rPr>
          <w:rFonts w:ascii="David" w:hAnsi="David" w:cs="David"/>
          <w:sz w:val="24"/>
          <w:szCs w:val="24"/>
          <w:rtl/>
        </w:rPr>
      </w:pPr>
    </w:p>
    <w:p w14:paraId="5631FF15" w14:textId="77777777" w:rsidR="00E47090" w:rsidRPr="006A7706"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 xml:space="preserve">לגבי הנסיבות שאינן קשורות בביצוע העבירה, מרבית הנתונים עומדים לחובת הנאשם. מדובר שמי שלחובתו עבר פלילי מכביד. הוא ריצה כאמור מספר תקופות מאסר ועולה כי לא למד לקח מהם דבר ואלה לא הרתיעו אותו מלחזור לבצע עבירות ואף ביתר שאת. לכן, מעבר לשיקולי הרתעת הרבים המחויבים נוכח נסיבות האירוע והתוצאה הקטלנית, יש לקבוע עונש שיביא לידי ביטוי גם את שיקולי הרתעת היחיד וכן את הצורך להרחיקו מהחברה משום מסוכנותו. עוד אפנה לכך כי הנאשם לא נטל אחריות על מעשיו. אכן, הוא מסר גרסה שקשרה אותו באופן מסוים לרצח, אך כפי שנותח בהרחבה בהכרעת הדין מדובר בגרסה שרב בה השקר על האמת והיא רחוקה מרחק מזרח ממערב מהאמת או </w:t>
      </w:r>
      <w:r w:rsidRPr="006A7706">
        <w:rPr>
          <w:rFonts w:ascii="David" w:hAnsi="David" w:cs="David"/>
          <w:sz w:val="24"/>
          <w:szCs w:val="24"/>
          <w:rtl/>
        </w:rPr>
        <w:t>מקבלת אחריות. עוד אפנה לכך כי הוא לא הביע חרטה על מעשיו בישיבת הטיעונים לעונש. אפנה גם לכך שהגם שכפירה באשמה וניהול משפט לא ישמשו לחובת נאשם (</w:t>
      </w:r>
      <w:hyperlink r:id="rId36" w:history="1">
        <w:r w:rsidR="00613C57" w:rsidRPr="00613C57">
          <w:rPr>
            <w:rStyle w:val="Hyperlink"/>
            <w:rFonts w:ascii="David" w:hAnsi="David" w:cs="David"/>
            <w:sz w:val="24"/>
            <w:szCs w:val="24"/>
            <w:rtl/>
          </w:rPr>
          <w:t>סעיף 40(יא)(6))</w:t>
        </w:r>
      </w:hyperlink>
      <w:r w:rsidRPr="00DD560F">
        <w:rPr>
          <w:rFonts w:ascii="David" w:hAnsi="David" w:cs="David"/>
          <w:color w:val="000000"/>
          <w:sz w:val="24"/>
          <w:szCs w:val="24"/>
          <w:rtl/>
        </w:rPr>
        <w:t xml:space="preserve">, </w:t>
      </w:r>
      <w:r w:rsidRPr="006A7706">
        <w:rPr>
          <w:rFonts w:ascii="David" w:hAnsi="David" w:cs="David"/>
          <w:sz w:val="24"/>
          <w:szCs w:val="24"/>
          <w:rtl/>
        </w:rPr>
        <w:t>נקבע לא פעם שנאשם שלא הפנים את חומרת מעשיו, לא נטל אחריות עליהם ולא הביע חרטה עליהם אינו ראוי להתחשבות כמי שהכיר באחריותו והתחרט (ר' לדוגמה האמור ב</w:t>
      </w:r>
      <w:hyperlink r:id="rId37" w:history="1">
        <w:r w:rsidR="00DD560F" w:rsidRPr="00DD560F">
          <w:rPr>
            <w:rFonts w:ascii="David" w:hAnsi="David" w:cs="David"/>
            <w:color w:val="0000FF"/>
            <w:sz w:val="24"/>
            <w:szCs w:val="24"/>
            <w:u w:val="single"/>
            <w:rtl/>
          </w:rPr>
          <w:t>ע"פ 7211/13</w:t>
        </w:r>
      </w:hyperlink>
      <w:r w:rsidRPr="006A7706">
        <w:rPr>
          <w:rFonts w:ascii="David" w:hAnsi="David" w:cs="David"/>
          <w:sz w:val="24"/>
          <w:szCs w:val="24"/>
          <w:rtl/>
        </w:rPr>
        <w:t xml:space="preserve"> </w:t>
      </w:r>
      <w:r w:rsidRPr="006A7706">
        <w:rPr>
          <w:rFonts w:ascii="Miriam" w:hAnsi="Miriam" w:cs="Miriam"/>
          <w:sz w:val="24"/>
          <w:szCs w:val="24"/>
          <w:rtl/>
        </w:rPr>
        <w:t>פלוני נ' מדינת ישראל</w:t>
      </w:r>
      <w:r w:rsidRPr="006A7706">
        <w:rPr>
          <w:rFonts w:ascii="David" w:hAnsi="David" w:cs="David"/>
          <w:sz w:val="24"/>
          <w:szCs w:val="24"/>
          <w:rtl/>
        </w:rPr>
        <w:t xml:space="preserve">  (13.12.2015)). משכך, יש לטעמי לקבוע את עונשו בחלק הגבוה של המתחם שנקבע</w:t>
      </w:r>
      <w:r>
        <w:rPr>
          <w:rFonts w:ascii="David" w:hAnsi="David" w:cs="David" w:hint="cs"/>
          <w:sz w:val="24"/>
          <w:szCs w:val="24"/>
          <w:rtl/>
        </w:rPr>
        <w:t>,</w:t>
      </w:r>
      <w:r w:rsidRPr="006A7706">
        <w:rPr>
          <w:rFonts w:ascii="David" w:hAnsi="David" w:cs="David"/>
          <w:sz w:val="24"/>
          <w:szCs w:val="24"/>
          <w:rtl/>
        </w:rPr>
        <w:t xml:space="preserve"> ולכן אמליץ לחבריי להשית על הנאשם מאסר בפועל לתקופה של 15 שנות מאסר, לצד רכיבי ענישה נוספים. </w:t>
      </w:r>
    </w:p>
    <w:p w14:paraId="5713B3B3" w14:textId="77777777" w:rsidR="00E47090" w:rsidRDefault="00E47090" w:rsidP="00E47090">
      <w:pPr>
        <w:pStyle w:val="a9"/>
        <w:spacing w:after="0" w:line="360" w:lineRule="auto"/>
        <w:ind w:left="0"/>
        <w:jc w:val="both"/>
        <w:rPr>
          <w:rFonts w:ascii="David" w:hAnsi="David" w:cs="David"/>
          <w:sz w:val="24"/>
          <w:szCs w:val="24"/>
          <w:rtl/>
        </w:rPr>
      </w:pPr>
    </w:p>
    <w:p w14:paraId="29E1C986"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לעניין רכיב הפיצוי, בשים לב לתוצאה הקטלנית לה גרמו הנאשמים, כל אחד על פי חלקו, ולנזקים שנגרמו כמשתקף באופן חלקי בתסקירי קורבנות העבירה, איני רואה כל אפשרות מלבד השתת מירב הפיצוי על כהנא ופיצוי משמעותי גם על ורדיניאן. משום שאין מדובר בנאשם יחיד, אין מניעה שסכום הפיצוי הכולל יעלה על הסכום הקבוע בחוק שרלוונטי כאשר מדובר בנאשם יחיד (ובאשר לסכום הפיצוי המרבי כאשר מדובר במספר נאשמים, ר' האמור בעניין סולימנוב לעיל וכן ב</w:t>
      </w:r>
      <w:hyperlink r:id="rId38" w:history="1">
        <w:r w:rsidR="00DD560F" w:rsidRPr="00DD560F">
          <w:rPr>
            <w:rFonts w:ascii="David" w:hAnsi="David" w:cs="David"/>
            <w:color w:val="0000FF"/>
            <w:sz w:val="24"/>
            <w:szCs w:val="24"/>
            <w:u w:val="single"/>
            <w:rtl/>
          </w:rPr>
          <w:t>תפ"ח (מחוזי ב"ש) 63357-03-18</w:t>
        </w:r>
      </w:hyperlink>
      <w:r>
        <w:rPr>
          <w:rFonts w:ascii="David" w:hAnsi="David" w:cs="David"/>
          <w:sz w:val="24"/>
          <w:szCs w:val="24"/>
          <w:rtl/>
        </w:rPr>
        <w:t xml:space="preserve">‏ ‏ </w:t>
      </w:r>
      <w:r>
        <w:rPr>
          <w:rFonts w:ascii="Miriam" w:hAnsi="Miriam" w:cs="Miriam"/>
          <w:sz w:val="24"/>
          <w:szCs w:val="24"/>
          <w:rtl/>
        </w:rPr>
        <w:t>מדינת ישראל נ' סויסה</w:t>
      </w:r>
      <w:r>
        <w:rPr>
          <w:rFonts w:ascii="David" w:hAnsi="David" w:cs="David"/>
          <w:sz w:val="24"/>
          <w:szCs w:val="24"/>
          <w:rtl/>
        </w:rPr>
        <w:t xml:space="preserve"> (11.4.21)).  </w:t>
      </w:r>
    </w:p>
    <w:p w14:paraId="55FCD7F2" w14:textId="77777777" w:rsidR="00E47090" w:rsidRDefault="00E47090" w:rsidP="00E47090">
      <w:pPr>
        <w:pStyle w:val="a9"/>
        <w:spacing w:after="0" w:line="360" w:lineRule="auto"/>
        <w:ind w:left="0"/>
        <w:jc w:val="both"/>
        <w:rPr>
          <w:rFonts w:ascii="David" w:hAnsi="David" w:cs="David"/>
          <w:sz w:val="24"/>
          <w:szCs w:val="24"/>
          <w:rtl/>
        </w:rPr>
      </w:pPr>
    </w:p>
    <w:p w14:paraId="5FF53694" w14:textId="77777777" w:rsidR="00E47090" w:rsidRPr="009C3A97" w:rsidRDefault="00E47090" w:rsidP="00E47090">
      <w:pPr>
        <w:pStyle w:val="a9"/>
        <w:spacing w:after="0" w:line="360" w:lineRule="auto"/>
        <w:ind w:left="0"/>
        <w:jc w:val="both"/>
        <w:rPr>
          <w:rFonts w:ascii="David" w:hAnsi="David" w:cs="David"/>
          <w:b/>
          <w:bCs/>
          <w:sz w:val="24"/>
          <w:szCs w:val="24"/>
          <w:rtl/>
        </w:rPr>
      </w:pPr>
      <w:r w:rsidRPr="009C3A97">
        <w:rPr>
          <w:rFonts w:ascii="David" w:hAnsi="David" w:cs="David"/>
          <w:b/>
          <w:bCs/>
          <w:sz w:val="24"/>
          <w:szCs w:val="24"/>
          <w:rtl/>
        </w:rPr>
        <w:t>סוף דבר, אמליץ לחבריי להשית על הנאשמים את העונשים הבאים:</w:t>
      </w:r>
    </w:p>
    <w:p w14:paraId="5D3BB989" w14:textId="77777777" w:rsidR="00E47090" w:rsidRDefault="00E47090" w:rsidP="00E47090">
      <w:pPr>
        <w:pStyle w:val="a9"/>
        <w:spacing w:after="0" w:line="360" w:lineRule="auto"/>
        <w:ind w:left="0"/>
        <w:jc w:val="both"/>
        <w:rPr>
          <w:rFonts w:ascii="David" w:hAnsi="David" w:cs="David"/>
          <w:sz w:val="24"/>
          <w:szCs w:val="24"/>
          <w:rtl/>
        </w:rPr>
      </w:pPr>
    </w:p>
    <w:p w14:paraId="57499A94" w14:textId="77777777" w:rsidR="00E47090" w:rsidRDefault="00E47090" w:rsidP="00E47090">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על הנאשם 1 – מאור כהנא</w:t>
      </w:r>
    </w:p>
    <w:p w14:paraId="3DBC097D" w14:textId="77777777" w:rsidR="00E47090" w:rsidRDefault="00E47090" w:rsidP="00E47090">
      <w:pPr>
        <w:pStyle w:val="a9"/>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מאסר עולם, וכן 4 שנות מאסר בגין הרשעתו בעבירת הנשק ובעבירה של שיבוש מהלכי משפט; שני המאסרים לעיל ירוצו בחופף;</w:t>
      </w:r>
    </w:p>
    <w:p w14:paraId="71C4E590" w14:textId="77777777" w:rsidR="00E47090" w:rsidRDefault="00E47090" w:rsidP="00E47090">
      <w:pPr>
        <w:pStyle w:val="a9"/>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הפעלת המאסר על תנאי שנגזר עליו ב</w:t>
      </w:r>
      <w:hyperlink r:id="rId39" w:history="1">
        <w:r w:rsidR="00DD560F" w:rsidRPr="00DD560F">
          <w:rPr>
            <w:rFonts w:ascii="David" w:hAnsi="David" w:cs="David"/>
            <w:color w:val="0000FF"/>
            <w:sz w:val="24"/>
            <w:szCs w:val="24"/>
            <w:u w:val="single"/>
            <w:rtl/>
          </w:rPr>
          <w:t>ת"פ (מחוזי חיפה) 16975-04-15</w:t>
        </w:r>
      </w:hyperlink>
      <w:r>
        <w:rPr>
          <w:rFonts w:ascii="David" w:hAnsi="David" w:cs="David"/>
          <w:sz w:val="24"/>
          <w:szCs w:val="24"/>
          <w:rtl/>
        </w:rPr>
        <w:t xml:space="preserve"> ביום 11.10.15. מדובר במאסר על תנאי לתקופה של 14 חודשים; והם ירוצו במצטבר למאסר העולם לעיל;</w:t>
      </w:r>
    </w:p>
    <w:p w14:paraId="29A7A765" w14:textId="77777777" w:rsidR="00E47090" w:rsidRDefault="00E47090" w:rsidP="00E47090">
      <w:pPr>
        <w:pStyle w:val="a9"/>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r>
      <w:r>
        <w:rPr>
          <w:rFonts w:ascii="David" w:hAnsi="David" w:cs="David"/>
          <w:b/>
          <w:bCs/>
          <w:sz w:val="24"/>
          <w:szCs w:val="24"/>
          <w:rtl/>
        </w:rPr>
        <w:t>סוף דבר לגבי רכיב המאסר בפועל, כהנא ירצה מאסר עולם ועוד 14 חודשי מאסר במצטבר, החל מיום מעצרו – 2.8.18.</w:t>
      </w:r>
    </w:p>
    <w:p w14:paraId="1FCD9EB1" w14:textId="77777777" w:rsidR="00E47090" w:rsidRDefault="00E47090" w:rsidP="00E47090">
      <w:pPr>
        <w:pStyle w:val="a9"/>
        <w:spacing w:after="0" w:line="360" w:lineRule="auto"/>
        <w:ind w:hanging="720"/>
        <w:jc w:val="both"/>
        <w:rPr>
          <w:rFonts w:cs="David"/>
          <w:sz w:val="24"/>
          <w:szCs w:val="24"/>
          <w:rtl/>
        </w:rPr>
      </w:pPr>
      <w:r>
        <w:rPr>
          <w:rFonts w:ascii="David" w:hAnsi="David" w:cs="David"/>
          <w:sz w:val="24"/>
          <w:szCs w:val="24"/>
          <w:rtl/>
        </w:rPr>
        <w:t>(-)</w:t>
      </w:r>
      <w:r>
        <w:rPr>
          <w:rFonts w:ascii="David" w:hAnsi="David" w:cs="David"/>
          <w:sz w:val="24"/>
          <w:szCs w:val="24"/>
          <w:rtl/>
        </w:rPr>
        <w:tab/>
      </w:r>
      <w:r>
        <w:rPr>
          <w:rFonts w:cs="David"/>
          <w:sz w:val="24"/>
          <w:szCs w:val="24"/>
          <w:u w:val="single"/>
          <w:rtl/>
        </w:rPr>
        <w:t>פיצוי</w:t>
      </w:r>
      <w:r>
        <w:rPr>
          <w:rFonts w:cs="David"/>
          <w:sz w:val="24"/>
          <w:szCs w:val="24"/>
          <w:rtl/>
        </w:rPr>
        <w:t xml:space="preserve"> לטובת אלמנת המנוח ו 3 ילדיו </w:t>
      </w:r>
      <w:r>
        <w:rPr>
          <w:rFonts w:cs="David"/>
          <w:sz w:val="24"/>
          <w:szCs w:val="24"/>
          <w:u w:val="single"/>
          <w:rtl/>
        </w:rPr>
        <w:t>בסכום כולל של 258,000 ₪</w:t>
      </w:r>
      <w:r>
        <w:rPr>
          <w:rFonts w:cs="David"/>
          <w:sz w:val="24"/>
          <w:szCs w:val="24"/>
          <w:rtl/>
        </w:rPr>
        <w:t xml:space="preserve">. מסכום זה 78,000 ₪ יהיו לפקודת אלמנת המנוח; והיתרה (180,000 ₪) תחולק ל 3 חלקים שווים לפקודת 3 ילדיו הקטינים. </w:t>
      </w:r>
    </w:p>
    <w:p w14:paraId="2E4DAD57" w14:textId="77777777" w:rsidR="00E47090" w:rsidRDefault="00E47090" w:rsidP="00E47090">
      <w:pPr>
        <w:pStyle w:val="a9"/>
        <w:spacing w:after="0" w:line="360" w:lineRule="auto"/>
        <w:ind w:left="0"/>
        <w:jc w:val="both"/>
        <w:rPr>
          <w:rFonts w:ascii="David" w:hAnsi="David" w:cs="David"/>
          <w:sz w:val="24"/>
          <w:szCs w:val="24"/>
        </w:rPr>
      </w:pPr>
    </w:p>
    <w:p w14:paraId="74FFAF8E" w14:textId="77777777" w:rsidR="00E47090" w:rsidRDefault="00E47090" w:rsidP="00E47090">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על הנאשם 2 – אריאל ורדיניאן</w:t>
      </w:r>
    </w:p>
    <w:p w14:paraId="0FFEC955"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15 שנות מאסר בפועל, החל מיום מעצרו – 2.8.18;</w:t>
      </w:r>
    </w:p>
    <w:p w14:paraId="3C7E8757" w14:textId="77777777" w:rsidR="00E47090" w:rsidRPr="00E47090" w:rsidRDefault="00E47090" w:rsidP="00E47090">
      <w:pPr>
        <w:spacing w:line="360" w:lineRule="auto"/>
        <w:ind w:left="720" w:right="284" w:hanging="720"/>
        <w:jc w:val="both"/>
        <w:rPr>
          <w:rFonts w:ascii="Calibri" w:hAnsi="Calibri"/>
          <w:rtl/>
        </w:rPr>
      </w:pPr>
      <w:r>
        <w:rPr>
          <w:rFonts w:ascii="David" w:hAnsi="David"/>
          <w:rtl/>
        </w:rPr>
        <w:t>(-)</w:t>
      </w:r>
      <w:r>
        <w:rPr>
          <w:rFonts w:ascii="David" w:hAnsi="David"/>
          <w:rtl/>
        </w:rPr>
        <w:tab/>
      </w:r>
      <w:r>
        <w:rPr>
          <w:rtl/>
        </w:rPr>
        <w:t xml:space="preserve">מאסר לתקופה של 12 חודשים, </w:t>
      </w:r>
      <w:r>
        <w:rPr>
          <w:u w:val="single"/>
          <w:rtl/>
        </w:rPr>
        <w:t>על תנאי</w:t>
      </w:r>
      <w:r>
        <w:rPr>
          <w:rtl/>
        </w:rPr>
        <w:t xml:space="preserve"> למשך שלוש שנים מיום שחרורו; והתנאי הוא כי הנאשם לא יעבור </w:t>
      </w:r>
      <w:r>
        <w:rPr>
          <w:u w:val="single"/>
          <w:rtl/>
        </w:rPr>
        <w:t>עבירת אלימות או עבירת נשק מסוג פשע</w:t>
      </w:r>
      <w:r>
        <w:rPr>
          <w:rtl/>
        </w:rPr>
        <w:t xml:space="preserve">. </w:t>
      </w:r>
    </w:p>
    <w:p w14:paraId="5D1AD6B1" w14:textId="77777777" w:rsidR="00E47090" w:rsidRDefault="00E47090" w:rsidP="00E47090">
      <w:pPr>
        <w:spacing w:line="360" w:lineRule="auto"/>
        <w:ind w:left="720" w:right="284" w:hanging="720"/>
        <w:jc w:val="both"/>
        <w:rPr>
          <w:rtl/>
        </w:rPr>
      </w:pPr>
      <w:r>
        <w:rPr>
          <w:rtl/>
        </w:rPr>
        <w:t>(-)</w:t>
      </w:r>
      <w:r>
        <w:rPr>
          <w:rtl/>
        </w:rPr>
        <w:tab/>
        <w:t xml:space="preserve"> </w:t>
      </w:r>
      <w:r>
        <w:rPr>
          <w:u w:val="single"/>
          <w:rtl/>
        </w:rPr>
        <w:t>פיצוי</w:t>
      </w:r>
      <w:r>
        <w:rPr>
          <w:rtl/>
        </w:rPr>
        <w:t xml:space="preserve"> לטובת אלמנת המנוח ו 3 ילדיו </w:t>
      </w:r>
      <w:r>
        <w:rPr>
          <w:u w:val="single"/>
          <w:rtl/>
        </w:rPr>
        <w:t>בסכום כולל של 130,000 ₪</w:t>
      </w:r>
      <w:r>
        <w:rPr>
          <w:rtl/>
        </w:rPr>
        <w:t xml:space="preserve">. מסכום זה 40,000 ₪ יהיו לפקודת אלמנת המנוח; והיתרה (90,000 ₪) תחולק ל 3 חלקים שווים לפקודת 3 ילדיו הקטינים. </w:t>
      </w:r>
    </w:p>
    <w:tbl>
      <w:tblPr>
        <w:bidiVisual/>
        <w:tblW w:w="3685" w:type="dxa"/>
        <w:tblInd w:w="4634" w:type="dxa"/>
        <w:tblLook w:val="01E0" w:firstRow="1" w:lastRow="1" w:firstColumn="1" w:lastColumn="1" w:noHBand="0" w:noVBand="0"/>
      </w:tblPr>
      <w:tblGrid>
        <w:gridCol w:w="3685"/>
      </w:tblGrid>
      <w:tr w:rsidR="00E47090" w14:paraId="65E0CF0A" w14:textId="77777777" w:rsidTr="00E47090">
        <w:tc>
          <w:tcPr>
            <w:tcW w:w="3685" w:type="dxa"/>
            <w:tcBorders>
              <w:top w:val="nil"/>
              <w:left w:val="nil"/>
              <w:bottom w:val="single" w:sz="4" w:space="0" w:color="auto"/>
              <w:right w:val="nil"/>
            </w:tcBorders>
            <w:shd w:val="clear" w:color="auto" w:fill="auto"/>
            <w:vAlign w:val="bottom"/>
          </w:tcPr>
          <w:p w14:paraId="69AB2614" w14:textId="77777777" w:rsidR="00E47090" w:rsidRPr="00E47090" w:rsidRDefault="007E232B" w:rsidP="00E47090">
            <w:pPr>
              <w:jc w:val="center"/>
              <w:rPr>
                <w:rFonts w:ascii="Courier New" w:hAnsi="Courier New" w:cs="Arial"/>
                <w:b/>
                <w:bCs/>
                <w:sz w:val="22"/>
                <w:szCs w:val="22"/>
                <w:rtl/>
              </w:rPr>
            </w:pPr>
            <w:r>
              <w:rPr>
                <w:noProof/>
              </w:rPr>
              <w:pict w14:anchorId="02487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7" o:spid="_x0000_i1026" type="#_x0000_t75" alt="022768311" style="width:72.6pt;height:51pt;visibility:visible">
                  <v:imagedata r:id="rId40" o:title="022768311"/>
                </v:shape>
              </w:pict>
            </w:r>
          </w:p>
        </w:tc>
      </w:tr>
      <w:tr w:rsidR="00E47090" w14:paraId="3341935A" w14:textId="77777777" w:rsidTr="00E47090">
        <w:tc>
          <w:tcPr>
            <w:tcW w:w="3685" w:type="dxa"/>
            <w:tcBorders>
              <w:top w:val="single" w:sz="4" w:space="0" w:color="auto"/>
              <w:left w:val="nil"/>
              <w:bottom w:val="nil"/>
              <w:right w:val="nil"/>
            </w:tcBorders>
            <w:shd w:val="clear" w:color="auto" w:fill="auto"/>
          </w:tcPr>
          <w:p w14:paraId="7C73A38C" w14:textId="77777777" w:rsidR="00E47090" w:rsidRPr="00E47090" w:rsidRDefault="00E47090" w:rsidP="00E47090">
            <w:pPr>
              <w:spacing w:line="360" w:lineRule="auto"/>
              <w:jc w:val="center"/>
              <w:rPr>
                <w:b/>
                <w:bCs/>
              </w:rPr>
            </w:pPr>
            <w:r w:rsidRPr="00E47090">
              <w:rPr>
                <w:b/>
                <w:bCs/>
                <w:rtl/>
              </w:rPr>
              <w:t xml:space="preserve">י. ליפשיץ , שופט </w:t>
            </w:r>
          </w:p>
          <w:p w14:paraId="7B5627CB" w14:textId="77777777" w:rsidR="00E47090" w:rsidRPr="00E47090" w:rsidRDefault="00E47090" w:rsidP="00E47090">
            <w:pPr>
              <w:spacing w:line="360" w:lineRule="auto"/>
              <w:jc w:val="center"/>
              <w:rPr>
                <w:rFonts w:ascii="Calibri" w:hAnsi="Calibri"/>
                <w:b/>
                <w:bCs/>
                <w:sz w:val="22"/>
                <w:szCs w:val="22"/>
                <w:rtl/>
              </w:rPr>
            </w:pPr>
            <w:r w:rsidRPr="00E47090">
              <w:rPr>
                <w:b/>
                <w:bCs/>
                <w:rtl/>
              </w:rPr>
              <w:t>[אב"ד]</w:t>
            </w:r>
          </w:p>
        </w:tc>
      </w:tr>
    </w:tbl>
    <w:p w14:paraId="75BEC03B" w14:textId="77777777" w:rsidR="00E47090" w:rsidRDefault="00E47090" w:rsidP="00E47090">
      <w:pPr>
        <w:spacing w:line="360" w:lineRule="auto"/>
        <w:ind w:right="284"/>
        <w:jc w:val="both"/>
        <w:rPr>
          <w:b/>
          <w:bCs/>
          <w:u w:val="single"/>
          <w:rtl/>
        </w:rPr>
      </w:pPr>
      <w:r>
        <w:rPr>
          <w:b/>
          <w:bCs/>
          <w:u w:val="single"/>
          <w:rtl/>
        </w:rPr>
        <w:t>השופטת גלית ציגלר:</w:t>
      </w:r>
    </w:p>
    <w:p w14:paraId="31E17DC9" w14:textId="77777777" w:rsidR="00E47090" w:rsidRPr="006A7706" w:rsidRDefault="00E47090" w:rsidP="00E47090">
      <w:pPr>
        <w:spacing w:line="360" w:lineRule="auto"/>
        <w:ind w:right="284"/>
        <w:jc w:val="both"/>
        <w:rPr>
          <w:rtl/>
        </w:rPr>
      </w:pPr>
      <w:r w:rsidRPr="006A7706">
        <w:rPr>
          <w:rFonts w:hint="cs"/>
          <w:rtl/>
        </w:rPr>
        <w:t>מסכימה.</w:t>
      </w:r>
    </w:p>
    <w:tbl>
      <w:tblPr>
        <w:bidiVisual/>
        <w:tblW w:w="0" w:type="auto"/>
        <w:tblInd w:w="5110" w:type="dxa"/>
        <w:tblLook w:val="01E0" w:firstRow="1" w:lastRow="1" w:firstColumn="1" w:lastColumn="1" w:noHBand="0" w:noVBand="0"/>
      </w:tblPr>
      <w:tblGrid>
        <w:gridCol w:w="2406"/>
      </w:tblGrid>
      <w:tr w:rsidR="00E47090" w14:paraId="41A5FE51" w14:textId="77777777" w:rsidTr="00E47090">
        <w:tc>
          <w:tcPr>
            <w:tcW w:w="2406" w:type="dxa"/>
            <w:tcBorders>
              <w:top w:val="nil"/>
              <w:left w:val="nil"/>
              <w:bottom w:val="single" w:sz="4" w:space="0" w:color="auto"/>
              <w:right w:val="nil"/>
            </w:tcBorders>
            <w:shd w:val="clear" w:color="auto" w:fill="auto"/>
            <w:vAlign w:val="bottom"/>
          </w:tcPr>
          <w:p w14:paraId="32A366A8" w14:textId="77777777" w:rsidR="00E47090" w:rsidRPr="00E47090" w:rsidRDefault="007E232B" w:rsidP="00E47090">
            <w:pPr>
              <w:jc w:val="center"/>
              <w:rPr>
                <w:rFonts w:ascii="Courier New" w:hAnsi="Courier New" w:cs="Arial"/>
                <w:b/>
                <w:bCs/>
                <w:sz w:val="22"/>
                <w:szCs w:val="22"/>
                <w:rtl/>
              </w:rPr>
            </w:pPr>
            <w:r w:rsidRPr="007E232B">
              <w:rPr>
                <w:rFonts w:ascii="Courier New" w:hAnsi="Courier New"/>
                <w:b/>
                <w:bCs/>
                <w:noProof/>
              </w:rPr>
              <w:pict w14:anchorId="30EAF950">
                <v:shape id="תמונה 6" o:spid="_x0000_i1027" type="#_x0000_t75" style="width:102.6pt;height:65.4pt;visibility:visible">
                  <v:imagedata r:id="rId41" o:title=""/>
                </v:shape>
              </w:pict>
            </w:r>
          </w:p>
        </w:tc>
      </w:tr>
      <w:tr w:rsidR="00E47090" w14:paraId="433A11E0" w14:textId="77777777" w:rsidTr="00E47090">
        <w:tc>
          <w:tcPr>
            <w:tcW w:w="2406" w:type="dxa"/>
            <w:tcBorders>
              <w:top w:val="single" w:sz="4" w:space="0" w:color="auto"/>
              <w:left w:val="nil"/>
              <w:bottom w:val="nil"/>
              <w:right w:val="nil"/>
            </w:tcBorders>
            <w:shd w:val="clear" w:color="auto" w:fill="auto"/>
          </w:tcPr>
          <w:p w14:paraId="181A479D" w14:textId="77777777" w:rsidR="00E47090" w:rsidRPr="00E47090" w:rsidRDefault="00E47090" w:rsidP="00E47090">
            <w:pPr>
              <w:spacing w:line="360" w:lineRule="auto"/>
              <w:jc w:val="center"/>
              <w:rPr>
                <w:b/>
                <w:bCs/>
              </w:rPr>
            </w:pPr>
            <w:r w:rsidRPr="00E47090">
              <w:rPr>
                <w:b/>
                <w:bCs/>
                <w:rtl/>
              </w:rPr>
              <w:t>ג. ציגלר , שופטת</w:t>
            </w:r>
          </w:p>
        </w:tc>
      </w:tr>
    </w:tbl>
    <w:p w14:paraId="25CC8EED" w14:textId="77777777" w:rsidR="00E47090" w:rsidRPr="00E47090" w:rsidRDefault="00E47090" w:rsidP="00E47090">
      <w:pPr>
        <w:spacing w:line="360" w:lineRule="auto"/>
        <w:ind w:right="284"/>
        <w:jc w:val="both"/>
        <w:rPr>
          <w:rFonts w:ascii="Calibri" w:hAnsi="Calibri"/>
          <w:b/>
          <w:bCs/>
          <w:u w:val="single"/>
          <w:rtl/>
        </w:rPr>
      </w:pPr>
    </w:p>
    <w:p w14:paraId="3393D7B1" w14:textId="77777777" w:rsidR="00E47090" w:rsidRDefault="00E47090" w:rsidP="00E47090">
      <w:pPr>
        <w:spacing w:line="360" w:lineRule="auto"/>
        <w:ind w:right="284"/>
        <w:jc w:val="both"/>
        <w:rPr>
          <w:rFonts w:hint="cs"/>
          <w:b/>
          <w:bCs/>
          <w:u w:val="single"/>
          <w:rtl/>
        </w:rPr>
      </w:pPr>
      <w:r>
        <w:rPr>
          <w:b/>
          <w:bCs/>
          <w:u w:val="single"/>
          <w:rtl/>
        </w:rPr>
        <w:t>השופט שמואל מנדלבום:</w:t>
      </w:r>
      <w:r w:rsidR="00CA3CA9">
        <w:rPr>
          <w:rFonts w:hint="cs"/>
          <w:b/>
          <w:bCs/>
          <w:u w:val="single"/>
          <w:rtl/>
        </w:rPr>
        <w:t xml:space="preserve"> </w:t>
      </w:r>
    </w:p>
    <w:p w14:paraId="49C6609D" w14:textId="77777777" w:rsidR="00E47090" w:rsidRPr="006A7706" w:rsidRDefault="00E47090" w:rsidP="00E47090">
      <w:pPr>
        <w:spacing w:line="360" w:lineRule="auto"/>
        <w:ind w:right="284"/>
        <w:jc w:val="both"/>
        <w:rPr>
          <w:rtl/>
        </w:rPr>
      </w:pPr>
      <w:r w:rsidRPr="006A7706">
        <w:rPr>
          <w:rFonts w:hint="cs"/>
          <w:rtl/>
        </w:rPr>
        <w:t>מסכים.</w:t>
      </w:r>
    </w:p>
    <w:tbl>
      <w:tblPr>
        <w:bidiVisual/>
        <w:tblW w:w="2576" w:type="dxa"/>
        <w:tblInd w:w="5740" w:type="dxa"/>
        <w:tblLook w:val="01E0" w:firstRow="1" w:lastRow="1" w:firstColumn="1" w:lastColumn="1" w:noHBand="0" w:noVBand="0"/>
      </w:tblPr>
      <w:tblGrid>
        <w:gridCol w:w="2576"/>
      </w:tblGrid>
      <w:tr w:rsidR="00E47090" w14:paraId="621262D8" w14:textId="77777777" w:rsidTr="00E47090">
        <w:tc>
          <w:tcPr>
            <w:tcW w:w="2576" w:type="dxa"/>
            <w:tcBorders>
              <w:top w:val="nil"/>
              <w:left w:val="nil"/>
              <w:bottom w:val="single" w:sz="4" w:space="0" w:color="auto"/>
              <w:right w:val="nil"/>
            </w:tcBorders>
            <w:shd w:val="clear" w:color="auto" w:fill="auto"/>
            <w:vAlign w:val="bottom"/>
          </w:tcPr>
          <w:p w14:paraId="5A755388" w14:textId="77777777" w:rsidR="00E47090" w:rsidRPr="00E47090" w:rsidRDefault="007E232B" w:rsidP="00E47090">
            <w:pPr>
              <w:jc w:val="center"/>
              <w:rPr>
                <w:rFonts w:ascii="Courier New" w:hAnsi="Courier New" w:cs="Arial"/>
                <w:b/>
                <w:bCs/>
                <w:sz w:val="22"/>
                <w:szCs w:val="22"/>
                <w:rtl/>
              </w:rPr>
            </w:pPr>
            <w:r>
              <w:rPr>
                <w:noProof/>
              </w:rPr>
              <w:pict w14:anchorId="416B3ECB">
                <v:shape id="תמונה 5" o:spid="_x0000_i1028" type="#_x0000_t75" alt="057793853" style="width:92.4pt;height:67.8pt;visibility:visible">
                  <v:imagedata r:id="rId42" o:title="057793853"/>
                </v:shape>
              </w:pict>
            </w:r>
          </w:p>
        </w:tc>
      </w:tr>
      <w:tr w:rsidR="00E47090" w14:paraId="2599E088" w14:textId="77777777" w:rsidTr="00E47090">
        <w:tc>
          <w:tcPr>
            <w:tcW w:w="2576" w:type="dxa"/>
            <w:tcBorders>
              <w:top w:val="single" w:sz="4" w:space="0" w:color="auto"/>
              <w:left w:val="nil"/>
              <w:bottom w:val="nil"/>
              <w:right w:val="nil"/>
            </w:tcBorders>
            <w:shd w:val="clear" w:color="auto" w:fill="auto"/>
          </w:tcPr>
          <w:p w14:paraId="7666DB85" w14:textId="77777777" w:rsidR="00E47090" w:rsidRPr="00E47090" w:rsidRDefault="00E47090" w:rsidP="00E47090">
            <w:pPr>
              <w:spacing w:line="360" w:lineRule="auto"/>
              <w:rPr>
                <w:b/>
                <w:bCs/>
              </w:rPr>
            </w:pPr>
            <w:r w:rsidRPr="00E47090">
              <w:rPr>
                <w:b/>
                <w:bCs/>
                <w:rtl/>
              </w:rPr>
              <w:t xml:space="preserve">         </w:t>
            </w:r>
            <w:r w:rsidRPr="00E47090">
              <w:rPr>
                <w:rFonts w:ascii="Courier New" w:hAnsi="Courier New"/>
                <w:b/>
                <w:bCs/>
                <w:rtl/>
              </w:rPr>
              <w:t>ש. מנדלבום, שופט</w:t>
            </w:r>
          </w:p>
          <w:p w14:paraId="63008276" w14:textId="77777777" w:rsidR="00E47090" w:rsidRPr="00E47090" w:rsidRDefault="00E47090" w:rsidP="00E47090">
            <w:pPr>
              <w:spacing w:line="360" w:lineRule="auto"/>
              <w:jc w:val="center"/>
              <w:rPr>
                <w:rFonts w:ascii="Calibri" w:hAnsi="Calibri"/>
                <w:b/>
                <w:bCs/>
                <w:sz w:val="22"/>
                <w:szCs w:val="22"/>
                <w:rtl/>
              </w:rPr>
            </w:pPr>
          </w:p>
        </w:tc>
      </w:tr>
    </w:tbl>
    <w:p w14:paraId="1B4777F5" w14:textId="77777777" w:rsidR="00E47090" w:rsidRDefault="00E47090" w:rsidP="00E47090">
      <w:pPr>
        <w:spacing w:line="360" w:lineRule="auto"/>
        <w:ind w:right="284"/>
        <w:jc w:val="both"/>
        <w:rPr>
          <w:b/>
          <w:bCs/>
          <w:u w:val="single"/>
          <w:rtl/>
        </w:rPr>
      </w:pPr>
      <w:r>
        <w:rPr>
          <w:b/>
          <w:bCs/>
          <w:u w:val="single"/>
          <w:rtl/>
        </w:rPr>
        <w:t xml:space="preserve">הוחלט </w:t>
      </w:r>
      <w:r>
        <w:rPr>
          <w:rFonts w:hint="cs"/>
          <w:b/>
          <w:bCs/>
          <w:u w:val="single"/>
          <w:rtl/>
        </w:rPr>
        <w:t xml:space="preserve">פה אחד </w:t>
      </w:r>
      <w:r>
        <w:rPr>
          <w:b/>
          <w:bCs/>
          <w:u w:val="single"/>
          <w:rtl/>
        </w:rPr>
        <w:t>לגזור על הנאשמים את העונשים הבאים:</w:t>
      </w:r>
    </w:p>
    <w:p w14:paraId="1FD1AE79" w14:textId="77777777" w:rsidR="00E47090" w:rsidRDefault="00E47090" w:rsidP="00E47090">
      <w:pPr>
        <w:spacing w:line="360" w:lineRule="auto"/>
        <w:ind w:right="284"/>
        <w:jc w:val="both"/>
        <w:rPr>
          <w:b/>
          <w:bCs/>
          <w:u w:val="single"/>
          <w:rtl/>
        </w:rPr>
      </w:pPr>
    </w:p>
    <w:p w14:paraId="4A1F21D6" w14:textId="77777777" w:rsidR="00E47090" w:rsidRDefault="00E47090" w:rsidP="00E47090">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על הנאשם 1 – מאור כהנא</w:t>
      </w:r>
    </w:p>
    <w:p w14:paraId="2761EC54" w14:textId="77777777" w:rsidR="00E47090" w:rsidRDefault="00E47090" w:rsidP="00E47090">
      <w:pPr>
        <w:pStyle w:val="a9"/>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מאסר עולם, וכן 4 שנות מאסר בגין הרשעתו בעבירת הנשק ובעבירה של שיבוש מהלכי משפט; שני המאסרים לעיל ירוצו בחופף;</w:t>
      </w:r>
    </w:p>
    <w:p w14:paraId="72B42755" w14:textId="77777777" w:rsidR="00E47090" w:rsidRDefault="00E47090" w:rsidP="00E47090">
      <w:pPr>
        <w:pStyle w:val="a9"/>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הפעלת המאסר על תנאי שנגזר עליו ב</w:t>
      </w:r>
      <w:hyperlink r:id="rId43" w:history="1">
        <w:r w:rsidR="00DD560F" w:rsidRPr="00DD560F">
          <w:rPr>
            <w:rFonts w:ascii="David" w:hAnsi="David" w:cs="David"/>
            <w:color w:val="0000FF"/>
            <w:sz w:val="24"/>
            <w:szCs w:val="24"/>
            <w:u w:val="single"/>
            <w:rtl/>
          </w:rPr>
          <w:t>ת"פ (מחוזי חיפה) 16975-04-15</w:t>
        </w:r>
      </w:hyperlink>
      <w:r>
        <w:rPr>
          <w:rFonts w:ascii="David" w:hAnsi="David" w:cs="David"/>
          <w:sz w:val="24"/>
          <w:szCs w:val="24"/>
          <w:rtl/>
        </w:rPr>
        <w:t xml:space="preserve"> ביום 11.10.15. מדובר במאסר על תנאי לתקופה של 14 חודשים; והם ירוצו במצטבר למאסר העולם לעיל;</w:t>
      </w:r>
    </w:p>
    <w:p w14:paraId="0455D966" w14:textId="77777777" w:rsidR="00E47090" w:rsidRDefault="00E47090" w:rsidP="00E47090">
      <w:pPr>
        <w:pStyle w:val="a9"/>
        <w:spacing w:after="0" w:line="360" w:lineRule="auto"/>
        <w:ind w:hanging="72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r>
      <w:r>
        <w:rPr>
          <w:rFonts w:ascii="David" w:hAnsi="David" w:cs="David"/>
          <w:b/>
          <w:bCs/>
          <w:sz w:val="24"/>
          <w:szCs w:val="24"/>
          <w:rtl/>
        </w:rPr>
        <w:t>סוף דבר לגבי רכיב המאסר בפועל, כהנא ירצה מאסר עולם ועוד 14 חודשי מאסר במצטבר, החל מיום מעצרו – 2.8.18.</w:t>
      </w:r>
    </w:p>
    <w:p w14:paraId="6C81D8B9" w14:textId="77777777" w:rsidR="00E47090" w:rsidRDefault="00E47090" w:rsidP="00E47090">
      <w:pPr>
        <w:pStyle w:val="a9"/>
        <w:spacing w:after="0" w:line="360" w:lineRule="auto"/>
        <w:ind w:hanging="720"/>
        <w:jc w:val="both"/>
        <w:rPr>
          <w:rFonts w:cs="David"/>
          <w:sz w:val="24"/>
          <w:szCs w:val="24"/>
          <w:rtl/>
        </w:rPr>
      </w:pPr>
      <w:r>
        <w:rPr>
          <w:rFonts w:ascii="David" w:hAnsi="David" w:cs="David"/>
          <w:sz w:val="24"/>
          <w:szCs w:val="24"/>
          <w:rtl/>
        </w:rPr>
        <w:t>(-)</w:t>
      </w:r>
      <w:r>
        <w:rPr>
          <w:rFonts w:ascii="David" w:hAnsi="David" w:cs="David"/>
          <w:sz w:val="24"/>
          <w:szCs w:val="24"/>
          <w:rtl/>
        </w:rPr>
        <w:tab/>
      </w:r>
      <w:r>
        <w:rPr>
          <w:rFonts w:cs="David"/>
          <w:sz w:val="24"/>
          <w:szCs w:val="24"/>
          <w:u w:val="single"/>
          <w:rtl/>
        </w:rPr>
        <w:t>פיצוי</w:t>
      </w:r>
      <w:r>
        <w:rPr>
          <w:rFonts w:cs="David"/>
          <w:sz w:val="24"/>
          <w:szCs w:val="24"/>
          <w:rtl/>
        </w:rPr>
        <w:t xml:space="preserve"> לטובת אלמנת המנוח ו 3 ילדיו </w:t>
      </w:r>
      <w:r>
        <w:rPr>
          <w:rFonts w:cs="David"/>
          <w:sz w:val="24"/>
          <w:szCs w:val="24"/>
          <w:u w:val="single"/>
          <w:rtl/>
        </w:rPr>
        <w:t>בסכום כולל של 258,000 ₪</w:t>
      </w:r>
      <w:r>
        <w:rPr>
          <w:rFonts w:cs="David"/>
          <w:sz w:val="24"/>
          <w:szCs w:val="24"/>
          <w:rtl/>
        </w:rPr>
        <w:t xml:space="preserve">. מסכום זה 78,000 ₪ יהיו לפקודת אלמנת המנוח; והיתרה (180,000 ₪) תחולק ל 3 חלקים שווים לפקודת 3 ילדיו הקטינים. הסכומים לעיל ישולמו עד ליום 1.1.23 </w:t>
      </w:r>
      <w:r>
        <w:rPr>
          <w:rFonts w:cs="David"/>
          <w:sz w:val="24"/>
          <w:szCs w:val="24"/>
          <w:u w:val="single"/>
          <w:rtl/>
        </w:rPr>
        <w:t>רק</w:t>
      </w:r>
      <w:r>
        <w:rPr>
          <w:rFonts w:cs="David"/>
          <w:sz w:val="24"/>
          <w:szCs w:val="24"/>
          <w:rtl/>
        </w:rPr>
        <w:t xml:space="preserve"> באמצעות מזכירות בית המשפט או המרכז לגביית קנסות אגרות והוצאות. נאסר על הנאשם ליצור קשר, במישרין או בעקיפין, עם משפחת המנוח בהקשר זה. הסכומים לטובת ילדיו הקטינים של המנוח, כמצוין לעיל, יופקדו בתכניות חסכון שייפתחו על שם הקטינים ותוכניות אלה ייסגרו עד הגיעם לגיל 18. אפוטרופוס הקטינים יהיה רשאי לבקש מבית המשפט לענייני משפחה שחרור כספים אלה או חלקם. הכספים ישולמו לקטינים באמצעות המרכז לגביית קנסות, והמרכז יוודא טרם העברת הכספים מילוי התנאים לעיל. המאשימה תעביר למזכירות את פרטי המנוחה והילדים תוך 14 יום מהיום. </w:t>
      </w:r>
    </w:p>
    <w:p w14:paraId="4C6413AA" w14:textId="77777777" w:rsidR="00E47090" w:rsidRDefault="00E47090" w:rsidP="00E47090">
      <w:pPr>
        <w:pStyle w:val="a9"/>
        <w:spacing w:after="0" w:line="360" w:lineRule="auto"/>
        <w:ind w:left="0"/>
        <w:jc w:val="both"/>
        <w:rPr>
          <w:rFonts w:ascii="David" w:hAnsi="David" w:cs="David"/>
          <w:sz w:val="24"/>
          <w:szCs w:val="24"/>
        </w:rPr>
      </w:pPr>
    </w:p>
    <w:p w14:paraId="36532E4F" w14:textId="77777777" w:rsidR="00E47090" w:rsidRDefault="00E47090" w:rsidP="00E47090">
      <w:pPr>
        <w:pStyle w:val="a9"/>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על הנאשם 2 – אריאל ורדיניאן</w:t>
      </w:r>
    </w:p>
    <w:p w14:paraId="30246677" w14:textId="77777777" w:rsidR="00E47090" w:rsidRDefault="00E47090" w:rsidP="00E47090">
      <w:pPr>
        <w:pStyle w:val="a9"/>
        <w:spacing w:after="0" w:line="360" w:lineRule="auto"/>
        <w:ind w:left="0"/>
        <w:jc w:val="both"/>
        <w:rPr>
          <w:rFonts w:ascii="David" w:hAnsi="David" w:cs="David"/>
          <w:sz w:val="24"/>
          <w:szCs w:val="24"/>
          <w:rtl/>
        </w:rPr>
      </w:pPr>
      <w:r>
        <w:rPr>
          <w:rFonts w:ascii="David" w:hAnsi="David" w:cs="David"/>
          <w:sz w:val="24"/>
          <w:szCs w:val="24"/>
          <w:rtl/>
        </w:rPr>
        <w:t>(-)</w:t>
      </w:r>
      <w:r>
        <w:rPr>
          <w:rFonts w:ascii="David" w:hAnsi="David" w:cs="David"/>
          <w:sz w:val="24"/>
          <w:szCs w:val="24"/>
          <w:rtl/>
        </w:rPr>
        <w:tab/>
        <w:t>15 שנות מאסר בפועל, החל מיום מעצרו – 2.8.18;</w:t>
      </w:r>
    </w:p>
    <w:p w14:paraId="7F7BADEE" w14:textId="77777777" w:rsidR="00E47090" w:rsidRPr="00E47090" w:rsidRDefault="00E47090" w:rsidP="00E47090">
      <w:pPr>
        <w:spacing w:line="360" w:lineRule="auto"/>
        <w:ind w:left="720" w:right="284" w:hanging="720"/>
        <w:jc w:val="both"/>
        <w:rPr>
          <w:rFonts w:ascii="Calibri" w:hAnsi="Calibri"/>
          <w:rtl/>
        </w:rPr>
      </w:pPr>
      <w:r>
        <w:rPr>
          <w:rFonts w:ascii="David" w:hAnsi="David"/>
          <w:rtl/>
        </w:rPr>
        <w:t>(-)</w:t>
      </w:r>
      <w:r>
        <w:rPr>
          <w:rFonts w:ascii="David" w:hAnsi="David"/>
          <w:rtl/>
        </w:rPr>
        <w:tab/>
      </w:r>
      <w:r>
        <w:rPr>
          <w:rtl/>
        </w:rPr>
        <w:t xml:space="preserve">מאסר לתקופה של 12 חודשים, </w:t>
      </w:r>
      <w:r>
        <w:rPr>
          <w:u w:val="single"/>
          <w:rtl/>
        </w:rPr>
        <w:t>על תנאי</w:t>
      </w:r>
      <w:r>
        <w:rPr>
          <w:rtl/>
        </w:rPr>
        <w:t xml:space="preserve"> למשך שלוש שנים מיום שחרורו; והתנאי הוא כי הנאשם לא יעבור </w:t>
      </w:r>
      <w:r>
        <w:rPr>
          <w:u w:val="single"/>
          <w:rtl/>
        </w:rPr>
        <w:t>עבירת אלימות או עבירת נשק מסוג פשע</w:t>
      </w:r>
      <w:r>
        <w:rPr>
          <w:rtl/>
        </w:rPr>
        <w:t xml:space="preserve">. </w:t>
      </w:r>
    </w:p>
    <w:p w14:paraId="46CC8756" w14:textId="77777777" w:rsidR="00E47090" w:rsidRDefault="00E47090" w:rsidP="00E47090">
      <w:pPr>
        <w:spacing w:line="360" w:lineRule="auto"/>
        <w:ind w:left="720" w:right="284" w:hanging="720"/>
        <w:jc w:val="both"/>
        <w:rPr>
          <w:rtl/>
        </w:rPr>
      </w:pPr>
      <w:r>
        <w:rPr>
          <w:rtl/>
        </w:rPr>
        <w:t>(-)</w:t>
      </w:r>
      <w:r>
        <w:rPr>
          <w:rtl/>
        </w:rPr>
        <w:tab/>
        <w:t xml:space="preserve"> </w:t>
      </w:r>
      <w:r>
        <w:rPr>
          <w:u w:val="single"/>
          <w:rtl/>
        </w:rPr>
        <w:t>פיצוי</w:t>
      </w:r>
      <w:r>
        <w:rPr>
          <w:rtl/>
        </w:rPr>
        <w:t xml:space="preserve"> לטובת אלמנת המנוח ו 3 ילדיו </w:t>
      </w:r>
      <w:r>
        <w:rPr>
          <w:u w:val="single"/>
          <w:rtl/>
        </w:rPr>
        <w:t>בסכום כולל של 130,000 ₪</w:t>
      </w:r>
      <w:r>
        <w:rPr>
          <w:rtl/>
        </w:rPr>
        <w:t xml:space="preserve">. מסכום זה 40,000 ₪ יהיו לפקודת אלמנת המנוח; והיתרה (90,000 ₪) תחולק ל 3 חלקים שווים לפקודת 3 ילדיו הקטינים. הסכומים לעיל ישולמו עד ליום 1.1.23 </w:t>
      </w:r>
      <w:r>
        <w:rPr>
          <w:u w:val="single"/>
          <w:rtl/>
        </w:rPr>
        <w:t>רק</w:t>
      </w:r>
      <w:r>
        <w:rPr>
          <w:rtl/>
        </w:rPr>
        <w:t xml:space="preserve"> באמצעות מזכירות בית המשפט או המרכז לגביית קנסות אגרות והוצאות. נאסר על הנאשם ליצור קשר, במישרין או בעקיפין, עם משפחת המנוח בהקשר זה. הסכומים לטובת ילדיו הקטינים של המנוח, כמצוין לעיל, יופקדו בתכניות חסכון שייפתחו על שם הקטינים ותוכניות אלה ייסגרו עד הגיעם לגיל 18. אפוטרופוס הקטינים יהיה רשאי לבקש מבית המשפט לענייני משפחה שחרור כספים אלה או חלקם. הכספים ישולמו לקטינים באמצעות המרכז לגביית קנסות, והמרכז יוודא טרם העברת הכספים מילוי התנאים לעיל. המאשימה תעביר למזכירות את פרטי המנוחה והילדים תוך 14 יום מהיום. </w:t>
      </w:r>
    </w:p>
    <w:p w14:paraId="2F70BC18" w14:textId="77777777" w:rsidR="00E47090" w:rsidRDefault="00E47090" w:rsidP="00E47090">
      <w:pPr>
        <w:spacing w:line="360" w:lineRule="auto"/>
        <w:ind w:right="284"/>
        <w:jc w:val="both"/>
        <w:rPr>
          <w:b/>
          <w:bCs/>
          <w:u w:val="single"/>
          <w:rtl/>
        </w:rPr>
      </w:pPr>
    </w:p>
    <w:p w14:paraId="12ECB3FF" w14:textId="77777777" w:rsidR="00E47090" w:rsidRDefault="00E47090" w:rsidP="00E47090">
      <w:pPr>
        <w:spacing w:line="360" w:lineRule="auto"/>
        <w:ind w:right="284"/>
        <w:jc w:val="both"/>
        <w:rPr>
          <w:b/>
          <w:bCs/>
          <w:u w:val="single"/>
          <w:rtl/>
        </w:rPr>
      </w:pPr>
      <w:r>
        <w:rPr>
          <w:b/>
          <w:bCs/>
          <w:u w:val="single"/>
          <w:rtl/>
        </w:rPr>
        <w:t xml:space="preserve">זכות ערעור תוך 45 יום מהיום לבית המשפט העליון. </w:t>
      </w:r>
    </w:p>
    <w:p w14:paraId="1DC1F7DC" w14:textId="77777777" w:rsidR="00E47090" w:rsidRDefault="00E47090" w:rsidP="00E47090">
      <w:pPr>
        <w:spacing w:line="360" w:lineRule="auto"/>
        <w:ind w:left="368" w:right="284"/>
        <w:jc w:val="both"/>
        <w:rPr>
          <w:rFonts w:ascii="David" w:hAnsi="David"/>
          <w:rtl/>
        </w:rPr>
      </w:pPr>
    </w:p>
    <w:p w14:paraId="354E6B92" w14:textId="77777777" w:rsidR="00E47090" w:rsidRPr="009C3A97" w:rsidRDefault="00DD560F" w:rsidP="00E47090">
      <w:pPr>
        <w:rPr>
          <w:rFonts w:ascii="Arial" w:hAnsi="Arial"/>
          <w:b/>
          <w:bCs/>
          <w:sz w:val="26"/>
          <w:szCs w:val="26"/>
          <w:rtl/>
        </w:rPr>
      </w:pPr>
      <w:bookmarkStart w:id="7" w:name="Nitan"/>
      <w:r w:rsidRPr="00DD560F">
        <w:rPr>
          <w:rFonts w:ascii="Arial" w:hAnsi="Arial"/>
          <w:b/>
          <w:bCs/>
          <w:color w:val="FFFFFF"/>
          <w:sz w:val="2"/>
          <w:szCs w:val="2"/>
          <w:rtl/>
        </w:rPr>
        <w:t>5129371</w:t>
      </w:r>
      <w:r>
        <w:rPr>
          <w:rFonts w:ascii="Arial" w:hAnsi="Arial"/>
          <w:b/>
          <w:bCs/>
          <w:sz w:val="26"/>
          <w:szCs w:val="26"/>
          <w:rtl/>
        </w:rPr>
        <w:t xml:space="preserve">ניתן היום,  ו' חשוון תשפ"ג, 31 אוקטובר 2022, בנוכחות הצדדים. </w:t>
      </w:r>
      <w:bookmarkEnd w:id="7"/>
    </w:p>
    <w:tbl>
      <w:tblPr>
        <w:bidiVisual/>
        <w:tblW w:w="0" w:type="auto"/>
        <w:tblLook w:val="01E0" w:firstRow="1" w:lastRow="1" w:firstColumn="1" w:lastColumn="1" w:noHBand="0" w:noVBand="0"/>
      </w:tblPr>
      <w:tblGrid>
        <w:gridCol w:w="2824"/>
        <w:gridCol w:w="359"/>
        <w:gridCol w:w="2405"/>
        <w:gridCol w:w="345"/>
        <w:gridCol w:w="2572"/>
      </w:tblGrid>
      <w:tr w:rsidR="00E47090" w14:paraId="3B43B2DD" w14:textId="77777777" w:rsidTr="00E47090">
        <w:tc>
          <w:tcPr>
            <w:tcW w:w="2824" w:type="dxa"/>
            <w:tcBorders>
              <w:top w:val="nil"/>
              <w:left w:val="nil"/>
              <w:bottom w:val="single" w:sz="4" w:space="0" w:color="auto"/>
              <w:right w:val="nil"/>
            </w:tcBorders>
            <w:shd w:val="clear" w:color="auto" w:fill="auto"/>
            <w:vAlign w:val="bottom"/>
          </w:tcPr>
          <w:p w14:paraId="1C817FCE" w14:textId="77777777" w:rsidR="00E47090" w:rsidRPr="00DD560F" w:rsidRDefault="00DD560F" w:rsidP="00E47090">
            <w:pPr>
              <w:jc w:val="center"/>
              <w:rPr>
                <w:rFonts w:ascii="Courier New" w:hAnsi="Courier New" w:cs="Arial"/>
                <w:b/>
                <w:bCs/>
                <w:color w:val="FFFFFF"/>
                <w:sz w:val="2"/>
                <w:szCs w:val="2"/>
                <w:rtl/>
              </w:rPr>
            </w:pPr>
            <w:r w:rsidRPr="00DD560F">
              <w:rPr>
                <w:rFonts w:ascii="Courier New" w:hAnsi="Courier New" w:cs="Arial"/>
                <w:b/>
                <w:bCs/>
                <w:color w:val="FFFFFF"/>
                <w:sz w:val="2"/>
                <w:szCs w:val="2"/>
                <w:rtl/>
              </w:rPr>
              <w:t>54678313</w:t>
            </w:r>
          </w:p>
        </w:tc>
        <w:tc>
          <w:tcPr>
            <w:tcW w:w="359" w:type="dxa"/>
            <w:shd w:val="clear" w:color="auto" w:fill="auto"/>
            <w:vAlign w:val="bottom"/>
          </w:tcPr>
          <w:p w14:paraId="2F10CB6B" w14:textId="77777777" w:rsidR="00E47090" w:rsidRPr="00E47090" w:rsidRDefault="00E47090" w:rsidP="00E47090">
            <w:pPr>
              <w:jc w:val="center"/>
              <w:rPr>
                <w:rFonts w:ascii="Courier New" w:hAnsi="Courier New"/>
                <w:b/>
                <w:bCs/>
              </w:rPr>
            </w:pPr>
          </w:p>
        </w:tc>
        <w:tc>
          <w:tcPr>
            <w:tcW w:w="2405" w:type="dxa"/>
            <w:tcBorders>
              <w:top w:val="nil"/>
              <w:left w:val="nil"/>
              <w:bottom w:val="single" w:sz="4" w:space="0" w:color="auto"/>
              <w:right w:val="nil"/>
            </w:tcBorders>
            <w:shd w:val="clear" w:color="auto" w:fill="auto"/>
            <w:vAlign w:val="bottom"/>
          </w:tcPr>
          <w:p w14:paraId="32588996" w14:textId="77777777" w:rsidR="00E47090" w:rsidRPr="00E47090" w:rsidRDefault="00E47090" w:rsidP="00E47090">
            <w:pPr>
              <w:jc w:val="center"/>
              <w:rPr>
                <w:rFonts w:ascii="Courier New" w:hAnsi="Courier New"/>
                <w:b/>
                <w:bCs/>
                <w:rtl/>
              </w:rPr>
            </w:pPr>
          </w:p>
        </w:tc>
        <w:tc>
          <w:tcPr>
            <w:tcW w:w="345" w:type="dxa"/>
            <w:shd w:val="clear" w:color="auto" w:fill="auto"/>
            <w:vAlign w:val="bottom"/>
          </w:tcPr>
          <w:p w14:paraId="09A2FE70" w14:textId="77777777" w:rsidR="00E47090" w:rsidRPr="00E47090" w:rsidRDefault="00E47090" w:rsidP="00E47090">
            <w:pPr>
              <w:jc w:val="center"/>
              <w:rPr>
                <w:rFonts w:ascii="Courier New" w:hAnsi="Courier New"/>
                <w:b/>
                <w:bCs/>
              </w:rPr>
            </w:pPr>
          </w:p>
        </w:tc>
        <w:tc>
          <w:tcPr>
            <w:tcW w:w="2572" w:type="dxa"/>
            <w:tcBorders>
              <w:top w:val="nil"/>
              <w:left w:val="nil"/>
              <w:bottom w:val="single" w:sz="4" w:space="0" w:color="auto"/>
              <w:right w:val="nil"/>
            </w:tcBorders>
            <w:shd w:val="clear" w:color="auto" w:fill="auto"/>
            <w:vAlign w:val="bottom"/>
          </w:tcPr>
          <w:p w14:paraId="4D07B1FA" w14:textId="77777777" w:rsidR="00E47090" w:rsidRPr="00E47090" w:rsidRDefault="00E47090" w:rsidP="00E47090">
            <w:pPr>
              <w:jc w:val="center"/>
              <w:rPr>
                <w:rFonts w:ascii="Courier New" w:hAnsi="Courier New"/>
                <w:b/>
                <w:bCs/>
              </w:rPr>
            </w:pPr>
          </w:p>
        </w:tc>
      </w:tr>
      <w:tr w:rsidR="00E47090" w14:paraId="6453D641" w14:textId="77777777" w:rsidTr="00E47090">
        <w:tc>
          <w:tcPr>
            <w:tcW w:w="2824" w:type="dxa"/>
            <w:tcBorders>
              <w:top w:val="single" w:sz="4" w:space="0" w:color="auto"/>
              <w:left w:val="nil"/>
              <w:bottom w:val="nil"/>
              <w:right w:val="nil"/>
            </w:tcBorders>
            <w:shd w:val="clear" w:color="auto" w:fill="auto"/>
          </w:tcPr>
          <w:p w14:paraId="2F31A978" w14:textId="77777777" w:rsidR="00E47090" w:rsidRPr="00E47090" w:rsidRDefault="00E47090" w:rsidP="00E47090">
            <w:pPr>
              <w:spacing w:line="360" w:lineRule="auto"/>
              <w:jc w:val="center"/>
              <w:rPr>
                <w:rFonts w:ascii="Arial (W1)" w:hAnsi="Arial (W1)"/>
                <w:b/>
                <w:bCs/>
              </w:rPr>
            </w:pPr>
            <w:r w:rsidRPr="00E47090">
              <w:rPr>
                <w:b/>
                <w:bCs/>
                <w:rtl/>
              </w:rPr>
              <w:t xml:space="preserve">י. ליפשיץ , שופט </w:t>
            </w:r>
          </w:p>
          <w:p w14:paraId="1F3F2AA0" w14:textId="77777777" w:rsidR="00E47090" w:rsidRPr="00E47090" w:rsidRDefault="00E47090" w:rsidP="00E47090">
            <w:pPr>
              <w:spacing w:line="360" w:lineRule="auto"/>
              <w:jc w:val="center"/>
              <w:rPr>
                <w:rFonts w:ascii="Calibri" w:hAnsi="Calibri"/>
                <w:b/>
                <w:bCs/>
              </w:rPr>
            </w:pPr>
            <w:r w:rsidRPr="00E47090">
              <w:rPr>
                <w:b/>
                <w:bCs/>
                <w:rtl/>
              </w:rPr>
              <w:t>[אב"ד]</w:t>
            </w:r>
          </w:p>
        </w:tc>
        <w:tc>
          <w:tcPr>
            <w:tcW w:w="359" w:type="dxa"/>
            <w:shd w:val="clear" w:color="auto" w:fill="auto"/>
          </w:tcPr>
          <w:p w14:paraId="55530148" w14:textId="77777777" w:rsidR="00E47090" w:rsidRPr="00E47090" w:rsidRDefault="00E47090" w:rsidP="00E47090">
            <w:pPr>
              <w:spacing w:line="360" w:lineRule="auto"/>
              <w:rPr>
                <w:b/>
                <w:bCs/>
                <w:color w:val="FF0000"/>
                <w:rtl/>
              </w:rPr>
            </w:pPr>
          </w:p>
        </w:tc>
        <w:tc>
          <w:tcPr>
            <w:tcW w:w="2405" w:type="dxa"/>
            <w:tcBorders>
              <w:top w:val="single" w:sz="4" w:space="0" w:color="auto"/>
              <w:left w:val="nil"/>
              <w:bottom w:val="nil"/>
              <w:right w:val="nil"/>
            </w:tcBorders>
            <w:shd w:val="clear" w:color="auto" w:fill="auto"/>
          </w:tcPr>
          <w:p w14:paraId="6C651A18" w14:textId="77777777" w:rsidR="00E47090" w:rsidRPr="00E47090" w:rsidRDefault="00E47090" w:rsidP="00E47090">
            <w:pPr>
              <w:spacing w:line="360" w:lineRule="auto"/>
              <w:jc w:val="center"/>
              <w:rPr>
                <w:b/>
                <w:bCs/>
              </w:rPr>
            </w:pPr>
            <w:r w:rsidRPr="00E47090">
              <w:rPr>
                <w:b/>
                <w:bCs/>
                <w:rtl/>
              </w:rPr>
              <w:t>ג. ציגלר , שופטת</w:t>
            </w:r>
          </w:p>
        </w:tc>
        <w:tc>
          <w:tcPr>
            <w:tcW w:w="345" w:type="dxa"/>
            <w:shd w:val="clear" w:color="auto" w:fill="auto"/>
          </w:tcPr>
          <w:p w14:paraId="7DA6FCFB" w14:textId="77777777" w:rsidR="00E47090" w:rsidRPr="00E47090" w:rsidRDefault="00E47090" w:rsidP="00E47090">
            <w:pPr>
              <w:spacing w:line="360" w:lineRule="auto"/>
              <w:rPr>
                <w:b/>
                <w:bCs/>
                <w:color w:val="FF0000"/>
              </w:rPr>
            </w:pPr>
          </w:p>
        </w:tc>
        <w:tc>
          <w:tcPr>
            <w:tcW w:w="2572" w:type="dxa"/>
            <w:tcBorders>
              <w:top w:val="single" w:sz="4" w:space="0" w:color="auto"/>
              <w:left w:val="nil"/>
              <w:bottom w:val="nil"/>
              <w:right w:val="nil"/>
            </w:tcBorders>
            <w:shd w:val="clear" w:color="auto" w:fill="auto"/>
          </w:tcPr>
          <w:p w14:paraId="0A44298A" w14:textId="77777777" w:rsidR="00E47090" w:rsidRPr="00E47090" w:rsidRDefault="00E47090" w:rsidP="00E47090">
            <w:pPr>
              <w:spacing w:line="360" w:lineRule="auto"/>
              <w:rPr>
                <w:b/>
                <w:bCs/>
                <w:rtl/>
              </w:rPr>
            </w:pPr>
            <w:r w:rsidRPr="00E47090">
              <w:rPr>
                <w:b/>
                <w:bCs/>
                <w:rtl/>
              </w:rPr>
              <w:t xml:space="preserve">         </w:t>
            </w:r>
            <w:r w:rsidRPr="00E47090">
              <w:rPr>
                <w:rFonts w:ascii="Courier New" w:hAnsi="Courier New"/>
                <w:b/>
                <w:bCs/>
                <w:rtl/>
              </w:rPr>
              <w:t>ש. מנדלבום, שופט</w:t>
            </w:r>
          </w:p>
          <w:p w14:paraId="73FA4C73" w14:textId="77777777" w:rsidR="00E47090" w:rsidRPr="00E47090" w:rsidRDefault="00E47090" w:rsidP="00E47090">
            <w:pPr>
              <w:spacing w:line="360" w:lineRule="auto"/>
              <w:jc w:val="center"/>
              <w:rPr>
                <w:b/>
                <w:bCs/>
              </w:rPr>
            </w:pPr>
          </w:p>
        </w:tc>
      </w:tr>
    </w:tbl>
    <w:p w14:paraId="7F4F6CD4" w14:textId="77777777" w:rsidR="00E47090" w:rsidRPr="00613C57" w:rsidRDefault="00613C57" w:rsidP="00E47090">
      <w:pPr>
        <w:spacing w:line="360" w:lineRule="auto"/>
        <w:ind w:right="284"/>
        <w:jc w:val="both"/>
        <w:rPr>
          <w:rFonts w:ascii="Calibri" w:hAnsi="Calibri"/>
          <w:b/>
          <w:bCs/>
          <w:color w:val="FFFFFF"/>
          <w:sz w:val="2"/>
          <w:szCs w:val="2"/>
          <w:u w:val="single"/>
        </w:rPr>
      </w:pPr>
      <w:r w:rsidRPr="00613C57">
        <w:rPr>
          <w:rFonts w:ascii="Calibri" w:hAnsi="Calibri"/>
          <w:b/>
          <w:bCs/>
          <w:color w:val="FFFFFF"/>
          <w:sz w:val="2"/>
          <w:szCs w:val="2"/>
          <w:u w:val="single"/>
          <w:rtl/>
        </w:rPr>
        <w:t>5129371</w:t>
      </w:r>
    </w:p>
    <w:p w14:paraId="250EEC77" w14:textId="77777777" w:rsidR="00DD560F" w:rsidRDefault="00613C57" w:rsidP="00DD560F">
      <w:r w:rsidRPr="00613C57">
        <w:rPr>
          <w:rFonts w:ascii="David" w:hAnsi="David"/>
          <w:color w:val="FFFFFF"/>
          <w:sz w:val="2"/>
          <w:szCs w:val="2"/>
          <w:rtl/>
        </w:rPr>
        <w:t>54678313</w:t>
      </w:r>
    </w:p>
    <w:p w14:paraId="489256FD" w14:textId="77777777" w:rsidR="00DD560F" w:rsidRDefault="00DD560F" w:rsidP="00DD560F">
      <w:pPr>
        <w:rPr>
          <w:rtl/>
        </w:rPr>
      </w:pPr>
    </w:p>
    <w:p w14:paraId="312005DF" w14:textId="77777777" w:rsidR="00DD560F" w:rsidRDefault="00DD560F" w:rsidP="00DD560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48E0D4F" w14:textId="77777777" w:rsidR="00613C57" w:rsidRPr="00613C57" w:rsidRDefault="00613C57" w:rsidP="00613C57">
      <w:pPr>
        <w:keepNext/>
        <w:rPr>
          <w:rFonts w:ascii="David" w:hAnsi="David"/>
          <w:color w:val="000000"/>
          <w:sz w:val="22"/>
          <w:szCs w:val="22"/>
          <w:rtl/>
        </w:rPr>
      </w:pPr>
    </w:p>
    <w:p w14:paraId="48A16C9C" w14:textId="77777777" w:rsidR="00613C57" w:rsidRPr="00613C57" w:rsidRDefault="00613C57" w:rsidP="00613C57">
      <w:pPr>
        <w:keepNext/>
        <w:rPr>
          <w:rFonts w:ascii="David" w:hAnsi="David"/>
          <w:color w:val="000000"/>
          <w:sz w:val="22"/>
          <w:szCs w:val="22"/>
          <w:rtl/>
        </w:rPr>
      </w:pPr>
      <w:r w:rsidRPr="00613C57">
        <w:rPr>
          <w:rFonts w:ascii="David" w:hAnsi="David"/>
          <w:color w:val="000000"/>
          <w:sz w:val="22"/>
          <w:szCs w:val="22"/>
          <w:rtl/>
        </w:rPr>
        <w:t>יחיאל ליפשיץ 54678313-/</w:t>
      </w:r>
    </w:p>
    <w:p w14:paraId="73D07F80" w14:textId="77777777" w:rsidR="00DD560F" w:rsidRPr="00DD560F" w:rsidRDefault="00613C57" w:rsidP="00613C57">
      <w:pPr>
        <w:rPr>
          <w:color w:val="0000FF"/>
          <w:u w:val="single"/>
        </w:rPr>
      </w:pPr>
      <w:r w:rsidRPr="00613C57">
        <w:rPr>
          <w:color w:val="000000"/>
          <w:u w:val="single"/>
          <w:rtl/>
        </w:rPr>
        <w:t>נוסח מסמך זה כפוף לשינויי ניסוח ועריכה</w:t>
      </w:r>
    </w:p>
    <w:sectPr w:rsidR="00DD560F" w:rsidRPr="00DD560F" w:rsidSect="00613C57">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3CC51" w14:textId="77777777" w:rsidR="00087F1E" w:rsidRDefault="00087F1E" w:rsidP="007E232B">
      <w:r>
        <w:separator/>
      </w:r>
    </w:p>
  </w:endnote>
  <w:endnote w:type="continuationSeparator" w:id="0">
    <w:p w14:paraId="1A66ECBC" w14:textId="77777777" w:rsidR="00087F1E" w:rsidRDefault="00087F1E" w:rsidP="007E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E6ABC" w14:textId="77777777" w:rsidR="00613C57" w:rsidRDefault="00613C57" w:rsidP="00613C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1195A0" w14:textId="77777777" w:rsidR="004250CB" w:rsidRPr="00613C57" w:rsidRDefault="00613C57" w:rsidP="00613C57">
    <w:pPr>
      <w:pStyle w:val="a5"/>
      <w:pBdr>
        <w:top w:val="single" w:sz="4" w:space="1" w:color="auto"/>
        <w:between w:val="single" w:sz="4" w:space="0" w:color="auto"/>
      </w:pBdr>
      <w:spacing w:after="60"/>
      <w:jc w:val="center"/>
      <w:rPr>
        <w:rFonts w:ascii="FrankRuehl" w:hAnsi="FrankRuehl" w:cs="FrankRuehl"/>
        <w:color w:val="000000"/>
      </w:rPr>
    </w:pPr>
    <w:r w:rsidRPr="00613C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9BBAC" w14:textId="77777777" w:rsidR="00613C57" w:rsidRDefault="00613C57" w:rsidP="00613C5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4787">
      <w:rPr>
        <w:rFonts w:ascii="FrankRuehl" w:hAnsi="FrankRuehl" w:cs="FrankRuehl"/>
        <w:noProof/>
        <w:rtl/>
      </w:rPr>
      <w:t>1</w:t>
    </w:r>
    <w:r>
      <w:rPr>
        <w:rFonts w:ascii="FrankRuehl" w:hAnsi="FrankRuehl" w:cs="FrankRuehl"/>
        <w:rtl/>
      </w:rPr>
      <w:fldChar w:fldCharType="end"/>
    </w:r>
  </w:p>
  <w:p w14:paraId="4461A0C8" w14:textId="77777777" w:rsidR="004250CB" w:rsidRPr="00613C57" w:rsidRDefault="00613C57" w:rsidP="00613C57">
    <w:pPr>
      <w:pStyle w:val="a5"/>
      <w:pBdr>
        <w:top w:val="single" w:sz="4" w:space="1" w:color="auto"/>
        <w:between w:val="single" w:sz="4" w:space="0" w:color="auto"/>
      </w:pBdr>
      <w:spacing w:after="60"/>
      <w:jc w:val="center"/>
      <w:rPr>
        <w:rFonts w:ascii="FrankRuehl" w:hAnsi="FrankRuehl" w:cs="FrankRuehl"/>
        <w:color w:val="000000"/>
      </w:rPr>
    </w:pPr>
    <w:r w:rsidRPr="00613C57">
      <w:rPr>
        <w:rFonts w:ascii="FrankRuehl" w:hAnsi="FrankRuehl" w:cs="FrankRuehl"/>
        <w:color w:val="000000"/>
      </w:rPr>
      <w:pict w14:anchorId="69EBD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EF3C2" w14:textId="77777777" w:rsidR="00087F1E" w:rsidRDefault="00087F1E" w:rsidP="007E232B">
      <w:r>
        <w:separator/>
      </w:r>
    </w:p>
  </w:footnote>
  <w:footnote w:type="continuationSeparator" w:id="0">
    <w:p w14:paraId="5F058CB5" w14:textId="77777777" w:rsidR="00087F1E" w:rsidRDefault="00087F1E" w:rsidP="007E2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2141A" w14:textId="77777777" w:rsidR="00DD560F" w:rsidRPr="00613C57" w:rsidRDefault="00613C57" w:rsidP="00613C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15153-09-18</w:t>
    </w:r>
    <w:r>
      <w:rPr>
        <w:rFonts w:ascii="David" w:hAnsi="David"/>
        <w:color w:val="000000"/>
        <w:sz w:val="22"/>
        <w:szCs w:val="22"/>
        <w:rtl/>
      </w:rPr>
      <w:tab/>
      <w:t xml:space="preserve"> מדינת ישראל נ' מאור כהנא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ECAB5" w14:textId="77777777" w:rsidR="00DD560F" w:rsidRPr="00613C57" w:rsidRDefault="00613C57" w:rsidP="00613C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15153-09-18</w:t>
    </w:r>
    <w:r>
      <w:rPr>
        <w:rFonts w:ascii="David" w:hAnsi="David"/>
        <w:color w:val="000000"/>
        <w:sz w:val="22"/>
        <w:szCs w:val="22"/>
        <w:rtl/>
      </w:rPr>
      <w:tab/>
      <w:t xml:space="preserve"> מדינת ישראל נ' מאור כהנא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7090"/>
    <w:rsid w:val="00087F1E"/>
    <w:rsid w:val="0012688B"/>
    <w:rsid w:val="001A2D36"/>
    <w:rsid w:val="00236F77"/>
    <w:rsid w:val="004250CB"/>
    <w:rsid w:val="00613C57"/>
    <w:rsid w:val="007E232B"/>
    <w:rsid w:val="00814787"/>
    <w:rsid w:val="00845F46"/>
    <w:rsid w:val="009A4E4C"/>
    <w:rsid w:val="00B207DD"/>
    <w:rsid w:val="00B93CA0"/>
    <w:rsid w:val="00CA3CA9"/>
    <w:rsid w:val="00DD560F"/>
    <w:rsid w:val="00E47090"/>
    <w:rsid w:val="00FF3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FB31B3"/>
  <w15:chartTrackingRefBased/>
  <w15:docId w15:val="{6184B68E-22A6-4AD6-8EB9-3E0B83D6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70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7090"/>
    <w:pPr>
      <w:tabs>
        <w:tab w:val="center" w:pos="4153"/>
        <w:tab w:val="right" w:pos="8306"/>
      </w:tabs>
    </w:pPr>
  </w:style>
  <w:style w:type="character" w:customStyle="1" w:styleId="a4">
    <w:name w:val="כותרת עליונה תו"/>
    <w:link w:val="a3"/>
    <w:rsid w:val="00E47090"/>
    <w:rPr>
      <w:rFonts w:ascii="Times New Roman" w:eastAsia="Times New Roman" w:hAnsi="Times New Roman" w:cs="David"/>
      <w:sz w:val="24"/>
      <w:szCs w:val="24"/>
    </w:rPr>
  </w:style>
  <w:style w:type="paragraph" w:styleId="a5">
    <w:name w:val="footer"/>
    <w:basedOn w:val="a"/>
    <w:link w:val="a6"/>
    <w:rsid w:val="00E47090"/>
    <w:pPr>
      <w:tabs>
        <w:tab w:val="center" w:pos="4153"/>
        <w:tab w:val="right" w:pos="8306"/>
      </w:tabs>
    </w:pPr>
  </w:style>
  <w:style w:type="character" w:customStyle="1" w:styleId="a6">
    <w:name w:val="כותרת תחתונה תו"/>
    <w:link w:val="a5"/>
    <w:rsid w:val="00E47090"/>
    <w:rPr>
      <w:rFonts w:ascii="Times New Roman" w:eastAsia="Times New Roman" w:hAnsi="Times New Roman" w:cs="David"/>
      <w:sz w:val="24"/>
      <w:szCs w:val="24"/>
    </w:rPr>
  </w:style>
  <w:style w:type="table" w:styleId="a7">
    <w:name w:val="Table Grid"/>
    <w:basedOn w:val="a1"/>
    <w:rsid w:val="00E470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7090"/>
  </w:style>
  <w:style w:type="paragraph" w:styleId="a9">
    <w:name w:val="List Paragraph"/>
    <w:basedOn w:val="a"/>
    <w:qFormat/>
    <w:rsid w:val="00E47090"/>
    <w:pPr>
      <w:spacing w:after="160" w:line="256" w:lineRule="auto"/>
      <w:ind w:left="720"/>
      <w:contextualSpacing/>
    </w:pPr>
    <w:rPr>
      <w:rFonts w:ascii="Calibri" w:eastAsia="Calibri" w:hAnsi="Calibri" w:cs="Arial"/>
      <w:sz w:val="22"/>
      <w:szCs w:val="22"/>
    </w:rPr>
  </w:style>
  <w:style w:type="character" w:styleId="Hyperlink">
    <w:name w:val="Hyperlink"/>
    <w:rsid w:val="00E47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0.a.2."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185088" TargetMode="External"/><Relationship Id="rId21" Type="http://schemas.openxmlformats.org/officeDocument/2006/relationships/hyperlink" Target="http://www.nevo.co.il/law/70301/244" TargetMode="External"/><Relationship Id="rId34" Type="http://schemas.openxmlformats.org/officeDocument/2006/relationships/hyperlink" Target="http://www.nevo.co.il/case/27160605" TargetMode="External"/><Relationship Id="rId42" Type="http://schemas.openxmlformats.org/officeDocument/2006/relationships/image" Target="media/image3.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00.a.2" TargetMode="External"/><Relationship Id="rId32" Type="http://schemas.openxmlformats.org/officeDocument/2006/relationships/hyperlink" Target="http://www.nevo.co.il/case/11303307" TargetMode="External"/><Relationship Id="rId37" Type="http://schemas.openxmlformats.org/officeDocument/2006/relationships/hyperlink" Target="http://www.nevo.co.il/case/10442984" TargetMode="External"/><Relationship Id="rId40" Type="http://schemas.openxmlformats.org/officeDocument/2006/relationships/image" Target="media/image1.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300.a.2.;301" TargetMode="External"/><Relationship Id="rId23" Type="http://schemas.openxmlformats.org/officeDocument/2006/relationships/hyperlink" Target="http://www.nevo.co.il/case/20185088" TargetMode="External"/><Relationship Id="rId28" Type="http://schemas.openxmlformats.org/officeDocument/2006/relationships/hyperlink" Target="http://www.nevo.co.il/law/70301/58" TargetMode="External"/><Relationship Id="rId36" Type="http://schemas.openxmlformats.org/officeDocument/2006/relationships/hyperlink" Target="http://www.nevo.co.il/law/70301/40.ja.6" TargetMode="External"/><Relationship Id="rId49" Type="http://schemas.openxmlformats.org/officeDocument/2006/relationships/fontTable" Target="fontTable.xml"/><Relationship Id="rId10" Type="http://schemas.openxmlformats.org/officeDocument/2006/relationships/hyperlink" Target="http://www.nevo.co.il/law/70301/58"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7535102"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ja.6" TargetMode="External"/><Relationship Id="rId14" Type="http://schemas.openxmlformats.org/officeDocument/2006/relationships/hyperlink" Target="http://www.nevo.co.il/law/70301/301"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7963467" TargetMode="External"/><Relationship Id="rId30" Type="http://schemas.openxmlformats.org/officeDocument/2006/relationships/hyperlink" Target="http://www.nevo.co.il/case/26538254" TargetMode="External"/><Relationship Id="rId35" Type="http://schemas.openxmlformats.org/officeDocument/2006/relationships/hyperlink" Target="http://www.nevo.co.il/case/22275576" TargetMode="External"/><Relationship Id="rId43" Type="http://schemas.openxmlformats.org/officeDocument/2006/relationships/hyperlink" Target="http://www.nevo.co.il/case/20185088" TargetMode="External"/><Relationship Id="rId48" Type="http://schemas.openxmlformats.org/officeDocument/2006/relationships/footer" Target="footer2.xm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300.a.2" TargetMode="External"/><Relationship Id="rId25" Type="http://schemas.openxmlformats.org/officeDocument/2006/relationships/hyperlink" Target="http://www.nevo.co.il/law/70301/301" TargetMode="External"/><Relationship Id="rId33" Type="http://schemas.openxmlformats.org/officeDocument/2006/relationships/hyperlink" Target="http://www.nevo.co.il/case/20317243" TargetMode="External"/><Relationship Id="rId38" Type="http://schemas.openxmlformats.org/officeDocument/2006/relationships/hyperlink" Target="http://www.nevo.co.il/case/23828266" TargetMode="External"/><Relationship Id="rId46" Type="http://schemas.openxmlformats.org/officeDocument/2006/relationships/header" Target="header2.xml"/><Relationship Id="rId20" Type="http://schemas.openxmlformats.org/officeDocument/2006/relationships/hyperlink" Target="http://www.nevo.co.il/law/70301/29" TargetMode="External"/><Relationship Id="rId41" Type="http://schemas.openxmlformats.org/officeDocument/2006/relationships/image" Target="media/image2.emf"/><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3403</Words>
  <Characters>17018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20381</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4063356</vt:i4>
      </vt:variant>
      <vt:variant>
        <vt:i4>102</vt:i4>
      </vt:variant>
      <vt:variant>
        <vt:i4>0</vt:i4>
      </vt:variant>
      <vt:variant>
        <vt:i4>5</vt:i4>
      </vt:variant>
      <vt:variant>
        <vt:lpwstr>http://www.nevo.co.il/case/20185088</vt:lpwstr>
      </vt:variant>
      <vt:variant>
        <vt:lpwstr/>
      </vt:variant>
      <vt:variant>
        <vt:i4>4063356</vt:i4>
      </vt:variant>
      <vt:variant>
        <vt:i4>99</vt:i4>
      </vt:variant>
      <vt:variant>
        <vt:i4>0</vt:i4>
      </vt:variant>
      <vt:variant>
        <vt:i4>5</vt:i4>
      </vt:variant>
      <vt:variant>
        <vt:lpwstr>http://www.nevo.co.il/case/20185088</vt:lpwstr>
      </vt:variant>
      <vt:variant>
        <vt:lpwstr/>
      </vt:variant>
      <vt:variant>
        <vt:i4>3407991</vt:i4>
      </vt:variant>
      <vt:variant>
        <vt:i4>96</vt:i4>
      </vt:variant>
      <vt:variant>
        <vt:i4>0</vt:i4>
      </vt:variant>
      <vt:variant>
        <vt:i4>5</vt:i4>
      </vt:variant>
      <vt:variant>
        <vt:lpwstr>http://www.nevo.co.il/case/23828266</vt:lpwstr>
      </vt:variant>
      <vt:variant>
        <vt:lpwstr/>
      </vt:variant>
      <vt:variant>
        <vt:i4>4128889</vt:i4>
      </vt:variant>
      <vt:variant>
        <vt:i4>93</vt:i4>
      </vt:variant>
      <vt:variant>
        <vt:i4>0</vt:i4>
      </vt:variant>
      <vt:variant>
        <vt:i4>5</vt:i4>
      </vt:variant>
      <vt:variant>
        <vt:lpwstr>http://www.nevo.co.il/case/10442984</vt:lpwstr>
      </vt:variant>
      <vt:variant>
        <vt:lpwstr/>
      </vt:variant>
      <vt:variant>
        <vt:i4>2162734</vt:i4>
      </vt:variant>
      <vt:variant>
        <vt:i4>90</vt:i4>
      </vt:variant>
      <vt:variant>
        <vt:i4>0</vt:i4>
      </vt:variant>
      <vt:variant>
        <vt:i4>5</vt:i4>
      </vt:variant>
      <vt:variant>
        <vt:lpwstr>http://www.nevo.co.il/law/70301/40.ja.6</vt:lpwstr>
      </vt:variant>
      <vt:variant>
        <vt:lpwstr/>
      </vt:variant>
      <vt:variant>
        <vt:i4>3276916</vt:i4>
      </vt:variant>
      <vt:variant>
        <vt:i4>87</vt:i4>
      </vt:variant>
      <vt:variant>
        <vt:i4>0</vt:i4>
      </vt:variant>
      <vt:variant>
        <vt:i4>5</vt:i4>
      </vt:variant>
      <vt:variant>
        <vt:lpwstr>http://www.nevo.co.il/case/22275576</vt:lpwstr>
      </vt:variant>
      <vt:variant>
        <vt:lpwstr/>
      </vt:variant>
      <vt:variant>
        <vt:i4>3342451</vt:i4>
      </vt:variant>
      <vt:variant>
        <vt:i4>84</vt:i4>
      </vt:variant>
      <vt:variant>
        <vt:i4>0</vt:i4>
      </vt:variant>
      <vt:variant>
        <vt:i4>5</vt:i4>
      </vt:variant>
      <vt:variant>
        <vt:lpwstr>http://www.nevo.co.il/case/27160605</vt:lpwstr>
      </vt:variant>
      <vt:variant>
        <vt:lpwstr/>
      </vt:variant>
      <vt:variant>
        <vt:i4>3276919</vt:i4>
      </vt:variant>
      <vt:variant>
        <vt:i4>81</vt:i4>
      </vt:variant>
      <vt:variant>
        <vt:i4>0</vt:i4>
      </vt:variant>
      <vt:variant>
        <vt:i4>5</vt:i4>
      </vt:variant>
      <vt:variant>
        <vt:lpwstr>http://www.nevo.co.il/case/20317243</vt:lpwstr>
      </vt:variant>
      <vt:variant>
        <vt:lpwstr/>
      </vt:variant>
      <vt:variant>
        <vt:i4>3211382</vt:i4>
      </vt:variant>
      <vt:variant>
        <vt:i4>78</vt:i4>
      </vt:variant>
      <vt:variant>
        <vt:i4>0</vt:i4>
      </vt:variant>
      <vt:variant>
        <vt:i4>5</vt:i4>
      </vt:variant>
      <vt:variant>
        <vt:lpwstr>http://www.nevo.co.il/case/11303307</vt:lpwstr>
      </vt:variant>
      <vt:variant>
        <vt:lpwstr/>
      </vt:variant>
      <vt:variant>
        <vt:i4>3276913</vt:i4>
      </vt:variant>
      <vt:variant>
        <vt:i4>75</vt:i4>
      </vt:variant>
      <vt:variant>
        <vt:i4>0</vt:i4>
      </vt:variant>
      <vt:variant>
        <vt:i4>5</vt:i4>
      </vt:variant>
      <vt:variant>
        <vt:lpwstr>http://www.nevo.co.il/case/27535102</vt:lpwstr>
      </vt:variant>
      <vt:variant>
        <vt:lpwstr/>
      </vt:variant>
      <vt:variant>
        <vt:i4>3801203</vt:i4>
      </vt:variant>
      <vt:variant>
        <vt:i4>72</vt:i4>
      </vt:variant>
      <vt:variant>
        <vt:i4>0</vt:i4>
      </vt:variant>
      <vt:variant>
        <vt:i4>5</vt:i4>
      </vt:variant>
      <vt:variant>
        <vt:lpwstr>http://www.nevo.co.il/case/26538254</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7143520</vt:i4>
      </vt:variant>
      <vt:variant>
        <vt:i4>66</vt:i4>
      </vt:variant>
      <vt:variant>
        <vt:i4>0</vt:i4>
      </vt:variant>
      <vt:variant>
        <vt:i4>5</vt:i4>
      </vt:variant>
      <vt:variant>
        <vt:lpwstr>http://www.nevo.co.il/law/70301/58</vt:lpwstr>
      </vt:variant>
      <vt:variant>
        <vt:lpwstr/>
      </vt:variant>
      <vt:variant>
        <vt:i4>3276920</vt:i4>
      </vt:variant>
      <vt:variant>
        <vt:i4>63</vt:i4>
      </vt:variant>
      <vt:variant>
        <vt:i4>0</vt:i4>
      </vt:variant>
      <vt:variant>
        <vt:i4>5</vt:i4>
      </vt:variant>
      <vt:variant>
        <vt:lpwstr>http://www.nevo.co.il/case/7963467</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6619238</vt:i4>
      </vt:variant>
      <vt:variant>
        <vt:i4>57</vt:i4>
      </vt:variant>
      <vt:variant>
        <vt:i4>0</vt:i4>
      </vt:variant>
      <vt:variant>
        <vt:i4>5</vt:i4>
      </vt:variant>
      <vt:variant>
        <vt:lpwstr>http://www.nevo.co.il/law/70301/301</vt:lpwstr>
      </vt:variant>
      <vt:variant>
        <vt:lpwstr/>
      </vt:variant>
      <vt:variant>
        <vt:i4>6619191</vt:i4>
      </vt:variant>
      <vt:variant>
        <vt:i4>54</vt:i4>
      </vt:variant>
      <vt:variant>
        <vt:i4>0</vt:i4>
      </vt:variant>
      <vt:variant>
        <vt:i4>5</vt:i4>
      </vt:variant>
      <vt:variant>
        <vt:lpwstr>http://www.nevo.co.il/law/70301/300.a.2</vt:lpwstr>
      </vt:variant>
      <vt:variant>
        <vt:lpwstr/>
      </vt:variant>
      <vt:variant>
        <vt:i4>4063356</vt:i4>
      </vt:variant>
      <vt:variant>
        <vt:i4>51</vt:i4>
      </vt:variant>
      <vt:variant>
        <vt:i4>0</vt:i4>
      </vt:variant>
      <vt:variant>
        <vt:i4>5</vt:i4>
      </vt:variant>
      <vt:variant>
        <vt:lpwstr>http://www.nevo.co.il/case/20185088</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6619191</vt:i4>
      </vt:variant>
      <vt:variant>
        <vt:i4>33</vt:i4>
      </vt:variant>
      <vt:variant>
        <vt:i4>0</vt:i4>
      </vt:variant>
      <vt:variant>
        <vt:i4>5</vt:i4>
      </vt:variant>
      <vt:variant>
        <vt:lpwstr>http://www.nevo.co.il/law/70301/300.a.2</vt:lpwstr>
      </vt:variant>
      <vt:variant>
        <vt:lpwstr/>
      </vt:variant>
      <vt:variant>
        <vt:i4>7995492</vt:i4>
      </vt:variant>
      <vt:variant>
        <vt:i4>30</vt:i4>
      </vt:variant>
      <vt:variant>
        <vt:i4>0</vt:i4>
      </vt:variant>
      <vt:variant>
        <vt:i4>5</vt:i4>
      </vt:variant>
      <vt:variant>
        <vt:lpwstr>http://www.nevo.co.il/law/70301</vt:lpwstr>
      </vt:variant>
      <vt:variant>
        <vt:lpwstr/>
      </vt:variant>
      <vt:variant>
        <vt:i4>4784142</vt:i4>
      </vt:variant>
      <vt:variant>
        <vt:i4>27</vt:i4>
      </vt:variant>
      <vt:variant>
        <vt:i4>0</vt:i4>
      </vt:variant>
      <vt:variant>
        <vt:i4>5</vt:i4>
      </vt:variant>
      <vt:variant>
        <vt:lpwstr>http://www.nevo.co.il/law/70301/300.a.2.;301</vt:lpwstr>
      </vt:variant>
      <vt:variant>
        <vt:lpwstr/>
      </vt:variant>
      <vt:variant>
        <vt:i4>6619238</vt:i4>
      </vt:variant>
      <vt:variant>
        <vt:i4>24</vt:i4>
      </vt:variant>
      <vt:variant>
        <vt:i4>0</vt:i4>
      </vt:variant>
      <vt:variant>
        <vt:i4>5</vt:i4>
      </vt:variant>
      <vt:variant>
        <vt:lpwstr>http://www.nevo.co.il/law/70301/301</vt:lpwstr>
      </vt:variant>
      <vt:variant>
        <vt:lpwstr/>
      </vt:variant>
      <vt:variant>
        <vt:i4>4915205</vt:i4>
      </vt:variant>
      <vt:variant>
        <vt:i4>21</vt:i4>
      </vt:variant>
      <vt:variant>
        <vt:i4>0</vt:i4>
      </vt:variant>
      <vt:variant>
        <vt:i4>5</vt:i4>
      </vt:variant>
      <vt:variant>
        <vt:lpwstr>http://www.nevo.co.il/law/70301/300.a.2.</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2162734</vt:i4>
      </vt:variant>
      <vt:variant>
        <vt:i4>9</vt:i4>
      </vt:variant>
      <vt:variant>
        <vt:i4>0</vt:i4>
      </vt:variant>
      <vt:variant>
        <vt:i4>5</vt:i4>
      </vt:variant>
      <vt:variant>
        <vt:lpwstr>http://www.nevo.co.il/law/70301/40.ja.6</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15153</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מאור כהנא;אריאל ורדינאן </vt:lpwstr>
  </property>
  <property fmtid="{D5CDD505-2E9C-101B-9397-08002B2CF9AE}" pid="10" name="JUDGE">
    <vt:lpwstr>יחיאל ליפשיץ;גלית ציגלר;שמואל מנדלבום</vt:lpwstr>
  </property>
  <property fmtid="{D5CDD505-2E9C-101B-9397-08002B2CF9AE}" pid="11" name="CITY">
    <vt:lpwstr>חי'</vt:lpwstr>
  </property>
  <property fmtid="{D5CDD505-2E9C-101B-9397-08002B2CF9AE}" pid="12" name="DATE">
    <vt:lpwstr>20221031</vt:lpwstr>
  </property>
  <property fmtid="{D5CDD505-2E9C-101B-9397-08002B2CF9AE}" pid="13" name="TYPE_N_DATE">
    <vt:lpwstr>39020221031</vt:lpwstr>
  </property>
  <property fmtid="{D5CDD505-2E9C-101B-9397-08002B2CF9AE}" pid="14" name="WORDNUMPAGES">
    <vt:lpwstr>10</vt:lpwstr>
  </property>
  <property fmtid="{D5CDD505-2E9C-101B-9397-08002B2CF9AE}" pid="15" name="TYPE_ABS_DATE">
    <vt:lpwstr>390020221031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20185088:3;7963467;26538254;27535102;11303307;20317243;27160605;22275576;10442984;23828266</vt:lpwstr>
  </property>
  <property fmtid="{D5CDD505-2E9C-101B-9397-08002B2CF9AE}" pid="36" name="LAWLISTTMP1">
    <vt:lpwstr>70301/300.a.2:3;301:2;031;144.b;029:2;244;058;040.ja.6</vt:lpwstr>
  </property>
</Properties>
</file>