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2B1E25" w:rsidRPr="00547857" w14:paraId="6CBD6A63" w14:textId="77777777" w:rsidTr="00C35241">
        <w:trPr>
          <w:trHeight w:hRule="exact" w:val="418"/>
          <w:jc w:val="center"/>
        </w:trPr>
        <w:tc>
          <w:tcPr>
            <w:tcW w:w="8721" w:type="dxa"/>
            <w:gridSpan w:val="2"/>
          </w:tcPr>
          <w:p w14:paraId="6BCB2E55" w14:textId="77777777" w:rsidR="002B1E25" w:rsidRPr="00547857" w:rsidRDefault="002B1E25" w:rsidP="00F1535D">
            <w:pPr>
              <w:pStyle w:val="a3"/>
              <w:jc w:val="center"/>
              <w:rPr>
                <w:rFonts w:ascii="Tahoma" w:hAnsi="Tahoma" w:cs="Tahoma"/>
                <w:color w:val="000080"/>
                <w:rtl/>
              </w:rPr>
            </w:pPr>
            <w:r w:rsidRPr="00547857">
              <w:rPr>
                <w:rFonts w:ascii="Tahoma" w:hAnsi="Tahoma" w:cs="Tahoma"/>
                <w:b/>
                <w:bCs/>
                <w:color w:val="000080"/>
                <w:rtl/>
              </w:rPr>
              <w:t>בית המשפט המחוזי בחיפה</w:t>
            </w:r>
          </w:p>
        </w:tc>
      </w:tr>
      <w:tr w:rsidR="002B1E25" w:rsidRPr="00547857" w14:paraId="761DD921" w14:textId="77777777" w:rsidTr="00C35241">
        <w:trPr>
          <w:trHeight w:val="337"/>
          <w:jc w:val="center"/>
        </w:trPr>
        <w:tc>
          <w:tcPr>
            <w:tcW w:w="5057" w:type="dxa"/>
          </w:tcPr>
          <w:p w14:paraId="39A74D61" w14:textId="77777777" w:rsidR="002B1E25" w:rsidRPr="00547857" w:rsidRDefault="002B1E25" w:rsidP="00F1535D">
            <w:pPr>
              <w:rPr>
                <w:rFonts w:cs="FrankRuehl"/>
                <w:sz w:val="28"/>
                <w:szCs w:val="28"/>
                <w:rtl/>
              </w:rPr>
            </w:pPr>
            <w:r w:rsidRPr="00547857">
              <w:rPr>
                <w:rFonts w:cs="FrankRuehl"/>
                <w:sz w:val="28"/>
                <w:szCs w:val="28"/>
                <w:rtl/>
              </w:rPr>
              <w:t>ת"פ</w:t>
            </w:r>
            <w:r w:rsidRPr="00547857">
              <w:rPr>
                <w:rFonts w:cs="FrankRuehl" w:hint="cs"/>
                <w:sz w:val="28"/>
                <w:szCs w:val="28"/>
                <w:rtl/>
              </w:rPr>
              <w:t xml:space="preserve"> </w:t>
            </w:r>
            <w:r w:rsidRPr="00547857">
              <w:rPr>
                <w:rFonts w:cs="FrankRuehl"/>
                <w:sz w:val="28"/>
                <w:szCs w:val="28"/>
                <w:rtl/>
              </w:rPr>
              <w:t>4475-11-18</w:t>
            </w:r>
            <w:r w:rsidRPr="00547857">
              <w:rPr>
                <w:rFonts w:cs="FrankRuehl" w:hint="cs"/>
                <w:sz w:val="28"/>
                <w:szCs w:val="28"/>
                <w:rtl/>
              </w:rPr>
              <w:t xml:space="preserve"> </w:t>
            </w:r>
            <w:r w:rsidRPr="00547857">
              <w:rPr>
                <w:rFonts w:cs="FrankRuehl"/>
                <w:sz w:val="28"/>
                <w:szCs w:val="28"/>
                <w:rtl/>
              </w:rPr>
              <w:t>מדינת ישראל נ' אבו שייך(עציר)</w:t>
            </w:r>
          </w:p>
          <w:p w14:paraId="62504DFD" w14:textId="77777777" w:rsidR="002B1E25" w:rsidRPr="00547857" w:rsidRDefault="002B1E25" w:rsidP="00F1535D">
            <w:pPr>
              <w:pStyle w:val="a3"/>
              <w:rPr>
                <w:rFonts w:cs="FrankRuehl"/>
                <w:sz w:val="28"/>
                <w:szCs w:val="28"/>
                <w:rtl/>
              </w:rPr>
            </w:pPr>
          </w:p>
        </w:tc>
        <w:tc>
          <w:tcPr>
            <w:tcW w:w="3664" w:type="dxa"/>
          </w:tcPr>
          <w:p w14:paraId="3DCCD540" w14:textId="77777777" w:rsidR="002B1E25" w:rsidRPr="00547857" w:rsidRDefault="002B1E25" w:rsidP="00F1535D">
            <w:pPr>
              <w:pStyle w:val="a3"/>
              <w:jc w:val="right"/>
              <w:rPr>
                <w:rFonts w:cs="FrankRuehl"/>
                <w:sz w:val="28"/>
                <w:szCs w:val="28"/>
                <w:rtl/>
              </w:rPr>
            </w:pPr>
          </w:p>
        </w:tc>
      </w:tr>
    </w:tbl>
    <w:p w14:paraId="721FC1DE" w14:textId="77777777" w:rsidR="002B1E25" w:rsidRPr="00547857" w:rsidRDefault="002B1E25" w:rsidP="002B1E25">
      <w:pPr>
        <w:pStyle w:val="a3"/>
        <w:rPr>
          <w:rtl/>
        </w:rPr>
      </w:pPr>
      <w:r w:rsidRPr="00547857">
        <w:rPr>
          <w:rFonts w:hint="cs"/>
          <w:rtl/>
        </w:rPr>
        <w:t xml:space="preserve"> </w:t>
      </w:r>
    </w:p>
    <w:p w14:paraId="475D5DA8" w14:textId="77777777" w:rsidR="002B1E25" w:rsidRPr="00547857" w:rsidRDefault="002B1E25" w:rsidP="002B1E2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B1E25" w:rsidRPr="00547857" w14:paraId="1E4D1B4A" w14:textId="77777777" w:rsidTr="002B1E25">
        <w:trPr>
          <w:trHeight w:val="295"/>
          <w:jc w:val="center"/>
        </w:trPr>
        <w:tc>
          <w:tcPr>
            <w:tcW w:w="923" w:type="dxa"/>
            <w:tcBorders>
              <w:top w:val="nil"/>
              <w:left w:val="nil"/>
              <w:bottom w:val="nil"/>
              <w:right w:val="nil"/>
            </w:tcBorders>
            <w:shd w:val="clear" w:color="auto" w:fill="auto"/>
          </w:tcPr>
          <w:p w14:paraId="63DEC12F" w14:textId="77777777" w:rsidR="002B1E25" w:rsidRPr="00547857" w:rsidRDefault="002B1E25" w:rsidP="002B1E25">
            <w:pPr>
              <w:jc w:val="both"/>
              <w:rPr>
                <w:rFonts w:ascii="Arial" w:hAnsi="Arial"/>
                <w:b/>
                <w:bCs/>
                <w:sz w:val="26"/>
                <w:szCs w:val="26"/>
              </w:rPr>
            </w:pPr>
            <w:r w:rsidRPr="00547857">
              <w:rPr>
                <w:rFonts w:ascii="Arial" w:hAnsi="Arial" w:hint="cs"/>
                <w:b/>
                <w:bCs/>
                <w:sz w:val="26"/>
                <w:szCs w:val="26"/>
                <w:rtl/>
              </w:rPr>
              <w:t>ב</w:t>
            </w:r>
            <w:r w:rsidRPr="00547857">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73A60907" w14:textId="77777777" w:rsidR="002B1E25" w:rsidRPr="00547857" w:rsidRDefault="002B1E25" w:rsidP="002B1E25">
            <w:pPr>
              <w:jc w:val="both"/>
              <w:rPr>
                <w:rFonts w:ascii="Arial" w:hAnsi="Arial"/>
                <w:b/>
                <w:bCs/>
                <w:sz w:val="26"/>
                <w:szCs w:val="26"/>
                <w:rtl/>
              </w:rPr>
            </w:pPr>
            <w:r w:rsidRPr="00547857">
              <w:rPr>
                <w:rFonts w:ascii="Arial" w:hAnsi="Arial" w:hint="cs"/>
                <w:b/>
                <w:bCs/>
                <w:sz w:val="26"/>
                <w:szCs w:val="26"/>
                <w:rtl/>
              </w:rPr>
              <w:t>כב' השופט אברהם אליקים, סגן נשיא</w:t>
            </w:r>
          </w:p>
          <w:p w14:paraId="43B55365" w14:textId="77777777" w:rsidR="002B1E25" w:rsidRPr="00547857" w:rsidRDefault="002B1E25" w:rsidP="002B1E25">
            <w:pPr>
              <w:jc w:val="both"/>
              <w:rPr>
                <w:rFonts w:ascii="Arial" w:hAnsi="Arial"/>
                <w:b/>
                <w:bCs/>
                <w:sz w:val="26"/>
                <w:szCs w:val="26"/>
              </w:rPr>
            </w:pPr>
          </w:p>
        </w:tc>
      </w:tr>
      <w:tr w:rsidR="002B1E25" w:rsidRPr="00547857" w14:paraId="027D7E25" w14:textId="77777777" w:rsidTr="002B1E25">
        <w:trPr>
          <w:trHeight w:val="355"/>
          <w:jc w:val="center"/>
        </w:trPr>
        <w:tc>
          <w:tcPr>
            <w:tcW w:w="923" w:type="dxa"/>
            <w:tcBorders>
              <w:top w:val="nil"/>
              <w:left w:val="nil"/>
              <w:bottom w:val="nil"/>
              <w:right w:val="nil"/>
            </w:tcBorders>
            <w:shd w:val="clear" w:color="auto" w:fill="auto"/>
          </w:tcPr>
          <w:p w14:paraId="0F1CB84F" w14:textId="77777777" w:rsidR="002B1E25" w:rsidRPr="00547857" w:rsidRDefault="002B1E25" w:rsidP="002B1E25">
            <w:pPr>
              <w:jc w:val="both"/>
              <w:rPr>
                <w:rFonts w:ascii="Arial" w:hAnsi="Arial"/>
                <w:b/>
                <w:bCs/>
                <w:sz w:val="26"/>
                <w:szCs w:val="26"/>
              </w:rPr>
            </w:pPr>
            <w:bookmarkStart w:id="0" w:name="FirstAppellant"/>
            <w:bookmarkStart w:id="1" w:name="LastJudge"/>
            <w:bookmarkEnd w:id="1"/>
            <w:r w:rsidRPr="00547857">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BD75AAE" w14:textId="77777777" w:rsidR="002B1E25" w:rsidRPr="00547857" w:rsidRDefault="002B1E25" w:rsidP="00F1535D">
            <w:pPr>
              <w:rPr>
                <w:b/>
                <w:bCs/>
                <w:sz w:val="26"/>
                <w:szCs w:val="26"/>
              </w:rPr>
            </w:pPr>
            <w:r w:rsidRPr="00547857">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6FBEB6F3" w14:textId="77777777" w:rsidR="002B1E25" w:rsidRPr="00547857" w:rsidRDefault="002B1E25" w:rsidP="002B1E25">
            <w:pPr>
              <w:jc w:val="both"/>
              <w:rPr>
                <w:rFonts w:ascii="Arial" w:hAnsi="Arial"/>
                <w:b/>
                <w:bCs/>
                <w:sz w:val="26"/>
                <w:szCs w:val="26"/>
              </w:rPr>
            </w:pPr>
            <w:r w:rsidRPr="00547857">
              <w:rPr>
                <w:rFonts w:ascii="Arial" w:hAnsi="Arial" w:hint="cs"/>
                <w:b/>
                <w:bCs/>
                <w:sz w:val="26"/>
                <w:szCs w:val="26"/>
                <w:rtl/>
              </w:rPr>
              <w:t>המאשימה</w:t>
            </w:r>
          </w:p>
        </w:tc>
      </w:tr>
      <w:bookmarkEnd w:id="0"/>
      <w:tr w:rsidR="002B1E25" w:rsidRPr="00547857" w14:paraId="18596598" w14:textId="77777777" w:rsidTr="002B1E25">
        <w:trPr>
          <w:trHeight w:val="355"/>
          <w:jc w:val="center"/>
        </w:trPr>
        <w:tc>
          <w:tcPr>
            <w:tcW w:w="923" w:type="dxa"/>
            <w:tcBorders>
              <w:top w:val="nil"/>
              <w:left w:val="nil"/>
              <w:bottom w:val="nil"/>
              <w:right w:val="nil"/>
            </w:tcBorders>
            <w:shd w:val="clear" w:color="auto" w:fill="auto"/>
          </w:tcPr>
          <w:p w14:paraId="235CFA48" w14:textId="77777777" w:rsidR="002B1E25" w:rsidRPr="00547857" w:rsidRDefault="002B1E25" w:rsidP="002B1E25">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40FA4F69" w14:textId="77777777" w:rsidR="002B1E25" w:rsidRPr="00547857" w:rsidRDefault="002B1E25" w:rsidP="002B1E25">
            <w:pPr>
              <w:jc w:val="center"/>
              <w:rPr>
                <w:rFonts w:ascii="Arial" w:hAnsi="Arial"/>
                <w:b/>
                <w:bCs/>
                <w:sz w:val="26"/>
                <w:szCs w:val="26"/>
                <w:rtl/>
              </w:rPr>
            </w:pPr>
          </w:p>
          <w:p w14:paraId="5DC542EA" w14:textId="77777777" w:rsidR="002B1E25" w:rsidRPr="00547857" w:rsidRDefault="002B1E25" w:rsidP="002B1E25">
            <w:pPr>
              <w:jc w:val="center"/>
              <w:rPr>
                <w:rFonts w:ascii="Arial" w:hAnsi="Arial"/>
                <w:b/>
                <w:bCs/>
                <w:sz w:val="26"/>
                <w:szCs w:val="26"/>
                <w:rtl/>
              </w:rPr>
            </w:pPr>
            <w:r w:rsidRPr="00547857">
              <w:rPr>
                <w:rFonts w:ascii="Arial" w:hAnsi="Arial"/>
                <w:b/>
                <w:bCs/>
                <w:sz w:val="26"/>
                <w:szCs w:val="26"/>
                <w:rtl/>
              </w:rPr>
              <w:t>נגד</w:t>
            </w:r>
          </w:p>
          <w:p w14:paraId="73A4E7B1" w14:textId="77777777" w:rsidR="002B1E25" w:rsidRPr="00547857" w:rsidRDefault="002B1E25" w:rsidP="002B1E25">
            <w:pPr>
              <w:jc w:val="both"/>
              <w:rPr>
                <w:rFonts w:ascii="Arial" w:hAnsi="Arial"/>
                <w:b/>
                <w:bCs/>
                <w:sz w:val="26"/>
                <w:szCs w:val="26"/>
              </w:rPr>
            </w:pPr>
          </w:p>
        </w:tc>
      </w:tr>
      <w:tr w:rsidR="002B1E25" w:rsidRPr="00547857" w14:paraId="68BF1C57" w14:textId="77777777" w:rsidTr="002B1E25">
        <w:trPr>
          <w:trHeight w:val="355"/>
          <w:jc w:val="center"/>
        </w:trPr>
        <w:tc>
          <w:tcPr>
            <w:tcW w:w="923" w:type="dxa"/>
            <w:tcBorders>
              <w:top w:val="nil"/>
              <w:left w:val="nil"/>
              <w:bottom w:val="nil"/>
              <w:right w:val="nil"/>
            </w:tcBorders>
            <w:shd w:val="clear" w:color="auto" w:fill="auto"/>
          </w:tcPr>
          <w:p w14:paraId="389B2819" w14:textId="77777777" w:rsidR="002B1E25" w:rsidRPr="00547857" w:rsidRDefault="002B1E25" w:rsidP="00F1535D">
            <w:pPr>
              <w:rPr>
                <w:rFonts w:ascii="Arial" w:hAnsi="Arial"/>
                <w:b/>
                <w:bCs/>
                <w:sz w:val="26"/>
                <w:szCs w:val="26"/>
                <w:rtl/>
              </w:rPr>
            </w:pPr>
          </w:p>
        </w:tc>
        <w:tc>
          <w:tcPr>
            <w:tcW w:w="4126" w:type="dxa"/>
            <w:tcBorders>
              <w:top w:val="nil"/>
              <w:left w:val="nil"/>
              <w:bottom w:val="nil"/>
              <w:right w:val="nil"/>
            </w:tcBorders>
            <w:shd w:val="clear" w:color="auto" w:fill="auto"/>
          </w:tcPr>
          <w:p w14:paraId="335E238B" w14:textId="77777777" w:rsidR="002B1E25" w:rsidRPr="00547857" w:rsidRDefault="002B1E25" w:rsidP="00F1535D">
            <w:pPr>
              <w:rPr>
                <w:b/>
                <w:bCs/>
                <w:sz w:val="26"/>
                <w:szCs w:val="26"/>
                <w:rtl/>
              </w:rPr>
            </w:pPr>
            <w:r w:rsidRPr="00547857">
              <w:rPr>
                <w:rFonts w:ascii="Arial" w:hAnsi="Arial"/>
                <w:b/>
                <w:bCs/>
                <w:sz w:val="26"/>
                <w:szCs w:val="26"/>
                <w:rtl/>
              </w:rPr>
              <w:t>גריב אבו שייך (עציר)</w:t>
            </w:r>
          </w:p>
        </w:tc>
        <w:tc>
          <w:tcPr>
            <w:tcW w:w="3771" w:type="dxa"/>
            <w:tcBorders>
              <w:top w:val="nil"/>
              <w:left w:val="nil"/>
              <w:bottom w:val="nil"/>
              <w:right w:val="nil"/>
            </w:tcBorders>
            <w:shd w:val="clear" w:color="auto" w:fill="auto"/>
          </w:tcPr>
          <w:p w14:paraId="3D866AE1" w14:textId="77777777" w:rsidR="002B1E25" w:rsidRPr="00547857" w:rsidRDefault="002B1E25" w:rsidP="00F1535D">
            <w:pPr>
              <w:rPr>
                <w:rFonts w:ascii="Arial" w:hAnsi="Arial"/>
                <w:b/>
                <w:bCs/>
                <w:sz w:val="26"/>
                <w:szCs w:val="26"/>
              </w:rPr>
            </w:pPr>
            <w:r w:rsidRPr="00547857">
              <w:rPr>
                <w:rFonts w:ascii="Arial" w:hAnsi="Arial" w:hint="cs"/>
                <w:b/>
                <w:bCs/>
                <w:sz w:val="26"/>
                <w:szCs w:val="26"/>
                <w:rtl/>
              </w:rPr>
              <w:t>הנאשם</w:t>
            </w:r>
          </w:p>
        </w:tc>
      </w:tr>
    </w:tbl>
    <w:p w14:paraId="06AF374F" w14:textId="77777777" w:rsidR="00C35241" w:rsidRDefault="00C35241" w:rsidP="002B1E25">
      <w:pPr>
        <w:rPr>
          <w:sz w:val="26"/>
          <w:szCs w:val="26"/>
          <w:rtl/>
        </w:rPr>
      </w:pPr>
    </w:p>
    <w:p w14:paraId="0AE9954A" w14:textId="77777777" w:rsidR="00D730BA" w:rsidRPr="00D730BA" w:rsidRDefault="00D730BA" w:rsidP="00D730BA">
      <w:pPr>
        <w:spacing w:after="120" w:line="240" w:lineRule="exact"/>
        <w:ind w:left="283" w:hanging="283"/>
        <w:jc w:val="both"/>
        <w:rPr>
          <w:rFonts w:ascii="FrankRuehl" w:hAnsi="FrankRuehl" w:cs="FrankRuehl"/>
          <w:rtl/>
        </w:rPr>
      </w:pPr>
      <w:bookmarkStart w:id="2" w:name="LawTable"/>
      <w:bookmarkEnd w:id="2"/>
      <w:r w:rsidRPr="00D730BA">
        <w:rPr>
          <w:rFonts w:ascii="FrankRuehl" w:hAnsi="FrankRuehl" w:cs="FrankRuehl"/>
          <w:rtl/>
        </w:rPr>
        <w:t xml:space="preserve">חקיקה שאוזכרה: </w:t>
      </w:r>
    </w:p>
    <w:p w14:paraId="3E10E537" w14:textId="77777777" w:rsidR="00D730BA" w:rsidRPr="00D730BA" w:rsidRDefault="00D730BA" w:rsidP="00D730BA">
      <w:pPr>
        <w:spacing w:after="120" w:line="240" w:lineRule="exact"/>
        <w:ind w:left="283" w:hanging="283"/>
        <w:jc w:val="both"/>
        <w:rPr>
          <w:rFonts w:ascii="FrankRuehl" w:hAnsi="FrankRuehl" w:cs="FrankRuehl"/>
          <w:color w:val="0000FF"/>
          <w:u w:val="single"/>
          <w:rtl/>
        </w:rPr>
      </w:pPr>
      <w:hyperlink r:id="rId7" w:history="1">
        <w:r w:rsidRPr="00D730BA">
          <w:rPr>
            <w:rStyle w:val="Hyperlink"/>
            <w:rFonts w:ascii="FrankRuehl" w:hAnsi="FrankRuehl" w:cs="FrankRuehl"/>
            <w:rtl/>
          </w:rPr>
          <w:t>חוק העונשין, תשל"ז-1977</w:t>
        </w:r>
      </w:hyperlink>
      <w:r w:rsidRPr="00D730BA">
        <w:rPr>
          <w:rFonts w:ascii="FrankRuehl" w:hAnsi="FrankRuehl" w:cs="FrankRuehl"/>
          <w:color w:val="0000FF"/>
          <w:u w:val="single"/>
          <w:rtl/>
        </w:rPr>
        <w:t xml:space="preserve">: סע'  </w:t>
      </w:r>
      <w:hyperlink r:id="rId8" w:history="1">
        <w:r w:rsidRPr="00D730BA">
          <w:rPr>
            <w:rStyle w:val="Hyperlink"/>
            <w:rFonts w:ascii="FrankRuehl" w:hAnsi="FrankRuehl" w:cs="FrankRuehl"/>
          </w:rPr>
          <w:t>40</w:t>
        </w:r>
        <w:r w:rsidRPr="00D730BA">
          <w:rPr>
            <w:rStyle w:val="Hyperlink"/>
            <w:rFonts w:ascii="FrankRuehl" w:hAnsi="FrankRuehl" w:cs="FrankRuehl"/>
            <w:rtl/>
          </w:rPr>
          <w:t>ב</w:t>
        </w:r>
        <w:r w:rsidRPr="00D730BA">
          <w:rPr>
            <w:rStyle w:val="Hyperlink"/>
            <w:rFonts w:ascii="FrankRuehl" w:hAnsi="FrankRuehl" w:cs="FrankRuehl"/>
          </w:rPr>
          <w:t>'</w:t>
        </w:r>
      </w:hyperlink>
      <w:r w:rsidRPr="00D730BA">
        <w:rPr>
          <w:rFonts w:ascii="FrankRuehl" w:hAnsi="FrankRuehl" w:cs="FrankRuehl"/>
          <w:color w:val="0000FF"/>
          <w:u w:val="single"/>
          <w:rtl/>
        </w:rPr>
        <w:t xml:space="preserve">, </w:t>
      </w:r>
      <w:hyperlink r:id="rId9" w:history="1">
        <w:r w:rsidRPr="00D730BA">
          <w:rPr>
            <w:rStyle w:val="Hyperlink"/>
            <w:rFonts w:ascii="FrankRuehl" w:hAnsi="FrankRuehl" w:cs="FrankRuehl"/>
          </w:rPr>
          <w:t>144(</w:t>
        </w:r>
        <w:r w:rsidRPr="00D730BA">
          <w:rPr>
            <w:rStyle w:val="Hyperlink"/>
            <w:rFonts w:ascii="FrankRuehl" w:hAnsi="FrankRuehl" w:cs="FrankRuehl"/>
            <w:rtl/>
          </w:rPr>
          <w:t>ב</w:t>
        </w:r>
        <w:r w:rsidRPr="00D730BA">
          <w:rPr>
            <w:rStyle w:val="Hyperlink"/>
            <w:rFonts w:ascii="FrankRuehl" w:hAnsi="FrankRuehl" w:cs="FrankRuehl"/>
          </w:rPr>
          <w:t>)</w:t>
        </w:r>
      </w:hyperlink>
      <w:r w:rsidRPr="00D730BA">
        <w:rPr>
          <w:rFonts w:ascii="FrankRuehl" w:hAnsi="FrankRuehl" w:cs="FrankRuehl"/>
          <w:color w:val="0000FF"/>
          <w:u w:val="single"/>
          <w:rtl/>
        </w:rPr>
        <w:t xml:space="preserve">, </w:t>
      </w:r>
      <w:hyperlink r:id="rId10" w:history="1">
        <w:r w:rsidRPr="00D730BA">
          <w:rPr>
            <w:rStyle w:val="Hyperlink"/>
            <w:rFonts w:ascii="FrankRuehl" w:hAnsi="FrankRuehl" w:cs="FrankRuehl"/>
          </w:rPr>
          <w:t>340</w:t>
        </w:r>
        <w:r w:rsidRPr="00D730BA">
          <w:rPr>
            <w:rStyle w:val="Hyperlink"/>
            <w:rFonts w:ascii="FrankRuehl" w:hAnsi="FrankRuehl" w:cs="FrankRuehl"/>
            <w:rtl/>
          </w:rPr>
          <w:t>א</w:t>
        </w:r>
      </w:hyperlink>
      <w:r w:rsidRPr="00D730BA">
        <w:rPr>
          <w:rFonts w:ascii="FrankRuehl" w:hAnsi="FrankRuehl" w:cs="FrankRuehl"/>
          <w:color w:val="0000FF"/>
          <w:u w:val="single"/>
          <w:rtl/>
        </w:rPr>
        <w:t xml:space="preserve">, </w:t>
      </w:r>
      <w:hyperlink r:id="rId11" w:history="1">
        <w:r w:rsidRPr="00D730BA">
          <w:rPr>
            <w:rStyle w:val="Hyperlink"/>
            <w:rFonts w:ascii="FrankRuehl" w:hAnsi="FrankRuehl" w:cs="FrankRuehl"/>
          </w:rPr>
          <w:t>40</w:t>
        </w:r>
        <w:r w:rsidRPr="00D730BA">
          <w:rPr>
            <w:rStyle w:val="Hyperlink"/>
            <w:rFonts w:ascii="FrankRuehl" w:hAnsi="FrankRuehl" w:cs="FrankRuehl"/>
            <w:rtl/>
          </w:rPr>
          <w:t>יא</w:t>
        </w:r>
        <w:r w:rsidRPr="00D730BA">
          <w:rPr>
            <w:rStyle w:val="Hyperlink"/>
            <w:rFonts w:ascii="FrankRuehl" w:hAnsi="FrankRuehl" w:cs="FrankRuehl"/>
          </w:rPr>
          <w:t>'</w:t>
        </w:r>
      </w:hyperlink>
    </w:p>
    <w:p w14:paraId="293644B3" w14:textId="77777777" w:rsidR="00C35241" w:rsidRPr="00D730BA" w:rsidRDefault="00C35241" w:rsidP="00C35241">
      <w:pPr>
        <w:spacing w:after="120" w:line="240" w:lineRule="exact"/>
        <w:ind w:left="283" w:hanging="283"/>
        <w:jc w:val="both"/>
        <w:rPr>
          <w:rFonts w:ascii="FrankRuehl" w:hAnsi="FrankRuehl" w:cs="FrankRueh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B1E25" w:rsidRPr="00B44547" w14:paraId="34D17C8D" w14:textId="77777777" w:rsidTr="002B1E25">
        <w:trPr>
          <w:trHeight w:val="355"/>
          <w:jc w:val="center"/>
        </w:trPr>
        <w:tc>
          <w:tcPr>
            <w:tcW w:w="8820" w:type="dxa"/>
            <w:tcBorders>
              <w:top w:val="nil"/>
              <w:left w:val="nil"/>
              <w:bottom w:val="nil"/>
              <w:right w:val="nil"/>
            </w:tcBorders>
            <w:shd w:val="clear" w:color="auto" w:fill="auto"/>
          </w:tcPr>
          <w:p w14:paraId="21F65913" w14:textId="77777777" w:rsidR="00547857" w:rsidRPr="00547857" w:rsidRDefault="00547857" w:rsidP="00547857">
            <w:pPr>
              <w:jc w:val="center"/>
              <w:rPr>
                <w:rFonts w:ascii="Arial" w:hAnsi="Arial"/>
                <w:b/>
                <w:bCs/>
                <w:sz w:val="32"/>
                <w:szCs w:val="32"/>
                <w:u w:val="single"/>
                <w:rtl/>
              </w:rPr>
            </w:pPr>
            <w:bookmarkStart w:id="4" w:name="PsakDin" w:colFirst="0" w:colLast="0"/>
            <w:r w:rsidRPr="00547857">
              <w:rPr>
                <w:rFonts w:ascii="Arial" w:hAnsi="Arial"/>
                <w:b/>
                <w:bCs/>
                <w:sz w:val="32"/>
                <w:szCs w:val="32"/>
                <w:u w:val="single"/>
                <w:rtl/>
              </w:rPr>
              <w:t>גזר דין</w:t>
            </w:r>
          </w:p>
          <w:p w14:paraId="02C403C6" w14:textId="77777777" w:rsidR="002B1E25" w:rsidRPr="00547857" w:rsidRDefault="002B1E25" w:rsidP="00547857">
            <w:pPr>
              <w:jc w:val="center"/>
              <w:rPr>
                <w:rFonts w:ascii="Arial" w:hAnsi="Arial"/>
                <w:bCs/>
                <w:sz w:val="32"/>
                <w:szCs w:val="32"/>
                <w:u w:val="single"/>
                <w:rtl/>
              </w:rPr>
            </w:pPr>
          </w:p>
        </w:tc>
      </w:tr>
      <w:bookmarkEnd w:id="4"/>
    </w:tbl>
    <w:p w14:paraId="63A3FAD9" w14:textId="77777777" w:rsidR="002B1E25" w:rsidRPr="00B44547" w:rsidRDefault="002B1E25" w:rsidP="002B1E25">
      <w:pPr>
        <w:rPr>
          <w:rFonts w:ascii="Arial" w:hAnsi="Arial"/>
          <w:rtl/>
        </w:rPr>
      </w:pPr>
    </w:p>
    <w:p w14:paraId="24DB4E92" w14:textId="77777777" w:rsidR="002B1E25" w:rsidRPr="00B05847" w:rsidRDefault="002B1E25" w:rsidP="002B1E25">
      <w:pPr>
        <w:rPr>
          <w:rtl/>
        </w:rPr>
      </w:pPr>
    </w:p>
    <w:p w14:paraId="0C61F48F" w14:textId="77777777" w:rsidR="002B1E25" w:rsidRPr="006F12A6" w:rsidRDefault="002B1E25" w:rsidP="002B1E25">
      <w:pPr>
        <w:spacing w:line="360" w:lineRule="auto"/>
        <w:ind w:left="360" w:firstLine="360"/>
        <w:jc w:val="both"/>
        <w:rPr>
          <w:rFonts w:ascii="Arial" w:hAnsi="Arial" w:cs="Miriam"/>
        </w:rPr>
      </w:pPr>
      <w:r w:rsidRPr="006F12A6">
        <w:rPr>
          <w:rFonts w:ascii="Arial" w:hAnsi="Arial" w:cs="Miriam"/>
          <w:rtl/>
        </w:rPr>
        <w:t>מבוא</w:t>
      </w:r>
    </w:p>
    <w:p w14:paraId="24EFCA4C" w14:textId="77777777" w:rsidR="002B1E25" w:rsidRPr="006F12A6" w:rsidRDefault="002B1E25" w:rsidP="002B1E25">
      <w:pPr>
        <w:numPr>
          <w:ilvl w:val="0"/>
          <w:numId w:val="1"/>
        </w:numPr>
        <w:spacing w:line="360" w:lineRule="auto"/>
        <w:jc w:val="both"/>
        <w:rPr>
          <w:rFonts w:ascii="Arial" w:hAnsi="Arial" w:cs="FrankRuehl"/>
          <w:szCs w:val="28"/>
        </w:rPr>
      </w:pPr>
      <w:bookmarkStart w:id="5" w:name="ABSTRACT_START"/>
      <w:bookmarkEnd w:id="5"/>
      <w:r w:rsidRPr="006F12A6">
        <w:rPr>
          <w:rFonts w:ascii="Arial" w:hAnsi="Arial" w:cs="FrankRuehl"/>
          <w:szCs w:val="28"/>
          <w:rtl/>
        </w:rPr>
        <w:t xml:space="preserve">הנאשם הורשע לאחר הודאתו בעובדות כתב אישום שתוקן במסגרת הסדר טיעון שלא כלל הסכמה לעונש בעבירות בנשק לפי </w:t>
      </w:r>
      <w:hyperlink r:id="rId12" w:history="1">
        <w:r w:rsidR="00C35241" w:rsidRPr="00C35241">
          <w:rPr>
            <w:rFonts w:ascii="Arial" w:hAnsi="Arial" w:cs="FrankRuehl"/>
            <w:color w:val="0000FF"/>
            <w:szCs w:val="28"/>
            <w:u w:val="single"/>
            <w:rtl/>
          </w:rPr>
          <w:t>סעיף 144(ב)</w:t>
        </w:r>
      </w:hyperlink>
      <w:r w:rsidRPr="006F12A6">
        <w:rPr>
          <w:rFonts w:ascii="Arial" w:hAnsi="Arial" w:cs="FrankRuehl"/>
          <w:szCs w:val="28"/>
          <w:rtl/>
        </w:rPr>
        <w:t xml:space="preserve"> ל</w:t>
      </w:r>
      <w:hyperlink r:id="rId13" w:history="1">
        <w:r w:rsidR="00547857" w:rsidRPr="00547857">
          <w:rPr>
            <w:rFonts w:ascii="Arial" w:hAnsi="Arial" w:cs="Miriam"/>
            <w:color w:val="0000FF"/>
            <w:u w:val="single"/>
            <w:rtl/>
          </w:rPr>
          <w:t>חוק העונשין</w:t>
        </w:r>
      </w:hyperlink>
      <w:r w:rsidRPr="006F12A6">
        <w:rPr>
          <w:rFonts w:ascii="Arial" w:hAnsi="Arial" w:cs="Miriam"/>
          <w:rtl/>
        </w:rPr>
        <w:t xml:space="preserve">, התשל"ז-1977 </w:t>
      </w:r>
      <w:r>
        <w:rPr>
          <w:rFonts w:ascii="Arial" w:hAnsi="Arial" w:cs="Miriam" w:hint="cs"/>
          <w:rtl/>
        </w:rPr>
        <w:t xml:space="preserve">        </w:t>
      </w:r>
      <w:r w:rsidRPr="006F12A6">
        <w:rPr>
          <w:rFonts w:ascii="Arial" w:hAnsi="Arial" w:cs="FrankRuehl"/>
          <w:szCs w:val="28"/>
          <w:rtl/>
        </w:rPr>
        <w:t xml:space="preserve">(להלן- החוק) ובעבירה של יריות באזור מגורים בנסיבות מחמירות לפי </w:t>
      </w:r>
      <w:hyperlink r:id="rId14" w:history="1">
        <w:r w:rsidR="00C35241" w:rsidRPr="00C35241">
          <w:rPr>
            <w:rFonts w:ascii="Arial" w:hAnsi="Arial" w:cs="FrankRuehl"/>
            <w:color w:val="0000FF"/>
            <w:szCs w:val="28"/>
            <w:u w:val="single"/>
            <w:rtl/>
          </w:rPr>
          <w:t>סעיף 340א</w:t>
        </w:r>
      </w:hyperlink>
      <w:r w:rsidRPr="006F12A6">
        <w:rPr>
          <w:rFonts w:ascii="Arial" w:hAnsi="Arial" w:cs="FrankRuehl"/>
          <w:szCs w:val="28"/>
          <w:rtl/>
        </w:rPr>
        <w:t xml:space="preserve"> לחוק.</w:t>
      </w:r>
    </w:p>
    <w:p w14:paraId="1E308FDE" w14:textId="77777777" w:rsidR="002B1E25" w:rsidRPr="006F12A6" w:rsidRDefault="002B1E25" w:rsidP="002B1E25">
      <w:pPr>
        <w:spacing w:line="360" w:lineRule="auto"/>
        <w:ind w:left="720"/>
        <w:jc w:val="both"/>
        <w:rPr>
          <w:rFonts w:ascii="Arial" w:hAnsi="Arial" w:cs="FrankRuehl"/>
          <w:szCs w:val="28"/>
        </w:rPr>
      </w:pPr>
    </w:p>
    <w:p w14:paraId="480BEB59" w14:textId="77777777" w:rsidR="002B1E25" w:rsidRPr="006F12A6" w:rsidRDefault="002B1E25" w:rsidP="002B1E25">
      <w:pPr>
        <w:spacing w:line="360" w:lineRule="auto"/>
        <w:ind w:left="720"/>
        <w:jc w:val="both"/>
        <w:rPr>
          <w:rFonts w:ascii="Arial" w:hAnsi="Arial" w:cs="FrankRuehl"/>
          <w:szCs w:val="28"/>
          <w:rtl/>
        </w:rPr>
      </w:pPr>
      <w:bookmarkStart w:id="6" w:name="ABSTRACT_END"/>
      <w:bookmarkEnd w:id="6"/>
      <w:r w:rsidRPr="006F12A6">
        <w:rPr>
          <w:rFonts w:ascii="Arial" w:hAnsi="Arial" w:cs="FrankRuehl"/>
          <w:szCs w:val="28"/>
          <w:rtl/>
        </w:rPr>
        <w:t xml:space="preserve">[מן הראוי היה לציין בכתב האישום אלו מסעיפי המשנה של </w:t>
      </w:r>
      <w:hyperlink r:id="rId15" w:history="1">
        <w:r w:rsidR="00C35241" w:rsidRPr="00C35241">
          <w:rPr>
            <w:rFonts w:ascii="Arial" w:hAnsi="Arial" w:cs="FrankRuehl"/>
            <w:color w:val="0000FF"/>
            <w:szCs w:val="28"/>
            <w:u w:val="single"/>
            <w:rtl/>
          </w:rPr>
          <w:t>סעיף 340א</w:t>
        </w:r>
      </w:hyperlink>
      <w:r w:rsidRPr="006F12A6">
        <w:rPr>
          <w:rFonts w:ascii="Arial" w:hAnsi="Arial" w:cs="FrankRuehl"/>
          <w:szCs w:val="28"/>
          <w:rtl/>
        </w:rPr>
        <w:t xml:space="preserve"> לחוק מיוחס לנאשם, הכינוי  בהוראת החיקוק השנייה "בנסיבות מחמירות" אינו מופיע בחוק].</w:t>
      </w:r>
    </w:p>
    <w:p w14:paraId="0C509BEA" w14:textId="77777777" w:rsidR="002B1E25" w:rsidRPr="006F12A6" w:rsidRDefault="002B1E25" w:rsidP="002B1E25">
      <w:pPr>
        <w:spacing w:line="360" w:lineRule="auto"/>
        <w:ind w:left="720"/>
        <w:jc w:val="both"/>
        <w:rPr>
          <w:rFonts w:ascii="Arial" w:hAnsi="Arial" w:cs="FrankRuehl"/>
          <w:szCs w:val="28"/>
        </w:rPr>
      </w:pPr>
    </w:p>
    <w:p w14:paraId="0B7A06AD" w14:textId="77777777" w:rsidR="002B1E25" w:rsidRPr="006F12A6" w:rsidRDefault="002B1E25" w:rsidP="002B1E25">
      <w:pPr>
        <w:numPr>
          <w:ilvl w:val="0"/>
          <w:numId w:val="1"/>
        </w:numPr>
        <w:spacing w:line="360" w:lineRule="auto"/>
        <w:jc w:val="both"/>
        <w:rPr>
          <w:rFonts w:ascii="Arial" w:hAnsi="Arial" w:cs="FrankRuehl"/>
          <w:szCs w:val="28"/>
        </w:rPr>
      </w:pPr>
      <w:r w:rsidRPr="006F12A6">
        <w:rPr>
          <w:rFonts w:ascii="Arial" w:hAnsi="Arial" w:cs="FrankRuehl"/>
          <w:szCs w:val="28"/>
          <w:rtl/>
        </w:rPr>
        <w:t xml:space="preserve">על פי כתב האישום המתוקן (סומן א'), הנאשם ומאומן דעאיף (להלן- המנוח) הם חברים המתגוררים בערערה, כאשר בין משפחת הנאשם והמנוח לבין משפחת גזמאווי קיים סכסוך. </w:t>
      </w:r>
    </w:p>
    <w:p w14:paraId="635EC3D5" w14:textId="77777777" w:rsidR="002B1E25" w:rsidRPr="006F12A6" w:rsidRDefault="002B1E25" w:rsidP="002B1E25">
      <w:pPr>
        <w:spacing w:line="360" w:lineRule="auto"/>
        <w:ind w:left="720"/>
        <w:jc w:val="both"/>
        <w:rPr>
          <w:rFonts w:ascii="Arial" w:hAnsi="Arial" w:cs="FrankRuehl"/>
          <w:szCs w:val="28"/>
          <w:rtl/>
        </w:rPr>
      </w:pPr>
      <w:r w:rsidRPr="006F12A6">
        <w:rPr>
          <w:rFonts w:ascii="Arial" w:hAnsi="Arial" w:cs="FrankRuehl"/>
          <w:szCs w:val="28"/>
          <w:rtl/>
        </w:rPr>
        <w:t>על רקע הסכסוך, בליל 16.9.2018 נורה המנוח עת שהה בסמוך לביתו של הנאשם, וכתוצאה מכך נגרם מותו.</w:t>
      </w:r>
    </w:p>
    <w:p w14:paraId="458BA9EE" w14:textId="77777777" w:rsidR="002B1E25" w:rsidRPr="006F12A6" w:rsidRDefault="002B1E25" w:rsidP="002B1E25">
      <w:pPr>
        <w:spacing w:line="360" w:lineRule="auto"/>
        <w:ind w:left="720"/>
        <w:jc w:val="both"/>
        <w:rPr>
          <w:rFonts w:ascii="Arial" w:hAnsi="Arial" w:cs="FrankRuehl"/>
          <w:szCs w:val="28"/>
          <w:rtl/>
        </w:rPr>
      </w:pPr>
      <w:r w:rsidRPr="006F12A6">
        <w:rPr>
          <w:rFonts w:ascii="Arial" w:hAnsi="Arial" w:cs="FrankRuehl"/>
          <w:szCs w:val="28"/>
          <w:rtl/>
        </w:rPr>
        <w:t xml:space="preserve">בסמוך לאחר מכן, בסביבת המקום בו נורה המנוח, ירה הנאשם, באזור מגורים, מספר יריות מתת מקלע מאולתר (להלן- הנשק), אותו נשא והוביל בלא רשות על פי דין. הנשק </w:t>
      </w:r>
      <w:r w:rsidRPr="006F12A6">
        <w:rPr>
          <w:rFonts w:ascii="Arial" w:hAnsi="Arial" w:cs="FrankRuehl"/>
          <w:szCs w:val="28"/>
          <w:rtl/>
        </w:rPr>
        <w:lastRenderedPageBreak/>
        <w:t>הכיל מחסנית (להלן- המחסנית) שהכילה כדורים. הנשק הינו כלי שסוגל לירות כדור שבכוחו להמית אדם, והמחסנית הינה אביזר לכלי נשק.</w:t>
      </w:r>
    </w:p>
    <w:p w14:paraId="1A02EA5A" w14:textId="77777777" w:rsidR="002B1E25" w:rsidRPr="006F12A6" w:rsidRDefault="002B1E25" w:rsidP="002B1E25">
      <w:pPr>
        <w:spacing w:line="360" w:lineRule="auto"/>
        <w:ind w:left="360" w:firstLine="360"/>
        <w:jc w:val="both"/>
        <w:rPr>
          <w:rFonts w:ascii="Arial" w:hAnsi="Arial" w:cs="Miriam"/>
          <w:rtl/>
        </w:rPr>
      </w:pPr>
    </w:p>
    <w:p w14:paraId="7CE53ED5" w14:textId="77777777" w:rsidR="002B1E25" w:rsidRPr="006F12A6" w:rsidRDefault="002B1E25" w:rsidP="002B1E25">
      <w:pPr>
        <w:spacing w:line="360" w:lineRule="auto"/>
        <w:ind w:left="360" w:firstLine="360"/>
        <w:jc w:val="both"/>
        <w:rPr>
          <w:rFonts w:ascii="Arial" w:hAnsi="Arial" w:cs="FrankRuehl"/>
          <w:szCs w:val="28"/>
          <w:u w:val="single"/>
          <w:rtl/>
        </w:rPr>
      </w:pPr>
      <w:r w:rsidRPr="006F12A6">
        <w:rPr>
          <w:rFonts w:ascii="Arial" w:hAnsi="Arial" w:cs="Miriam"/>
          <w:rtl/>
        </w:rPr>
        <w:t>ראיות לעונש</w:t>
      </w:r>
    </w:p>
    <w:p w14:paraId="01A85DCE" w14:textId="77777777" w:rsidR="002B1E25" w:rsidRPr="006F12A6" w:rsidRDefault="002B1E25" w:rsidP="002B1E25">
      <w:pPr>
        <w:numPr>
          <w:ilvl w:val="0"/>
          <w:numId w:val="1"/>
        </w:numPr>
        <w:spacing w:line="360" w:lineRule="auto"/>
        <w:contextualSpacing/>
        <w:jc w:val="both"/>
        <w:rPr>
          <w:rFonts w:ascii="Arial" w:hAnsi="Arial" w:cs="FrankRuehl"/>
          <w:szCs w:val="28"/>
          <w:u w:val="single"/>
        </w:rPr>
      </w:pPr>
      <w:r w:rsidRPr="006F12A6">
        <w:rPr>
          <w:rFonts w:ascii="Arial" w:hAnsi="Arial" w:cs="FrankRuehl"/>
          <w:szCs w:val="28"/>
          <w:rtl/>
        </w:rPr>
        <w:t>לא הוגשו מטעם הצדדים ראיות לעונש. לנאשם אין רישום פלילי קודם.</w:t>
      </w:r>
    </w:p>
    <w:p w14:paraId="33235505" w14:textId="77777777" w:rsidR="002B1E25" w:rsidRPr="006F12A6" w:rsidRDefault="002B1E25" w:rsidP="002B1E25">
      <w:pPr>
        <w:spacing w:line="360" w:lineRule="auto"/>
        <w:ind w:left="360" w:firstLine="360"/>
        <w:jc w:val="both"/>
        <w:rPr>
          <w:rFonts w:ascii="Arial" w:hAnsi="Arial" w:cs="Miriam"/>
          <w:rtl/>
        </w:rPr>
      </w:pPr>
      <w:r w:rsidRPr="006F12A6">
        <w:rPr>
          <w:rFonts w:ascii="Arial" w:hAnsi="Arial" w:cs="Miriam"/>
          <w:rtl/>
        </w:rPr>
        <w:t>תמצית טענות הצדדים</w:t>
      </w:r>
    </w:p>
    <w:p w14:paraId="6D816899" w14:textId="77777777" w:rsidR="002B1E25" w:rsidRPr="006F12A6" w:rsidRDefault="002B1E25" w:rsidP="002B1E25">
      <w:pPr>
        <w:numPr>
          <w:ilvl w:val="0"/>
          <w:numId w:val="1"/>
        </w:numPr>
        <w:spacing w:line="360" w:lineRule="auto"/>
        <w:contextualSpacing/>
        <w:jc w:val="both"/>
        <w:rPr>
          <w:rFonts w:ascii="Arial" w:hAnsi="Arial" w:cs="FrankRuehl"/>
          <w:szCs w:val="28"/>
        </w:rPr>
      </w:pPr>
      <w:r w:rsidRPr="006F12A6">
        <w:rPr>
          <w:rFonts w:ascii="Arial" w:hAnsi="Arial" w:cs="FrankRuehl"/>
          <w:szCs w:val="28"/>
          <w:rtl/>
        </w:rPr>
        <w:t>ב"כ המאשימה בטיעוניה בכתב (ט/1) ובעל פה, ביקשה כי בעניינו של הנאשם ייקבע מתחם ענישה שנע בין 30 ל-60 חודשי מאסר בפועל ועונשו של הנאשם יוטל באמצע המתחם, ביחד עם מאסר על תנאי ממשי ומרתיע.</w:t>
      </w:r>
    </w:p>
    <w:p w14:paraId="18969B60" w14:textId="77777777" w:rsidR="002B1E25" w:rsidRPr="006F12A6" w:rsidRDefault="002B1E25" w:rsidP="002B1E25">
      <w:pPr>
        <w:spacing w:line="360" w:lineRule="auto"/>
        <w:ind w:left="720"/>
        <w:contextualSpacing/>
        <w:jc w:val="both"/>
        <w:rPr>
          <w:rFonts w:ascii="Arial" w:hAnsi="Arial" w:cs="FrankRuehl"/>
          <w:szCs w:val="28"/>
        </w:rPr>
      </w:pPr>
    </w:p>
    <w:p w14:paraId="64D36F64" w14:textId="77777777" w:rsidR="002B1E25" w:rsidRPr="006F12A6" w:rsidRDefault="002B1E25" w:rsidP="002B1E25">
      <w:pPr>
        <w:spacing w:line="360" w:lineRule="auto"/>
        <w:ind w:left="720"/>
        <w:contextualSpacing/>
        <w:jc w:val="both"/>
        <w:rPr>
          <w:rFonts w:ascii="Arial" w:hAnsi="Arial" w:cs="FrankRuehl"/>
          <w:szCs w:val="28"/>
          <w:rtl/>
        </w:rPr>
      </w:pPr>
      <w:r w:rsidRPr="006F12A6">
        <w:rPr>
          <w:rFonts w:ascii="Arial" w:hAnsi="Arial" w:cs="FrankRuehl"/>
          <w:szCs w:val="28"/>
          <w:rtl/>
        </w:rPr>
        <w:t>לטענתה מדובר באירוע אחד, אשר העבירות בו פגעו בערך החברתי של חיי האדם ושלום הציבור ובטחונו.</w:t>
      </w:r>
    </w:p>
    <w:p w14:paraId="1E652E0A" w14:textId="77777777" w:rsidR="002B1E25" w:rsidRPr="006F12A6" w:rsidRDefault="002B1E25" w:rsidP="002B1E25">
      <w:pPr>
        <w:spacing w:line="360" w:lineRule="auto"/>
        <w:ind w:left="720"/>
        <w:contextualSpacing/>
        <w:jc w:val="both"/>
        <w:rPr>
          <w:rFonts w:ascii="Arial" w:hAnsi="Arial" w:cs="FrankRuehl"/>
          <w:szCs w:val="28"/>
          <w:rtl/>
        </w:rPr>
      </w:pPr>
    </w:p>
    <w:p w14:paraId="2AA3FFE3" w14:textId="77777777" w:rsidR="002B1E25" w:rsidRPr="006F12A6" w:rsidRDefault="002B1E25" w:rsidP="002B1E25">
      <w:pPr>
        <w:spacing w:line="360" w:lineRule="auto"/>
        <w:ind w:left="720"/>
        <w:contextualSpacing/>
        <w:jc w:val="both"/>
        <w:rPr>
          <w:rFonts w:ascii="Arial" w:hAnsi="Arial" w:cs="FrankRuehl"/>
          <w:szCs w:val="28"/>
          <w:rtl/>
        </w:rPr>
      </w:pPr>
      <w:r w:rsidRPr="006F12A6">
        <w:rPr>
          <w:rFonts w:ascii="Arial" w:hAnsi="Arial" w:cs="FrankRuehl"/>
          <w:szCs w:val="28"/>
          <w:rtl/>
        </w:rPr>
        <w:t>באשר לנסיבות הקשורות לביצוע העבירה טענה כי עובדות כתב האישום המתוקן מעידות על חומרת המעשים, אשר רק בדרך נס האירוע לא הסתיים באופן קשה יותר וזאת נוכח העובדה כי הנאשם ירה בתת מקלע מאולתר בשטח בנוי בשעת לילה.</w:t>
      </w:r>
    </w:p>
    <w:p w14:paraId="709C8187" w14:textId="77777777" w:rsidR="002B1E25" w:rsidRPr="006F12A6" w:rsidRDefault="002B1E25" w:rsidP="002B1E25">
      <w:pPr>
        <w:spacing w:line="360" w:lineRule="auto"/>
        <w:ind w:left="720"/>
        <w:contextualSpacing/>
        <w:jc w:val="both"/>
        <w:rPr>
          <w:rFonts w:ascii="Arial" w:hAnsi="Arial" w:cs="FrankRuehl"/>
          <w:szCs w:val="28"/>
          <w:rtl/>
        </w:rPr>
      </w:pPr>
    </w:p>
    <w:p w14:paraId="3F21FE9F" w14:textId="77777777" w:rsidR="002B1E25" w:rsidRPr="006F12A6" w:rsidRDefault="002B1E25" w:rsidP="002B1E25">
      <w:pPr>
        <w:spacing w:line="360" w:lineRule="auto"/>
        <w:ind w:left="720"/>
        <w:contextualSpacing/>
        <w:jc w:val="both"/>
        <w:rPr>
          <w:rFonts w:ascii="Arial" w:hAnsi="Arial" w:cs="FrankRuehl"/>
          <w:szCs w:val="28"/>
          <w:rtl/>
        </w:rPr>
      </w:pPr>
      <w:r w:rsidRPr="006F12A6">
        <w:rPr>
          <w:rFonts w:ascii="Arial" w:hAnsi="Arial" w:cs="FrankRuehl"/>
          <w:szCs w:val="28"/>
          <w:rtl/>
        </w:rPr>
        <w:t>באשר למדיניות הענישה בעבירות מסוג זה, הפנתה למספר פסקי דין אשר לטענתה מתאימים למקרה זה ויכולים לשמש פרמטר לקביעת מתחם העונש ההולם והדגישה כי בפסקי דין נקבע לא אחת כי יש להחמיר בעונשם של עברייני נשק, וזאת בשים לב לסיכון הגלום בעצם החזקת הנשק.</w:t>
      </w:r>
    </w:p>
    <w:p w14:paraId="1631E6DE" w14:textId="77777777" w:rsidR="002B1E25" w:rsidRPr="006F12A6" w:rsidRDefault="002B1E25" w:rsidP="002B1E25">
      <w:pPr>
        <w:spacing w:line="360" w:lineRule="auto"/>
        <w:ind w:left="720"/>
        <w:contextualSpacing/>
        <w:jc w:val="both"/>
        <w:rPr>
          <w:rFonts w:ascii="Arial" w:hAnsi="Arial" w:cs="FrankRuehl"/>
          <w:szCs w:val="28"/>
          <w:rtl/>
        </w:rPr>
      </w:pPr>
    </w:p>
    <w:p w14:paraId="1372829B" w14:textId="77777777" w:rsidR="002B1E25" w:rsidRPr="006F12A6" w:rsidRDefault="002B1E25" w:rsidP="002B1E25">
      <w:pPr>
        <w:numPr>
          <w:ilvl w:val="0"/>
          <w:numId w:val="1"/>
        </w:numPr>
        <w:spacing w:line="360" w:lineRule="auto"/>
        <w:contextualSpacing/>
        <w:jc w:val="both"/>
        <w:rPr>
          <w:rFonts w:ascii="Arial" w:hAnsi="Arial" w:cs="FrankRuehl"/>
          <w:szCs w:val="28"/>
        </w:rPr>
      </w:pPr>
      <w:r w:rsidRPr="006F12A6">
        <w:rPr>
          <w:rFonts w:ascii="Arial" w:hAnsi="Arial" w:cs="FrankRuehl"/>
          <w:szCs w:val="28"/>
          <w:rtl/>
        </w:rPr>
        <w:t>ב"כ הנאשם ביקש שלא למצות את הדין עם הנאשם ולקבוע בעניינו מתחם ענישה שנע בין 3 ל-12 חודשי מאסר בפועל ולהטיל עונש באמצע המתחם ולא מעבר.</w:t>
      </w:r>
    </w:p>
    <w:p w14:paraId="2B093160" w14:textId="77777777" w:rsidR="002B1E25" w:rsidRPr="006F12A6" w:rsidRDefault="002B1E25" w:rsidP="002B1E25">
      <w:pPr>
        <w:spacing w:line="360" w:lineRule="auto"/>
        <w:ind w:left="720"/>
        <w:contextualSpacing/>
        <w:jc w:val="both"/>
        <w:rPr>
          <w:rFonts w:ascii="Arial" w:hAnsi="Arial" w:cs="FrankRuehl"/>
          <w:szCs w:val="28"/>
          <w:rtl/>
        </w:rPr>
      </w:pPr>
    </w:p>
    <w:p w14:paraId="1AB80B24" w14:textId="77777777" w:rsidR="002B1E25" w:rsidRPr="006F12A6" w:rsidRDefault="002B1E25" w:rsidP="002B1E25">
      <w:pPr>
        <w:spacing w:line="360" w:lineRule="auto"/>
        <w:ind w:left="720"/>
        <w:contextualSpacing/>
        <w:jc w:val="both"/>
        <w:rPr>
          <w:rFonts w:ascii="Arial" w:hAnsi="Arial" w:cs="FrankRuehl"/>
          <w:szCs w:val="28"/>
          <w:rtl/>
        </w:rPr>
      </w:pPr>
      <w:r w:rsidRPr="006F12A6">
        <w:rPr>
          <w:rFonts w:ascii="Arial" w:hAnsi="Arial" w:cs="FrankRuehl"/>
          <w:szCs w:val="28"/>
          <w:rtl/>
        </w:rPr>
        <w:t>טען כי הנאשם בן ה-25 הודה בהזדמנות הראשונה, חסך זמן שיפוטי, חסר עבר פלילי ולא בכדי תוקן כתב האישום בעניינו. עוד הדגיש כי מדובר באדם נורמטיבי, אשר מאורס ועומד להינשא.</w:t>
      </w:r>
    </w:p>
    <w:p w14:paraId="219020B3" w14:textId="77777777" w:rsidR="002B1E25" w:rsidRPr="006F12A6" w:rsidRDefault="002B1E25" w:rsidP="002B1E25">
      <w:pPr>
        <w:spacing w:line="360" w:lineRule="auto"/>
        <w:ind w:left="720"/>
        <w:contextualSpacing/>
        <w:jc w:val="both"/>
        <w:rPr>
          <w:rFonts w:ascii="Arial" w:hAnsi="Arial" w:cs="FrankRuehl"/>
          <w:szCs w:val="28"/>
          <w:rtl/>
        </w:rPr>
      </w:pPr>
    </w:p>
    <w:p w14:paraId="3143247B" w14:textId="77777777" w:rsidR="002B1E25" w:rsidRPr="006F12A6" w:rsidRDefault="002B1E25" w:rsidP="002B1E25">
      <w:pPr>
        <w:spacing w:line="360" w:lineRule="auto"/>
        <w:ind w:left="720"/>
        <w:contextualSpacing/>
        <w:jc w:val="both"/>
        <w:rPr>
          <w:rFonts w:ascii="Arial" w:hAnsi="Arial" w:cs="FrankRuehl"/>
          <w:szCs w:val="28"/>
          <w:rtl/>
        </w:rPr>
      </w:pPr>
      <w:r w:rsidRPr="006F12A6">
        <w:rPr>
          <w:rFonts w:ascii="Arial" w:hAnsi="Arial" w:cs="FrankRuehl"/>
          <w:szCs w:val="28"/>
          <w:rtl/>
        </w:rPr>
        <w:lastRenderedPageBreak/>
        <w:t>כן טען כי חבר ילדות של הנאשם נרצח בסמוך לביתו, והוא הראשון שחש לעזרתו, הגיע לגופה, אחז בנשק וירה באוויר ולכן מקרה זה גובל בסייג האחריות הפלילית. לטענתו, אין ספק ששיקול דעת של אדם סביר נפגע כשהוא נכנס לכזאת סיטואציה.</w:t>
      </w:r>
    </w:p>
    <w:p w14:paraId="77DB5806" w14:textId="77777777" w:rsidR="002B1E25" w:rsidRPr="006F12A6" w:rsidRDefault="002B1E25" w:rsidP="002B1E25">
      <w:pPr>
        <w:spacing w:line="360" w:lineRule="auto"/>
        <w:ind w:left="720"/>
        <w:contextualSpacing/>
        <w:jc w:val="both"/>
        <w:rPr>
          <w:rFonts w:ascii="Arial" w:hAnsi="Arial" w:cs="FrankRuehl"/>
          <w:szCs w:val="28"/>
          <w:rtl/>
        </w:rPr>
      </w:pPr>
    </w:p>
    <w:p w14:paraId="34CCDA1D" w14:textId="77777777" w:rsidR="002B1E25" w:rsidRPr="006F12A6" w:rsidRDefault="002B1E25" w:rsidP="002B1E25">
      <w:pPr>
        <w:spacing w:line="360" w:lineRule="auto"/>
        <w:ind w:left="720"/>
        <w:contextualSpacing/>
        <w:jc w:val="both"/>
        <w:rPr>
          <w:rFonts w:ascii="Arial" w:hAnsi="Arial" w:cs="FrankRuehl"/>
          <w:szCs w:val="28"/>
          <w:rtl/>
        </w:rPr>
      </w:pPr>
      <w:r w:rsidRPr="006F12A6">
        <w:rPr>
          <w:rFonts w:ascii="Arial" w:hAnsi="Arial" w:cs="FrankRuehl"/>
          <w:szCs w:val="28"/>
          <w:rtl/>
        </w:rPr>
        <w:t>לטענתו, מתחם ענישה אליו מכוונת המאשימה הוא מתחם ראוי בעבירות נשק לעבריינים בעלי עבר פלילי, ואילו מקרה זה הוא חריג כי מדובר בבחור צעיר שרואה את חברו נרצח לנגד ע</w:t>
      </w:r>
      <w:r>
        <w:rPr>
          <w:rFonts w:ascii="Arial" w:hAnsi="Arial" w:cs="FrankRuehl" w:hint="cs"/>
          <w:szCs w:val="28"/>
          <w:rtl/>
        </w:rPr>
        <w:t>י</w:t>
      </w:r>
      <w:r w:rsidRPr="006F12A6">
        <w:rPr>
          <w:rFonts w:ascii="Arial" w:hAnsi="Arial" w:cs="FrankRuehl"/>
          <w:szCs w:val="28"/>
          <w:rtl/>
        </w:rPr>
        <w:t>ניו.</w:t>
      </w:r>
    </w:p>
    <w:p w14:paraId="31D84ECC" w14:textId="77777777" w:rsidR="002B1E25" w:rsidRPr="006F12A6" w:rsidRDefault="002B1E25" w:rsidP="002B1E25">
      <w:pPr>
        <w:spacing w:line="360" w:lineRule="auto"/>
        <w:ind w:left="720"/>
        <w:contextualSpacing/>
        <w:jc w:val="both"/>
        <w:rPr>
          <w:rFonts w:ascii="Arial" w:hAnsi="Arial" w:cs="FrankRuehl"/>
          <w:szCs w:val="28"/>
          <w:rtl/>
        </w:rPr>
      </w:pPr>
    </w:p>
    <w:p w14:paraId="5253ADCB" w14:textId="77777777" w:rsidR="002B1E25" w:rsidRPr="006F12A6" w:rsidRDefault="002B1E25" w:rsidP="002B1E25">
      <w:pPr>
        <w:spacing w:line="360" w:lineRule="auto"/>
        <w:ind w:left="720"/>
        <w:contextualSpacing/>
        <w:jc w:val="both"/>
        <w:rPr>
          <w:rFonts w:ascii="Arial" w:hAnsi="Arial" w:cs="FrankRuehl"/>
          <w:szCs w:val="28"/>
          <w:rtl/>
        </w:rPr>
      </w:pPr>
      <w:r w:rsidRPr="006F12A6">
        <w:rPr>
          <w:rFonts w:ascii="Arial" w:hAnsi="Arial" w:cs="FrankRuehl"/>
          <w:szCs w:val="28"/>
          <w:rtl/>
        </w:rPr>
        <w:t>עוד טען כי הנאשם סובל מפגיעת ראש שיש לה השלכות נוירולוגיות עקב דריסתו בעבר באירוע של פגע וברח אשר כתוצאה ממנה הוא איבד את העצם הקדמית ימנית של הגולגולת.</w:t>
      </w:r>
    </w:p>
    <w:p w14:paraId="6F3F1BBC" w14:textId="77777777" w:rsidR="002B1E25" w:rsidRPr="006F12A6" w:rsidRDefault="002B1E25" w:rsidP="002B1E25">
      <w:pPr>
        <w:spacing w:line="360" w:lineRule="auto"/>
        <w:ind w:left="720"/>
        <w:contextualSpacing/>
        <w:jc w:val="both"/>
        <w:rPr>
          <w:rFonts w:ascii="Arial" w:hAnsi="Arial" w:cs="FrankRuehl"/>
          <w:szCs w:val="28"/>
          <w:rtl/>
        </w:rPr>
      </w:pPr>
    </w:p>
    <w:p w14:paraId="6317F714" w14:textId="77777777" w:rsidR="002B1E25" w:rsidRPr="006F12A6" w:rsidRDefault="002B1E25" w:rsidP="002B1E25">
      <w:pPr>
        <w:numPr>
          <w:ilvl w:val="0"/>
          <w:numId w:val="1"/>
        </w:numPr>
        <w:spacing w:line="360" w:lineRule="auto"/>
        <w:contextualSpacing/>
        <w:jc w:val="both"/>
        <w:rPr>
          <w:rFonts w:ascii="Arial" w:hAnsi="Arial" w:cs="FrankRuehl"/>
          <w:szCs w:val="28"/>
        </w:rPr>
      </w:pPr>
      <w:r w:rsidRPr="006F12A6">
        <w:rPr>
          <w:rFonts w:ascii="Arial" w:hAnsi="Arial" w:cs="FrankRuehl"/>
          <w:szCs w:val="28"/>
          <w:rtl/>
        </w:rPr>
        <w:t>בתום דברי בא כוחו, הנאשם הודה כי עשה טעות, טען כי ירה לא בגלל אהבה לנשק אלא בשל העובדה כי חברו נפטר לנגד עניו. הביע צער וחרטה על מעשיו וביקש מאסר קצר ככל האפשר כי הוא סובל בכלא.</w:t>
      </w:r>
    </w:p>
    <w:p w14:paraId="296E96CE" w14:textId="77777777" w:rsidR="002B1E25" w:rsidRPr="006F12A6" w:rsidRDefault="002B1E25" w:rsidP="002B1E25">
      <w:pPr>
        <w:spacing w:line="360" w:lineRule="auto"/>
        <w:ind w:left="720"/>
        <w:contextualSpacing/>
        <w:jc w:val="both"/>
        <w:rPr>
          <w:rFonts w:ascii="Arial" w:hAnsi="Arial" w:cs="FrankRuehl"/>
          <w:szCs w:val="28"/>
        </w:rPr>
      </w:pPr>
    </w:p>
    <w:p w14:paraId="129C1CD4" w14:textId="77777777" w:rsidR="002B1E25" w:rsidRPr="006F12A6" w:rsidRDefault="002B1E25" w:rsidP="002B1E25">
      <w:pPr>
        <w:numPr>
          <w:ilvl w:val="0"/>
          <w:numId w:val="1"/>
        </w:numPr>
        <w:spacing w:line="360" w:lineRule="auto"/>
        <w:contextualSpacing/>
        <w:jc w:val="both"/>
        <w:rPr>
          <w:rFonts w:ascii="Arial" w:hAnsi="Arial" w:cs="Miriam"/>
        </w:rPr>
      </w:pPr>
      <w:r w:rsidRPr="006F12A6">
        <w:rPr>
          <w:rFonts w:ascii="Arial" w:hAnsi="Arial" w:cs="Miriam"/>
          <w:rtl/>
        </w:rPr>
        <w:t>דיון</w:t>
      </w:r>
    </w:p>
    <w:p w14:paraId="0A0AA924" w14:textId="77777777" w:rsidR="002B1E25" w:rsidRPr="006F12A6" w:rsidRDefault="002B1E25" w:rsidP="002B1E25">
      <w:pPr>
        <w:spacing w:line="360" w:lineRule="auto"/>
        <w:ind w:left="720"/>
        <w:contextualSpacing/>
        <w:jc w:val="both"/>
        <w:rPr>
          <w:rFonts w:ascii="Arial" w:hAnsi="Arial" w:cs="FrankRuehl"/>
          <w:color w:val="000000"/>
          <w:sz w:val="28"/>
          <w:szCs w:val="28"/>
          <w:rtl/>
        </w:rPr>
      </w:pPr>
      <w:r w:rsidRPr="006F12A6">
        <w:rPr>
          <w:rFonts w:ascii="Arial" w:hAnsi="Arial" w:cs="FrankRuehl"/>
          <w:color w:val="000000"/>
          <w:sz w:val="28"/>
          <w:szCs w:val="28"/>
          <w:rtl/>
        </w:rPr>
        <w:t>במקרה זה חל תיקון 113 לחוק שקובע כי "</w:t>
      </w:r>
      <w:r w:rsidRPr="006F12A6">
        <w:rPr>
          <w:rFonts w:ascii="Arial" w:hAnsi="Arial" w:cs="FrankRuehl"/>
          <w:sz w:val="28"/>
          <w:szCs w:val="28"/>
          <w:rtl/>
        </w:rPr>
        <w:t xml:space="preserve">העיקרון המנחה בענישה הוא קיומו של יחס הולם בין חומרת מעשה העבירה בנסיבותיו ומידת אשמו של הנאשם ובין סוג ומידת העונש המוטל </w:t>
      </w:r>
      <w:r w:rsidRPr="006F12A6">
        <w:rPr>
          <w:rFonts w:ascii="Arial" w:hAnsi="Arial" w:cs="FrankRuehl"/>
          <w:color w:val="000000"/>
          <w:sz w:val="28"/>
          <w:szCs w:val="28"/>
          <w:rtl/>
        </w:rPr>
        <w:t>עליו" (</w:t>
      </w:r>
      <w:hyperlink r:id="rId16" w:history="1">
        <w:r w:rsidR="00C35241" w:rsidRPr="00C35241">
          <w:rPr>
            <w:rFonts w:ascii="Arial" w:hAnsi="Arial" w:cs="FrankRuehl"/>
            <w:color w:val="0000FF"/>
            <w:sz w:val="28"/>
            <w:szCs w:val="28"/>
            <w:u w:val="single"/>
            <w:rtl/>
          </w:rPr>
          <w:t>סעיף 40ב'</w:t>
        </w:r>
      </w:hyperlink>
      <w:r w:rsidRPr="006F12A6">
        <w:rPr>
          <w:rFonts w:ascii="Arial" w:hAnsi="Arial" w:cs="FrankRuehl"/>
          <w:color w:val="000000"/>
          <w:sz w:val="28"/>
          <w:szCs w:val="28"/>
          <w:rtl/>
        </w:rPr>
        <w:t xml:space="preserve"> לחוק).</w:t>
      </w:r>
    </w:p>
    <w:p w14:paraId="56077F6D" w14:textId="77777777" w:rsidR="002B1E25" w:rsidRPr="006F12A6" w:rsidRDefault="002B1E25" w:rsidP="002B1E25">
      <w:pPr>
        <w:spacing w:line="360" w:lineRule="auto"/>
        <w:ind w:left="720"/>
        <w:contextualSpacing/>
        <w:jc w:val="both"/>
        <w:rPr>
          <w:rFonts w:ascii="Arial" w:hAnsi="Arial" w:cs="FrankRuehl"/>
          <w:color w:val="000000"/>
          <w:sz w:val="28"/>
          <w:szCs w:val="28"/>
          <w:rtl/>
        </w:rPr>
      </w:pPr>
    </w:p>
    <w:p w14:paraId="78B05F06" w14:textId="77777777" w:rsidR="002B1E25" w:rsidRPr="006F12A6" w:rsidRDefault="002B1E25" w:rsidP="002B1E25">
      <w:pPr>
        <w:spacing w:line="360" w:lineRule="auto"/>
        <w:ind w:left="360" w:firstLine="360"/>
        <w:rPr>
          <w:rFonts w:ascii="Arial" w:hAnsi="Arial" w:cs="Miriam"/>
          <w:rtl/>
        </w:rPr>
      </w:pPr>
      <w:r w:rsidRPr="006F12A6">
        <w:rPr>
          <w:rFonts w:ascii="Arial" w:hAnsi="Arial" w:cs="Miriam"/>
          <w:rtl/>
        </w:rPr>
        <w:t>מתחם העונש ההולם</w:t>
      </w:r>
    </w:p>
    <w:p w14:paraId="213A4EA3" w14:textId="77777777" w:rsidR="002B1E25" w:rsidRPr="006F12A6" w:rsidRDefault="002B1E25" w:rsidP="002B1E25">
      <w:pPr>
        <w:numPr>
          <w:ilvl w:val="0"/>
          <w:numId w:val="1"/>
        </w:numPr>
        <w:spacing w:line="360" w:lineRule="auto"/>
        <w:contextualSpacing/>
        <w:jc w:val="both"/>
        <w:rPr>
          <w:rFonts w:ascii="Arial" w:hAnsi="Arial" w:cs="FrankRuehl"/>
          <w:szCs w:val="28"/>
        </w:rPr>
      </w:pPr>
      <w:r w:rsidRPr="006F12A6">
        <w:rPr>
          <w:rFonts w:ascii="Arial" w:hAnsi="Arial" w:cs="FrankRuehl"/>
          <w:color w:val="000000"/>
          <w:sz w:val="28"/>
          <w:szCs w:val="28"/>
          <w:rtl/>
        </w:rPr>
        <w:t xml:space="preserve">מדובר באירוע אחד, המורכב משתי עבירות. בשעת לילה מאוחרת, עקב סכסוך, נורה המנוח חברו של הנאשם, למוות, מחוץ לביתו של הנאשם, כאשר בסמוך לכך הנאשם </w:t>
      </w:r>
      <w:r w:rsidRPr="006F12A6">
        <w:rPr>
          <w:rFonts w:ascii="Arial" w:hAnsi="Arial" w:cs="FrankRuehl"/>
          <w:szCs w:val="28"/>
          <w:rtl/>
        </w:rPr>
        <w:t>ירה באזור מגורים בסמוך לביתו כאמור מספר יריות מתת מקלע מאולתר אותו נשא והוביל בלא רשות על פי דין.</w:t>
      </w:r>
    </w:p>
    <w:p w14:paraId="54E77497" w14:textId="77777777" w:rsidR="002B1E25" w:rsidRPr="006F12A6" w:rsidRDefault="002B1E25" w:rsidP="002B1E25">
      <w:pPr>
        <w:spacing w:line="360" w:lineRule="auto"/>
        <w:ind w:left="720"/>
        <w:contextualSpacing/>
        <w:jc w:val="both"/>
        <w:rPr>
          <w:rFonts w:ascii="Arial" w:hAnsi="Arial" w:cs="FrankRuehl"/>
          <w:szCs w:val="28"/>
          <w:rtl/>
        </w:rPr>
      </w:pPr>
    </w:p>
    <w:p w14:paraId="4E70B998" w14:textId="77777777" w:rsidR="002B1E25" w:rsidRPr="006F12A6" w:rsidRDefault="002B1E25" w:rsidP="002B1E25">
      <w:pPr>
        <w:numPr>
          <w:ilvl w:val="0"/>
          <w:numId w:val="1"/>
        </w:numPr>
        <w:spacing w:line="360" w:lineRule="auto"/>
        <w:contextualSpacing/>
        <w:jc w:val="both"/>
        <w:rPr>
          <w:rFonts w:ascii="Arial" w:hAnsi="Arial" w:cs="FrankRuehl"/>
          <w:sz w:val="28"/>
          <w:szCs w:val="28"/>
        </w:rPr>
      </w:pPr>
      <w:r w:rsidRPr="006F12A6">
        <w:rPr>
          <w:rFonts w:ascii="Arial" w:hAnsi="Arial" w:cs="FrankRuehl"/>
          <w:szCs w:val="28"/>
          <w:rtl/>
        </w:rPr>
        <w:t xml:space="preserve">בכל עבירה בנשק יש </w:t>
      </w:r>
      <w:r w:rsidRPr="006F12A6">
        <w:rPr>
          <w:rFonts w:ascii="Arial" w:hAnsi="Arial" w:cs="FrankRuehl"/>
          <w:sz w:val="28"/>
          <w:szCs w:val="28"/>
          <w:rtl/>
        </w:rPr>
        <w:t>פוטנציאל פגיעה משמעותי בערך החברתי של שלום הציבור וביטחונו וסיכון ממשי לחיי אדם, על אחת כמה וכמה כאשר מדובר גם בעבירה של יריות באזור מגורים. במקרה זה הפגיעה בערכים אלו לא הייתה גבוהה.</w:t>
      </w:r>
    </w:p>
    <w:p w14:paraId="558CD5E8" w14:textId="77777777" w:rsidR="002B1E25" w:rsidRPr="006F12A6" w:rsidRDefault="002B1E25" w:rsidP="002B1E25">
      <w:pPr>
        <w:spacing w:line="360" w:lineRule="auto"/>
        <w:ind w:left="720"/>
        <w:contextualSpacing/>
        <w:jc w:val="both"/>
        <w:rPr>
          <w:rFonts w:ascii="Arial" w:hAnsi="Arial" w:cs="FrankRuehl"/>
          <w:sz w:val="28"/>
          <w:szCs w:val="28"/>
          <w:rtl/>
        </w:rPr>
      </w:pPr>
    </w:p>
    <w:p w14:paraId="16F70F62" w14:textId="77777777" w:rsidR="002B1E25" w:rsidRPr="006F12A6" w:rsidRDefault="002B1E25" w:rsidP="002B1E25">
      <w:pPr>
        <w:spacing w:line="360" w:lineRule="auto"/>
        <w:ind w:left="720"/>
        <w:contextualSpacing/>
        <w:jc w:val="both"/>
        <w:rPr>
          <w:rFonts w:ascii="Arial" w:hAnsi="Arial" w:cs="FrankRuehl"/>
          <w:sz w:val="28"/>
          <w:szCs w:val="28"/>
          <w:rtl/>
        </w:rPr>
      </w:pPr>
      <w:r w:rsidRPr="006F12A6">
        <w:rPr>
          <w:rFonts w:ascii="Arial" w:hAnsi="Arial" w:cs="FrankRuehl"/>
          <w:sz w:val="28"/>
          <w:szCs w:val="28"/>
          <w:rtl/>
        </w:rPr>
        <w:t xml:space="preserve"> אזכיר כי העונש המרבי הקבוע בחוק לעבירה לפי </w:t>
      </w:r>
      <w:hyperlink r:id="rId17" w:history="1">
        <w:r w:rsidR="00C35241" w:rsidRPr="00C35241">
          <w:rPr>
            <w:rFonts w:ascii="Arial" w:hAnsi="Arial" w:cs="FrankRuehl"/>
            <w:color w:val="0000FF"/>
            <w:sz w:val="28"/>
            <w:szCs w:val="28"/>
            <w:u w:val="single"/>
            <w:rtl/>
          </w:rPr>
          <w:t>סעיף 144(ב)</w:t>
        </w:r>
      </w:hyperlink>
      <w:r w:rsidRPr="006F12A6">
        <w:rPr>
          <w:rFonts w:ascii="Arial" w:hAnsi="Arial" w:cs="FrankRuehl"/>
          <w:sz w:val="28"/>
          <w:szCs w:val="28"/>
          <w:rtl/>
        </w:rPr>
        <w:t xml:space="preserve"> רישה עומד על 10 שנות מאסר.</w:t>
      </w:r>
    </w:p>
    <w:p w14:paraId="1F15DDDF" w14:textId="77777777" w:rsidR="002B1E25" w:rsidRPr="006F12A6" w:rsidRDefault="002B1E25" w:rsidP="002B1E25">
      <w:pPr>
        <w:spacing w:line="360" w:lineRule="auto"/>
        <w:ind w:left="720"/>
        <w:contextualSpacing/>
        <w:jc w:val="both"/>
        <w:rPr>
          <w:rFonts w:ascii="Arial" w:hAnsi="Arial" w:cs="FrankRuehl"/>
          <w:sz w:val="28"/>
          <w:szCs w:val="28"/>
          <w:rtl/>
        </w:rPr>
      </w:pPr>
    </w:p>
    <w:p w14:paraId="24ED817D" w14:textId="77777777" w:rsidR="002B1E25" w:rsidRPr="006F12A6" w:rsidRDefault="002B1E25" w:rsidP="002B1E25">
      <w:pPr>
        <w:spacing w:line="360" w:lineRule="auto"/>
        <w:ind w:left="720"/>
        <w:contextualSpacing/>
        <w:jc w:val="both"/>
        <w:rPr>
          <w:rFonts w:ascii="Arial TUR" w:hAnsi="Arial TUR" w:cs="FrankRuehl"/>
          <w:spacing w:val="10"/>
          <w:sz w:val="28"/>
          <w:szCs w:val="28"/>
          <w:rtl/>
        </w:rPr>
      </w:pPr>
      <w:r w:rsidRPr="006F12A6">
        <w:rPr>
          <w:rFonts w:ascii="Garamond" w:hAnsi="Garamond" w:cs="FrankRuehl" w:hint="eastAsia"/>
          <w:spacing w:val="10"/>
          <w:szCs w:val="28"/>
          <w:rtl/>
        </w:rPr>
        <w:t>ב</w:t>
      </w:r>
      <w:hyperlink r:id="rId18" w:history="1">
        <w:r w:rsidR="00547857" w:rsidRPr="00547857">
          <w:rPr>
            <w:rFonts w:ascii="Garamond" w:hAnsi="Garamond" w:cs="FrankRuehl" w:hint="eastAsia"/>
            <w:color w:val="0000FF"/>
            <w:spacing w:val="10"/>
            <w:szCs w:val="28"/>
            <w:u w:val="single"/>
            <w:rtl/>
          </w:rPr>
          <w:t>ע</w:t>
        </w:r>
        <w:r w:rsidR="00547857" w:rsidRPr="00547857">
          <w:rPr>
            <w:rFonts w:ascii="Garamond" w:hAnsi="Garamond" w:cs="FrankRuehl"/>
            <w:color w:val="0000FF"/>
            <w:spacing w:val="10"/>
            <w:szCs w:val="28"/>
            <w:u w:val="single"/>
            <w:rtl/>
          </w:rPr>
          <w:t>"</w:t>
        </w:r>
        <w:r w:rsidR="00547857" w:rsidRPr="00547857">
          <w:rPr>
            <w:rFonts w:ascii="Garamond" w:hAnsi="Garamond" w:cs="FrankRuehl" w:hint="eastAsia"/>
            <w:color w:val="0000FF"/>
            <w:spacing w:val="10"/>
            <w:szCs w:val="28"/>
            <w:u w:val="single"/>
            <w:rtl/>
          </w:rPr>
          <w:t>פ</w:t>
        </w:r>
        <w:r w:rsidR="00547857" w:rsidRPr="00547857">
          <w:rPr>
            <w:rFonts w:ascii="Garamond" w:hAnsi="Garamond" w:cs="FrankRuehl"/>
            <w:color w:val="0000FF"/>
            <w:spacing w:val="10"/>
            <w:szCs w:val="28"/>
            <w:u w:val="single"/>
            <w:rtl/>
          </w:rPr>
          <w:t xml:space="preserve"> 4595/13</w:t>
        </w:r>
      </w:hyperlink>
      <w:r w:rsidRPr="006F12A6">
        <w:rPr>
          <w:rFonts w:ascii="Garamond" w:hAnsi="Garamond" w:cs="FrankRuehl"/>
          <w:spacing w:val="10"/>
          <w:szCs w:val="28"/>
          <w:rtl/>
        </w:rPr>
        <w:t xml:space="preserve"> </w:t>
      </w:r>
      <w:r w:rsidRPr="006F12A6">
        <w:rPr>
          <w:rFonts w:ascii="Miriam" w:hAnsi="Miriam" w:cs="Miriam" w:hint="eastAsia"/>
          <w:rtl/>
        </w:rPr>
        <w:t>זובידאת</w:t>
      </w:r>
      <w:r w:rsidRPr="006F12A6">
        <w:rPr>
          <w:rFonts w:ascii="Miriam" w:hAnsi="Miriam" w:cs="Miriam"/>
          <w:rtl/>
        </w:rPr>
        <w:t xml:space="preserve"> </w:t>
      </w:r>
      <w:r w:rsidRPr="006F12A6">
        <w:rPr>
          <w:rFonts w:ascii="Miriam" w:hAnsi="Miriam" w:cs="Miriam" w:hint="eastAsia"/>
          <w:rtl/>
        </w:rPr>
        <w:t>נ</w:t>
      </w:r>
      <w:r w:rsidRPr="006F12A6">
        <w:rPr>
          <w:rFonts w:ascii="Miriam" w:hAnsi="Miriam" w:cs="Miriam"/>
          <w:rtl/>
        </w:rPr>
        <w:t xml:space="preserve">' </w:t>
      </w:r>
      <w:r w:rsidRPr="006F12A6">
        <w:rPr>
          <w:rFonts w:ascii="Miriam" w:hAnsi="Miriam" w:cs="Miriam" w:hint="eastAsia"/>
          <w:rtl/>
        </w:rPr>
        <w:t>מדינת</w:t>
      </w:r>
      <w:r w:rsidRPr="006F12A6">
        <w:rPr>
          <w:rFonts w:ascii="Miriam" w:hAnsi="Miriam" w:cs="Miriam"/>
          <w:rtl/>
        </w:rPr>
        <w:t xml:space="preserve"> </w:t>
      </w:r>
      <w:r w:rsidRPr="006F12A6">
        <w:rPr>
          <w:rFonts w:ascii="Miriam" w:hAnsi="Miriam" w:cs="Miriam" w:hint="eastAsia"/>
          <w:rtl/>
        </w:rPr>
        <w:t>ישראל</w:t>
      </w:r>
      <w:r w:rsidRPr="006F12A6">
        <w:rPr>
          <w:rFonts w:ascii="Garamond" w:hAnsi="Garamond" w:cs="FrankRuehl"/>
          <w:spacing w:val="10"/>
          <w:szCs w:val="28"/>
          <w:rtl/>
        </w:rPr>
        <w:t xml:space="preserve"> (6.7.2014) (</w:t>
      </w:r>
      <w:r w:rsidRPr="006F12A6">
        <w:rPr>
          <w:rFonts w:ascii="Garamond" w:hAnsi="Garamond" w:cs="FrankRuehl" w:hint="eastAsia"/>
          <w:spacing w:val="10"/>
          <w:szCs w:val="28"/>
          <w:rtl/>
        </w:rPr>
        <w:t>להלן</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עניין</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זובידאת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התייחס</w:t>
      </w:r>
      <w:r w:rsidRPr="006F12A6">
        <w:rPr>
          <w:rFonts w:ascii="Arial TUR" w:hAnsi="Arial TUR" w:cs="FrankRuehl"/>
          <w:spacing w:val="10"/>
          <w:sz w:val="28"/>
          <w:szCs w:val="28"/>
          <w:rtl/>
        </w:rPr>
        <w:t xml:space="preserve"> כב' השופט ג'ובראן לעבירה של ירי המבוצעת במקום מגורים וכך קבע:</w:t>
      </w:r>
    </w:p>
    <w:p w14:paraId="468D6B35" w14:textId="77777777" w:rsidR="002B1E25" w:rsidRPr="006F12A6" w:rsidRDefault="002B1E25" w:rsidP="002B1E25">
      <w:pPr>
        <w:tabs>
          <w:tab w:val="left" w:pos="800"/>
          <w:tab w:val="num" w:pos="907"/>
        </w:tabs>
        <w:overflowPunct w:val="0"/>
        <w:autoSpaceDE w:val="0"/>
        <w:autoSpaceDN w:val="0"/>
        <w:adjustRightInd w:val="0"/>
        <w:ind w:left="1440" w:right="426"/>
        <w:jc w:val="both"/>
        <w:rPr>
          <w:rFonts w:ascii="Arial TUR" w:hAnsi="Arial TUR" w:cs="FrankRuehl"/>
          <w:spacing w:val="10"/>
          <w:sz w:val="28"/>
          <w:szCs w:val="28"/>
          <w:rtl/>
        </w:rPr>
      </w:pPr>
      <w:r w:rsidRPr="006F12A6">
        <w:rPr>
          <w:rFonts w:ascii="Garamond" w:hAnsi="Garamond" w:cs="FrankRuehl"/>
          <w:spacing w:val="10"/>
          <w:szCs w:val="28"/>
          <w:rtl/>
        </w:rPr>
        <w:t>"</w:t>
      </w:r>
      <w:r w:rsidRPr="006F12A6">
        <w:rPr>
          <w:rFonts w:ascii="Arial TUR" w:hAnsi="Arial TUR" w:cs="FrankRuehl"/>
          <w:spacing w:val="10"/>
          <w:sz w:val="28"/>
          <w:szCs w:val="28"/>
          <w:rtl/>
        </w:rPr>
        <w:t xml:space="preserve">ירי שמייצר סיכון ממשי לשלום הציבור ובטחונו. גם אם אינו מכוון לפגיעה, אין אנו יודעים מה יכול להיות סופו של ירי זה". </w:t>
      </w:r>
    </w:p>
    <w:p w14:paraId="3A569F14" w14:textId="77777777" w:rsidR="002B1E25" w:rsidRPr="006F12A6" w:rsidRDefault="002B1E25" w:rsidP="002B1E25">
      <w:pPr>
        <w:tabs>
          <w:tab w:val="left" w:pos="800"/>
        </w:tabs>
        <w:overflowPunct w:val="0"/>
        <w:adjustRightInd w:val="0"/>
        <w:spacing w:line="360" w:lineRule="auto"/>
        <w:jc w:val="both"/>
        <w:rPr>
          <w:rFonts w:ascii="Arial TUR" w:hAnsi="Arial TUR" w:cs="FrankRuehl"/>
          <w:spacing w:val="10"/>
          <w:sz w:val="22"/>
          <w:szCs w:val="28"/>
          <w:rtl/>
        </w:rPr>
      </w:pPr>
    </w:p>
    <w:p w14:paraId="28219F67" w14:textId="77777777" w:rsidR="002B1E25" w:rsidRPr="006F12A6" w:rsidRDefault="002B1E25" w:rsidP="002B1E25">
      <w:pPr>
        <w:numPr>
          <w:ilvl w:val="0"/>
          <w:numId w:val="1"/>
        </w:numPr>
        <w:spacing w:line="360" w:lineRule="auto"/>
        <w:contextualSpacing/>
        <w:jc w:val="both"/>
        <w:rPr>
          <w:rFonts w:ascii="Arial" w:hAnsi="Arial" w:cs="FrankRuehl"/>
          <w:sz w:val="28"/>
          <w:szCs w:val="28"/>
        </w:rPr>
      </w:pPr>
      <w:r w:rsidRPr="006F12A6">
        <w:rPr>
          <w:rFonts w:ascii="Arial" w:hAnsi="Arial" w:cs="FrankRuehl"/>
          <w:sz w:val="28"/>
          <w:szCs w:val="28"/>
          <w:rtl/>
        </w:rPr>
        <w:t>אשר למדיניות הענישה הנהוגה, מנעד הענישה בעבירות בנשק רחב, בין השאר בהתחשב בסוג העבירה (החזקה, נשיאה, סחר), סוג הנשק וכמותו, במקרה זה מתווספת לעבירת הנשיאה וההובלה בנשק גם עבירה של יריות מהנשק באזור מגורים. הנאשם ירה מספר יריות, בשעת לילה מאוחרת באזור מגורים,  מנשק מסוג תת מקלע מאולתר אשר נשא והוביל עם מחסנית וכדורים ויש למעשה זה חומרה רבה.</w:t>
      </w:r>
    </w:p>
    <w:p w14:paraId="2CED03CB" w14:textId="77777777" w:rsidR="002B1E25" w:rsidRPr="006F12A6" w:rsidRDefault="002B1E25" w:rsidP="002B1E25">
      <w:pPr>
        <w:spacing w:line="360" w:lineRule="auto"/>
        <w:jc w:val="both"/>
        <w:rPr>
          <w:rFonts w:ascii="Arial" w:hAnsi="Arial" w:cs="FrankRuehl"/>
          <w:sz w:val="28"/>
          <w:szCs w:val="28"/>
          <w:rtl/>
        </w:rPr>
      </w:pPr>
    </w:p>
    <w:p w14:paraId="1BB74044" w14:textId="77777777" w:rsidR="002B1E25" w:rsidRPr="006F12A6" w:rsidRDefault="002B1E25" w:rsidP="002B1E25">
      <w:pPr>
        <w:tabs>
          <w:tab w:val="left" w:pos="800"/>
          <w:tab w:val="num" w:pos="907"/>
        </w:tabs>
        <w:overflowPunct w:val="0"/>
        <w:autoSpaceDE w:val="0"/>
        <w:autoSpaceDN w:val="0"/>
        <w:adjustRightInd w:val="0"/>
        <w:spacing w:line="360" w:lineRule="auto"/>
        <w:ind w:left="720"/>
        <w:jc w:val="both"/>
        <w:rPr>
          <w:rFonts w:ascii="Garamond" w:hAnsi="Garamond" w:cs="FrankRuehl"/>
          <w:spacing w:val="10"/>
          <w:szCs w:val="28"/>
          <w:rtl/>
        </w:rPr>
      </w:pPr>
      <w:r w:rsidRPr="006F12A6">
        <w:rPr>
          <w:rFonts w:ascii="Garamond" w:hAnsi="Garamond" w:cs="FrankRuehl" w:hint="eastAsia"/>
          <w:spacing w:val="10"/>
          <w:szCs w:val="28"/>
          <w:rtl/>
        </w:rPr>
        <w:t>באשר</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לעבירת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נשיאת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והובלת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נשק</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בית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משפט</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חזר</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ועמד</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על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חומרתה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ועל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הסכנה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הנשקפת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ממנה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ומעבירות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נשק</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אחרות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לשלום</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הציבור</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ולביטחונו</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אף</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אם</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הסיכון</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שהעמיד</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הנשק</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לא</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התממש</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בסופו</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של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דבר</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בענייננו</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המעשה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לא</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הסתיים</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בנשיאה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ובהובלת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הנשק</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אלא</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במספר</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יריות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שנורו</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בעקבות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אירוע</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אלים</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אחר</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רק</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בדרך</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נס</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הירי</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הסתיים</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ללא</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כל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תוצאות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ראו</w:t>
      </w:r>
      <w:r w:rsidRPr="006F12A6">
        <w:rPr>
          <w:rFonts w:ascii="Garamond" w:hAnsi="Garamond" w:cs="FrankRuehl"/>
          <w:spacing w:val="10"/>
          <w:szCs w:val="28"/>
          <w:rtl/>
        </w:rPr>
        <w:t xml:space="preserve">: </w:t>
      </w:r>
      <w:hyperlink r:id="rId19" w:history="1">
        <w:r w:rsidR="00547857" w:rsidRPr="00547857">
          <w:rPr>
            <w:rFonts w:ascii="Garamond" w:hAnsi="Garamond" w:cs="FrankRuehl" w:hint="eastAsia"/>
            <w:color w:val="0000FF"/>
            <w:spacing w:val="10"/>
            <w:szCs w:val="28"/>
            <w:u w:val="single"/>
            <w:rtl/>
          </w:rPr>
          <w:t>ע</w:t>
        </w:r>
        <w:r w:rsidR="00547857" w:rsidRPr="00547857">
          <w:rPr>
            <w:rFonts w:ascii="Garamond" w:hAnsi="Garamond" w:cs="FrankRuehl"/>
            <w:color w:val="0000FF"/>
            <w:spacing w:val="10"/>
            <w:szCs w:val="28"/>
            <w:u w:val="single"/>
            <w:rtl/>
          </w:rPr>
          <w:t>"</w:t>
        </w:r>
        <w:r w:rsidR="00547857" w:rsidRPr="00547857">
          <w:rPr>
            <w:rFonts w:ascii="Garamond" w:hAnsi="Garamond" w:cs="FrankRuehl" w:hint="eastAsia"/>
            <w:color w:val="0000FF"/>
            <w:spacing w:val="10"/>
            <w:szCs w:val="28"/>
            <w:u w:val="single"/>
            <w:rtl/>
          </w:rPr>
          <w:t>פ</w:t>
        </w:r>
        <w:r w:rsidR="00547857" w:rsidRPr="00547857">
          <w:rPr>
            <w:rFonts w:ascii="Garamond" w:hAnsi="Garamond" w:cs="FrankRuehl"/>
            <w:color w:val="0000FF"/>
            <w:spacing w:val="10"/>
            <w:szCs w:val="28"/>
            <w:u w:val="single"/>
            <w:rtl/>
          </w:rPr>
          <w:t xml:space="preserve"> 4400/13</w:t>
        </w:r>
      </w:hyperlink>
      <w:r w:rsidRPr="006F12A6">
        <w:rPr>
          <w:rFonts w:ascii="Garamond" w:hAnsi="Garamond" w:cs="FrankRuehl"/>
          <w:spacing w:val="10"/>
          <w:szCs w:val="28"/>
          <w:rtl/>
        </w:rPr>
        <w:t xml:space="preserve"> </w:t>
      </w:r>
      <w:r w:rsidRPr="006F12A6">
        <w:rPr>
          <w:rFonts w:ascii="Miriam" w:hAnsi="Miriam" w:cs="Miriam" w:hint="eastAsia"/>
          <w:rtl/>
        </w:rPr>
        <w:t>עבאסי</w:t>
      </w:r>
      <w:r w:rsidRPr="006F12A6">
        <w:rPr>
          <w:rFonts w:ascii="Miriam" w:hAnsi="Miriam" w:cs="Miriam"/>
          <w:rtl/>
        </w:rPr>
        <w:t xml:space="preserve"> </w:t>
      </w:r>
      <w:r w:rsidRPr="006F12A6">
        <w:rPr>
          <w:rFonts w:ascii="Miriam" w:hAnsi="Miriam" w:cs="Miriam" w:hint="eastAsia"/>
          <w:rtl/>
        </w:rPr>
        <w:t>נ</w:t>
      </w:r>
      <w:r w:rsidRPr="006F12A6">
        <w:rPr>
          <w:rFonts w:ascii="Miriam" w:hAnsi="Miriam" w:cs="Miriam"/>
          <w:rtl/>
        </w:rPr>
        <w:t xml:space="preserve">' </w:t>
      </w:r>
      <w:r w:rsidRPr="006F12A6">
        <w:rPr>
          <w:rFonts w:ascii="Miriam" w:hAnsi="Miriam" w:cs="Miriam" w:hint="eastAsia"/>
          <w:rtl/>
        </w:rPr>
        <w:t>מדינת</w:t>
      </w:r>
      <w:r w:rsidRPr="006F12A6">
        <w:rPr>
          <w:rFonts w:ascii="Miriam" w:hAnsi="Miriam" w:cs="Miriam"/>
          <w:rtl/>
        </w:rPr>
        <w:t xml:space="preserve"> </w:t>
      </w:r>
      <w:r w:rsidRPr="006F12A6">
        <w:rPr>
          <w:rFonts w:ascii="Miriam" w:hAnsi="Miriam" w:cs="Miriam" w:hint="eastAsia"/>
          <w:rtl/>
        </w:rPr>
        <w:t>ישראל</w:t>
      </w:r>
      <w:r w:rsidRPr="006F12A6">
        <w:rPr>
          <w:rFonts w:ascii="Garamond" w:hAnsi="Garamond" w:cs="FrankRuehl"/>
          <w:spacing w:val="10"/>
          <w:szCs w:val="28"/>
          <w:rtl/>
        </w:rPr>
        <w:t xml:space="preserve"> (3.2.2014); </w:t>
      </w:r>
      <w:hyperlink r:id="rId20" w:history="1">
        <w:r w:rsidR="00547857" w:rsidRPr="00547857">
          <w:rPr>
            <w:rFonts w:ascii="Garamond" w:hAnsi="Garamond" w:cs="FrankRuehl" w:hint="eastAsia"/>
            <w:color w:val="0000FF"/>
            <w:spacing w:val="10"/>
            <w:szCs w:val="28"/>
            <w:u w:val="single"/>
            <w:rtl/>
          </w:rPr>
          <w:t>ע</w:t>
        </w:r>
        <w:r w:rsidR="00547857" w:rsidRPr="00547857">
          <w:rPr>
            <w:rFonts w:ascii="Garamond" w:hAnsi="Garamond" w:cs="FrankRuehl"/>
            <w:color w:val="0000FF"/>
            <w:spacing w:val="10"/>
            <w:szCs w:val="28"/>
            <w:u w:val="single"/>
            <w:rtl/>
          </w:rPr>
          <w:t>"</w:t>
        </w:r>
        <w:r w:rsidR="00547857" w:rsidRPr="00547857">
          <w:rPr>
            <w:rFonts w:ascii="Garamond" w:hAnsi="Garamond" w:cs="FrankRuehl" w:hint="eastAsia"/>
            <w:color w:val="0000FF"/>
            <w:spacing w:val="10"/>
            <w:szCs w:val="28"/>
            <w:u w:val="single"/>
            <w:rtl/>
          </w:rPr>
          <w:t>פ</w:t>
        </w:r>
        <w:r w:rsidR="00547857" w:rsidRPr="00547857">
          <w:rPr>
            <w:rFonts w:ascii="Garamond" w:hAnsi="Garamond" w:cs="FrankRuehl"/>
            <w:color w:val="0000FF"/>
            <w:spacing w:val="10"/>
            <w:szCs w:val="28"/>
            <w:u w:val="single"/>
            <w:rtl/>
          </w:rPr>
          <w:t xml:space="preserve"> 5323/12</w:t>
        </w:r>
      </w:hyperlink>
      <w:r w:rsidRPr="006F12A6">
        <w:rPr>
          <w:rFonts w:ascii="Garamond" w:hAnsi="Garamond" w:cs="FrankRuehl"/>
          <w:spacing w:val="10"/>
          <w:szCs w:val="28"/>
          <w:rtl/>
        </w:rPr>
        <w:t xml:space="preserve"> </w:t>
      </w:r>
      <w:r w:rsidRPr="006F12A6">
        <w:rPr>
          <w:rFonts w:ascii="Miriam" w:hAnsi="Miriam" w:cs="Miriam" w:hint="eastAsia"/>
          <w:rtl/>
        </w:rPr>
        <w:t>אבו</w:t>
      </w:r>
      <w:r w:rsidRPr="006F12A6">
        <w:rPr>
          <w:rFonts w:ascii="Miriam" w:hAnsi="Miriam" w:cs="Miriam"/>
          <w:rtl/>
        </w:rPr>
        <w:t xml:space="preserve"> </w:t>
      </w:r>
      <w:r w:rsidRPr="006F12A6">
        <w:rPr>
          <w:rFonts w:ascii="Miriam" w:hAnsi="Miriam" w:cs="Miriam" w:hint="eastAsia"/>
          <w:rtl/>
        </w:rPr>
        <w:t>ליל</w:t>
      </w:r>
      <w:r w:rsidRPr="006F12A6">
        <w:rPr>
          <w:rFonts w:ascii="Miriam" w:hAnsi="Miriam" w:cs="Miriam"/>
          <w:rtl/>
        </w:rPr>
        <w:t xml:space="preserve"> </w:t>
      </w:r>
      <w:r w:rsidRPr="006F12A6">
        <w:rPr>
          <w:rFonts w:ascii="Miriam" w:hAnsi="Miriam" w:cs="Miriam" w:hint="eastAsia"/>
          <w:rtl/>
        </w:rPr>
        <w:t>נ</w:t>
      </w:r>
      <w:r w:rsidRPr="006F12A6">
        <w:rPr>
          <w:rFonts w:ascii="Miriam" w:hAnsi="Miriam" w:cs="Miriam"/>
          <w:rtl/>
        </w:rPr>
        <w:t xml:space="preserve">' </w:t>
      </w:r>
      <w:r w:rsidRPr="006F12A6">
        <w:rPr>
          <w:rFonts w:ascii="Miriam" w:hAnsi="Miriam" w:cs="Miriam" w:hint="eastAsia"/>
          <w:rtl/>
        </w:rPr>
        <w:t>מדינת</w:t>
      </w:r>
      <w:r w:rsidRPr="006F12A6">
        <w:rPr>
          <w:rFonts w:ascii="Miriam" w:hAnsi="Miriam" w:cs="Miriam"/>
          <w:rtl/>
        </w:rPr>
        <w:t xml:space="preserve"> </w:t>
      </w:r>
      <w:r w:rsidRPr="006F12A6">
        <w:rPr>
          <w:rFonts w:ascii="Miriam" w:hAnsi="Miriam" w:cs="Miriam" w:hint="eastAsia"/>
          <w:rtl/>
        </w:rPr>
        <w:t>ישראל</w:t>
      </w:r>
      <w:r w:rsidRPr="006F12A6">
        <w:rPr>
          <w:rFonts w:ascii="Garamond" w:hAnsi="Garamond" w:cs="FrankRuehl"/>
          <w:spacing w:val="10"/>
          <w:szCs w:val="28"/>
          <w:rtl/>
        </w:rPr>
        <w:t xml:space="preserve"> (17.6.2014). </w:t>
      </w:r>
    </w:p>
    <w:p w14:paraId="6029290C" w14:textId="77777777" w:rsidR="002B1E25" w:rsidRPr="006F12A6" w:rsidRDefault="002B1E25" w:rsidP="002B1E25">
      <w:pPr>
        <w:tabs>
          <w:tab w:val="left" w:pos="800"/>
        </w:tabs>
        <w:overflowPunct w:val="0"/>
        <w:adjustRightInd w:val="0"/>
        <w:spacing w:line="360" w:lineRule="auto"/>
        <w:jc w:val="both"/>
        <w:rPr>
          <w:rFonts w:ascii="Arial TUR" w:hAnsi="Arial TUR" w:cs="FrankRuehl"/>
          <w:spacing w:val="10"/>
          <w:sz w:val="22"/>
          <w:szCs w:val="28"/>
          <w:rtl/>
        </w:rPr>
      </w:pPr>
    </w:p>
    <w:p w14:paraId="2618A1FA" w14:textId="77777777" w:rsidR="002B1E25" w:rsidRPr="006F12A6" w:rsidRDefault="002B1E25" w:rsidP="002B1E25">
      <w:pPr>
        <w:tabs>
          <w:tab w:val="left" w:pos="800"/>
        </w:tabs>
        <w:overflowPunct w:val="0"/>
        <w:adjustRightInd w:val="0"/>
        <w:spacing w:line="360" w:lineRule="auto"/>
        <w:ind w:left="720"/>
        <w:jc w:val="both"/>
        <w:rPr>
          <w:rFonts w:ascii="Garamond" w:hAnsi="Garamond" w:cs="FrankRuehl"/>
          <w:spacing w:val="10"/>
          <w:szCs w:val="28"/>
          <w:rtl/>
        </w:rPr>
      </w:pPr>
      <w:r w:rsidRPr="006F12A6">
        <w:rPr>
          <w:rFonts w:ascii="Garamond" w:hAnsi="Garamond" w:cs="FrankRuehl" w:hint="eastAsia"/>
          <w:spacing w:val="10"/>
          <w:szCs w:val="28"/>
          <w:rtl/>
        </w:rPr>
        <w:t>ב</w:t>
      </w:r>
      <w:hyperlink r:id="rId21" w:history="1">
        <w:r w:rsidR="00547857" w:rsidRPr="00547857">
          <w:rPr>
            <w:rFonts w:ascii="Garamond" w:hAnsi="Garamond" w:cs="FrankRuehl" w:hint="eastAsia"/>
            <w:color w:val="0000FF"/>
            <w:spacing w:val="10"/>
            <w:szCs w:val="28"/>
            <w:u w:val="single"/>
            <w:rtl/>
          </w:rPr>
          <w:t>ע</w:t>
        </w:r>
        <w:r w:rsidR="00547857" w:rsidRPr="00547857">
          <w:rPr>
            <w:rFonts w:ascii="Garamond" w:hAnsi="Garamond" w:cs="FrankRuehl"/>
            <w:color w:val="0000FF"/>
            <w:spacing w:val="10"/>
            <w:szCs w:val="28"/>
            <w:u w:val="single"/>
            <w:rtl/>
          </w:rPr>
          <w:t>"</w:t>
        </w:r>
        <w:r w:rsidR="00547857" w:rsidRPr="00547857">
          <w:rPr>
            <w:rFonts w:ascii="Garamond" w:hAnsi="Garamond" w:cs="FrankRuehl" w:hint="eastAsia"/>
            <w:color w:val="0000FF"/>
            <w:spacing w:val="10"/>
            <w:szCs w:val="28"/>
            <w:u w:val="single"/>
            <w:rtl/>
          </w:rPr>
          <w:t>פ</w:t>
        </w:r>
        <w:r w:rsidR="00547857" w:rsidRPr="00547857">
          <w:rPr>
            <w:rFonts w:ascii="Garamond" w:hAnsi="Garamond" w:cs="FrankRuehl"/>
            <w:color w:val="0000FF"/>
            <w:spacing w:val="10"/>
            <w:szCs w:val="28"/>
            <w:u w:val="single"/>
            <w:rtl/>
          </w:rPr>
          <w:t xml:space="preserve">  9830/17</w:t>
        </w:r>
      </w:hyperlink>
      <w:r w:rsidRPr="006F12A6">
        <w:rPr>
          <w:rFonts w:ascii="Garamond" w:hAnsi="Garamond" w:cs="FrankRuehl"/>
          <w:spacing w:val="10"/>
          <w:szCs w:val="28"/>
          <w:rtl/>
        </w:rPr>
        <w:t xml:space="preserve"> </w:t>
      </w:r>
      <w:r w:rsidRPr="006F12A6">
        <w:rPr>
          <w:rFonts w:ascii="Miriam" w:hAnsi="Miriam" w:cs="Miriam" w:hint="eastAsia"/>
          <w:rtl/>
        </w:rPr>
        <w:t>חמודה</w:t>
      </w:r>
      <w:r w:rsidRPr="006F12A6">
        <w:rPr>
          <w:rFonts w:ascii="Miriam" w:hAnsi="Miriam" w:cs="Miriam"/>
          <w:rtl/>
        </w:rPr>
        <w:t xml:space="preserve"> </w:t>
      </w:r>
      <w:r w:rsidRPr="006F12A6">
        <w:rPr>
          <w:rFonts w:ascii="Miriam" w:hAnsi="Miriam" w:cs="Miriam" w:hint="eastAsia"/>
          <w:rtl/>
        </w:rPr>
        <w:t>נ</w:t>
      </w:r>
      <w:r w:rsidRPr="006F12A6">
        <w:rPr>
          <w:rFonts w:ascii="Miriam" w:hAnsi="Miriam" w:cs="Miriam"/>
          <w:rtl/>
        </w:rPr>
        <w:t xml:space="preserve">' </w:t>
      </w:r>
      <w:r w:rsidRPr="006F12A6">
        <w:rPr>
          <w:rFonts w:ascii="Miriam" w:hAnsi="Miriam" w:cs="Miriam" w:hint="eastAsia"/>
          <w:rtl/>
        </w:rPr>
        <w:t>מדינת</w:t>
      </w:r>
      <w:r w:rsidRPr="006F12A6">
        <w:rPr>
          <w:rFonts w:ascii="Miriam" w:hAnsi="Miriam" w:cs="Miriam"/>
          <w:rtl/>
        </w:rPr>
        <w:t xml:space="preserve"> </w:t>
      </w:r>
      <w:r w:rsidRPr="006F12A6">
        <w:rPr>
          <w:rFonts w:ascii="Miriam" w:hAnsi="Miriam" w:cs="Miriam" w:hint="eastAsia"/>
          <w:rtl/>
        </w:rPr>
        <w:t>ישראל</w:t>
      </w:r>
      <w:r w:rsidRPr="006F12A6">
        <w:rPr>
          <w:rFonts w:ascii="Garamond" w:hAnsi="Garamond" w:cs="FrankRuehl"/>
          <w:spacing w:val="10"/>
          <w:szCs w:val="28"/>
          <w:rtl/>
        </w:rPr>
        <w:t xml:space="preserve"> (8.3.2018) </w:t>
      </w:r>
      <w:r w:rsidRPr="006F12A6">
        <w:rPr>
          <w:rFonts w:ascii="Garamond" w:hAnsi="Garamond" w:cs="FrankRuehl" w:hint="eastAsia"/>
          <w:spacing w:val="10"/>
          <w:szCs w:val="28"/>
          <w:rtl/>
        </w:rPr>
        <w:t>התייחס</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כב</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הש</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סולברג</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לחומרתן</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של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עבירות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מסוג</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זה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ולעונש</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שראוי</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להטיל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בגינן</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כדלקמן</w:t>
      </w:r>
      <w:r w:rsidRPr="006F12A6">
        <w:rPr>
          <w:rFonts w:ascii="Garamond" w:hAnsi="Garamond" w:cs="FrankRuehl"/>
          <w:spacing w:val="10"/>
          <w:szCs w:val="28"/>
          <w:rtl/>
        </w:rPr>
        <w:t>:</w:t>
      </w:r>
    </w:p>
    <w:p w14:paraId="1A0ACDE3" w14:textId="77777777" w:rsidR="002B1E25" w:rsidRPr="006F12A6" w:rsidRDefault="002B1E25" w:rsidP="002B1E25">
      <w:pPr>
        <w:tabs>
          <w:tab w:val="left" w:pos="1643"/>
        </w:tabs>
        <w:ind w:left="1218" w:right="709"/>
        <w:jc w:val="both"/>
        <w:rPr>
          <w:rFonts w:ascii="Garamond" w:hAnsi="Garamond" w:cs="FrankRuehl"/>
          <w:spacing w:val="10"/>
          <w:szCs w:val="28"/>
          <w:rtl/>
        </w:rPr>
      </w:pPr>
      <w:r w:rsidRPr="006F12A6">
        <w:rPr>
          <w:rFonts w:ascii="Garamond" w:hAnsi="Garamond" w:cs="FrankRuehl"/>
          <w:spacing w:val="10"/>
          <w:szCs w:val="28"/>
          <w:rtl/>
        </w:rPr>
        <w:t>"</w:t>
      </w:r>
      <w:r w:rsidRPr="006F12A6">
        <w:rPr>
          <w:rFonts w:ascii="Garamond" w:hAnsi="Garamond" w:cs="FrankRuehl" w:hint="eastAsia"/>
          <w:spacing w:val="10"/>
          <w:szCs w:val="28"/>
          <w:rtl/>
        </w:rPr>
        <w:t>בית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משפט</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זה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עמד</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לא</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אחת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על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חומרתן</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של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עבירות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הנשק</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ועל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הסכנה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הרבה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הטמונה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בביצוען</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וזאת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בעיקר</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בשל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כך</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שעבירות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מסוג</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זה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מקימות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פוטנציאל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להסלמה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עבריינית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ויוצרות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סיכון</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ממשי</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וחמור</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לשלום</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הציבור</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וביטחונו</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בהתאם</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לכך</w:t>
      </w:r>
      <w:r w:rsidRPr="006F12A6">
        <w:rPr>
          <w:rFonts w:ascii="Garamond" w:hAnsi="Garamond" w:cs="FrankRuehl"/>
          <w:spacing w:val="10"/>
          <w:szCs w:val="28"/>
          <w:rtl/>
        </w:rPr>
        <w:t>, "</w:t>
      </w:r>
      <w:r w:rsidRPr="006F12A6">
        <w:rPr>
          <w:rFonts w:ascii="Garamond" w:hAnsi="Garamond" w:cs="FrankRuehl" w:hint="eastAsia"/>
          <w:spacing w:val="10"/>
          <w:szCs w:val="28"/>
          <w:rtl/>
        </w:rPr>
        <w:t>מדיניות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הענישה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הנהוגה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בעבירות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אלה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היא</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מדיניות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של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ענישה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מחמירה</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המחייבת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בדרך</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כלל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הטלת</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עונשי</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מאסר</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לריצוי</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בפועל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גם</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על</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מי</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שזו</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הרשעתו</w:t>
      </w:r>
      <w:r w:rsidRPr="006F12A6">
        <w:rPr>
          <w:rFonts w:ascii="Garamond" w:hAnsi="Garamond" w:cs="FrankRuehl"/>
          <w:spacing w:val="10"/>
          <w:szCs w:val="28"/>
          <w:rtl/>
        </w:rPr>
        <w:t xml:space="preserve"> </w:t>
      </w:r>
      <w:r w:rsidRPr="006F12A6">
        <w:rPr>
          <w:rFonts w:ascii="Garamond" w:hAnsi="Garamond" w:cs="FrankRuehl" w:hint="eastAsia"/>
          <w:spacing w:val="10"/>
          <w:szCs w:val="28"/>
          <w:rtl/>
        </w:rPr>
        <w:t>הראשונה</w:t>
      </w:r>
      <w:r w:rsidRPr="006F12A6">
        <w:rPr>
          <w:rFonts w:ascii="Garamond" w:hAnsi="Garamond" w:cs="FrankRuehl"/>
          <w:spacing w:val="10"/>
          <w:szCs w:val="28"/>
          <w:rtl/>
        </w:rPr>
        <w:t xml:space="preserve">". </w:t>
      </w:r>
    </w:p>
    <w:p w14:paraId="2B893DAE" w14:textId="77777777" w:rsidR="002B1E25" w:rsidRPr="006F12A6" w:rsidRDefault="002B1E25" w:rsidP="002B1E25">
      <w:pPr>
        <w:spacing w:line="360" w:lineRule="auto"/>
        <w:ind w:left="720"/>
        <w:contextualSpacing/>
        <w:jc w:val="both"/>
        <w:rPr>
          <w:rFonts w:ascii="Arial" w:hAnsi="Arial" w:cs="FrankRuehl"/>
          <w:color w:val="000000"/>
          <w:szCs w:val="28"/>
          <w:rtl/>
        </w:rPr>
      </w:pPr>
    </w:p>
    <w:p w14:paraId="4B10093D" w14:textId="77777777" w:rsidR="002B1E25" w:rsidRPr="006F12A6" w:rsidRDefault="002B1E25" w:rsidP="002B1E25">
      <w:pPr>
        <w:spacing w:line="360" w:lineRule="auto"/>
        <w:ind w:left="720"/>
        <w:contextualSpacing/>
        <w:jc w:val="both"/>
        <w:rPr>
          <w:rFonts w:ascii="Arial" w:hAnsi="Arial" w:cs="FrankRuehl"/>
          <w:color w:val="000000"/>
          <w:szCs w:val="28"/>
          <w:rtl/>
        </w:rPr>
      </w:pPr>
      <w:r w:rsidRPr="006F12A6">
        <w:rPr>
          <w:rFonts w:ascii="Arial" w:hAnsi="Arial" w:cs="FrankRuehl"/>
          <w:color w:val="000000"/>
          <w:szCs w:val="28"/>
          <w:rtl/>
        </w:rPr>
        <w:t>ב</w:t>
      </w:r>
      <w:hyperlink r:id="rId22" w:history="1">
        <w:r w:rsidR="00547857" w:rsidRPr="00547857">
          <w:rPr>
            <w:rFonts w:ascii="Arial" w:hAnsi="Arial" w:cs="FrankRuehl"/>
            <w:color w:val="0000FF"/>
            <w:szCs w:val="28"/>
            <w:u w:val="single"/>
            <w:rtl/>
          </w:rPr>
          <w:t>ע"פ 4945/13</w:t>
        </w:r>
      </w:hyperlink>
      <w:r w:rsidRPr="006F12A6">
        <w:rPr>
          <w:rFonts w:ascii="Arial" w:hAnsi="Arial" w:cs="FrankRuehl"/>
          <w:color w:val="000000"/>
          <w:szCs w:val="28"/>
          <w:rtl/>
        </w:rPr>
        <w:t xml:space="preserve"> </w:t>
      </w:r>
      <w:r w:rsidRPr="006F12A6">
        <w:rPr>
          <w:rFonts w:ascii="Arial" w:hAnsi="Arial" w:cs="Miriam"/>
          <w:color w:val="000000"/>
          <w:rtl/>
        </w:rPr>
        <w:t>מדינת ישראל נגד סלימאן</w:t>
      </w:r>
      <w:r w:rsidRPr="006F12A6">
        <w:rPr>
          <w:rFonts w:ascii="Arial" w:hAnsi="Arial" w:cs="FrankRuehl"/>
          <w:color w:val="000000"/>
          <w:szCs w:val="28"/>
          <w:rtl/>
        </w:rPr>
        <w:t xml:space="preserve"> (19.1.2014) נדחה ערעור המדינה על גזר דין לפיו נדון המערער ל-6 חודשי מאסר בעבודות שירות בגין עבירות של רכישה, החזקה, נשיאה והובלה של נשק ותחמושת, תת מקלע מסוג "קרל גוסטב" ותחמושת, בהמשך ירה אותו מערער בחורשה בסמוך לביתו.  בית המשפט העליון קבע באותו מקרה כי בהתאם למדיניות הענישה, מתחם העונש ההולם נע בין 12 ל-36 חודשי מאסר בפועל. ומשיקולי שיקום חרג מהמתחם. </w:t>
      </w:r>
    </w:p>
    <w:p w14:paraId="413F3882" w14:textId="77777777" w:rsidR="002B1E25" w:rsidRPr="006F12A6" w:rsidRDefault="002B1E25" w:rsidP="002B1E25">
      <w:pPr>
        <w:spacing w:line="360" w:lineRule="auto"/>
        <w:ind w:left="720"/>
        <w:contextualSpacing/>
        <w:jc w:val="both"/>
        <w:rPr>
          <w:rFonts w:ascii="Arial" w:hAnsi="Arial" w:cs="FrankRuehl"/>
          <w:color w:val="000000"/>
          <w:szCs w:val="28"/>
          <w:rtl/>
        </w:rPr>
      </w:pPr>
    </w:p>
    <w:p w14:paraId="3167BAC7" w14:textId="77777777" w:rsidR="002B1E25" w:rsidRPr="006F12A6" w:rsidRDefault="002B1E25" w:rsidP="002B1E25">
      <w:pPr>
        <w:numPr>
          <w:ilvl w:val="0"/>
          <w:numId w:val="1"/>
        </w:numPr>
        <w:spacing w:line="360" w:lineRule="auto"/>
        <w:contextualSpacing/>
        <w:jc w:val="both"/>
        <w:rPr>
          <w:rFonts w:ascii="Arial" w:hAnsi="Arial" w:cs="FrankRuehl"/>
          <w:color w:val="000000"/>
          <w:szCs w:val="28"/>
        </w:rPr>
      </w:pPr>
      <w:r w:rsidRPr="006F12A6">
        <w:rPr>
          <w:rFonts w:ascii="Arial" w:hAnsi="Arial" w:cs="FrankRuehl"/>
          <w:color w:val="000000"/>
          <w:szCs w:val="28"/>
          <w:rtl/>
        </w:rPr>
        <w:t xml:space="preserve">לעניין הנסיבות הקשורות בביצוע העבירה, לעבירת הירי עצמה לא קדם תכנון מוקדם,   הירי בוצע כתגובה ספונטנית לאחר שהנאשם שמע כי חברו נורה </w:t>
      </w:r>
      <w:r>
        <w:rPr>
          <w:rFonts w:ascii="Arial" w:hAnsi="Arial" w:cs="FrankRuehl" w:hint="cs"/>
          <w:color w:val="000000"/>
          <w:szCs w:val="28"/>
          <w:rtl/>
        </w:rPr>
        <w:t xml:space="preserve">סמוך </w:t>
      </w:r>
      <w:r w:rsidRPr="006F12A6">
        <w:rPr>
          <w:rFonts w:ascii="Arial" w:hAnsi="Arial" w:cs="FrankRuehl"/>
          <w:color w:val="000000"/>
          <w:szCs w:val="28"/>
          <w:rtl/>
        </w:rPr>
        <w:t xml:space="preserve">לביתו.  גם הירי בוצע באותו מקום </w:t>
      </w:r>
      <w:r>
        <w:rPr>
          <w:rFonts w:ascii="Arial" w:hAnsi="Arial" w:cs="FrankRuehl" w:hint="cs"/>
          <w:color w:val="000000"/>
          <w:szCs w:val="28"/>
          <w:rtl/>
        </w:rPr>
        <w:t>ב</w:t>
      </w:r>
      <w:r w:rsidRPr="006F12A6">
        <w:rPr>
          <w:rFonts w:ascii="Arial" w:hAnsi="Arial" w:cs="FrankRuehl"/>
          <w:color w:val="000000"/>
          <w:szCs w:val="28"/>
          <w:rtl/>
        </w:rPr>
        <w:t xml:space="preserve">חצות הליל ולא כלפי אדם מסוים או כיוון מסוים.  </w:t>
      </w:r>
    </w:p>
    <w:p w14:paraId="73753F2E" w14:textId="77777777" w:rsidR="002B1E25" w:rsidRPr="006F12A6" w:rsidRDefault="002B1E25" w:rsidP="002B1E25">
      <w:pPr>
        <w:spacing w:line="360" w:lineRule="auto"/>
        <w:jc w:val="both"/>
        <w:rPr>
          <w:rFonts w:ascii="Arial" w:hAnsi="Arial" w:cs="FrankRuehl"/>
          <w:color w:val="000000"/>
          <w:szCs w:val="28"/>
          <w:rtl/>
        </w:rPr>
      </w:pPr>
    </w:p>
    <w:p w14:paraId="7405AE36" w14:textId="77777777" w:rsidR="002B1E25" w:rsidRPr="006F12A6" w:rsidRDefault="002B1E25" w:rsidP="002B1E25">
      <w:pPr>
        <w:spacing w:line="360" w:lineRule="auto"/>
        <w:ind w:left="720"/>
        <w:contextualSpacing/>
        <w:jc w:val="both"/>
        <w:rPr>
          <w:rFonts w:ascii="Arial" w:hAnsi="Arial" w:cs="FrankRuehl"/>
          <w:color w:val="000000"/>
          <w:szCs w:val="28"/>
          <w:rtl/>
        </w:rPr>
      </w:pPr>
      <w:r w:rsidRPr="006F12A6">
        <w:rPr>
          <w:rFonts w:ascii="Arial" w:hAnsi="Arial" w:cs="FrankRuehl"/>
          <w:color w:val="000000"/>
          <w:szCs w:val="28"/>
          <w:rtl/>
        </w:rPr>
        <w:t xml:space="preserve">ממעשיו של הנאשם לא נגרם כל נזק, הגם שכל ירי באזור מגורים יכול לגרום לנזק כבד. </w:t>
      </w:r>
    </w:p>
    <w:p w14:paraId="18F93A0B" w14:textId="77777777" w:rsidR="002B1E25" w:rsidRPr="006F12A6" w:rsidRDefault="002B1E25" w:rsidP="002B1E25">
      <w:pPr>
        <w:spacing w:line="360" w:lineRule="auto"/>
        <w:ind w:left="720"/>
        <w:contextualSpacing/>
        <w:jc w:val="both"/>
        <w:rPr>
          <w:rFonts w:ascii="Arial" w:hAnsi="Arial" w:cs="FrankRuehl"/>
          <w:color w:val="000000"/>
          <w:szCs w:val="28"/>
          <w:rtl/>
        </w:rPr>
      </w:pPr>
    </w:p>
    <w:p w14:paraId="2C34652E" w14:textId="77777777" w:rsidR="002B1E25" w:rsidRPr="006F12A6" w:rsidRDefault="002B1E25" w:rsidP="002B1E25">
      <w:pPr>
        <w:spacing w:line="360" w:lineRule="auto"/>
        <w:ind w:left="720"/>
        <w:contextualSpacing/>
        <w:jc w:val="both"/>
        <w:rPr>
          <w:rFonts w:ascii="Arial" w:hAnsi="Arial" w:cs="FrankRuehl"/>
          <w:color w:val="000000"/>
          <w:szCs w:val="28"/>
          <w:rtl/>
        </w:rPr>
      </w:pPr>
      <w:r w:rsidRPr="006F12A6">
        <w:rPr>
          <w:rFonts w:ascii="Arial" w:hAnsi="Arial" w:cs="FrankRuehl"/>
          <w:color w:val="000000"/>
          <w:szCs w:val="28"/>
          <w:rtl/>
        </w:rPr>
        <w:t xml:space="preserve">הסיבה שהביאה את הנאשם לבצע מעשהו מפורטת בסעיפים 1-3 לעובדות כתב האישום המתוקן, הנאשם ביצע את המעשה בסמוך לאחר שחברו המנוח נורה למוות </w:t>
      </w:r>
      <w:r>
        <w:rPr>
          <w:rFonts w:ascii="Arial" w:hAnsi="Arial" w:cs="FrankRuehl" w:hint="cs"/>
          <w:color w:val="000000"/>
          <w:szCs w:val="28"/>
          <w:rtl/>
        </w:rPr>
        <w:t>סמוך ל</w:t>
      </w:r>
      <w:r w:rsidRPr="006F12A6">
        <w:rPr>
          <w:rFonts w:ascii="Arial" w:hAnsi="Arial" w:cs="FrankRuehl"/>
          <w:color w:val="000000"/>
          <w:szCs w:val="28"/>
          <w:rtl/>
        </w:rPr>
        <w:t xml:space="preserve">ביתו כתוצאה מסכסוך בינם לבין משפחה אחרת, הירי היה למעשה כתוצאה מסערת רגשות בתגובה למות חברו. </w:t>
      </w:r>
    </w:p>
    <w:p w14:paraId="711A5D7D" w14:textId="77777777" w:rsidR="002B1E25" w:rsidRPr="006F12A6" w:rsidRDefault="002B1E25" w:rsidP="002B1E25">
      <w:pPr>
        <w:spacing w:line="360" w:lineRule="auto"/>
        <w:ind w:left="720"/>
        <w:contextualSpacing/>
        <w:jc w:val="both"/>
        <w:rPr>
          <w:rFonts w:ascii="Arial" w:hAnsi="Arial" w:cs="FrankRuehl"/>
          <w:color w:val="000000"/>
          <w:szCs w:val="28"/>
          <w:rtl/>
        </w:rPr>
      </w:pPr>
    </w:p>
    <w:p w14:paraId="1B818511" w14:textId="77777777" w:rsidR="002B1E25" w:rsidRPr="006F12A6" w:rsidRDefault="002B1E25" w:rsidP="002B1E25">
      <w:pPr>
        <w:spacing w:line="360" w:lineRule="auto"/>
        <w:ind w:left="720"/>
        <w:jc w:val="both"/>
        <w:rPr>
          <w:rFonts w:ascii="Arial" w:hAnsi="Arial" w:cs="FrankRuehl"/>
          <w:szCs w:val="28"/>
          <w:u w:val="single"/>
          <w:rtl/>
        </w:rPr>
      </w:pPr>
      <w:r w:rsidRPr="006F12A6">
        <w:rPr>
          <w:rFonts w:ascii="Arial" w:hAnsi="Arial" w:cs="FrankRuehl"/>
          <w:szCs w:val="28"/>
          <w:rtl/>
        </w:rPr>
        <w:t xml:space="preserve">בהתחשב בערכים החברתיים שנפגע מביצוע העבירות, במידת הפגיעה בהם, במדיניות הענישה הנהוגה ובנסיבות הקשורות בביצוע העבירות, לרבות הסיבות לביצוע העבירות, אני קובע כי העונש ההולם במקרה זה הוא מאסר במתחם שבין </w:t>
      </w:r>
      <w:r w:rsidRPr="006F12A6">
        <w:rPr>
          <w:rFonts w:ascii="Arial" w:hAnsi="Arial" w:cs="FrankRuehl"/>
          <w:szCs w:val="28"/>
          <w:u w:val="single"/>
          <w:rtl/>
        </w:rPr>
        <w:t>12</w:t>
      </w:r>
      <w:r w:rsidRPr="006F12A6">
        <w:rPr>
          <w:rFonts w:ascii="Arial" w:hAnsi="Arial" w:cs="FrankRuehl"/>
          <w:szCs w:val="28"/>
          <w:rtl/>
        </w:rPr>
        <w:t xml:space="preserve"> לבין </w:t>
      </w:r>
      <w:r w:rsidRPr="006F12A6">
        <w:rPr>
          <w:rFonts w:ascii="Arial" w:hAnsi="Arial" w:cs="FrankRuehl"/>
          <w:szCs w:val="28"/>
          <w:u w:val="single"/>
          <w:rtl/>
        </w:rPr>
        <w:t xml:space="preserve">36 </w:t>
      </w:r>
      <w:r w:rsidRPr="006F12A6">
        <w:rPr>
          <w:rFonts w:ascii="Arial" w:hAnsi="Arial" w:cs="FrankRuehl"/>
          <w:szCs w:val="28"/>
          <w:rtl/>
        </w:rPr>
        <w:t>חודשי מאסר בפועל.</w:t>
      </w:r>
    </w:p>
    <w:p w14:paraId="52DA8C01" w14:textId="77777777" w:rsidR="002B1E25" w:rsidRPr="006F12A6" w:rsidRDefault="002B1E25" w:rsidP="002B1E25">
      <w:pPr>
        <w:spacing w:line="360" w:lineRule="auto"/>
        <w:ind w:left="720"/>
        <w:jc w:val="both"/>
        <w:rPr>
          <w:rFonts w:ascii="Arial" w:hAnsi="Arial" w:cs="FrankRuehl"/>
          <w:szCs w:val="28"/>
          <w:u w:val="single"/>
          <w:rtl/>
        </w:rPr>
      </w:pPr>
    </w:p>
    <w:p w14:paraId="2539F05C" w14:textId="77777777" w:rsidR="002B1E25" w:rsidRPr="006F12A6" w:rsidRDefault="002B1E25" w:rsidP="002B1E25">
      <w:pPr>
        <w:spacing w:line="360" w:lineRule="auto"/>
        <w:ind w:left="720"/>
        <w:jc w:val="both"/>
        <w:rPr>
          <w:rFonts w:ascii="Arial" w:hAnsi="Arial" w:cs="Miriam"/>
          <w:rtl/>
        </w:rPr>
      </w:pPr>
      <w:r w:rsidRPr="006F12A6">
        <w:rPr>
          <w:rFonts w:ascii="Arial" w:hAnsi="Arial" w:cs="Miriam"/>
          <w:rtl/>
        </w:rPr>
        <w:t>העונש המתאים</w:t>
      </w:r>
    </w:p>
    <w:p w14:paraId="3AC6C5C6" w14:textId="77777777" w:rsidR="002B1E25" w:rsidRDefault="002B1E25" w:rsidP="002B1E25">
      <w:pPr>
        <w:numPr>
          <w:ilvl w:val="0"/>
          <w:numId w:val="1"/>
        </w:numPr>
        <w:spacing w:line="360" w:lineRule="auto"/>
        <w:contextualSpacing/>
        <w:jc w:val="both"/>
        <w:rPr>
          <w:rFonts w:ascii="Arial" w:hAnsi="Arial" w:cs="FrankRuehl"/>
          <w:szCs w:val="28"/>
        </w:rPr>
      </w:pPr>
      <w:r w:rsidRPr="006F12A6">
        <w:rPr>
          <w:rFonts w:ascii="Arial" w:hAnsi="Arial" w:cs="FrankRuehl"/>
          <w:szCs w:val="28"/>
          <w:rtl/>
        </w:rPr>
        <w:t>הנאשם יליד 1993, כבן 26, לא עומדת שאלת שיקום על הפרק והעונש יהיה בתוך מתחם הענישה שקבעתי.</w:t>
      </w:r>
    </w:p>
    <w:p w14:paraId="769E1A4A" w14:textId="77777777" w:rsidR="002B1E25" w:rsidRPr="006F12A6" w:rsidRDefault="002B1E25" w:rsidP="002B1E25">
      <w:pPr>
        <w:spacing w:line="360" w:lineRule="auto"/>
        <w:ind w:left="720"/>
        <w:contextualSpacing/>
        <w:jc w:val="both"/>
        <w:rPr>
          <w:rFonts w:ascii="Arial" w:hAnsi="Arial" w:cs="FrankRuehl"/>
          <w:szCs w:val="28"/>
        </w:rPr>
      </w:pPr>
    </w:p>
    <w:p w14:paraId="2A636F29" w14:textId="77777777" w:rsidR="002B1E25" w:rsidRPr="006F12A6" w:rsidRDefault="002B1E25" w:rsidP="002B1E25">
      <w:pPr>
        <w:spacing w:line="360" w:lineRule="auto"/>
        <w:ind w:left="720"/>
        <w:contextualSpacing/>
        <w:jc w:val="both"/>
        <w:rPr>
          <w:rFonts w:ascii="Arial" w:hAnsi="Arial" w:cs="FrankRuehl"/>
          <w:szCs w:val="28"/>
          <w:rtl/>
        </w:rPr>
      </w:pPr>
      <w:r w:rsidRPr="006F12A6">
        <w:rPr>
          <w:rFonts w:ascii="Arial" w:hAnsi="Arial" w:cs="FrankRuehl"/>
          <w:szCs w:val="28"/>
          <w:rtl/>
        </w:rPr>
        <w:t xml:space="preserve">לעניין הנסיבות שאינן קשורות בביצוע העבירה לפי </w:t>
      </w:r>
      <w:hyperlink r:id="rId23" w:history="1">
        <w:r w:rsidR="00C35241" w:rsidRPr="00C35241">
          <w:rPr>
            <w:rFonts w:ascii="Arial" w:hAnsi="Arial" w:cs="FrankRuehl"/>
            <w:color w:val="0000FF"/>
            <w:szCs w:val="28"/>
            <w:u w:val="single"/>
            <w:rtl/>
          </w:rPr>
          <w:t>סעיף 40יא'</w:t>
        </w:r>
      </w:hyperlink>
      <w:r w:rsidRPr="006F12A6">
        <w:rPr>
          <w:rFonts w:ascii="Arial" w:hAnsi="Arial" w:cs="FrankRuehl"/>
          <w:szCs w:val="28"/>
          <w:rtl/>
        </w:rPr>
        <w:t xml:space="preserve"> לחוק, אקח לזכות הנאשם את הודאתו בהזדמנות הראשונה שהביאה לחיסכון בזמן שיפוטי ואת העובדה כי עד עתה ניהול אורך חיים נורמטיבי, הוא מאורס כיום וללא כל עבר פלילי קודם.</w:t>
      </w:r>
    </w:p>
    <w:p w14:paraId="43AC4F7C" w14:textId="77777777" w:rsidR="002B1E25" w:rsidRPr="006F12A6" w:rsidRDefault="002B1E25" w:rsidP="002B1E25">
      <w:pPr>
        <w:spacing w:line="360" w:lineRule="auto"/>
        <w:ind w:left="720"/>
        <w:contextualSpacing/>
        <w:jc w:val="both"/>
        <w:rPr>
          <w:rFonts w:ascii="Arial" w:hAnsi="Arial" w:cs="FrankRuehl"/>
          <w:szCs w:val="28"/>
          <w:rtl/>
        </w:rPr>
      </w:pPr>
    </w:p>
    <w:p w14:paraId="44722ED9" w14:textId="77777777" w:rsidR="002B1E25" w:rsidRPr="006F12A6" w:rsidRDefault="002B1E25" w:rsidP="002B1E25">
      <w:pPr>
        <w:spacing w:line="360" w:lineRule="auto"/>
        <w:ind w:left="720"/>
        <w:contextualSpacing/>
        <w:jc w:val="both"/>
        <w:rPr>
          <w:rFonts w:ascii="Arial" w:hAnsi="Arial" w:cs="FrankRuehl"/>
          <w:szCs w:val="28"/>
          <w:rtl/>
        </w:rPr>
      </w:pPr>
      <w:r w:rsidRPr="006F12A6">
        <w:rPr>
          <w:rFonts w:ascii="Arial" w:hAnsi="Arial" w:cs="FrankRuehl"/>
          <w:szCs w:val="28"/>
          <w:rtl/>
        </w:rPr>
        <w:t xml:space="preserve">עוד אקח לזכות הנאשם את הנסיבות הקיצוניות שגרמו לו לבצע את עבירת הירי באזור המגורים – העובדה כי חברו נורה למוות </w:t>
      </w:r>
      <w:r>
        <w:rPr>
          <w:rFonts w:ascii="Arial" w:hAnsi="Arial" w:cs="FrankRuehl" w:hint="cs"/>
          <w:szCs w:val="28"/>
          <w:rtl/>
        </w:rPr>
        <w:t xml:space="preserve">סמוך </w:t>
      </w:r>
      <w:r w:rsidRPr="006F12A6">
        <w:rPr>
          <w:rFonts w:ascii="Arial" w:hAnsi="Arial" w:cs="FrankRuehl"/>
          <w:szCs w:val="28"/>
          <w:rtl/>
        </w:rPr>
        <w:t>לביתו והוא ביצע את העבירה בסמוך לכך.</w:t>
      </w:r>
    </w:p>
    <w:p w14:paraId="6B7C1CC3" w14:textId="77777777" w:rsidR="002B1E25" w:rsidRPr="006F12A6" w:rsidRDefault="002B1E25" w:rsidP="002B1E25">
      <w:pPr>
        <w:spacing w:line="360" w:lineRule="auto"/>
        <w:ind w:left="720"/>
        <w:contextualSpacing/>
        <w:jc w:val="both"/>
        <w:rPr>
          <w:rFonts w:ascii="Arial" w:hAnsi="Arial" w:cs="FrankRuehl"/>
          <w:szCs w:val="28"/>
          <w:rtl/>
        </w:rPr>
      </w:pPr>
    </w:p>
    <w:p w14:paraId="13684E31" w14:textId="77777777" w:rsidR="002B1E25" w:rsidRPr="006F12A6" w:rsidRDefault="002B1E25" w:rsidP="002B1E25">
      <w:pPr>
        <w:spacing w:line="360" w:lineRule="auto"/>
        <w:ind w:left="720"/>
        <w:contextualSpacing/>
        <w:jc w:val="both"/>
        <w:rPr>
          <w:rFonts w:ascii="Arial" w:hAnsi="Arial" w:cs="FrankRuehl"/>
          <w:szCs w:val="28"/>
          <w:rtl/>
        </w:rPr>
      </w:pPr>
      <w:r w:rsidRPr="006F12A6">
        <w:rPr>
          <w:rFonts w:ascii="Arial" w:hAnsi="Arial" w:cs="FrankRuehl"/>
          <w:szCs w:val="28"/>
          <w:rtl/>
        </w:rPr>
        <w:t xml:space="preserve">עוד אקח בחשבון את העובדה כי הנאשם-אדם נורמטיבי עצור מזה תקופה לא קצרה, תקופת המעצר תנוכה מימי המאסר. </w:t>
      </w:r>
    </w:p>
    <w:p w14:paraId="238C7044" w14:textId="77777777" w:rsidR="002B1E25" w:rsidRPr="006F12A6" w:rsidRDefault="002B1E25" w:rsidP="002B1E25">
      <w:pPr>
        <w:spacing w:line="360" w:lineRule="auto"/>
        <w:ind w:left="720"/>
        <w:contextualSpacing/>
        <w:jc w:val="both"/>
        <w:rPr>
          <w:rFonts w:ascii="Arial" w:hAnsi="Arial" w:cs="FrankRuehl"/>
          <w:szCs w:val="28"/>
        </w:rPr>
      </w:pPr>
    </w:p>
    <w:p w14:paraId="5DBB9899" w14:textId="77777777" w:rsidR="002B1E25" w:rsidRPr="006F12A6" w:rsidRDefault="002B1E25" w:rsidP="002B1E25">
      <w:pPr>
        <w:spacing w:line="360" w:lineRule="auto"/>
        <w:ind w:firstLine="720"/>
        <w:jc w:val="both"/>
        <w:rPr>
          <w:rFonts w:ascii="Arial" w:hAnsi="Arial" w:cs="Miriam"/>
        </w:rPr>
      </w:pPr>
      <w:r w:rsidRPr="006F12A6">
        <w:rPr>
          <w:rFonts w:ascii="Arial" w:hAnsi="Arial" w:cs="Miriam"/>
          <w:rtl/>
        </w:rPr>
        <w:t>סיכום</w:t>
      </w:r>
    </w:p>
    <w:p w14:paraId="00DA12C2" w14:textId="77777777" w:rsidR="002B1E25" w:rsidRPr="006F12A6" w:rsidRDefault="002B1E25" w:rsidP="002B1E25">
      <w:pPr>
        <w:numPr>
          <w:ilvl w:val="0"/>
          <w:numId w:val="1"/>
        </w:numPr>
        <w:spacing w:line="360" w:lineRule="auto"/>
        <w:contextualSpacing/>
        <w:jc w:val="both"/>
        <w:rPr>
          <w:rFonts w:ascii="Arial" w:hAnsi="Arial" w:cs="FrankRuehl"/>
          <w:szCs w:val="28"/>
        </w:rPr>
      </w:pPr>
      <w:r w:rsidRPr="006F12A6">
        <w:rPr>
          <w:rFonts w:ascii="Arial" w:hAnsi="Arial" w:cs="FrankRuehl"/>
          <w:szCs w:val="28"/>
          <w:rtl/>
        </w:rPr>
        <w:t>לאור האמור לעיל אני דן את הנאשם לעונשים הבאים:</w:t>
      </w:r>
    </w:p>
    <w:p w14:paraId="490E428A" w14:textId="77777777" w:rsidR="002B1E25" w:rsidRPr="006F12A6" w:rsidRDefault="002B1E25" w:rsidP="002B1E25">
      <w:pPr>
        <w:numPr>
          <w:ilvl w:val="0"/>
          <w:numId w:val="2"/>
        </w:numPr>
        <w:spacing w:line="360" w:lineRule="auto"/>
        <w:contextualSpacing/>
        <w:jc w:val="both"/>
        <w:rPr>
          <w:rFonts w:ascii="Arial" w:hAnsi="Arial" w:cs="FrankRuehl"/>
          <w:szCs w:val="28"/>
          <w:rtl/>
        </w:rPr>
      </w:pPr>
      <w:r w:rsidRPr="006F12A6">
        <w:rPr>
          <w:rFonts w:ascii="Arial" w:hAnsi="Arial" w:cs="FrankRuehl"/>
          <w:szCs w:val="28"/>
          <w:u w:val="single"/>
          <w:rtl/>
        </w:rPr>
        <w:t>12</w:t>
      </w:r>
      <w:r w:rsidRPr="006F12A6">
        <w:rPr>
          <w:rFonts w:ascii="Arial" w:hAnsi="Arial" w:cs="FrankRuehl"/>
          <w:szCs w:val="28"/>
          <w:rtl/>
        </w:rPr>
        <w:t xml:space="preserve"> חודשי מאסר בפועל בניכוי הימים הבאים: מיום 18.9.2018 ועד 24.12.2018 ומיום 8.2.2019 ועד היום.</w:t>
      </w:r>
    </w:p>
    <w:p w14:paraId="431B8C77" w14:textId="77777777" w:rsidR="002B1E25" w:rsidRPr="006F12A6" w:rsidRDefault="002B1E25" w:rsidP="002B1E25">
      <w:pPr>
        <w:numPr>
          <w:ilvl w:val="0"/>
          <w:numId w:val="2"/>
        </w:numPr>
        <w:spacing w:line="360" w:lineRule="auto"/>
        <w:contextualSpacing/>
        <w:jc w:val="both"/>
        <w:rPr>
          <w:rFonts w:ascii="Arial" w:hAnsi="Arial" w:cs="FrankRuehl"/>
          <w:szCs w:val="28"/>
        </w:rPr>
      </w:pPr>
      <w:r w:rsidRPr="006F12A6">
        <w:rPr>
          <w:rFonts w:ascii="Arial" w:hAnsi="Arial" w:cs="FrankRuehl"/>
          <w:szCs w:val="28"/>
          <w:u w:val="single"/>
          <w:rtl/>
        </w:rPr>
        <w:t>6</w:t>
      </w:r>
      <w:r w:rsidRPr="006F12A6">
        <w:rPr>
          <w:rFonts w:ascii="Arial" w:hAnsi="Arial" w:cs="FrankRuehl"/>
          <w:szCs w:val="28"/>
          <w:rtl/>
        </w:rPr>
        <w:t xml:space="preserve"> חודשי מאסר על תנאי,  הנאשם לא יישא את עונש המאסר על  תנאי </w:t>
      </w:r>
      <w:r w:rsidRPr="006F12A6">
        <w:rPr>
          <w:rFonts w:cs="Times New Roman"/>
          <w:sz w:val="26"/>
          <w:szCs w:val="26"/>
          <w:rtl/>
        </w:rPr>
        <w:t xml:space="preserve">אלא אם יעבור תוך שלוש שנים  מיום שחרורו ממאסר עבירות בנשק ויורשע בשל עבירה כזאת תוך תקופת התנאי או לאחריה. </w:t>
      </w:r>
    </w:p>
    <w:p w14:paraId="12E8787E" w14:textId="77777777" w:rsidR="002B1E25" w:rsidRPr="006F12A6" w:rsidRDefault="002B1E25" w:rsidP="002B1E25">
      <w:pPr>
        <w:spacing w:line="360" w:lineRule="auto"/>
        <w:ind w:left="360"/>
        <w:jc w:val="both"/>
        <w:rPr>
          <w:rFonts w:ascii="David" w:hAnsi="David" w:cs="FrankRuehl"/>
          <w:szCs w:val="28"/>
          <w:rtl/>
        </w:rPr>
      </w:pPr>
    </w:p>
    <w:p w14:paraId="7B632348" w14:textId="77777777" w:rsidR="002B1E25" w:rsidRPr="006F12A6" w:rsidRDefault="002B1E25" w:rsidP="002B1E25">
      <w:pPr>
        <w:spacing w:line="360" w:lineRule="auto"/>
        <w:ind w:left="720"/>
        <w:jc w:val="both"/>
        <w:rPr>
          <w:rFonts w:ascii="Arial" w:hAnsi="Arial" w:cs="FrankRuehl"/>
          <w:szCs w:val="28"/>
          <w:u w:val="single"/>
        </w:rPr>
      </w:pPr>
      <w:r w:rsidRPr="006F12A6">
        <w:rPr>
          <w:rFonts w:ascii="Arial" w:hAnsi="Arial" w:cs="FrankRuehl"/>
          <w:szCs w:val="28"/>
          <w:u w:val="single"/>
          <w:rtl/>
        </w:rPr>
        <w:t>זכות ערעור לבית המשפט העליון תוך 45 יום.</w:t>
      </w:r>
    </w:p>
    <w:p w14:paraId="254D7320" w14:textId="77777777" w:rsidR="002B1E25" w:rsidRPr="006F12A6" w:rsidRDefault="002B1E25" w:rsidP="002B1E25">
      <w:pPr>
        <w:spacing w:line="360" w:lineRule="auto"/>
        <w:ind w:left="720"/>
        <w:jc w:val="both"/>
        <w:rPr>
          <w:rFonts w:ascii="Arial" w:hAnsi="Arial" w:cs="FrankRuehl"/>
          <w:szCs w:val="28"/>
        </w:rPr>
      </w:pPr>
    </w:p>
    <w:p w14:paraId="274650BE" w14:textId="77777777" w:rsidR="002B1E25" w:rsidRDefault="00547857" w:rsidP="002B1E25">
      <w:pPr>
        <w:spacing w:line="360" w:lineRule="auto"/>
        <w:jc w:val="both"/>
        <w:rPr>
          <w:rFonts w:ascii="Arial" w:hAnsi="Arial"/>
        </w:rPr>
      </w:pPr>
      <w:r w:rsidRPr="00547857">
        <w:rPr>
          <w:rFonts w:ascii="Arial" w:hAnsi="Arial"/>
          <w:color w:val="FFFFFF"/>
          <w:sz w:val="2"/>
          <w:szCs w:val="2"/>
          <w:rtl/>
        </w:rPr>
        <w:t>5129371</w:t>
      </w:r>
      <w:r>
        <w:rPr>
          <w:rFonts w:ascii="Arial" w:hAnsi="Arial"/>
          <w:rtl/>
        </w:rPr>
        <w:t xml:space="preserve">ניתן היום,  י"א ניסן תשע"ט, 16 אפריל 2019, בנוכחות ב"כ המאשימה עו"ד רינת לוי, הסנגור עו"ד </w:t>
      </w:r>
      <w:r w:rsidR="002B1E25">
        <w:rPr>
          <w:rFonts w:ascii="Arial" w:hAnsi="Arial" w:hint="cs"/>
          <w:rtl/>
        </w:rPr>
        <w:t>פאיז יונס והנאשם באמצעות שב"ס</w:t>
      </w:r>
      <w:r w:rsidR="002B1E25">
        <w:rPr>
          <w:rFonts w:ascii="Arial" w:hAnsi="Arial"/>
          <w:rtl/>
        </w:rPr>
        <w:t>.</w:t>
      </w:r>
    </w:p>
    <w:p w14:paraId="4F9452C1" w14:textId="77777777" w:rsidR="002B1E25" w:rsidRPr="00547857" w:rsidRDefault="00547857" w:rsidP="002B1E25">
      <w:pPr>
        <w:rPr>
          <w:rFonts w:cs="FrankRuehl"/>
          <w:color w:val="FFFFFF"/>
          <w:sz w:val="2"/>
          <w:szCs w:val="2"/>
          <w:rtl/>
        </w:rPr>
      </w:pPr>
      <w:r w:rsidRPr="00547857">
        <w:rPr>
          <w:rFonts w:cs="FrankRuehl"/>
          <w:color w:val="FFFFFF"/>
          <w:sz w:val="2"/>
          <w:szCs w:val="2"/>
          <w:rtl/>
        </w:rPr>
        <w:t>54678313</w:t>
      </w:r>
    </w:p>
    <w:p w14:paraId="083785C4" w14:textId="77777777" w:rsidR="002B1E25" w:rsidRDefault="002B1E25" w:rsidP="002B1E2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51366E6" w14:textId="77777777" w:rsidR="002B1E25" w:rsidRDefault="002B1E25" w:rsidP="002B1E25">
      <w:pPr>
        <w:jc w:val="center"/>
        <w:rPr>
          <w:rFonts w:ascii="Arial" w:hAnsi="Arial" w:cs="FrankRuehl"/>
          <w:sz w:val="28"/>
          <w:szCs w:val="28"/>
          <w:rtl/>
        </w:rPr>
      </w:pPr>
    </w:p>
    <w:p w14:paraId="645F7652" w14:textId="77777777" w:rsidR="002B1E25" w:rsidRDefault="002B1E25" w:rsidP="002B1E25">
      <w:pPr>
        <w:rPr>
          <w:rFonts w:cs="FrankRuehl"/>
          <w:sz w:val="28"/>
          <w:szCs w:val="28"/>
          <w:rtl/>
        </w:rPr>
      </w:pPr>
    </w:p>
    <w:p w14:paraId="3D4B0FCA" w14:textId="77777777" w:rsidR="002B1E25" w:rsidRDefault="002B1E25" w:rsidP="002B1E25">
      <w:pPr>
        <w:pStyle w:val="a3"/>
        <w:jc w:val="center"/>
        <w:rPr>
          <w:rtl/>
        </w:rPr>
      </w:pPr>
    </w:p>
    <w:p w14:paraId="03A996B9" w14:textId="77777777" w:rsidR="0008706F" w:rsidRPr="00547857" w:rsidRDefault="0008706F" w:rsidP="00547857">
      <w:pPr>
        <w:keepNext/>
        <w:rPr>
          <w:rFonts w:ascii="David" w:hAnsi="David"/>
          <w:color w:val="000000"/>
          <w:sz w:val="22"/>
          <w:szCs w:val="22"/>
          <w:rtl/>
        </w:rPr>
      </w:pPr>
    </w:p>
    <w:p w14:paraId="1C07DE9F" w14:textId="77777777" w:rsidR="00547857" w:rsidRPr="00547857" w:rsidRDefault="00547857" w:rsidP="00547857">
      <w:pPr>
        <w:keepNext/>
        <w:rPr>
          <w:rFonts w:ascii="David" w:hAnsi="David"/>
          <w:color w:val="000000"/>
          <w:sz w:val="22"/>
          <w:szCs w:val="22"/>
          <w:rtl/>
        </w:rPr>
      </w:pPr>
      <w:r w:rsidRPr="00547857">
        <w:rPr>
          <w:rFonts w:ascii="David" w:hAnsi="David"/>
          <w:color w:val="000000"/>
          <w:sz w:val="22"/>
          <w:szCs w:val="22"/>
          <w:rtl/>
        </w:rPr>
        <w:t>אברהם אליקים 54678313</w:t>
      </w:r>
    </w:p>
    <w:p w14:paraId="74F44211" w14:textId="77777777" w:rsidR="00547857" w:rsidRDefault="00547857" w:rsidP="00547857">
      <w:r w:rsidRPr="00547857">
        <w:rPr>
          <w:color w:val="000000"/>
          <w:rtl/>
        </w:rPr>
        <w:t>נוסח מסמך זה כפוף לשינויי ניסוח ועריכה</w:t>
      </w:r>
    </w:p>
    <w:p w14:paraId="59976AE1" w14:textId="77777777" w:rsidR="00547857" w:rsidRDefault="00547857" w:rsidP="00547857">
      <w:pPr>
        <w:rPr>
          <w:rtl/>
        </w:rPr>
      </w:pPr>
    </w:p>
    <w:p w14:paraId="20EC1860" w14:textId="77777777" w:rsidR="00547857" w:rsidRDefault="00547857" w:rsidP="00547857">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1C6FDE2A" w14:textId="77777777" w:rsidR="00547857" w:rsidRPr="00547857" w:rsidRDefault="00EA3FAE" w:rsidP="00547857">
      <w:pPr>
        <w:jc w:val="center"/>
        <w:rPr>
          <w:color w:val="0000FF"/>
          <w:u w:val="single"/>
        </w:rPr>
      </w:pPr>
      <w:r>
        <w:rPr>
          <w:rFonts w:hint="cs"/>
          <w:color w:val="0000FF"/>
          <w:u w:val="single"/>
          <w:rtl/>
        </w:rPr>
        <w:t xml:space="preserve">           </w:t>
      </w:r>
    </w:p>
    <w:sectPr w:rsidR="00547857" w:rsidRPr="00547857" w:rsidSect="00547857">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3AFA0" w14:textId="77777777" w:rsidR="000855AE" w:rsidRDefault="000855AE" w:rsidP="00A06DBD">
      <w:r>
        <w:separator/>
      </w:r>
    </w:p>
  </w:endnote>
  <w:endnote w:type="continuationSeparator" w:id="0">
    <w:p w14:paraId="5E52E25E" w14:textId="77777777" w:rsidR="000855AE" w:rsidRDefault="000855AE" w:rsidP="00A0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5400E" w14:textId="77777777" w:rsidR="00547857" w:rsidRDefault="00547857" w:rsidP="005478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C71C26" w14:textId="77777777" w:rsidR="00F1535D" w:rsidRPr="00547857" w:rsidRDefault="00547857" w:rsidP="0054785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9C333" w14:textId="77777777" w:rsidR="00547857" w:rsidRDefault="00547857" w:rsidP="005478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1023">
      <w:rPr>
        <w:rFonts w:ascii="FrankRuehl" w:hAnsi="FrankRuehl" w:cs="FrankRuehl"/>
        <w:noProof/>
        <w:rtl/>
      </w:rPr>
      <w:t>1</w:t>
    </w:r>
    <w:r>
      <w:rPr>
        <w:rFonts w:ascii="FrankRuehl" w:hAnsi="FrankRuehl" w:cs="FrankRuehl"/>
        <w:rtl/>
      </w:rPr>
      <w:fldChar w:fldCharType="end"/>
    </w:r>
  </w:p>
  <w:p w14:paraId="56922496" w14:textId="77777777" w:rsidR="00F1535D" w:rsidRPr="00547857" w:rsidRDefault="00547857" w:rsidP="0054785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B246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54A78" w14:textId="77777777" w:rsidR="000855AE" w:rsidRDefault="000855AE" w:rsidP="00A06DBD">
      <w:r>
        <w:separator/>
      </w:r>
    </w:p>
  </w:footnote>
  <w:footnote w:type="continuationSeparator" w:id="0">
    <w:p w14:paraId="32737F09" w14:textId="77777777" w:rsidR="000855AE" w:rsidRDefault="000855AE" w:rsidP="00A06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0B80C" w14:textId="77777777" w:rsidR="00547857" w:rsidRPr="00547857" w:rsidRDefault="00547857" w:rsidP="005478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4475-11-18</w:t>
    </w:r>
    <w:r>
      <w:rPr>
        <w:rFonts w:ascii="David" w:hAnsi="David"/>
        <w:color w:val="000000"/>
        <w:sz w:val="22"/>
        <w:szCs w:val="22"/>
        <w:rtl/>
      </w:rPr>
      <w:tab/>
      <w:t xml:space="preserve"> מדינת ישראל נ' גריב אבו שייך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DC2EE" w14:textId="77777777" w:rsidR="00547857" w:rsidRPr="00547857" w:rsidRDefault="00547857" w:rsidP="005478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4475-11-18</w:t>
    </w:r>
    <w:r>
      <w:rPr>
        <w:rFonts w:ascii="David" w:hAnsi="David"/>
        <w:color w:val="000000"/>
        <w:sz w:val="22"/>
        <w:szCs w:val="22"/>
        <w:rtl/>
      </w:rPr>
      <w:tab/>
      <w:t xml:space="preserve"> מדינת ישראל נ' גריב אבו שייך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EBEEB9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9FD6947"/>
    <w:multiLevelType w:val="hybridMultilevel"/>
    <w:tmpl w:val="8C24A7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775758972">
    <w:abstractNumId w:val="0"/>
  </w:num>
  <w:num w:numId="2" w16cid:durableId="155747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1E25"/>
    <w:rsid w:val="000855AE"/>
    <w:rsid w:val="0008706F"/>
    <w:rsid w:val="00197D2D"/>
    <w:rsid w:val="001B5A3B"/>
    <w:rsid w:val="002A009F"/>
    <w:rsid w:val="002B1E25"/>
    <w:rsid w:val="003C52C6"/>
    <w:rsid w:val="00431C60"/>
    <w:rsid w:val="004D72D1"/>
    <w:rsid w:val="00547857"/>
    <w:rsid w:val="00A06DBD"/>
    <w:rsid w:val="00AF2AA7"/>
    <w:rsid w:val="00C21023"/>
    <w:rsid w:val="00C35241"/>
    <w:rsid w:val="00D730BA"/>
    <w:rsid w:val="00EA3FAE"/>
    <w:rsid w:val="00F153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160C0CE"/>
  <w15:chartTrackingRefBased/>
  <w15:docId w15:val="{A54B0BBF-9FE3-4988-B8BD-27024F91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1E2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B1E25"/>
    <w:pPr>
      <w:tabs>
        <w:tab w:val="center" w:pos="4153"/>
        <w:tab w:val="right" w:pos="8306"/>
      </w:tabs>
    </w:pPr>
  </w:style>
  <w:style w:type="character" w:customStyle="1" w:styleId="a4">
    <w:name w:val="כותרת עליונה תו"/>
    <w:link w:val="a3"/>
    <w:rsid w:val="002B1E25"/>
    <w:rPr>
      <w:rFonts w:ascii="Times New Roman" w:eastAsia="Times New Roman" w:hAnsi="Times New Roman" w:cs="David"/>
      <w:sz w:val="24"/>
      <w:szCs w:val="24"/>
    </w:rPr>
  </w:style>
  <w:style w:type="paragraph" w:styleId="a5">
    <w:name w:val="footer"/>
    <w:basedOn w:val="a"/>
    <w:link w:val="a6"/>
    <w:rsid w:val="002B1E25"/>
    <w:pPr>
      <w:tabs>
        <w:tab w:val="center" w:pos="4153"/>
        <w:tab w:val="right" w:pos="8306"/>
      </w:tabs>
    </w:pPr>
  </w:style>
  <w:style w:type="character" w:customStyle="1" w:styleId="a6">
    <w:name w:val="כותרת תחתונה תו"/>
    <w:link w:val="a5"/>
    <w:rsid w:val="002B1E25"/>
    <w:rPr>
      <w:rFonts w:ascii="Times New Roman" w:eastAsia="Times New Roman" w:hAnsi="Times New Roman" w:cs="David"/>
      <w:sz w:val="24"/>
      <w:szCs w:val="24"/>
    </w:rPr>
  </w:style>
  <w:style w:type="table" w:styleId="a7">
    <w:name w:val="Table Grid"/>
    <w:basedOn w:val="a1"/>
    <w:rsid w:val="002B1E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B1E25"/>
  </w:style>
  <w:style w:type="character" w:styleId="Hyperlink">
    <w:name w:val="Hyperlink"/>
    <w:rsid w:val="00547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b"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7697292"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350903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144.b"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40b" TargetMode="External"/><Relationship Id="rId20" Type="http://schemas.openxmlformats.org/officeDocument/2006/relationships/hyperlink" Target="http://www.nevo.co.il/case/559009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hyperlink" Target="http://www.nevo.co.il/law/70301/40ja" TargetMode="External"/><Relationship Id="rId28" Type="http://schemas.openxmlformats.org/officeDocument/2006/relationships/footer" Target="footer2.xml"/><Relationship Id="rId10" Type="http://schemas.openxmlformats.org/officeDocument/2006/relationships/hyperlink" Target="http://www.nevo.co.il/law/70301/340a" TargetMode="External"/><Relationship Id="rId19" Type="http://schemas.openxmlformats.org/officeDocument/2006/relationships/hyperlink" Target="http://www.nevo.co.il/case/7681198"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case/7791493"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1429</Words>
  <Characters>7150</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8562</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3997815</vt:i4>
      </vt:variant>
      <vt:variant>
        <vt:i4>42</vt:i4>
      </vt:variant>
      <vt:variant>
        <vt:i4>0</vt:i4>
      </vt:variant>
      <vt:variant>
        <vt:i4>5</vt:i4>
      </vt:variant>
      <vt:variant>
        <vt:lpwstr>http://www.nevo.co.il/case/23509035</vt:lpwstr>
      </vt:variant>
      <vt:variant>
        <vt:lpwstr/>
      </vt:variant>
      <vt:variant>
        <vt:i4>3997816</vt:i4>
      </vt:variant>
      <vt:variant>
        <vt:i4>39</vt:i4>
      </vt:variant>
      <vt:variant>
        <vt:i4>0</vt:i4>
      </vt:variant>
      <vt:variant>
        <vt:i4>5</vt:i4>
      </vt:variant>
      <vt:variant>
        <vt:lpwstr>http://www.nevo.co.il/case/5590091</vt:lpwstr>
      </vt:variant>
      <vt:variant>
        <vt:lpwstr/>
      </vt:variant>
      <vt:variant>
        <vt:i4>3539066</vt:i4>
      </vt:variant>
      <vt:variant>
        <vt:i4>36</vt:i4>
      </vt:variant>
      <vt:variant>
        <vt:i4>0</vt:i4>
      </vt:variant>
      <vt:variant>
        <vt:i4>5</vt:i4>
      </vt:variant>
      <vt:variant>
        <vt:lpwstr>http://www.nevo.co.il/case/7681198</vt:lpwstr>
      </vt:variant>
      <vt:variant>
        <vt:lpwstr/>
      </vt:variant>
      <vt:variant>
        <vt:i4>4063356</vt:i4>
      </vt:variant>
      <vt:variant>
        <vt:i4>33</vt:i4>
      </vt:variant>
      <vt:variant>
        <vt:i4>0</vt:i4>
      </vt:variant>
      <vt:variant>
        <vt:i4>5</vt:i4>
      </vt:variant>
      <vt:variant>
        <vt:lpwstr>http://www.nevo.co.il/case/7697292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86</vt:i4>
      </vt:variant>
      <vt:variant>
        <vt:i4>24</vt:i4>
      </vt:variant>
      <vt:variant>
        <vt:i4>0</vt:i4>
      </vt:variant>
      <vt:variant>
        <vt:i4>5</vt:i4>
      </vt:variant>
      <vt:variant>
        <vt:lpwstr>http://www.nevo.co.il/law/70301/340a</vt:lpwstr>
      </vt:variant>
      <vt:variant>
        <vt:lpwstr/>
      </vt:variant>
      <vt:variant>
        <vt:i4>86</vt:i4>
      </vt:variant>
      <vt:variant>
        <vt:i4>21</vt:i4>
      </vt:variant>
      <vt:variant>
        <vt:i4>0</vt:i4>
      </vt:variant>
      <vt:variant>
        <vt:i4>5</vt:i4>
      </vt:variant>
      <vt:variant>
        <vt:lpwstr>http://www.nevo.co.il/law/70301/340a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2025-01-19T16:25:00Z</dcterms:created>
  <dcterms:modified xsi:type="dcterms:W3CDTF">2025-01-19T16:25:00Z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4475</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גריב אבו שייך</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20190416</vt:lpwstr>
  </property>
  <property fmtid="{D5CDD505-2E9C-101B-9397-08002B2CF9AE}" pid="13" name="TYPE_N_DATE">
    <vt:lpwstr>39020190416</vt:lpwstr>
  </property>
  <property fmtid="{D5CDD505-2E9C-101B-9397-08002B2CF9AE}" pid="14" name="WORDNUMPAGES">
    <vt:lpwstr>6</vt:lpwstr>
  </property>
  <property fmtid="{D5CDD505-2E9C-101B-9397-08002B2CF9AE}" pid="15" name="TYPE_ABS_DATE">
    <vt:lpwstr>390020190416</vt:lpwstr>
  </property>
  <property fmtid="{D5CDD505-2E9C-101B-9397-08002B2CF9AE}" pid="16" name="ISABSTRACT">
    <vt:lpwstr>Y</vt:lpwstr>
  </property>
  <property fmtid="{D5CDD505-2E9C-101B-9397-08002B2CF9AE}" pid="17" name="CASESLISTTMP1">
    <vt:lpwstr>7697292;7681198;5590091;23509035;7791493</vt:lpwstr>
  </property>
  <property fmtid="{D5CDD505-2E9C-101B-9397-08002B2CF9AE}" pid="18" name="LAWLISTTMP1">
    <vt:lpwstr>70301/144.b:2;340a:2;040b;40ja</vt:lpwstr>
  </property>
</Properties>
</file>