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02CFF" w:rsidRPr="007E1A75" w14:paraId="123BFF25" w14:textId="77777777" w:rsidTr="00AC30C3">
        <w:trPr>
          <w:trHeight w:hRule="exact" w:val="418"/>
          <w:jc w:val="center"/>
        </w:trPr>
        <w:tc>
          <w:tcPr>
            <w:tcW w:w="8721" w:type="dxa"/>
            <w:gridSpan w:val="2"/>
          </w:tcPr>
          <w:p w14:paraId="0B673A80" w14:textId="77777777" w:rsidR="00302CFF" w:rsidRPr="007E1A75" w:rsidRDefault="00302CFF" w:rsidP="00B06956">
            <w:pPr>
              <w:pStyle w:val="a3"/>
              <w:jc w:val="center"/>
              <w:rPr>
                <w:rFonts w:ascii="Tahoma" w:hAnsi="Tahoma" w:cs="Tahoma"/>
                <w:color w:val="000080"/>
                <w:rtl/>
              </w:rPr>
            </w:pPr>
            <w:bookmarkStart w:id="0" w:name="FirstLawyer"/>
            <w:bookmarkStart w:id="1" w:name="LastJudge"/>
            <w:r w:rsidRPr="007E1A75">
              <w:rPr>
                <w:rFonts w:ascii="Tahoma" w:hAnsi="Tahoma" w:cs="Tahoma"/>
                <w:b/>
                <w:bCs/>
                <w:color w:val="000080"/>
                <w:rtl/>
              </w:rPr>
              <w:t>בית המשפט המחוזי בחיפה</w:t>
            </w:r>
          </w:p>
        </w:tc>
      </w:tr>
      <w:tr w:rsidR="00302CFF" w:rsidRPr="007E1A75" w14:paraId="6A4D6DC8" w14:textId="77777777" w:rsidTr="00AC30C3">
        <w:trPr>
          <w:trHeight w:val="337"/>
          <w:jc w:val="center"/>
        </w:trPr>
        <w:tc>
          <w:tcPr>
            <w:tcW w:w="5054" w:type="dxa"/>
          </w:tcPr>
          <w:p w14:paraId="22B7DC3A" w14:textId="77777777" w:rsidR="00302CFF" w:rsidRPr="007E1A75" w:rsidRDefault="00302CFF" w:rsidP="00B06956">
            <w:pPr>
              <w:rPr>
                <w:rFonts w:cs="FrankRuehl"/>
                <w:sz w:val="28"/>
                <w:szCs w:val="28"/>
                <w:rtl/>
              </w:rPr>
            </w:pPr>
            <w:r w:rsidRPr="007E1A75">
              <w:rPr>
                <w:rFonts w:cs="FrankRuehl"/>
                <w:sz w:val="28"/>
                <w:szCs w:val="28"/>
                <w:rtl/>
              </w:rPr>
              <w:t>ת"פ</w:t>
            </w:r>
            <w:r w:rsidRPr="007E1A75">
              <w:rPr>
                <w:rFonts w:cs="FrankRuehl" w:hint="cs"/>
                <w:sz w:val="28"/>
                <w:szCs w:val="28"/>
                <w:rtl/>
              </w:rPr>
              <w:t xml:space="preserve"> </w:t>
            </w:r>
            <w:r w:rsidRPr="007E1A75">
              <w:rPr>
                <w:rFonts w:cs="FrankRuehl"/>
                <w:sz w:val="28"/>
                <w:szCs w:val="28"/>
                <w:rtl/>
              </w:rPr>
              <w:t>39990-12-18</w:t>
            </w:r>
            <w:r w:rsidRPr="007E1A75">
              <w:rPr>
                <w:rFonts w:cs="FrankRuehl" w:hint="cs"/>
                <w:sz w:val="28"/>
                <w:szCs w:val="28"/>
                <w:rtl/>
              </w:rPr>
              <w:t xml:space="preserve"> </w:t>
            </w:r>
            <w:r w:rsidRPr="007E1A75">
              <w:rPr>
                <w:rFonts w:cs="FrankRuehl"/>
                <w:sz w:val="28"/>
                <w:szCs w:val="28"/>
                <w:rtl/>
              </w:rPr>
              <w:t>מדינת ישראל נ' זידאן ואח'</w:t>
            </w:r>
          </w:p>
          <w:p w14:paraId="02884FE0" w14:textId="77777777" w:rsidR="00302CFF" w:rsidRPr="007E1A75" w:rsidRDefault="00302CFF" w:rsidP="00B06956">
            <w:pPr>
              <w:pStyle w:val="a3"/>
              <w:rPr>
                <w:rFonts w:cs="FrankRuehl"/>
                <w:sz w:val="28"/>
                <w:szCs w:val="28"/>
                <w:rtl/>
              </w:rPr>
            </w:pPr>
          </w:p>
        </w:tc>
        <w:tc>
          <w:tcPr>
            <w:tcW w:w="3667" w:type="dxa"/>
          </w:tcPr>
          <w:p w14:paraId="426CFDB2" w14:textId="77777777" w:rsidR="00302CFF" w:rsidRPr="007E1A75" w:rsidRDefault="00302CFF" w:rsidP="00B06956">
            <w:pPr>
              <w:pStyle w:val="a3"/>
              <w:jc w:val="right"/>
              <w:rPr>
                <w:rFonts w:cs="FrankRuehl"/>
                <w:sz w:val="28"/>
                <w:szCs w:val="28"/>
                <w:rtl/>
              </w:rPr>
            </w:pPr>
          </w:p>
        </w:tc>
      </w:tr>
    </w:tbl>
    <w:p w14:paraId="37797383" w14:textId="77777777" w:rsidR="00302CFF" w:rsidRPr="007E1A75" w:rsidRDefault="00302CFF" w:rsidP="00302CFF">
      <w:pPr>
        <w:pStyle w:val="a3"/>
        <w:rPr>
          <w:rtl/>
        </w:rPr>
      </w:pPr>
      <w:r w:rsidRPr="007E1A75">
        <w:rPr>
          <w:rFonts w:hint="cs"/>
          <w:rtl/>
        </w:rPr>
        <w:t xml:space="preserve"> </w:t>
      </w:r>
    </w:p>
    <w:p w14:paraId="49514AF8" w14:textId="77777777" w:rsidR="00302CFF" w:rsidRPr="007E1A75" w:rsidRDefault="00302CFF" w:rsidP="00302CFF">
      <w:pPr>
        <w:rPr>
          <w:rFonts w:ascii="Arial" w:hAnsi="Arial"/>
          <w:rtl/>
        </w:rPr>
      </w:pPr>
    </w:p>
    <w:p w14:paraId="4EB5F8E4" w14:textId="77777777" w:rsidR="00302CFF" w:rsidRPr="007E1A75" w:rsidRDefault="00302CFF" w:rsidP="00302CFF">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302CFF" w:rsidRPr="007E1A75" w14:paraId="214F2EDE" w14:textId="77777777" w:rsidTr="00302CFF">
        <w:trPr>
          <w:gridAfter w:val="1"/>
          <w:wAfter w:w="56" w:type="dxa"/>
        </w:trPr>
        <w:tc>
          <w:tcPr>
            <w:tcW w:w="8718" w:type="dxa"/>
            <w:gridSpan w:val="2"/>
            <w:shd w:val="clear" w:color="auto" w:fill="auto"/>
          </w:tcPr>
          <w:p w14:paraId="361A12C7" w14:textId="77777777" w:rsidR="00302CFF" w:rsidRPr="007E1A75" w:rsidRDefault="00302CFF" w:rsidP="00B06956">
            <w:pPr>
              <w:rPr>
                <w:b/>
                <w:bCs/>
                <w:sz w:val="26"/>
                <w:szCs w:val="26"/>
                <w:rtl/>
              </w:rPr>
            </w:pPr>
            <w:r w:rsidRPr="007E1A75">
              <w:rPr>
                <w:rFonts w:hint="cs"/>
                <w:b/>
                <w:bCs/>
                <w:sz w:val="26"/>
                <w:szCs w:val="26"/>
                <w:rtl/>
              </w:rPr>
              <w:t>לפני כבוד ה</w:t>
            </w:r>
            <w:r w:rsidRPr="007E1A75">
              <w:rPr>
                <w:b/>
                <w:bCs/>
                <w:sz w:val="26"/>
                <w:szCs w:val="26"/>
                <w:rtl/>
              </w:rPr>
              <w:t>שופט דניאל פיש</w:t>
            </w:r>
            <w:r w:rsidRPr="007E1A75">
              <w:rPr>
                <w:rStyle w:val="TimesNewRomanTimesNewRoman"/>
                <w:rtl/>
              </w:rPr>
              <w:t xml:space="preserve"> </w:t>
            </w:r>
          </w:p>
        </w:tc>
      </w:tr>
      <w:tr w:rsidR="00302CFF" w:rsidRPr="007E1A75" w14:paraId="5D582295" w14:textId="77777777" w:rsidTr="00302CFF">
        <w:trPr>
          <w:cantSplit/>
          <w:trHeight w:val="724"/>
        </w:trPr>
        <w:tc>
          <w:tcPr>
            <w:tcW w:w="2880" w:type="dxa"/>
            <w:shd w:val="clear" w:color="auto" w:fill="auto"/>
          </w:tcPr>
          <w:p w14:paraId="75C5B491" w14:textId="77777777" w:rsidR="00302CFF" w:rsidRPr="007E1A75" w:rsidRDefault="00302CFF" w:rsidP="00302CFF">
            <w:pPr>
              <w:ind w:left="26"/>
              <w:jc w:val="right"/>
              <w:rPr>
                <w:b/>
                <w:bCs/>
                <w:sz w:val="26"/>
                <w:szCs w:val="26"/>
                <w:rtl/>
              </w:rPr>
            </w:pPr>
            <w:bookmarkStart w:id="2" w:name="FirstAppellant"/>
          </w:p>
          <w:p w14:paraId="3CAD082D" w14:textId="77777777" w:rsidR="00302CFF" w:rsidRPr="007E1A75" w:rsidRDefault="00302CFF" w:rsidP="00302CFF">
            <w:pPr>
              <w:ind w:left="26"/>
              <w:jc w:val="both"/>
              <w:rPr>
                <w:b/>
                <w:bCs/>
                <w:sz w:val="26"/>
                <w:szCs w:val="26"/>
                <w:rtl/>
              </w:rPr>
            </w:pPr>
            <w:r w:rsidRPr="007E1A75">
              <w:rPr>
                <w:rFonts w:hint="cs"/>
                <w:b/>
                <w:bCs/>
                <w:sz w:val="26"/>
                <w:szCs w:val="26"/>
                <w:rtl/>
              </w:rPr>
              <w:t>ה</w:t>
            </w:r>
            <w:r w:rsidRPr="007E1A75">
              <w:rPr>
                <w:b/>
                <w:bCs/>
                <w:sz w:val="26"/>
                <w:szCs w:val="26"/>
                <w:rtl/>
              </w:rPr>
              <w:t>מאשימה</w:t>
            </w:r>
          </w:p>
        </w:tc>
        <w:tc>
          <w:tcPr>
            <w:tcW w:w="5922" w:type="dxa"/>
            <w:gridSpan w:val="2"/>
            <w:shd w:val="clear" w:color="auto" w:fill="auto"/>
          </w:tcPr>
          <w:p w14:paraId="551F7698" w14:textId="77777777" w:rsidR="00302CFF" w:rsidRPr="007E1A75" w:rsidRDefault="00302CFF" w:rsidP="00302CFF">
            <w:pPr>
              <w:jc w:val="right"/>
              <w:rPr>
                <w:rFonts w:cs="Times New Roman"/>
                <w:rtl/>
              </w:rPr>
            </w:pPr>
          </w:p>
          <w:p w14:paraId="331593AA" w14:textId="77777777" w:rsidR="00302CFF" w:rsidRPr="007E1A75" w:rsidRDefault="00302CFF" w:rsidP="00B06956">
            <w:pPr>
              <w:rPr>
                <w:b/>
                <w:bCs/>
                <w:sz w:val="26"/>
                <w:szCs w:val="26"/>
                <w:rtl/>
              </w:rPr>
            </w:pPr>
            <w:r w:rsidRPr="007E1A75">
              <w:rPr>
                <w:rtl/>
              </w:rPr>
              <w:t xml:space="preserve"> </w:t>
            </w:r>
            <w:r w:rsidRPr="007E1A75">
              <w:rPr>
                <w:b/>
                <w:bCs/>
                <w:sz w:val="26"/>
                <w:szCs w:val="26"/>
                <w:rtl/>
              </w:rPr>
              <w:t>מדינת ישראל</w:t>
            </w:r>
            <w:r w:rsidRPr="007E1A75">
              <w:rPr>
                <w:rtl/>
              </w:rPr>
              <w:br/>
            </w:r>
            <w:r w:rsidRPr="007E1A75">
              <w:rPr>
                <w:rFonts w:hint="cs"/>
                <w:rtl/>
              </w:rPr>
              <w:t>ע"י ב"כ עו"ד מוחמד מולא  - פרקליטות מחוז חיפה</w:t>
            </w:r>
          </w:p>
          <w:p w14:paraId="5DCEB08E" w14:textId="77777777" w:rsidR="00302CFF" w:rsidRPr="007E1A75" w:rsidRDefault="00302CFF" w:rsidP="00302CFF">
            <w:pPr>
              <w:jc w:val="right"/>
              <w:rPr>
                <w:b/>
                <w:bCs/>
                <w:sz w:val="26"/>
                <w:szCs w:val="26"/>
                <w:rtl/>
              </w:rPr>
            </w:pPr>
          </w:p>
        </w:tc>
      </w:tr>
      <w:bookmarkEnd w:id="2"/>
      <w:tr w:rsidR="00302CFF" w:rsidRPr="007E1A75" w14:paraId="4E3E0B43" w14:textId="77777777" w:rsidTr="00302CFF">
        <w:tc>
          <w:tcPr>
            <w:tcW w:w="8802" w:type="dxa"/>
            <w:gridSpan w:val="3"/>
            <w:shd w:val="clear" w:color="auto" w:fill="auto"/>
            <w:vAlign w:val="center"/>
          </w:tcPr>
          <w:p w14:paraId="193396A8" w14:textId="77777777" w:rsidR="00302CFF" w:rsidRPr="007E1A75" w:rsidRDefault="00302CFF" w:rsidP="00302CFF">
            <w:pPr>
              <w:jc w:val="center"/>
              <w:rPr>
                <w:rFonts w:ascii="Arial" w:hAnsi="Arial"/>
                <w:b/>
                <w:bCs/>
                <w:sz w:val="26"/>
                <w:szCs w:val="26"/>
                <w:rtl/>
              </w:rPr>
            </w:pPr>
          </w:p>
          <w:p w14:paraId="6B276D6A" w14:textId="77777777" w:rsidR="00302CFF" w:rsidRPr="007E1A75" w:rsidRDefault="00302CFF" w:rsidP="00302CFF">
            <w:pPr>
              <w:jc w:val="center"/>
              <w:rPr>
                <w:rFonts w:ascii="Arial" w:hAnsi="Arial"/>
                <w:b/>
                <w:bCs/>
                <w:sz w:val="26"/>
                <w:szCs w:val="26"/>
                <w:rtl/>
              </w:rPr>
            </w:pPr>
            <w:r w:rsidRPr="007E1A75">
              <w:rPr>
                <w:rFonts w:ascii="Arial" w:hAnsi="Arial" w:hint="cs"/>
                <w:b/>
                <w:bCs/>
                <w:sz w:val="26"/>
                <w:szCs w:val="26"/>
                <w:rtl/>
              </w:rPr>
              <w:t>נגד</w:t>
            </w:r>
          </w:p>
          <w:p w14:paraId="629D7929" w14:textId="77777777" w:rsidR="00302CFF" w:rsidRPr="007E1A75" w:rsidRDefault="00302CFF" w:rsidP="00302CFF">
            <w:pPr>
              <w:jc w:val="right"/>
              <w:rPr>
                <w:rFonts w:ascii="Arial" w:hAnsi="Arial"/>
                <w:b/>
                <w:bCs/>
                <w:sz w:val="26"/>
                <w:szCs w:val="26"/>
                <w:rtl/>
              </w:rPr>
            </w:pPr>
          </w:p>
        </w:tc>
      </w:tr>
      <w:tr w:rsidR="00302CFF" w:rsidRPr="007E1A75" w14:paraId="33F42A4C" w14:textId="77777777" w:rsidTr="00302CFF">
        <w:tc>
          <w:tcPr>
            <w:tcW w:w="2880" w:type="dxa"/>
            <w:shd w:val="clear" w:color="auto" w:fill="auto"/>
          </w:tcPr>
          <w:p w14:paraId="3D42DC5C" w14:textId="77777777" w:rsidR="00302CFF" w:rsidRPr="007E1A75" w:rsidRDefault="00302CFF" w:rsidP="00302CFF">
            <w:pPr>
              <w:ind w:left="26"/>
              <w:rPr>
                <w:b/>
                <w:bCs/>
                <w:sz w:val="26"/>
                <w:szCs w:val="26"/>
              </w:rPr>
            </w:pPr>
            <w:r w:rsidRPr="007E1A75">
              <w:rPr>
                <w:rFonts w:hint="cs"/>
                <w:b/>
                <w:bCs/>
                <w:sz w:val="26"/>
                <w:szCs w:val="26"/>
                <w:rtl/>
              </w:rPr>
              <w:t>ה</w:t>
            </w:r>
            <w:r w:rsidRPr="007E1A75">
              <w:rPr>
                <w:b/>
                <w:bCs/>
                <w:sz w:val="26"/>
                <w:szCs w:val="26"/>
                <w:rtl/>
              </w:rPr>
              <w:t>נאשמים</w:t>
            </w:r>
          </w:p>
        </w:tc>
        <w:tc>
          <w:tcPr>
            <w:tcW w:w="5922" w:type="dxa"/>
            <w:gridSpan w:val="2"/>
            <w:shd w:val="clear" w:color="auto" w:fill="auto"/>
          </w:tcPr>
          <w:p w14:paraId="490C9927" w14:textId="77777777" w:rsidR="00302CFF" w:rsidRPr="007E1A75" w:rsidRDefault="00302CFF" w:rsidP="00B06956">
            <w:pPr>
              <w:rPr>
                <w:b/>
                <w:bCs/>
                <w:sz w:val="26"/>
                <w:szCs w:val="26"/>
                <w:rtl/>
              </w:rPr>
            </w:pPr>
            <w:r w:rsidRPr="007E1A75">
              <w:rPr>
                <w:b/>
                <w:bCs/>
                <w:sz w:val="26"/>
                <w:szCs w:val="26"/>
              </w:rPr>
              <w:t>.1</w:t>
            </w:r>
            <w:r w:rsidRPr="007E1A75">
              <w:rPr>
                <w:rFonts w:cs="Times New Roman"/>
                <w:rtl/>
              </w:rPr>
              <w:t xml:space="preserve"> </w:t>
            </w:r>
            <w:r w:rsidRPr="007E1A75">
              <w:rPr>
                <w:b/>
                <w:bCs/>
                <w:sz w:val="26"/>
                <w:szCs w:val="26"/>
                <w:rtl/>
              </w:rPr>
              <w:t>טאהא זידאן</w:t>
            </w:r>
            <w:r w:rsidRPr="007E1A75">
              <w:rPr>
                <w:rFonts w:cs="Times New Roman"/>
                <w:rtl/>
              </w:rPr>
              <w:t xml:space="preserve"> </w:t>
            </w:r>
            <w:r w:rsidRPr="007E1A75">
              <w:rPr>
                <w:b/>
                <w:bCs/>
                <w:sz w:val="26"/>
                <w:szCs w:val="26"/>
                <w:rtl/>
              </w:rPr>
              <w:t>ת"ז</w:t>
            </w:r>
            <w:r w:rsidRPr="007E1A75">
              <w:rPr>
                <w:rFonts w:hint="cs"/>
                <w:b/>
                <w:bCs/>
                <w:sz w:val="26"/>
                <w:szCs w:val="26"/>
                <w:rtl/>
              </w:rPr>
              <w:t xml:space="preserve">  </w:t>
            </w:r>
            <w:r w:rsidR="007E1A75">
              <w:rPr>
                <w:b/>
                <w:bCs/>
                <w:sz w:val="26"/>
                <w:szCs w:val="26"/>
              </w:rPr>
              <w:t>xxxxxxxxxx</w:t>
            </w:r>
          </w:p>
          <w:p w14:paraId="035C3DF2" w14:textId="77777777" w:rsidR="00302CFF" w:rsidRPr="007E1A75" w:rsidRDefault="00302CFF" w:rsidP="00B06956">
            <w:pPr>
              <w:rPr>
                <w:b/>
                <w:bCs/>
                <w:sz w:val="26"/>
                <w:szCs w:val="26"/>
                <w:rtl/>
              </w:rPr>
            </w:pPr>
            <w:r w:rsidRPr="007E1A75">
              <w:rPr>
                <w:rFonts w:hint="cs"/>
                <w:b/>
                <w:bCs/>
                <w:sz w:val="26"/>
                <w:szCs w:val="26"/>
                <w:rtl/>
              </w:rPr>
              <w:t>ע"י ב"כ עו"ד מוחמד שאמי</w:t>
            </w:r>
          </w:p>
          <w:p w14:paraId="04C1190D" w14:textId="77777777" w:rsidR="00302CFF" w:rsidRPr="007E1A75" w:rsidRDefault="00302CFF" w:rsidP="00302CFF">
            <w:pPr>
              <w:jc w:val="right"/>
              <w:rPr>
                <w:b/>
                <w:bCs/>
                <w:sz w:val="26"/>
                <w:szCs w:val="26"/>
                <w:rtl/>
              </w:rPr>
            </w:pPr>
          </w:p>
          <w:p w14:paraId="7EEABAAC" w14:textId="77777777" w:rsidR="00302CFF" w:rsidRPr="007E1A75" w:rsidRDefault="00302CFF" w:rsidP="00302CFF">
            <w:pPr>
              <w:jc w:val="both"/>
              <w:rPr>
                <w:b/>
                <w:bCs/>
                <w:sz w:val="26"/>
                <w:szCs w:val="26"/>
                <w:rtl/>
              </w:rPr>
            </w:pPr>
            <w:r w:rsidRPr="007E1A75">
              <w:rPr>
                <w:b/>
                <w:bCs/>
                <w:sz w:val="26"/>
                <w:szCs w:val="26"/>
              </w:rPr>
              <w:t>.2</w:t>
            </w:r>
            <w:r w:rsidRPr="007E1A75">
              <w:rPr>
                <w:rFonts w:cs="Times New Roman"/>
                <w:rtl/>
              </w:rPr>
              <w:t xml:space="preserve"> </w:t>
            </w:r>
            <w:r w:rsidRPr="007E1A75">
              <w:rPr>
                <w:b/>
                <w:bCs/>
                <w:sz w:val="26"/>
                <w:szCs w:val="26"/>
                <w:rtl/>
              </w:rPr>
              <w:t>מג'ד עזאם</w:t>
            </w:r>
            <w:r w:rsidRPr="007E1A75">
              <w:rPr>
                <w:rFonts w:cs="Times New Roman"/>
                <w:rtl/>
              </w:rPr>
              <w:t xml:space="preserve"> </w:t>
            </w:r>
            <w:r w:rsidRPr="007E1A75">
              <w:rPr>
                <w:b/>
                <w:bCs/>
                <w:sz w:val="26"/>
                <w:szCs w:val="26"/>
                <w:rtl/>
              </w:rPr>
              <w:t>ת"ז</w:t>
            </w:r>
            <w:r w:rsidRPr="007E1A75">
              <w:rPr>
                <w:rFonts w:hint="cs"/>
                <w:b/>
                <w:bCs/>
                <w:sz w:val="26"/>
                <w:szCs w:val="26"/>
                <w:rtl/>
              </w:rPr>
              <w:t xml:space="preserve">  </w:t>
            </w:r>
            <w:r w:rsidR="007E1A75">
              <w:rPr>
                <w:b/>
                <w:bCs/>
                <w:sz w:val="26"/>
                <w:szCs w:val="26"/>
              </w:rPr>
              <w:t>xxxxxxxxxx</w:t>
            </w:r>
          </w:p>
          <w:p w14:paraId="0E08461C" w14:textId="77777777" w:rsidR="00302CFF" w:rsidRPr="007E1A75" w:rsidRDefault="00302CFF" w:rsidP="00302CFF">
            <w:pPr>
              <w:jc w:val="both"/>
              <w:rPr>
                <w:b/>
                <w:bCs/>
                <w:sz w:val="26"/>
                <w:szCs w:val="26"/>
                <w:rtl/>
              </w:rPr>
            </w:pPr>
            <w:r w:rsidRPr="007E1A75">
              <w:rPr>
                <w:rFonts w:hint="cs"/>
                <w:b/>
                <w:bCs/>
                <w:sz w:val="26"/>
                <w:szCs w:val="26"/>
                <w:rtl/>
              </w:rPr>
              <w:t>ע"י ב"כ עו"ד לידאווי</w:t>
            </w:r>
          </w:p>
          <w:p w14:paraId="6E7649C1" w14:textId="77777777" w:rsidR="00302CFF" w:rsidRPr="007E1A75" w:rsidRDefault="00302CFF" w:rsidP="00302CFF">
            <w:pPr>
              <w:jc w:val="right"/>
              <w:rPr>
                <w:b/>
                <w:bCs/>
                <w:sz w:val="26"/>
                <w:szCs w:val="26"/>
                <w:rtl/>
              </w:rPr>
            </w:pPr>
          </w:p>
          <w:p w14:paraId="4AF86A0C" w14:textId="77777777" w:rsidR="00302CFF" w:rsidRPr="007E1A75" w:rsidRDefault="00302CFF" w:rsidP="00B06956">
            <w:pPr>
              <w:rPr>
                <w:b/>
                <w:bCs/>
                <w:sz w:val="26"/>
                <w:szCs w:val="26"/>
                <w:rtl/>
              </w:rPr>
            </w:pPr>
            <w:r w:rsidRPr="007E1A75">
              <w:rPr>
                <w:b/>
                <w:bCs/>
                <w:sz w:val="26"/>
                <w:szCs w:val="26"/>
              </w:rPr>
              <w:t>.3</w:t>
            </w:r>
            <w:r w:rsidRPr="007E1A75">
              <w:rPr>
                <w:rFonts w:cs="Times New Roman"/>
                <w:rtl/>
              </w:rPr>
              <w:t xml:space="preserve"> </w:t>
            </w:r>
            <w:r w:rsidRPr="007E1A75">
              <w:rPr>
                <w:b/>
                <w:bCs/>
                <w:sz w:val="26"/>
                <w:szCs w:val="26"/>
                <w:rtl/>
              </w:rPr>
              <w:t>אבראהים זידאן</w:t>
            </w:r>
            <w:r w:rsidRPr="007E1A75">
              <w:rPr>
                <w:rFonts w:cs="Times New Roman"/>
                <w:rtl/>
              </w:rPr>
              <w:t xml:space="preserve"> </w:t>
            </w:r>
            <w:r w:rsidRPr="007E1A75">
              <w:rPr>
                <w:b/>
                <w:bCs/>
                <w:sz w:val="26"/>
                <w:szCs w:val="26"/>
                <w:rtl/>
              </w:rPr>
              <w:t>ת"ז</w:t>
            </w:r>
            <w:r w:rsidRPr="007E1A75">
              <w:rPr>
                <w:rFonts w:hint="cs"/>
                <w:b/>
                <w:bCs/>
                <w:sz w:val="26"/>
                <w:szCs w:val="26"/>
                <w:rtl/>
              </w:rPr>
              <w:t xml:space="preserve">  </w:t>
            </w:r>
            <w:r w:rsidR="007E1A75">
              <w:rPr>
                <w:b/>
                <w:bCs/>
                <w:sz w:val="26"/>
                <w:szCs w:val="26"/>
              </w:rPr>
              <w:t>xxxxxxxxxx</w:t>
            </w:r>
          </w:p>
          <w:p w14:paraId="37092ECB" w14:textId="77777777" w:rsidR="00302CFF" w:rsidRPr="007E1A75" w:rsidRDefault="00302CFF" w:rsidP="00B06956">
            <w:pPr>
              <w:rPr>
                <w:b/>
                <w:bCs/>
                <w:sz w:val="26"/>
                <w:szCs w:val="26"/>
                <w:rtl/>
              </w:rPr>
            </w:pPr>
            <w:r w:rsidRPr="007E1A75">
              <w:rPr>
                <w:rFonts w:hint="cs"/>
                <w:b/>
                <w:bCs/>
                <w:sz w:val="26"/>
                <w:szCs w:val="26"/>
                <w:rtl/>
              </w:rPr>
              <w:t xml:space="preserve">ע"י ב"כ עו"ד יוסף שלבי </w:t>
            </w:r>
          </w:p>
          <w:p w14:paraId="7654F2D1" w14:textId="77777777" w:rsidR="00302CFF" w:rsidRPr="007E1A75" w:rsidRDefault="00302CFF" w:rsidP="00302CFF">
            <w:pPr>
              <w:jc w:val="right"/>
              <w:rPr>
                <w:b/>
                <w:bCs/>
                <w:sz w:val="26"/>
                <w:szCs w:val="26"/>
                <w:rtl/>
              </w:rPr>
            </w:pPr>
          </w:p>
        </w:tc>
      </w:tr>
    </w:tbl>
    <w:p w14:paraId="39076E84" w14:textId="77777777" w:rsidR="00880E52" w:rsidRPr="00880E52" w:rsidRDefault="00880E52" w:rsidP="00880E52">
      <w:pPr>
        <w:spacing w:before="120" w:after="120" w:line="240" w:lineRule="exact"/>
        <w:ind w:left="283" w:hanging="283"/>
        <w:jc w:val="both"/>
        <w:rPr>
          <w:rFonts w:ascii="FrankRuehl" w:hAnsi="FrankRuehl" w:cs="FrankRuehl"/>
          <w:rtl/>
        </w:rPr>
      </w:pPr>
      <w:bookmarkStart w:id="3" w:name="LawTable"/>
      <w:bookmarkEnd w:id="3"/>
    </w:p>
    <w:p w14:paraId="6D278DAD" w14:textId="77777777" w:rsidR="00880E52" w:rsidRPr="00880E52" w:rsidRDefault="00880E52" w:rsidP="00880E52">
      <w:pPr>
        <w:spacing w:before="120" w:after="120" w:line="240" w:lineRule="exact"/>
        <w:ind w:left="283" w:hanging="283"/>
        <w:jc w:val="both"/>
        <w:rPr>
          <w:rFonts w:ascii="FrankRuehl" w:hAnsi="FrankRuehl" w:cs="FrankRuehl"/>
          <w:rtl/>
        </w:rPr>
      </w:pPr>
      <w:r w:rsidRPr="00880E52">
        <w:rPr>
          <w:rFonts w:ascii="FrankRuehl" w:hAnsi="FrankRuehl" w:cs="FrankRuehl"/>
          <w:rtl/>
        </w:rPr>
        <w:t xml:space="preserve">חקיקה שאוזכרה: </w:t>
      </w:r>
    </w:p>
    <w:p w14:paraId="217309E1" w14:textId="77777777" w:rsidR="00880E52" w:rsidRPr="00880E52" w:rsidRDefault="00880E52" w:rsidP="00880E52">
      <w:pPr>
        <w:spacing w:before="120" w:after="120" w:line="240" w:lineRule="exact"/>
        <w:ind w:left="283" w:hanging="283"/>
        <w:jc w:val="both"/>
        <w:rPr>
          <w:rFonts w:ascii="FrankRuehl" w:hAnsi="FrankRuehl" w:cs="FrankRuehl"/>
          <w:color w:val="0000FF"/>
          <w:rtl/>
        </w:rPr>
      </w:pPr>
      <w:hyperlink r:id="rId7" w:history="1">
        <w:r w:rsidRPr="00880E52">
          <w:rPr>
            <w:rStyle w:val="Hyperlink"/>
            <w:rFonts w:ascii="FrankRuehl" w:hAnsi="FrankRuehl" w:cs="FrankRuehl"/>
            <w:u w:val="none"/>
            <w:rtl/>
          </w:rPr>
          <w:t>חוק העונשין, תשל"ז-1977</w:t>
        </w:r>
      </w:hyperlink>
      <w:r w:rsidRPr="00880E52">
        <w:rPr>
          <w:rFonts w:ascii="FrankRuehl" w:hAnsi="FrankRuehl" w:cs="FrankRuehl"/>
          <w:color w:val="0000FF"/>
          <w:rtl/>
        </w:rPr>
        <w:t xml:space="preserve">: סע'  </w:t>
      </w:r>
      <w:hyperlink r:id="rId8" w:history="1">
        <w:r w:rsidRPr="00880E52">
          <w:rPr>
            <w:rStyle w:val="Hyperlink"/>
            <w:rFonts w:ascii="FrankRuehl" w:hAnsi="FrankRuehl" w:cs="FrankRuehl"/>
            <w:u w:val="none"/>
          </w:rPr>
          <w:t xml:space="preserve">29 </w:t>
        </w:r>
      </w:hyperlink>
      <w:r w:rsidRPr="00880E52">
        <w:rPr>
          <w:rFonts w:ascii="FrankRuehl" w:hAnsi="FrankRuehl" w:cs="FrankRuehl"/>
          <w:color w:val="0000FF"/>
          <w:rtl/>
        </w:rPr>
        <w:t xml:space="preserve">(ב), </w:t>
      </w:r>
      <w:hyperlink r:id="rId9" w:history="1">
        <w:r w:rsidRPr="00880E52">
          <w:rPr>
            <w:rStyle w:val="Hyperlink"/>
            <w:rFonts w:ascii="FrankRuehl" w:hAnsi="FrankRuehl" w:cs="FrankRuehl"/>
            <w:u w:val="none"/>
          </w:rPr>
          <w:t>144</w:t>
        </w:r>
      </w:hyperlink>
      <w:r w:rsidRPr="00880E52">
        <w:rPr>
          <w:rFonts w:ascii="FrankRuehl" w:hAnsi="FrankRuehl" w:cs="FrankRuehl"/>
          <w:color w:val="0000FF"/>
          <w:rtl/>
        </w:rPr>
        <w:t xml:space="preserve">(א), </w:t>
      </w:r>
      <w:hyperlink r:id="rId10" w:history="1">
        <w:r w:rsidRPr="00880E52">
          <w:rPr>
            <w:rStyle w:val="Hyperlink"/>
            <w:rFonts w:ascii="FrankRuehl" w:hAnsi="FrankRuehl" w:cs="FrankRuehl"/>
            <w:u w:val="none"/>
          </w:rPr>
          <w:t>144</w:t>
        </w:r>
      </w:hyperlink>
      <w:r w:rsidRPr="00880E52">
        <w:rPr>
          <w:rFonts w:ascii="FrankRuehl" w:hAnsi="FrankRuehl" w:cs="FrankRuehl"/>
          <w:color w:val="0000FF"/>
          <w:rtl/>
        </w:rPr>
        <w:t xml:space="preserve">(ב), </w:t>
      </w:r>
      <w:hyperlink r:id="rId11" w:history="1">
        <w:r w:rsidRPr="00880E52">
          <w:rPr>
            <w:rStyle w:val="Hyperlink"/>
            <w:rFonts w:ascii="FrankRuehl" w:hAnsi="FrankRuehl" w:cs="FrankRuehl"/>
            <w:u w:val="none"/>
          </w:rPr>
          <w:t>338</w:t>
        </w:r>
      </w:hyperlink>
      <w:r w:rsidRPr="00880E52">
        <w:rPr>
          <w:rFonts w:ascii="FrankRuehl" w:hAnsi="FrankRuehl" w:cs="FrankRuehl"/>
          <w:color w:val="0000FF"/>
          <w:rtl/>
        </w:rPr>
        <w:t>(3)</w:t>
      </w:r>
    </w:p>
    <w:p w14:paraId="554EC318" w14:textId="77777777" w:rsidR="00880E52" w:rsidRPr="00880E52" w:rsidRDefault="00880E52" w:rsidP="00880E52">
      <w:pPr>
        <w:spacing w:before="120" w:after="120" w:line="240" w:lineRule="exact"/>
        <w:ind w:left="283" w:hanging="283"/>
        <w:jc w:val="both"/>
        <w:rPr>
          <w:rFonts w:ascii="FrankRuehl" w:hAnsi="FrankRuehl" w:cs="FrankRuehl"/>
          <w:color w:val="0000FF"/>
          <w:rtl/>
        </w:rPr>
      </w:pPr>
      <w:hyperlink r:id="rId12" w:history="1">
        <w:r w:rsidRPr="00880E52">
          <w:rPr>
            <w:rStyle w:val="Hyperlink"/>
            <w:rFonts w:ascii="FrankRuehl" w:hAnsi="FrankRuehl" w:cs="FrankRuehl"/>
            <w:u w:val="none"/>
            <w:rtl/>
          </w:rPr>
          <w:t>חוק חמרי נפץ, תשי"ד-1954</w:t>
        </w:r>
      </w:hyperlink>
      <w:r w:rsidRPr="00880E52">
        <w:rPr>
          <w:rFonts w:ascii="FrankRuehl" w:hAnsi="FrankRuehl" w:cs="FrankRuehl"/>
          <w:color w:val="0000FF"/>
          <w:rtl/>
        </w:rPr>
        <w:t xml:space="preserve">: סע'  </w:t>
      </w:r>
      <w:hyperlink r:id="rId13" w:history="1">
        <w:r w:rsidRPr="00880E52">
          <w:rPr>
            <w:rStyle w:val="Hyperlink"/>
            <w:rFonts w:ascii="FrankRuehl" w:hAnsi="FrankRuehl" w:cs="FrankRuehl"/>
            <w:u w:val="none"/>
          </w:rPr>
          <w:t>10</w:t>
        </w:r>
      </w:hyperlink>
      <w:r w:rsidRPr="00880E52">
        <w:rPr>
          <w:rFonts w:ascii="FrankRuehl" w:hAnsi="FrankRuehl" w:cs="FrankRuehl"/>
          <w:color w:val="0000FF"/>
          <w:rtl/>
        </w:rPr>
        <w:t xml:space="preserve">, </w:t>
      </w:r>
      <w:hyperlink r:id="rId14" w:history="1">
        <w:r w:rsidRPr="00880E52">
          <w:rPr>
            <w:rStyle w:val="Hyperlink"/>
            <w:rFonts w:ascii="FrankRuehl" w:hAnsi="FrankRuehl" w:cs="FrankRuehl"/>
            <w:u w:val="none"/>
          </w:rPr>
          <w:t xml:space="preserve">19 </w:t>
        </w:r>
      </w:hyperlink>
      <w:r w:rsidRPr="00880E52">
        <w:rPr>
          <w:rFonts w:ascii="FrankRuehl" w:hAnsi="FrankRuehl" w:cs="FrankRuehl"/>
          <w:color w:val="0000FF"/>
          <w:rtl/>
        </w:rPr>
        <w:t>(א)</w:t>
      </w:r>
    </w:p>
    <w:p w14:paraId="499F5F10" w14:textId="77777777" w:rsidR="00302CFF" w:rsidRPr="00880E52" w:rsidRDefault="00302CFF" w:rsidP="00880E52">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02CFF" w14:paraId="3F2C4D97" w14:textId="77777777" w:rsidTr="00302CFF">
        <w:trPr>
          <w:trHeight w:val="355"/>
          <w:jc w:val="center"/>
        </w:trPr>
        <w:tc>
          <w:tcPr>
            <w:tcW w:w="8820" w:type="dxa"/>
            <w:tcBorders>
              <w:top w:val="nil"/>
              <w:left w:val="nil"/>
              <w:bottom w:val="nil"/>
              <w:right w:val="nil"/>
            </w:tcBorders>
            <w:shd w:val="clear" w:color="auto" w:fill="auto"/>
          </w:tcPr>
          <w:p w14:paraId="020EBF82" w14:textId="77777777" w:rsidR="007E1A75" w:rsidRPr="007E1A75" w:rsidRDefault="007E1A75" w:rsidP="007E1A75">
            <w:pPr>
              <w:jc w:val="center"/>
              <w:rPr>
                <w:rFonts w:ascii="Arial" w:hAnsi="Arial" w:cs="FrankRuehl"/>
                <w:b/>
                <w:bCs/>
                <w:sz w:val="32"/>
                <w:szCs w:val="32"/>
                <w:u w:val="single"/>
                <w:rtl/>
              </w:rPr>
            </w:pPr>
            <w:bookmarkStart w:id="5" w:name="PsakDin" w:colFirst="0" w:colLast="0"/>
            <w:bookmarkEnd w:id="0"/>
            <w:bookmarkEnd w:id="1"/>
            <w:r w:rsidRPr="007E1A75">
              <w:rPr>
                <w:rFonts w:ascii="Arial" w:hAnsi="Arial" w:cs="FrankRuehl"/>
                <w:b/>
                <w:bCs/>
                <w:sz w:val="32"/>
                <w:szCs w:val="32"/>
                <w:u w:val="single"/>
                <w:rtl/>
              </w:rPr>
              <w:t>גזר דין</w:t>
            </w:r>
          </w:p>
          <w:p w14:paraId="0AD597C6" w14:textId="77777777" w:rsidR="00302CFF" w:rsidRPr="007E1A75" w:rsidRDefault="00302CFF" w:rsidP="007E1A75">
            <w:pPr>
              <w:jc w:val="center"/>
              <w:rPr>
                <w:rFonts w:ascii="Arial" w:hAnsi="Arial" w:cs="FrankRuehl"/>
                <w:bCs/>
                <w:sz w:val="32"/>
                <w:szCs w:val="32"/>
                <w:u w:val="single"/>
                <w:rtl/>
              </w:rPr>
            </w:pPr>
          </w:p>
        </w:tc>
      </w:tr>
      <w:bookmarkEnd w:id="5"/>
    </w:tbl>
    <w:p w14:paraId="21A96F57" w14:textId="77777777" w:rsidR="00302CFF" w:rsidRPr="00B05847" w:rsidRDefault="00302CFF" w:rsidP="00302CFF">
      <w:pPr>
        <w:rPr>
          <w:rFonts w:ascii="Arial" w:hAnsi="Arial"/>
          <w:rtl/>
        </w:rPr>
      </w:pPr>
    </w:p>
    <w:p w14:paraId="7C2130D2" w14:textId="77777777" w:rsidR="00302CFF" w:rsidRPr="00B05847" w:rsidRDefault="00302CFF" w:rsidP="00302CFF">
      <w:pPr>
        <w:rPr>
          <w:rFonts w:ascii="Arial" w:hAnsi="Arial"/>
          <w:rtl/>
        </w:rPr>
      </w:pPr>
    </w:p>
    <w:p w14:paraId="205AEECA" w14:textId="77777777" w:rsidR="00302CFF" w:rsidRDefault="00302CFF" w:rsidP="00302CFF">
      <w:pPr>
        <w:spacing w:line="360" w:lineRule="auto"/>
        <w:jc w:val="both"/>
        <w:rPr>
          <w:rtl/>
        </w:rPr>
      </w:pPr>
      <w:r>
        <w:rPr>
          <w:rFonts w:hint="cs"/>
          <w:rtl/>
        </w:rPr>
        <w:t>1.</w:t>
      </w:r>
      <w:r>
        <w:rPr>
          <w:rFonts w:hint="cs"/>
          <w:rtl/>
        </w:rPr>
        <w:tab/>
      </w:r>
      <w:bookmarkStart w:id="6" w:name="ABSTRACT_START"/>
      <w:bookmarkEnd w:id="6"/>
      <w:r>
        <w:rPr>
          <w:rFonts w:hint="cs"/>
          <w:rtl/>
        </w:rPr>
        <w:t xml:space="preserve">הנאשמים הודו בהתאם להסדר טיעון חלקי שלא כלל הסדר אודות העונש, בעבירות הבאות: עבירות בנשק לפי </w:t>
      </w:r>
      <w:hyperlink r:id="rId15" w:history="1">
        <w:r w:rsidR="00AC30C3" w:rsidRPr="00AC30C3">
          <w:rPr>
            <w:rStyle w:val="Hyperlink"/>
            <w:rFonts w:hint="eastAsia"/>
            <w:rtl/>
          </w:rPr>
          <w:t>סעיף</w:t>
        </w:r>
        <w:r w:rsidR="00AC30C3" w:rsidRPr="00AC30C3">
          <w:rPr>
            <w:rStyle w:val="Hyperlink"/>
            <w:rtl/>
          </w:rPr>
          <w:t xml:space="preserve"> 144(א)</w:t>
        </w:r>
      </w:hyperlink>
      <w:r>
        <w:rPr>
          <w:rFonts w:hint="cs"/>
          <w:rtl/>
        </w:rPr>
        <w:t xml:space="preserve"> רישא+ </w:t>
      </w:r>
      <w:hyperlink r:id="rId16" w:history="1">
        <w:r w:rsidR="00AC30C3" w:rsidRPr="00AC30C3">
          <w:rPr>
            <w:rStyle w:val="Hyperlink"/>
            <w:rtl/>
          </w:rPr>
          <w:t>144(ב)</w:t>
        </w:r>
      </w:hyperlink>
      <w:r>
        <w:rPr>
          <w:rFonts w:hint="cs"/>
          <w:rtl/>
        </w:rPr>
        <w:t xml:space="preserve"> רישא ל</w:t>
      </w:r>
      <w:hyperlink r:id="rId17" w:history="1">
        <w:r w:rsidR="007E1A75" w:rsidRPr="007E1A75">
          <w:rPr>
            <w:color w:val="0000FF"/>
            <w:u w:val="single"/>
            <w:rtl/>
          </w:rPr>
          <w:t>חוק העונשין</w:t>
        </w:r>
      </w:hyperlink>
      <w:r>
        <w:rPr>
          <w:rFonts w:hint="cs"/>
          <w:rtl/>
        </w:rPr>
        <w:t xml:space="preserve"> (נאשם 1 בלבד); סיוע לעבירות בנשק לפי </w:t>
      </w:r>
      <w:hyperlink r:id="rId18" w:history="1">
        <w:r w:rsidR="00AC30C3" w:rsidRPr="00AC30C3">
          <w:rPr>
            <w:rStyle w:val="Hyperlink"/>
            <w:rFonts w:hint="eastAsia"/>
            <w:rtl/>
          </w:rPr>
          <w:t>סעיף</w:t>
        </w:r>
        <w:r w:rsidR="00AC30C3" w:rsidRPr="00AC30C3">
          <w:rPr>
            <w:rStyle w:val="Hyperlink"/>
            <w:rtl/>
          </w:rPr>
          <w:t xml:space="preserve"> 144(א)</w:t>
        </w:r>
      </w:hyperlink>
      <w:r>
        <w:rPr>
          <w:rFonts w:hint="cs"/>
          <w:rtl/>
        </w:rPr>
        <w:t xml:space="preserve"> רישא+ </w:t>
      </w:r>
      <w:hyperlink r:id="rId19" w:history="1">
        <w:r w:rsidR="00AC30C3" w:rsidRPr="00AC30C3">
          <w:rPr>
            <w:rStyle w:val="Hyperlink"/>
            <w:rtl/>
          </w:rPr>
          <w:t>144(ב)</w:t>
        </w:r>
      </w:hyperlink>
      <w:r>
        <w:rPr>
          <w:rFonts w:hint="cs"/>
          <w:rtl/>
        </w:rPr>
        <w:t xml:space="preserve"> רישא לחוק העונשין (נאשמים 2-3 בלבד); מעשה פזיזות ורשלנות לפי </w:t>
      </w:r>
      <w:hyperlink r:id="rId20" w:history="1">
        <w:r w:rsidR="00AC30C3" w:rsidRPr="00AC30C3">
          <w:rPr>
            <w:rStyle w:val="Hyperlink"/>
            <w:rFonts w:hint="eastAsia"/>
            <w:rtl/>
          </w:rPr>
          <w:t>סעיף</w:t>
        </w:r>
        <w:r w:rsidR="00AC30C3" w:rsidRPr="00AC30C3">
          <w:rPr>
            <w:rStyle w:val="Hyperlink"/>
            <w:rtl/>
          </w:rPr>
          <w:t xml:space="preserve"> 338(3)</w:t>
        </w:r>
      </w:hyperlink>
      <w:r>
        <w:rPr>
          <w:rFonts w:hint="cs"/>
          <w:rtl/>
        </w:rPr>
        <w:t xml:space="preserve"> לחוק (ביחס לנאשם 1 בלבד) סיוע למעשה פזיזות ורשלנות לפי </w:t>
      </w:r>
      <w:hyperlink r:id="rId21" w:history="1">
        <w:r w:rsidR="00AC30C3" w:rsidRPr="00AC30C3">
          <w:rPr>
            <w:rStyle w:val="Hyperlink"/>
            <w:rFonts w:hint="eastAsia"/>
            <w:rtl/>
          </w:rPr>
          <w:t>סעיף</w:t>
        </w:r>
        <w:r w:rsidR="00AC30C3" w:rsidRPr="00AC30C3">
          <w:rPr>
            <w:rStyle w:val="Hyperlink"/>
            <w:rtl/>
          </w:rPr>
          <w:t xml:space="preserve"> 338(3)</w:t>
        </w:r>
      </w:hyperlink>
      <w:r>
        <w:rPr>
          <w:rFonts w:hint="cs"/>
          <w:rtl/>
        </w:rPr>
        <w:t xml:space="preserve"> (נאשמים 2-3 בלבד); איומים. </w:t>
      </w:r>
    </w:p>
    <w:p w14:paraId="5B8770A8" w14:textId="77777777" w:rsidR="00302CFF" w:rsidRDefault="00302CFF" w:rsidP="00302CFF">
      <w:pPr>
        <w:spacing w:line="360" w:lineRule="auto"/>
        <w:jc w:val="both"/>
        <w:rPr>
          <w:rtl/>
        </w:rPr>
      </w:pPr>
      <w:bookmarkStart w:id="7" w:name="ABSTRACT_END"/>
      <w:bookmarkEnd w:id="7"/>
    </w:p>
    <w:p w14:paraId="75F9BC7D" w14:textId="77777777" w:rsidR="00302CFF" w:rsidRDefault="00302CFF" w:rsidP="00302CFF">
      <w:pPr>
        <w:spacing w:line="360" w:lineRule="auto"/>
        <w:jc w:val="both"/>
        <w:rPr>
          <w:rtl/>
        </w:rPr>
      </w:pPr>
      <w:r>
        <w:rPr>
          <w:rFonts w:hint="cs"/>
          <w:rtl/>
        </w:rPr>
        <w:t>2.</w:t>
      </w:r>
      <w:r>
        <w:rPr>
          <w:rFonts w:hint="cs"/>
          <w:rtl/>
        </w:rPr>
        <w:tab/>
        <w:t>על פי האמור בכתב האישום, הנאשם 1 הוא אחיו של מוסטפא מאדר זידאן ונאשמים 2-3 הם קרובי משפחה של השניים. עדנאן חלומא (המתלונן) מתגורר ממול לביתו של פאתחי זידאן בכפר מנדא ובמועדים הרלבנטיים לכתב האישום שימש המתלונן גזבר מועצת כפר מנדא כאשר בסוף אוקטובר 2018 נערכו בחירות לרשויות המקומיות.</w:t>
      </w:r>
    </w:p>
    <w:p w14:paraId="08C0F0FD" w14:textId="77777777" w:rsidR="00302CFF" w:rsidRDefault="00302CFF" w:rsidP="00302CFF">
      <w:pPr>
        <w:spacing w:line="360" w:lineRule="auto"/>
        <w:jc w:val="both"/>
        <w:rPr>
          <w:rtl/>
        </w:rPr>
      </w:pPr>
    </w:p>
    <w:p w14:paraId="6CE9CAD6" w14:textId="77777777" w:rsidR="00302CFF" w:rsidRDefault="00302CFF" w:rsidP="00302CFF">
      <w:pPr>
        <w:spacing w:line="360" w:lineRule="auto"/>
        <w:jc w:val="both"/>
        <w:rPr>
          <w:rtl/>
        </w:rPr>
      </w:pPr>
      <w:r>
        <w:rPr>
          <w:rFonts w:hint="cs"/>
          <w:rtl/>
        </w:rPr>
        <w:t xml:space="preserve">במועד שאינו ידוע למאשימה בדיוק, לפני השעה 22:30 ביום 3.12.18 קשרו הנאשם 1 ומוסטפא קשר לזרוק לעבר ביתו של המתלונן חפץ ובתוכו חומר נפיץ. במסגרת הקשר ולשם מימושו נסעו הנאשמים ברכב בבעלות אביו של הנאשם 2 לכיוון בית עסק לשטיפת רכבים של מונתאסר זידאן בכפר מנדא, כשהנאשם 2 נוהג. שם פגשו את מוסטפא. נאשמים 1 ו-3 יצאו מהרכב והלכו יחד עם מוסטפא למקום סמוך ולקחו חפץ ובתוכו חומר נפיץ שהיה עטוף בשקית ניילון שחורה ואז חזרו כולם לרכב שהנאשם 1 יושב במושב הקדמי ליד הנהג ומחזיק את השקית. החפץ הנפיץ הורכב מלפחות 4 קנים מקרטון בקוטר חיצוני של 24 מ"מ כל אחד שמקורם בכוורת זיקוקים. לכל אחד מהקנים הוכנס אום ברזל של כ-14 מ"מ במשקל 6.6 גרם. פתחי הקנים נאטמו באמצעות חומר איטום גמיש ולקנה הזיקוקים הוצמדו בקבוק פלסטיק בנפח 500 מ"מ ולמיכל מתכת המשמש לגז גפ"ם. הבקבוק הכיל חומר בעירה מסוג בנזין. קנה הזיקוקים, הבקבוק והמיכל אוגדו באמצעות סרטים דביקים צרים  וחוטי חשמל. מדובר בחפץ הנפיץ שבכוחו להזיק אדם בעת התפוצצותו. צוין שהצמדת בקבוק עם בנזין למיכל גפ"ם לחפץ נפיץ יכולים לשמש כמגבירי בעירה. </w:t>
      </w:r>
    </w:p>
    <w:p w14:paraId="60176508" w14:textId="77777777" w:rsidR="00302CFF" w:rsidRDefault="00302CFF" w:rsidP="00302CFF">
      <w:pPr>
        <w:spacing w:line="360" w:lineRule="auto"/>
        <w:jc w:val="both"/>
        <w:rPr>
          <w:rtl/>
        </w:rPr>
      </w:pPr>
    </w:p>
    <w:p w14:paraId="7C8BD652" w14:textId="77777777" w:rsidR="00302CFF" w:rsidRDefault="00302CFF" w:rsidP="00302CFF">
      <w:pPr>
        <w:spacing w:line="360" w:lineRule="auto"/>
        <w:jc w:val="both"/>
        <w:rPr>
          <w:rtl/>
        </w:rPr>
      </w:pPr>
      <w:r>
        <w:rPr>
          <w:rFonts w:hint="cs"/>
          <w:rtl/>
        </w:rPr>
        <w:t xml:space="preserve">בהמשך נאשם 1 ומוסטפא נסעו ברכב כשהם מחזיקים ונושאים ומובילים את החפץ, ונאשמים 2-3 מסייעים. כעבור מספר דקות בסמוך לשעה 23:00 הגיעו הנאשמים עם הרכב בסמוך לביתו של פאתחי, מהרכב יצאו מוסטפא ונאשם 1 כאשר נאשם 1 מחזיק בידו את השקית ובה החפץ הנפיץ. נאשם 1 ביקש מנאשם 2 לעשות פניית פרסה במקום  ולהתכונן לבריחה והאחרון אכן עשה זאת. נאשם 1 ומוסטפא נכנסו לחצר ביתו של פאתחי והגיעו לצידה המערבי. בשלב זה הדליק נאשם 1 פתיל שהיה מחובר לחפץ הנפיץ. מיד לאחר מכן זרק את החפץ לכיוון צידה המערבי של חצר ביתו של פאתחי לעבר חצר ביתו של המתלונן. החפץ הנפיץ פגע בשער הכניסה לחצר הבית של המתלונן והתפוצץ על המדרכה והכביש תוך גרימת קול נפץ. מיד לאחר מכן רצו הנאשם 1 ומוסטפא לכיוון הרכב, נכנסו אליו וברחו. </w:t>
      </w:r>
    </w:p>
    <w:p w14:paraId="1BA9EFA4" w14:textId="77777777" w:rsidR="00302CFF" w:rsidRDefault="00302CFF" w:rsidP="00302CFF">
      <w:pPr>
        <w:spacing w:line="360" w:lineRule="auto"/>
        <w:jc w:val="both"/>
        <w:rPr>
          <w:rtl/>
        </w:rPr>
      </w:pPr>
    </w:p>
    <w:p w14:paraId="615B3720" w14:textId="77777777" w:rsidR="00302CFF" w:rsidRDefault="00302CFF" w:rsidP="00302CFF">
      <w:pPr>
        <w:spacing w:line="360" w:lineRule="auto"/>
        <w:jc w:val="both"/>
        <w:rPr>
          <w:b/>
          <w:bCs/>
          <w:u w:val="single"/>
          <w:rtl/>
        </w:rPr>
      </w:pPr>
      <w:r w:rsidRPr="00702DC1">
        <w:rPr>
          <w:rFonts w:hint="cs"/>
          <w:b/>
          <w:bCs/>
          <w:u w:val="single"/>
          <w:rtl/>
        </w:rPr>
        <w:t>טיעוני המאשימה לעונש:</w:t>
      </w:r>
    </w:p>
    <w:p w14:paraId="035EAA95" w14:textId="77777777" w:rsidR="00302CFF" w:rsidRDefault="00302CFF" w:rsidP="00302CFF">
      <w:pPr>
        <w:spacing w:line="360" w:lineRule="auto"/>
        <w:jc w:val="both"/>
        <w:rPr>
          <w:b/>
          <w:bCs/>
          <w:u w:val="single"/>
          <w:rtl/>
        </w:rPr>
      </w:pPr>
    </w:p>
    <w:p w14:paraId="61C2D571" w14:textId="77777777" w:rsidR="00302CFF" w:rsidRPr="009B089B" w:rsidRDefault="00302CFF" w:rsidP="00302CFF">
      <w:pPr>
        <w:spacing w:line="360" w:lineRule="auto"/>
        <w:jc w:val="both"/>
        <w:rPr>
          <w:rtl/>
        </w:rPr>
      </w:pPr>
      <w:r>
        <w:rPr>
          <w:rFonts w:hint="cs"/>
          <w:rtl/>
        </w:rPr>
        <w:t>3.</w:t>
      </w:r>
      <w:r>
        <w:rPr>
          <w:rFonts w:hint="cs"/>
          <w:rtl/>
        </w:rPr>
        <w:tab/>
        <w:t>נטען שהסיכון במעשיהם של הנאשמים היה רב כיוון שהחזיקו חומר נפץ נפיץ ונשאו אותו והובילו אותו ואף השליכו אותו על בית מגורים בשעת לילה מאוחרת בו היו אנשים בבית. נטען שרק בגלל המזל לא נגרם בסופו של דבר נזק לגוף ושאת העניין הזה לא ניתן לזקוף  לטובת הנאשמים כיוון שלא הם שלטו במי יפגע המטען (</w:t>
      </w:r>
      <w:hyperlink r:id="rId22" w:history="1">
        <w:r w:rsidR="007E1A75" w:rsidRPr="007E1A75">
          <w:rPr>
            <w:color w:val="0000FF"/>
            <w:u w:val="single"/>
            <w:rtl/>
          </w:rPr>
          <w:t>ע"פ 5995/11</w:t>
        </w:r>
      </w:hyperlink>
      <w:r>
        <w:rPr>
          <w:rFonts w:hint="cs"/>
          <w:rtl/>
        </w:rPr>
        <w:t xml:space="preserve"> </w:t>
      </w:r>
      <w:r>
        <w:rPr>
          <w:rFonts w:hint="cs"/>
          <w:b/>
          <w:bCs/>
          <w:rtl/>
        </w:rPr>
        <w:t xml:space="preserve">ראיד בדראן נ' מדינת ישראל </w:t>
      </w:r>
      <w:r>
        <w:rPr>
          <w:rFonts w:hint="cs"/>
          <w:rtl/>
        </w:rPr>
        <w:t xml:space="preserve">). </w:t>
      </w:r>
    </w:p>
    <w:p w14:paraId="0A833C8D" w14:textId="77777777" w:rsidR="00302CFF" w:rsidRDefault="00302CFF" w:rsidP="00302CFF">
      <w:pPr>
        <w:spacing w:line="360" w:lineRule="auto"/>
        <w:jc w:val="both"/>
        <w:rPr>
          <w:rtl/>
        </w:rPr>
      </w:pPr>
    </w:p>
    <w:p w14:paraId="67B6A14C" w14:textId="77777777" w:rsidR="00302CFF" w:rsidRDefault="00302CFF" w:rsidP="00302CFF">
      <w:pPr>
        <w:spacing w:line="360" w:lineRule="auto"/>
        <w:jc w:val="both"/>
        <w:rPr>
          <w:rtl/>
        </w:rPr>
      </w:pPr>
      <w:r>
        <w:rPr>
          <w:rFonts w:hint="cs"/>
          <w:rtl/>
        </w:rPr>
        <w:t>4.</w:t>
      </w:r>
      <w:r>
        <w:rPr>
          <w:rFonts w:hint="cs"/>
          <w:rtl/>
        </w:rPr>
        <w:tab/>
        <w:t>נטען שכל הנושא של מטעני חבלה וחומרי נפץ מהווה סיכון רב לציבור (</w:t>
      </w:r>
      <w:hyperlink r:id="rId23" w:history="1">
        <w:r w:rsidR="007E1A75" w:rsidRPr="007E1A75">
          <w:rPr>
            <w:color w:val="0000FF"/>
            <w:u w:val="single"/>
            <w:rtl/>
          </w:rPr>
          <w:t>ת"פ 54104-07-12</w:t>
        </w:r>
      </w:hyperlink>
      <w:r>
        <w:rPr>
          <w:rFonts w:hint="cs"/>
          <w:rtl/>
        </w:rPr>
        <w:t xml:space="preserve">). נטען שנפגעו הערכים החברתיים של שמירה על שלום הציבור וביטחונו, ואף אוים הערך של חיי אדם ושלמות הגוף. באשר לנסיבות הקשורות לביצוע העבירה נטען שמדובר במעשים מתוכננים </w:t>
      </w:r>
      <w:r>
        <w:rPr>
          <w:rtl/>
        </w:rPr>
        <w:t>–</w:t>
      </w:r>
      <w:r>
        <w:rPr>
          <w:rFonts w:hint="cs"/>
          <w:rtl/>
        </w:rPr>
        <w:t xml:space="preserve"> </w:t>
      </w:r>
      <w:r>
        <w:rPr>
          <w:rFonts w:hint="cs"/>
          <w:rtl/>
        </w:rPr>
        <w:lastRenderedPageBreak/>
        <w:t xml:space="preserve">שרשרת אירועים שכללה הצטיידות, הגעה לזירה, הכנה להימלטות, וזריקת חפץ נפיץ שהוא עצמו הוכן מראש. </w:t>
      </w:r>
    </w:p>
    <w:p w14:paraId="6456C3AA" w14:textId="77777777" w:rsidR="00302CFF" w:rsidRDefault="00302CFF" w:rsidP="00302CFF">
      <w:pPr>
        <w:spacing w:line="360" w:lineRule="auto"/>
        <w:jc w:val="both"/>
        <w:rPr>
          <w:rtl/>
        </w:rPr>
      </w:pPr>
    </w:p>
    <w:p w14:paraId="6F9D2F8A" w14:textId="77777777" w:rsidR="00302CFF" w:rsidRDefault="00302CFF" w:rsidP="00302CFF">
      <w:pPr>
        <w:spacing w:line="360" w:lineRule="auto"/>
        <w:jc w:val="both"/>
        <w:rPr>
          <w:rtl/>
        </w:rPr>
      </w:pPr>
      <w:r w:rsidRPr="009B089B">
        <w:rPr>
          <w:rFonts w:hint="cs"/>
          <w:rtl/>
        </w:rPr>
        <w:t>5.</w:t>
      </w:r>
      <w:r w:rsidRPr="009B089B">
        <w:rPr>
          <w:rFonts w:hint="cs"/>
          <w:rtl/>
        </w:rPr>
        <w:tab/>
        <w:t>תואר חלק</w:t>
      </w:r>
      <w:r>
        <w:rPr>
          <w:rFonts w:hint="cs"/>
          <w:rtl/>
        </w:rPr>
        <w:t>ו</w:t>
      </w:r>
      <w:r w:rsidRPr="009B089B">
        <w:rPr>
          <w:rFonts w:hint="cs"/>
          <w:rtl/>
        </w:rPr>
        <w:t xml:space="preserve"> היחסי של כל אחד מהנאשמים בהתאם לחלקו בכתב האישום כאשר נטען שנאשם 1 היה הדומיננטי ונאשמים 2-3 סייעו לו.</w:t>
      </w:r>
      <w:r>
        <w:rPr>
          <w:rFonts w:hint="cs"/>
          <w:rtl/>
        </w:rPr>
        <w:t xml:space="preserve"> נטען שהיה יכול להיגרם נזק משמעותי מביצוע העבירות ושהנסיבות שהביאו את הנאשמים לבצע את העבירה היו פסולות והם היו צריכים להבין בהיותם בוגרים את הפסול במעשיהם ולהימנע מהם.</w:t>
      </w:r>
    </w:p>
    <w:p w14:paraId="7C35B8B7" w14:textId="77777777" w:rsidR="00302CFF" w:rsidRDefault="00302CFF" w:rsidP="00302CFF">
      <w:pPr>
        <w:spacing w:line="360" w:lineRule="auto"/>
        <w:jc w:val="both"/>
        <w:rPr>
          <w:rtl/>
        </w:rPr>
      </w:pPr>
    </w:p>
    <w:p w14:paraId="33FC40CA" w14:textId="77777777" w:rsidR="00302CFF" w:rsidRDefault="00302CFF" w:rsidP="00302CFF">
      <w:pPr>
        <w:spacing w:line="360" w:lineRule="auto"/>
        <w:jc w:val="both"/>
        <w:rPr>
          <w:rtl/>
        </w:rPr>
      </w:pPr>
      <w:r>
        <w:rPr>
          <w:rFonts w:hint="cs"/>
          <w:rtl/>
        </w:rPr>
        <w:t>6.</w:t>
      </w:r>
      <w:r>
        <w:rPr>
          <w:rFonts w:hint="cs"/>
          <w:rtl/>
        </w:rPr>
        <w:tab/>
        <w:t>באשר למדיניות הענישה צוינו המקרים הבאים:</w:t>
      </w:r>
    </w:p>
    <w:p w14:paraId="6F4E460B" w14:textId="77777777" w:rsidR="00302CFF" w:rsidRDefault="00302CFF" w:rsidP="00302CFF">
      <w:pPr>
        <w:spacing w:line="360" w:lineRule="auto"/>
        <w:jc w:val="both"/>
        <w:rPr>
          <w:rtl/>
        </w:rPr>
      </w:pPr>
    </w:p>
    <w:p w14:paraId="28E20AD6" w14:textId="77777777" w:rsidR="00302CFF" w:rsidRDefault="007E1A75" w:rsidP="00302CFF">
      <w:pPr>
        <w:spacing w:line="360" w:lineRule="auto"/>
        <w:jc w:val="both"/>
        <w:rPr>
          <w:rtl/>
        </w:rPr>
      </w:pPr>
      <w:hyperlink r:id="rId24" w:history="1">
        <w:r w:rsidRPr="007E1A75">
          <w:rPr>
            <w:color w:val="0000FF"/>
            <w:u w:val="single"/>
            <w:rtl/>
          </w:rPr>
          <w:t>ע"פ 6210/13</w:t>
        </w:r>
      </w:hyperlink>
      <w:r w:rsidR="00302CFF">
        <w:rPr>
          <w:rFonts w:hint="cs"/>
          <w:rtl/>
        </w:rPr>
        <w:t xml:space="preserve"> </w:t>
      </w:r>
      <w:r w:rsidR="00302CFF" w:rsidRPr="008663A4">
        <w:rPr>
          <w:rFonts w:hint="cs"/>
          <w:b/>
          <w:bCs/>
          <w:rtl/>
        </w:rPr>
        <w:t xml:space="preserve">גונן נ' מדינת ישראל - </w:t>
      </w:r>
      <w:r w:rsidR="00302CFF">
        <w:rPr>
          <w:rFonts w:hint="cs"/>
          <w:rtl/>
        </w:rPr>
        <w:t xml:space="preserve">שם הורשע המערער במסגרת הסדר טיעון בשתי עבירות של נשיאה והובלת נשק (מטעני צינור) ונידון ל-30 חודשי מאסר בפועל. הערעור נדחה. </w:t>
      </w:r>
    </w:p>
    <w:p w14:paraId="02C66A85" w14:textId="77777777" w:rsidR="00302CFF" w:rsidRDefault="00302CFF" w:rsidP="00302CFF">
      <w:pPr>
        <w:spacing w:line="360" w:lineRule="auto"/>
        <w:jc w:val="both"/>
        <w:rPr>
          <w:rtl/>
        </w:rPr>
      </w:pPr>
    </w:p>
    <w:p w14:paraId="10F11B54" w14:textId="77777777" w:rsidR="00302CFF" w:rsidRDefault="007E1A75" w:rsidP="00302CFF">
      <w:pPr>
        <w:spacing w:line="360" w:lineRule="auto"/>
        <w:jc w:val="both"/>
        <w:rPr>
          <w:rtl/>
        </w:rPr>
      </w:pPr>
      <w:hyperlink r:id="rId25" w:history="1">
        <w:r w:rsidRPr="007E1A75">
          <w:rPr>
            <w:color w:val="0000FF"/>
            <w:u w:val="single"/>
            <w:rtl/>
          </w:rPr>
          <w:t>ת"פ 29839-07-11</w:t>
        </w:r>
      </w:hyperlink>
      <w:r w:rsidR="00302CFF">
        <w:rPr>
          <w:rFonts w:hint="cs"/>
          <w:rtl/>
        </w:rPr>
        <w:t xml:space="preserve"> </w:t>
      </w:r>
      <w:r w:rsidR="00302CFF" w:rsidRPr="008663A4">
        <w:rPr>
          <w:rFonts w:hint="cs"/>
          <w:b/>
          <w:bCs/>
          <w:rtl/>
        </w:rPr>
        <w:t xml:space="preserve">מדינת ישראל נ' צוברה </w:t>
      </w:r>
      <w:r w:rsidR="00302CFF">
        <w:rPr>
          <w:rtl/>
        </w:rPr>
        <w:t>–</w:t>
      </w:r>
      <w:r w:rsidR="00302CFF">
        <w:rPr>
          <w:rFonts w:hint="cs"/>
          <w:rtl/>
        </w:rPr>
        <w:t xml:space="preserve"> שם הורשע נאשם במסגרת הסדר טיעון בנשיאת נשק (מטען חבלה) מעשה פזיזות ורשלנות והפרעה לשוטר. נגזרו עליו 34 חודשי מאסר בפועל. </w:t>
      </w:r>
    </w:p>
    <w:p w14:paraId="0CB2230A" w14:textId="77777777" w:rsidR="00302CFF" w:rsidRDefault="00302CFF" w:rsidP="00302CFF">
      <w:pPr>
        <w:spacing w:line="360" w:lineRule="auto"/>
        <w:jc w:val="both"/>
        <w:rPr>
          <w:rtl/>
        </w:rPr>
      </w:pPr>
    </w:p>
    <w:p w14:paraId="28F6DF9F" w14:textId="77777777" w:rsidR="00302CFF" w:rsidRDefault="007E1A75" w:rsidP="00302CFF">
      <w:pPr>
        <w:spacing w:line="360" w:lineRule="auto"/>
        <w:jc w:val="both"/>
        <w:rPr>
          <w:rtl/>
        </w:rPr>
      </w:pPr>
      <w:hyperlink r:id="rId26" w:history="1">
        <w:r w:rsidRPr="007E1A75">
          <w:rPr>
            <w:color w:val="0000FF"/>
            <w:u w:val="single"/>
            <w:rtl/>
          </w:rPr>
          <w:t>ע"פ 5995/11</w:t>
        </w:r>
      </w:hyperlink>
      <w:r w:rsidR="00302CFF">
        <w:rPr>
          <w:rFonts w:hint="cs"/>
          <w:rtl/>
        </w:rPr>
        <w:t xml:space="preserve"> </w:t>
      </w:r>
      <w:r w:rsidR="00302CFF">
        <w:rPr>
          <w:rFonts w:hint="cs"/>
          <w:b/>
          <w:bCs/>
          <w:rtl/>
        </w:rPr>
        <w:t xml:space="preserve">ראיד בדראן נ' מדינת ישראל </w:t>
      </w:r>
      <w:r w:rsidR="00302CFF">
        <w:rPr>
          <w:rtl/>
        </w:rPr>
        <w:t>–</w:t>
      </w:r>
      <w:r w:rsidR="00302CFF">
        <w:rPr>
          <w:rFonts w:hint="cs"/>
          <w:rtl/>
        </w:rPr>
        <w:t xml:space="preserve"> (14.10.12) שם הורשע מערער לאחר הליך גישור בביצוע עבירות של היזק בחומר נפיץ בעבירות בנשק (נשיאה+ הובלה) הוא השיג מטען חבלה מאולתר והשליך אותו לחצר ביתו של המתלונן. נגזרו עליו 3 שנות מאסר (במקום 4 שנגזרו בבימ"ש קמא).</w:t>
      </w:r>
    </w:p>
    <w:p w14:paraId="21ED97F4" w14:textId="77777777" w:rsidR="00302CFF" w:rsidRDefault="00302CFF" w:rsidP="00302CFF">
      <w:pPr>
        <w:spacing w:line="360" w:lineRule="auto"/>
        <w:jc w:val="both"/>
        <w:rPr>
          <w:rtl/>
        </w:rPr>
      </w:pPr>
    </w:p>
    <w:p w14:paraId="32EB202B" w14:textId="77777777" w:rsidR="00302CFF" w:rsidRDefault="007E1A75" w:rsidP="00302CFF">
      <w:pPr>
        <w:spacing w:line="360" w:lineRule="auto"/>
        <w:jc w:val="both"/>
        <w:rPr>
          <w:rtl/>
        </w:rPr>
      </w:pPr>
      <w:hyperlink r:id="rId27" w:history="1">
        <w:r w:rsidRPr="007E1A75">
          <w:rPr>
            <w:color w:val="0000FF"/>
            <w:u w:val="single"/>
            <w:rtl/>
          </w:rPr>
          <w:t>ת"פ 12406-11-15</w:t>
        </w:r>
      </w:hyperlink>
      <w:r w:rsidR="00302CFF">
        <w:rPr>
          <w:rFonts w:hint="cs"/>
          <w:rtl/>
        </w:rPr>
        <w:t xml:space="preserve"> </w:t>
      </w:r>
      <w:r w:rsidR="00302CFF">
        <w:rPr>
          <w:rFonts w:hint="cs"/>
          <w:b/>
          <w:bCs/>
          <w:rtl/>
        </w:rPr>
        <w:t xml:space="preserve">מדינת ישראל נ' אברג'יל </w:t>
      </w:r>
      <w:r w:rsidR="00302CFF">
        <w:rPr>
          <w:rtl/>
        </w:rPr>
        <w:t>–</w:t>
      </w:r>
      <w:r w:rsidR="00302CFF">
        <w:rPr>
          <w:rFonts w:hint="cs"/>
          <w:rtl/>
        </w:rPr>
        <w:t xml:space="preserve"> שם הנאשמים הורשעו על פי הודאתם במסגרת הסדר טיעון בעבירות של קשירת קשר לייצר מטען חבלה מאולתר. יוצרו שני מטענים מאולתרים, האחד הונח ברחוב והשני הונח על מדרכה. אחד מהם התפוצץ. על אחד הנאשמים נגזרו 30 חודשי מאסר ועל השני 5 שנות מאסר. </w:t>
      </w:r>
    </w:p>
    <w:p w14:paraId="013DD1C4" w14:textId="77777777" w:rsidR="00302CFF" w:rsidRDefault="00302CFF" w:rsidP="00302CFF">
      <w:pPr>
        <w:spacing w:line="360" w:lineRule="auto"/>
        <w:jc w:val="both"/>
        <w:rPr>
          <w:rtl/>
        </w:rPr>
      </w:pPr>
    </w:p>
    <w:p w14:paraId="3BA4EBE6" w14:textId="77777777" w:rsidR="00302CFF" w:rsidRDefault="007E1A75" w:rsidP="00302CFF">
      <w:pPr>
        <w:spacing w:line="360" w:lineRule="auto"/>
        <w:jc w:val="both"/>
        <w:rPr>
          <w:rtl/>
        </w:rPr>
      </w:pPr>
      <w:hyperlink r:id="rId28" w:history="1">
        <w:r w:rsidRPr="007E1A75">
          <w:rPr>
            <w:color w:val="0000FF"/>
            <w:u w:val="single"/>
            <w:rtl/>
          </w:rPr>
          <w:t>ת"פ 33009-05-16</w:t>
        </w:r>
      </w:hyperlink>
      <w:r w:rsidR="00302CFF">
        <w:rPr>
          <w:rFonts w:hint="cs"/>
          <w:rtl/>
        </w:rPr>
        <w:t xml:space="preserve"> </w:t>
      </w:r>
      <w:r w:rsidR="00302CFF">
        <w:rPr>
          <w:rFonts w:hint="cs"/>
          <w:b/>
          <w:bCs/>
          <w:rtl/>
        </w:rPr>
        <w:t xml:space="preserve">מדינת ישראל נ' ג'רבי- </w:t>
      </w:r>
      <w:r w:rsidR="00302CFF">
        <w:rPr>
          <w:rFonts w:hint="cs"/>
          <w:rtl/>
        </w:rPr>
        <w:t xml:space="preserve">שם הורשע נאשם לאחר ניהול הוכחות בעבירות של החזקת נשק שלא כדין וניסיון ייצור נשק שלא כדין וייצור נשק שלא כדין כאשר הנאשם החזיק במכוניתו עת שנעצר צינור מתכת וחומרים שעימם ניתן ליצור מטען מאולתר. הוא נעצר ונמצא באותו זמן בחורשה מטען תבערה שהורכב מבקבוקי פלסטיק, חומר דליק ואמצעי איזון שחוברו לשעון. נקבע מתחם שבין 2-5 שנות מאסר ונגזרו 40 חודשי מאסר. </w:t>
      </w:r>
    </w:p>
    <w:p w14:paraId="40FAAA07" w14:textId="77777777" w:rsidR="00302CFF" w:rsidRDefault="00302CFF" w:rsidP="00302CFF">
      <w:pPr>
        <w:spacing w:line="360" w:lineRule="auto"/>
        <w:jc w:val="both"/>
        <w:rPr>
          <w:rtl/>
        </w:rPr>
      </w:pPr>
    </w:p>
    <w:p w14:paraId="6B599AD1" w14:textId="77777777" w:rsidR="00302CFF" w:rsidRDefault="007E1A75" w:rsidP="00302CFF">
      <w:pPr>
        <w:spacing w:line="360" w:lineRule="auto"/>
        <w:jc w:val="both"/>
        <w:rPr>
          <w:rtl/>
        </w:rPr>
      </w:pPr>
      <w:hyperlink r:id="rId29" w:history="1">
        <w:r w:rsidRPr="007E1A75">
          <w:rPr>
            <w:color w:val="0000FF"/>
            <w:u w:val="single"/>
            <w:rtl/>
          </w:rPr>
          <w:t>ת"פ 49995-09-17</w:t>
        </w:r>
      </w:hyperlink>
      <w:r w:rsidR="00302CFF">
        <w:rPr>
          <w:rFonts w:hint="cs"/>
          <w:rtl/>
        </w:rPr>
        <w:t xml:space="preserve"> </w:t>
      </w:r>
      <w:r w:rsidR="00302CFF">
        <w:rPr>
          <w:rFonts w:hint="cs"/>
          <w:b/>
          <w:bCs/>
          <w:rtl/>
        </w:rPr>
        <w:t xml:space="preserve">מדינת ישראל נ' עלי </w:t>
      </w:r>
      <w:r w:rsidR="00302CFF">
        <w:rPr>
          <w:rtl/>
        </w:rPr>
        <w:t>–</w:t>
      </w:r>
      <w:r w:rsidR="00302CFF">
        <w:rPr>
          <w:rFonts w:hint="cs"/>
          <w:rtl/>
        </w:rPr>
        <w:t xml:space="preserve"> שם הורשע הנאשם על פי הודאתו בעבירות של ייצור נשק והחזקת נשק והחזקת סכין שלא כדין, כאשר הוא ייצר מטען מאולתר מזיקוקים מפורקים שנשפכו לתוך מיכל מתכת גלילי אליו חובר טיל וסרט בידוד. ביהמ"ש קבע מתחם ענישה  שבין 6-18 חודשי מאסר בפועל ובסוף גזר 6 חודשים על הנאשם שרוצו בעבודות השירות. </w:t>
      </w:r>
    </w:p>
    <w:p w14:paraId="679540AE" w14:textId="77777777" w:rsidR="00302CFF" w:rsidRDefault="00302CFF" w:rsidP="00302CFF">
      <w:pPr>
        <w:spacing w:line="360" w:lineRule="auto"/>
        <w:jc w:val="both"/>
        <w:rPr>
          <w:rtl/>
        </w:rPr>
      </w:pPr>
    </w:p>
    <w:p w14:paraId="63DF3DAF" w14:textId="77777777" w:rsidR="00302CFF" w:rsidRPr="00472B0C" w:rsidRDefault="007E1A75" w:rsidP="00302CFF">
      <w:pPr>
        <w:spacing w:line="360" w:lineRule="auto"/>
        <w:jc w:val="both"/>
        <w:rPr>
          <w:rtl/>
        </w:rPr>
      </w:pPr>
      <w:hyperlink r:id="rId30" w:history="1">
        <w:r w:rsidRPr="007E1A75">
          <w:rPr>
            <w:color w:val="0000FF"/>
            <w:u w:val="single"/>
            <w:rtl/>
          </w:rPr>
          <w:t>ע"פ 5336/13</w:t>
        </w:r>
      </w:hyperlink>
      <w:r w:rsidR="00302CFF">
        <w:rPr>
          <w:rFonts w:hint="cs"/>
          <w:rtl/>
        </w:rPr>
        <w:t xml:space="preserve"> </w:t>
      </w:r>
      <w:r w:rsidR="00302CFF">
        <w:rPr>
          <w:rFonts w:hint="cs"/>
          <w:b/>
          <w:bCs/>
          <w:rtl/>
        </w:rPr>
        <w:t>אברהם צדוק נ. מדינת ישראל</w:t>
      </w:r>
      <w:r w:rsidR="00302CFF">
        <w:rPr>
          <w:rFonts w:hint="cs"/>
          <w:rtl/>
        </w:rPr>
        <w:t xml:space="preserve"> (17.11.2013)- באותו מקרה המערער הורשע במסגרת הסדר טיעון בעבירה של נשיאה והובלת נשק, כאשר הוא הוביל מטעני חבלה תוצרת בית. הוא נידון ל-20 חודשי מאסר בפועל על ידי הערכאה הדיונית. בית המשפט העליון דחה את הערעור מטעמו להקלה בעונש, והדגיש את מסוכנתם הרבה של חומרי הנפץ ומטעני החבלה, שהם בבחינת סכנת נפשות של ממש. </w:t>
      </w:r>
    </w:p>
    <w:p w14:paraId="064E40B0" w14:textId="77777777" w:rsidR="00302CFF" w:rsidRDefault="00302CFF" w:rsidP="00302CFF">
      <w:pPr>
        <w:spacing w:line="360" w:lineRule="auto"/>
        <w:jc w:val="both"/>
        <w:rPr>
          <w:rtl/>
        </w:rPr>
      </w:pPr>
    </w:p>
    <w:p w14:paraId="031458D0" w14:textId="77777777" w:rsidR="00302CFF" w:rsidRDefault="00302CFF" w:rsidP="00302CFF">
      <w:pPr>
        <w:spacing w:line="360" w:lineRule="auto"/>
        <w:jc w:val="both"/>
        <w:rPr>
          <w:rtl/>
        </w:rPr>
      </w:pPr>
      <w:r>
        <w:rPr>
          <w:rFonts w:hint="cs"/>
          <w:rtl/>
        </w:rPr>
        <w:t>7.</w:t>
      </w:r>
      <w:r>
        <w:rPr>
          <w:rFonts w:hint="cs"/>
          <w:rtl/>
        </w:rPr>
        <w:tab/>
        <w:t xml:space="preserve">נטען למתחם ענישה ביחס לנאשם 1 בין 3-8 שנות מאסר ולנאשמים 2-3 בין 2-4 שנות מאסר. המדינה ביקשה להטיל ענישה ברף התחתון ביחס לנאשם 1 וברף הבינוני לגבי נאשמים 2-3 ולהוסיף עונשי מאסר על תנאי ופיצוי למתלונן. </w:t>
      </w:r>
    </w:p>
    <w:p w14:paraId="3E9FD1DE" w14:textId="77777777" w:rsidR="00302CFF" w:rsidRDefault="00302CFF" w:rsidP="00302CFF">
      <w:pPr>
        <w:spacing w:line="360" w:lineRule="auto"/>
        <w:jc w:val="both"/>
        <w:rPr>
          <w:rtl/>
        </w:rPr>
      </w:pPr>
    </w:p>
    <w:p w14:paraId="1443153C" w14:textId="77777777" w:rsidR="00302CFF" w:rsidRDefault="00302CFF" w:rsidP="00302CFF">
      <w:pPr>
        <w:spacing w:line="360" w:lineRule="auto"/>
        <w:jc w:val="both"/>
        <w:rPr>
          <w:rtl/>
        </w:rPr>
      </w:pPr>
      <w:r>
        <w:rPr>
          <w:rFonts w:hint="cs"/>
          <w:rtl/>
        </w:rPr>
        <w:t>8.</w:t>
      </w:r>
      <w:r>
        <w:rPr>
          <w:rFonts w:hint="cs"/>
          <w:rtl/>
        </w:rPr>
        <w:tab/>
        <w:t xml:space="preserve">בדיון הוסיף ב"כ המדינה, שיש לשים את דגש על נסיבות ביצוע העבירה שמתקיימות לחומרה, וזאת על אף שאין מדובר במטען קטלני, ואולם נעשה שימוש בחומר נפיץ בסופו של עניין. הוסף כי, מטען חומר זה יכול לפצוע והמטען עצמו נזרק לעבר ביתו של המתלונן בשעת לילה, שעה שבדרך כלל שוהים אנשים בבית. נטען שהיה קיים פוטנציאל משמעותי לגרימת נזק. </w:t>
      </w:r>
    </w:p>
    <w:p w14:paraId="6C925245" w14:textId="77777777" w:rsidR="00302CFF" w:rsidRDefault="00302CFF" w:rsidP="00302CFF">
      <w:pPr>
        <w:spacing w:line="360" w:lineRule="auto"/>
        <w:jc w:val="both"/>
        <w:rPr>
          <w:rtl/>
        </w:rPr>
      </w:pPr>
    </w:p>
    <w:p w14:paraId="446B191A" w14:textId="77777777" w:rsidR="00302CFF" w:rsidRDefault="00302CFF" w:rsidP="00302CFF">
      <w:pPr>
        <w:spacing w:line="360" w:lineRule="auto"/>
        <w:jc w:val="both"/>
        <w:rPr>
          <w:rtl/>
        </w:rPr>
      </w:pPr>
    </w:p>
    <w:p w14:paraId="5BAED3FC" w14:textId="77777777" w:rsidR="00302CFF" w:rsidRDefault="00302CFF" w:rsidP="00302CFF">
      <w:pPr>
        <w:spacing w:line="360" w:lineRule="auto"/>
        <w:jc w:val="both"/>
        <w:rPr>
          <w:b/>
          <w:bCs/>
          <w:u w:val="single"/>
          <w:rtl/>
        </w:rPr>
      </w:pPr>
      <w:r w:rsidRPr="00455E77">
        <w:rPr>
          <w:rFonts w:hint="cs"/>
          <w:b/>
          <w:bCs/>
          <w:u w:val="single"/>
          <w:rtl/>
        </w:rPr>
        <w:t>טיעוני הנאשמים לעונש:</w:t>
      </w:r>
    </w:p>
    <w:p w14:paraId="5D0746B5" w14:textId="77777777" w:rsidR="00302CFF" w:rsidRDefault="00302CFF" w:rsidP="00302CFF">
      <w:pPr>
        <w:spacing w:line="360" w:lineRule="auto"/>
        <w:jc w:val="both"/>
        <w:rPr>
          <w:rtl/>
        </w:rPr>
      </w:pPr>
      <w:r>
        <w:rPr>
          <w:rFonts w:hint="cs"/>
          <w:rtl/>
        </w:rPr>
        <w:t>9.</w:t>
      </w:r>
      <w:r>
        <w:rPr>
          <w:rFonts w:hint="cs"/>
          <w:rtl/>
        </w:rPr>
        <w:tab/>
        <w:t xml:space="preserve">ב"כ הנאשם 1, טען שכבר בתחילת הדיונים ניתנה הודאה בעובדות, אך לא במהות כאשר טען שלא מדובר במטען חבלה. על עניין טכני זה סב מרבית המשפט והדיונים, ואף היה צורך לחקור את החבלן ואת העדים ממעבדת החבלה שלאחר מכן כתב האישום תוקן. נטען שלא נמצא אירוע דומה בפסיקה, צוין שהנאשם הודה בהזדמנות הראשונה בכתב האישום לאחר תיקונו. ביחס לתסקיר נטען שהשיחה האחרונה לצורך התסקיר המשלים נערכה בטלפון לאור מצב החירום במדינה, ובשונה ממה שדווח הנאשם 1 הביע מוכנות להשתתף בקבוצה טיפולית. נטען שאין זה ברור כיצד קצינת המבחן הגיעה למסקנה אחרת. הודגש מצב משפחתו של הנאשם 1, שהוא נשוי עם שני ילדים קטנים שאחד מהם סובל מבעיות בריאות. נטען שהנאשם עצמו מעד מעידה חד פעמית ומביע חרטה. נטען עוד שהיחסים עם המתלונן חזרו להיות תקינים, כפי שהיו לפני המקרה. נטען עוד שלנאשם הייתה פגיעה כלכלית קשה מאוד כתוצאה מההליך. ב"כ הנאשם 1 הזכיר את הפסיקה הבאה- </w:t>
      </w:r>
    </w:p>
    <w:p w14:paraId="7B3077A0" w14:textId="77777777" w:rsidR="00302CFF" w:rsidRDefault="00302CFF" w:rsidP="00302CFF">
      <w:pPr>
        <w:spacing w:line="360" w:lineRule="auto"/>
        <w:jc w:val="both"/>
        <w:rPr>
          <w:rtl/>
        </w:rPr>
      </w:pPr>
    </w:p>
    <w:p w14:paraId="0D6A2838" w14:textId="77777777" w:rsidR="00302CFF" w:rsidRDefault="007E1A75" w:rsidP="00302CFF">
      <w:pPr>
        <w:spacing w:line="360" w:lineRule="auto"/>
        <w:jc w:val="both"/>
        <w:rPr>
          <w:rtl/>
        </w:rPr>
      </w:pPr>
      <w:hyperlink r:id="rId31" w:history="1">
        <w:r w:rsidRPr="007E1A75">
          <w:rPr>
            <w:color w:val="0000FF"/>
            <w:u w:val="single"/>
            <w:rtl/>
          </w:rPr>
          <w:t>ת"פ 8338-12-13</w:t>
        </w:r>
      </w:hyperlink>
      <w:r w:rsidR="00302CFF">
        <w:rPr>
          <w:rFonts w:hint="cs"/>
          <w:rtl/>
        </w:rPr>
        <w:t xml:space="preserve"> </w:t>
      </w:r>
      <w:r w:rsidR="00302CFF">
        <w:rPr>
          <w:rFonts w:hint="cs"/>
          <w:b/>
          <w:bCs/>
          <w:rtl/>
        </w:rPr>
        <w:t>מדינת ישראל נ. מוחמד זידאן</w:t>
      </w:r>
      <w:r w:rsidR="00302CFF">
        <w:rPr>
          <w:rFonts w:hint="cs"/>
          <w:rtl/>
        </w:rPr>
        <w:t xml:space="preserve">- באותו מקרה הורשע הנאשם על פי הודאתו בעבירות נשק, כאשר הוא הוביל רימון יד הלם ברכב. באותו מקרה ניתן תסקיר חיובי, שהדגיש שמדובר באדם צעיר נורמטיבי, ללא מעורבות בפלילים. בית המשפט קבע מתחם ענישה שבין 6-36 חודשי מאסר, אך באותו מקרה העדיף שיקולי שיקום והודיע על כוונתו להטיל מעצר שירוצה בעבודות שירות. </w:t>
      </w:r>
    </w:p>
    <w:p w14:paraId="3C959FD2" w14:textId="77777777" w:rsidR="00302CFF" w:rsidRDefault="00302CFF" w:rsidP="00302CFF">
      <w:pPr>
        <w:spacing w:line="360" w:lineRule="auto"/>
        <w:jc w:val="both"/>
        <w:rPr>
          <w:rtl/>
        </w:rPr>
      </w:pPr>
    </w:p>
    <w:p w14:paraId="53210CF6" w14:textId="77777777" w:rsidR="00302CFF" w:rsidRDefault="007E1A75" w:rsidP="00302CFF">
      <w:pPr>
        <w:spacing w:line="360" w:lineRule="auto"/>
        <w:jc w:val="both"/>
        <w:rPr>
          <w:rtl/>
        </w:rPr>
      </w:pPr>
      <w:hyperlink r:id="rId32" w:history="1">
        <w:r w:rsidRPr="007E1A75">
          <w:rPr>
            <w:color w:val="0000FF"/>
            <w:u w:val="single"/>
            <w:rtl/>
          </w:rPr>
          <w:t>ת"פ 13327-05-10</w:t>
        </w:r>
      </w:hyperlink>
      <w:r w:rsidR="00302CFF">
        <w:rPr>
          <w:rFonts w:hint="cs"/>
          <w:rtl/>
        </w:rPr>
        <w:t xml:space="preserve"> </w:t>
      </w:r>
      <w:r w:rsidR="00302CFF">
        <w:rPr>
          <w:rFonts w:hint="cs"/>
          <w:b/>
          <w:bCs/>
          <w:rtl/>
        </w:rPr>
        <w:t>מדינת ישראל נ. אחמד אבו דאהש-</w:t>
      </w:r>
      <w:r w:rsidR="00302CFF">
        <w:rPr>
          <w:rFonts w:hint="cs"/>
          <w:rtl/>
        </w:rPr>
        <w:t xml:space="preserve"> שם הורשעו הנאשמים על פי הודאתם בכתב אישום מתוקן בעבירה של הובלת חומרי נפץ ועיסוק בחומר נפץ לפי </w:t>
      </w:r>
      <w:hyperlink r:id="rId33" w:history="1">
        <w:r w:rsidR="00AC30C3" w:rsidRPr="00AC30C3">
          <w:rPr>
            <w:rStyle w:val="Hyperlink"/>
            <w:rFonts w:hint="eastAsia"/>
            <w:rtl/>
          </w:rPr>
          <w:t>סעיף</w:t>
        </w:r>
        <w:r w:rsidR="00AC30C3" w:rsidRPr="00AC30C3">
          <w:rPr>
            <w:rStyle w:val="Hyperlink"/>
            <w:rtl/>
          </w:rPr>
          <w:t xml:space="preserve"> 10</w:t>
        </w:r>
      </w:hyperlink>
      <w:r w:rsidR="00302CFF">
        <w:rPr>
          <w:rFonts w:hint="cs"/>
          <w:rtl/>
        </w:rPr>
        <w:t xml:space="preserve"> ו- </w:t>
      </w:r>
      <w:hyperlink r:id="rId34" w:history="1">
        <w:r w:rsidR="00AC30C3" w:rsidRPr="00AC30C3">
          <w:rPr>
            <w:rStyle w:val="Hyperlink"/>
            <w:rtl/>
          </w:rPr>
          <w:t>19 (א)</w:t>
        </w:r>
      </w:hyperlink>
      <w:r w:rsidR="00302CFF">
        <w:rPr>
          <w:rFonts w:hint="cs"/>
          <w:rtl/>
        </w:rPr>
        <w:t xml:space="preserve"> ל</w:t>
      </w:r>
      <w:hyperlink r:id="rId35" w:history="1">
        <w:r w:rsidRPr="007E1A75">
          <w:rPr>
            <w:color w:val="0000FF"/>
            <w:u w:val="single"/>
            <w:rtl/>
          </w:rPr>
          <w:t>חוק חומרי נפץ</w:t>
        </w:r>
      </w:hyperlink>
      <w:r w:rsidR="00302CFF">
        <w:rPr>
          <w:rFonts w:hint="cs"/>
          <w:rtl/>
        </w:rPr>
        <w:t xml:space="preserve"> וסעיף </w:t>
      </w:r>
      <w:hyperlink r:id="rId36" w:history="1">
        <w:r w:rsidR="00AC30C3" w:rsidRPr="00AC30C3">
          <w:rPr>
            <w:rStyle w:val="Hyperlink"/>
            <w:rtl/>
          </w:rPr>
          <w:t>29 (ב)</w:t>
        </w:r>
      </w:hyperlink>
      <w:r w:rsidR="00302CFF">
        <w:rPr>
          <w:rFonts w:hint="cs"/>
          <w:rtl/>
        </w:rPr>
        <w:t xml:space="preserve"> ל</w:t>
      </w:r>
      <w:hyperlink r:id="rId37" w:history="1">
        <w:r w:rsidRPr="007E1A75">
          <w:rPr>
            <w:color w:val="0000FF"/>
            <w:u w:val="single"/>
            <w:rtl/>
          </w:rPr>
          <w:t>חוק העונשין</w:t>
        </w:r>
      </w:hyperlink>
      <w:r w:rsidR="00302CFF">
        <w:rPr>
          <w:rFonts w:hint="cs"/>
          <w:rtl/>
        </w:rPr>
        <w:t xml:space="preserve">, כאשר הם נסעו ברכב בשעות לפנות בוקר, ועימם פגז זיקוקים בקוטר 70 מ"ל אליו מחובר פתיל. בית המשפט הטיל מאסר על תנאי לתקופה של 6 חודשים וקנס. </w:t>
      </w:r>
    </w:p>
    <w:p w14:paraId="35FB12C2" w14:textId="77777777" w:rsidR="00302CFF" w:rsidRDefault="00302CFF" w:rsidP="00302CFF">
      <w:pPr>
        <w:spacing w:line="360" w:lineRule="auto"/>
        <w:jc w:val="both"/>
        <w:rPr>
          <w:rtl/>
        </w:rPr>
      </w:pPr>
    </w:p>
    <w:p w14:paraId="7C0B6AB3" w14:textId="77777777" w:rsidR="00302CFF" w:rsidRDefault="00302CFF" w:rsidP="00302CFF">
      <w:pPr>
        <w:spacing w:line="360" w:lineRule="auto"/>
        <w:jc w:val="both"/>
        <w:rPr>
          <w:rtl/>
        </w:rPr>
      </w:pPr>
      <w:r>
        <w:rPr>
          <w:rFonts w:hint="cs"/>
          <w:rtl/>
        </w:rPr>
        <w:t>10.</w:t>
      </w:r>
      <w:r>
        <w:rPr>
          <w:rFonts w:hint="cs"/>
          <w:rtl/>
        </w:rPr>
        <w:tab/>
        <w:t xml:space="preserve">נטען עוד כי המטען נזרק בשעה שלא היו אנשים בחוץ, ורמת הסיכון לפגיעה בגופו של אדם הייתה נמוכה מאוד. הסנגור ביקש להסתפק בתקופת המעצר וההרחקה במסגרת התנאים המגבילים שהוטלו, ולחילופין להטיל עונש מאסר בעבודות שירות. הנאשם 1 עצמו הביע חרטה על מעשיו וטען שמדובר במעידה חד פעמית שלא משקף את מהלך חייו, והדגיש פעם נוספת שהוא אמר לקצינת המבחן שהוא מוכן להשתתף בקבוצה הטיפולית. </w:t>
      </w:r>
    </w:p>
    <w:p w14:paraId="5D094724" w14:textId="77777777" w:rsidR="00302CFF" w:rsidRDefault="00302CFF" w:rsidP="00302CFF">
      <w:pPr>
        <w:spacing w:line="360" w:lineRule="auto"/>
        <w:jc w:val="both"/>
        <w:rPr>
          <w:rtl/>
        </w:rPr>
      </w:pPr>
    </w:p>
    <w:p w14:paraId="47FB227E" w14:textId="77777777" w:rsidR="00302CFF" w:rsidRDefault="00302CFF" w:rsidP="00302CFF">
      <w:pPr>
        <w:spacing w:line="360" w:lineRule="auto"/>
        <w:jc w:val="both"/>
        <w:rPr>
          <w:rtl/>
        </w:rPr>
      </w:pPr>
      <w:r>
        <w:rPr>
          <w:rFonts w:hint="cs"/>
          <w:rtl/>
        </w:rPr>
        <w:t>11.</w:t>
      </w:r>
      <w:r>
        <w:rPr>
          <w:rFonts w:hint="cs"/>
          <w:rtl/>
        </w:rPr>
        <w:tab/>
        <w:t xml:space="preserve">ב"כ הנאשם 2 טען שטיעוני המדינה מחמירים מעבר למידה, וכי הפסיקה שהובאה אינה רלבנטית למקרה. נטען שלנאשם 2 תפקיד משני בביצוע העבירות, ולכן הורשע רק בעבירת סיוע. הוזכר שהוא היה הנהג בלבד, לא נגע במטען וכי בכלל השתתף באירוע באופן אקראי כיוון שעבר במקום. נטען שנאשם 1 פעל בעצימת עיניים, ובחוסר הקשבה ושאין לו דפוסים עברייניים והוא שיתף פעולה עם חוקריו בהזדמנות הראשונה. באשר להמלצת שירות המבחן, נטען שהנאשם 2 הביע את הנכונות להשתתף בקבוצה לא כפי שנרשם, נטען שהמתחם הראוי נע בין שהות לתועלת הציבור עד לחודשים ספורים בעבודות שירות. לעניין זה הוזכר </w:t>
      </w:r>
      <w:hyperlink r:id="rId38" w:history="1">
        <w:r w:rsidR="007E1A75" w:rsidRPr="007E1A75">
          <w:rPr>
            <w:color w:val="0000FF"/>
            <w:u w:val="single"/>
            <w:rtl/>
          </w:rPr>
          <w:t>ע"פ 116/13</w:t>
        </w:r>
      </w:hyperlink>
      <w:r>
        <w:rPr>
          <w:rFonts w:hint="cs"/>
          <w:rtl/>
        </w:rPr>
        <w:t xml:space="preserve"> </w:t>
      </w:r>
      <w:r>
        <w:rPr>
          <w:rFonts w:hint="cs"/>
          <w:b/>
          <w:bCs/>
          <w:rtl/>
        </w:rPr>
        <w:t xml:space="preserve"> אור וקנין נ. מדינת ישראל</w:t>
      </w:r>
      <w:r>
        <w:rPr>
          <w:rFonts w:hint="cs"/>
          <w:rtl/>
        </w:rPr>
        <w:t xml:space="preserve"> (31.7.2013)- שם נגזרו על המערער מאסר בפועל של 7 חודשים לאחר שהורשע בהודאתו בסיוע לביצוע העסקה שיש עמה מסירת החזקה בנשק (מטען חבלה מאולתר ופגז זיקוקים). הערעור נדחה כאשר הייתה חוות דעת שלילית מטעם הממונה על עבודות השירות. צוין עוד שבין הנאשם 2 לבין המתלונן אין יריבות או סכסוך. נאשם 2 עצמו טען שהוא אדם נורמטיבי, ונקלע לסיטואציה באופן מקרי ואינו מעורב בסכסוכים. </w:t>
      </w:r>
    </w:p>
    <w:p w14:paraId="086723A1" w14:textId="77777777" w:rsidR="00302CFF" w:rsidRDefault="00302CFF" w:rsidP="00302CFF">
      <w:pPr>
        <w:spacing w:line="360" w:lineRule="auto"/>
        <w:jc w:val="both"/>
        <w:rPr>
          <w:rtl/>
        </w:rPr>
      </w:pPr>
    </w:p>
    <w:p w14:paraId="77CE8185" w14:textId="77777777" w:rsidR="00302CFF" w:rsidRPr="00586682" w:rsidRDefault="00302CFF" w:rsidP="00302CFF">
      <w:pPr>
        <w:spacing w:line="360" w:lineRule="auto"/>
        <w:jc w:val="both"/>
        <w:rPr>
          <w:rtl/>
        </w:rPr>
      </w:pPr>
      <w:r>
        <w:rPr>
          <w:rFonts w:hint="cs"/>
          <w:rtl/>
        </w:rPr>
        <w:t>12.</w:t>
      </w:r>
      <w:r>
        <w:rPr>
          <w:rFonts w:hint="cs"/>
          <w:rtl/>
        </w:rPr>
        <w:tab/>
        <w:t>ב"כ הנאשם 3 טען שהנאשם 3 לקח אחריות על מעשיו והביע חרטה אמיתית והוא מתכוון לחזור למוטב. נטען שהוא לא היה דומיננטי בביצוע העבירה, וכי ההליך התארך שלא באחריותו. נטען שמדובר באדם נורמטיבי שמתגורר בסמוך למתלונן ומנהל מערכת יחסים תקינה עמו, נטען שהנאשם הודה בחלקו כבר בשלב החקירה, וכי מדובר במעידה חד פעמית. הודגש שהנאשם שהה מאחורי סורג ובריח 25 ימים טרם שוחרר, לאחר מכן שהה במעצר בית משך תקופה ונמצא עדיין בתנאים מגבילים, שכאשר לא נשמעו לחובתו הפרות כלשהן. הסנגור הפנה ל</w:t>
      </w:r>
      <w:hyperlink r:id="rId39" w:history="1">
        <w:r w:rsidR="007E1A75" w:rsidRPr="007E1A75">
          <w:rPr>
            <w:color w:val="0000FF"/>
            <w:u w:val="single"/>
            <w:rtl/>
          </w:rPr>
          <w:t>ת"פ 4995-09-17</w:t>
        </w:r>
      </w:hyperlink>
      <w:r>
        <w:rPr>
          <w:rFonts w:hint="cs"/>
          <w:rtl/>
        </w:rPr>
        <w:t xml:space="preserve"> </w:t>
      </w:r>
      <w:r>
        <w:rPr>
          <w:rFonts w:hint="cs"/>
          <w:b/>
          <w:bCs/>
          <w:rtl/>
        </w:rPr>
        <w:t>מדינת ישראל נ. עלי</w:t>
      </w:r>
      <w:r>
        <w:rPr>
          <w:rFonts w:hint="cs"/>
          <w:rtl/>
        </w:rPr>
        <w:t xml:space="preserve"> (לא נמצא במערכת הנבו). שם לפי הטענה הטיל בית המשפט מאסר בפועל על עבודות שירות, מקרה הרבה יותר חמור מאשר מדובר בסיוע. נטען למתחם של מאסר על תנאי עד למס' חודשים של עבודות שירות. נאשם 3 התנצל והביע חרטה.</w:t>
      </w:r>
    </w:p>
    <w:p w14:paraId="484BC7B2" w14:textId="77777777" w:rsidR="00302CFF" w:rsidRPr="00455E77" w:rsidRDefault="00302CFF" w:rsidP="00302CFF">
      <w:pPr>
        <w:spacing w:line="360" w:lineRule="auto"/>
        <w:jc w:val="both"/>
        <w:rPr>
          <w:rtl/>
        </w:rPr>
      </w:pPr>
    </w:p>
    <w:p w14:paraId="1E38E596" w14:textId="77777777" w:rsidR="00302CFF" w:rsidRPr="00455E77" w:rsidRDefault="00302CFF" w:rsidP="00302CFF">
      <w:pPr>
        <w:spacing w:line="360" w:lineRule="auto"/>
        <w:jc w:val="both"/>
        <w:rPr>
          <w:b/>
          <w:bCs/>
          <w:u w:val="single"/>
          <w:rtl/>
        </w:rPr>
      </w:pPr>
    </w:p>
    <w:p w14:paraId="07CC70E1" w14:textId="77777777" w:rsidR="00302CFF" w:rsidRDefault="00302CFF" w:rsidP="00302CFF">
      <w:pPr>
        <w:spacing w:line="360" w:lineRule="auto"/>
        <w:jc w:val="both"/>
        <w:rPr>
          <w:b/>
          <w:bCs/>
          <w:u w:val="single"/>
          <w:rtl/>
        </w:rPr>
      </w:pPr>
      <w:r>
        <w:rPr>
          <w:rFonts w:hint="cs"/>
          <w:b/>
          <w:bCs/>
          <w:u w:val="single"/>
          <w:rtl/>
        </w:rPr>
        <w:t>התסקירים:</w:t>
      </w:r>
    </w:p>
    <w:p w14:paraId="491322DB" w14:textId="77777777" w:rsidR="00302CFF" w:rsidRDefault="00302CFF" w:rsidP="00302CFF">
      <w:pPr>
        <w:spacing w:line="360" w:lineRule="auto"/>
        <w:jc w:val="both"/>
        <w:rPr>
          <w:b/>
          <w:bCs/>
          <w:u w:val="single"/>
          <w:rtl/>
        </w:rPr>
      </w:pPr>
    </w:p>
    <w:p w14:paraId="7E2D1175" w14:textId="77777777" w:rsidR="00302CFF" w:rsidRDefault="00302CFF" w:rsidP="00302CFF">
      <w:pPr>
        <w:spacing w:line="360" w:lineRule="auto"/>
        <w:jc w:val="both"/>
        <w:rPr>
          <w:rtl/>
        </w:rPr>
      </w:pPr>
      <w:r>
        <w:rPr>
          <w:rFonts w:hint="cs"/>
          <w:rtl/>
        </w:rPr>
        <w:t>13.</w:t>
      </w:r>
      <w:r>
        <w:rPr>
          <w:rFonts w:hint="cs"/>
          <w:rtl/>
        </w:rPr>
        <w:tab/>
      </w:r>
      <w:r w:rsidRPr="00702DC1">
        <w:rPr>
          <w:rFonts w:hint="cs"/>
          <w:rtl/>
        </w:rPr>
        <w:t xml:space="preserve">ביום </w:t>
      </w:r>
      <w:r>
        <w:rPr>
          <w:rFonts w:hint="cs"/>
          <w:rtl/>
        </w:rPr>
        <w:t>10.3.20 הוגשו תסקירים ראשוניים לגבי כל אחד מהנאשמים. ביחס לנאשם 1 (טאהא) צוין שמדובר באדם בן 31, נשוי ואב לשני ילדים קטנים שטרם מעצרו עבד כעצמאי בתחום השיפוצים. הוא ללא עבר פלילי. לטענתו בתקופת המתח בכפר מנדא דאג הוא ומשפחתו להגן על המתלונן ממשפחת זידאן וטען שמספר ימים טרם האירוע המתלונן קילל והטיח בפני אימו של הנאשם טענות בקשר לאי יכולתם להגן עליו, דבר שגרם לכעס רב אצל הנאשם 1. תוארה התרשמות שהנאשם 1 ער לחומרה המיוחסת לו וחווה את מעצרו ואת מעצר הבית באופן מרתיע ומציב גבולות. תואר שתפקודו משך השנים היה תקין אך תוארו קשיים בוויסות תגובות בקשר בין אישי ועמדות נוקשות ושהוא עלול להגיב בתוקפנות. הוערך כי דפוסים מסוימים של התנהגות עבריינית שבדר"כ לא משתמש בהם, צפו בשעת משבר ולחץ. בסיכומו של עניין במאזן בין גורמי סיכוי לשיקום לעומת גורמי סיכון, צוינה פרגנוזה נמוכה לשיקום ולא הובאה המלצה טיפולית.</w:t>
      </w:r>
    </w:p>
    <w:p w14:paraId="2203B6E8" w14:textId="77777777" w:rsidR="00302CFF" w:rsidRDefault="00302CFF" w:rsidP="00302CFF">
      <w:pPr>
        <w:spacing w:line="360" w:lineRule="auto"/>
        <w:jc w:val="both"/>
        <w:rPr>
          <w:rtl/>
        </w:rPr>
      </w:pPr>
    </w:p>
    <w:p w14:paraId="038CB06F" w14:textId="77777777" w:rsidR="00302CFF" w:rsidRDefault="00302CFF" w:rsidP="00302CFF">
      <w:pPr>
        <w:spacing w:line="360" w:lineRule="auto"/>
        <w:ind w:firstLine="720"/>
        <w:jc w:val="both"/>
        <w:rPr>
          <w:rtl/>
        </w:rPr>
      </w:pPr>
      <w:r>
        <w:rPr>
          <w:rFonts w:hint="cs"/>
          <w:rtl/>
        </w:rPr>
        <w:t xml:space="preserve">על רקע ממצאי התסקיר הנאשם ביקש (יחד עם הנאשמים האחרים) שתינתן לו אפשרות לערוך תסקיר משלים כיוון שהוא מעוניין בנתיב שיקומי. ואולם, תסקיר משלים שהוגש ב-11.5.20 לא שינה מההמלצה הקודמת, כאשר צוין שנלקחה אחריות פורמלית אך נשלל תכנון ולטענתו זרק רק זיקוק לעבר ביתו של המתלונן ולא חומר נפץ, והוא המשיך להתמקם בעמדה קורבנית, לפיו כתב האישום נופח מעבר לפרופורציה. בסופו של עניין לא שינה ממסקנתו הקודמת. </w:t>
      </w:r>
    </w:p>
    <w:p w14:paraId="4759571C" w14:textId="77777777" w:rsidR="00302CFF" w:rsidRDefault="00302CFF" w:rsidP="00302CFF">
      <w:pPr>
        <w:spacing w:line="360" w:lineRule="auto"/>
        <w:ind w:firstLine="720"/>
        <w:jc w:val="both"/>
        <w:rPr>
          <w:rtl/>
        </w:rPr>
      </w:pPr>
    </w:p>
    <w:p w14:paraId="496F9D45" w14:textId="77777777" w:rsidR="00302CFF" w:rsidRDefault="00302CFF" w:rsidP="00302CFF">
      <w:pPr>
        <w:spacing w:line="360" w:lineRule="auto"/>
        <w:jc w:val="both"/>
        <w:rPr>
          <w:rtl/>
        </w:rPr>
      </w:pPr>
      <w:r>
        <w:rPr>
          <w:rFonts w:hint="cs"/>
          <w:rtl/>
        </w:rPr>
        <w:t>14.</w:t>
      </w:r>
      <w:r>
        <w:rPr>
          <w:rFonts w:hint="cs"/>
          <w:rtl/>
        </w:rPr>
        <w:tab/>
        <w:t xml:space="preserve">ביחס לנאשם 2 (מאג'ד) תואר שהוא בן 23, רווק, שנמצא בתנאים מגבילים, ועובד בחברת יפאורה. אין לחובתו הרשעות פליליות. הוא הביע חרטה על כך שנכלא לסיטואציה אך התקשה לקחת אחריות. הוא שלל נזקקות טיפולית. שירות המבחן התרשם מנזקקות טיפולית גבוהה אך שהנאשם 2 אינו בשל וניתנה פרוגנוזה שיקומית שלילית. </w:t>
      </w:r>
    </w:p>
    <w:p w14:paraId="59F14093" w14:textId="77777777" w:rsidR="00302CFF" w:rsidRDefault="00302CFF" w:rsidP="00302CFF">
      <w:pPr>
        <w:spacing w:line="360" w:lineRule="auto"/>
        <w:ind w:firstLine="720"/>
        <w:jc w:val="both"/>
        <w:rPr>
          <w:rtl/>
        </w:rPr>
      </w:pPr>
    </w:p>
    <w:p w14:paraId="17471F72" w14:textId="77777777" w:rsidR="00302CFF" w:rsidRDefault="00302CFF" w:rsidP="00302CFF">
      <w:pPr>
        <w:spacing w:line="360" w:lineRule="auto"/>
        <w:jc w:val="both"/>
        <w:rPr>
          <w:rtl/>
        </w:rPr>
      </w:pPr>
      <w:r>
        <w:rPr>
          <w:rFonts w:hint="cs"/>
          <w:rtl/>
        </w:rPr>
        <w:t>15.</w:t>
      </w:r>
      <w:r>
        <w:rPr>
          <w:rFonts w:hint="cs"/>
          <w:rtl/>
        </w:rPr>
        <w:tab/>
        <w:t xml:space="preserve">בתסקיר המשלים מיום 11.5.20 לא שונתה המסקנה, אך לצד זה צוין שענישה שאינה שיקומית עלולה להביא לרגרסיה בתפקודו והתחברות לתרבות עבריינית, אך בכל זאת לא הובאה המלצה. </w:t>
      </w:r>
    </w:p>
    <w:p w14:paraId="1E8E1C4D" w14:textId="77777777" w:rsidR="00302CFF" w:rsidRDefault="00302CFF" w:rsidP="00302CFF">
      <w:pPr>
        <w:spacing w:line="360" w:lineRule="auto"/>
        <w:ind w:firstLine="720"/>
        <w:jc w:val="both"/>
        <w:rPr>
          <w:rtl/>
        </w:rPr>
      </w:pPr>
    </w:p>
    <w:p w14:paraId="4CE07F2D" w14:textId="77777777" w:rsidR="00302CFF" w:rsidRDefault="00302CFF" w:rsidP="00302CFF">
      <w:pPr>
        <w:spacing w:line="360" w:lineRule="auto"/>
        <w:jc w:val="both"/>
        <w:rPr>
          <w:rtl/>
        </w:rPr>
      </w:pPr>
      <w:r>
        <w:rPr>
          <w:rFonts w:hint="cs"/>
          <w:rtl/>
        </w:rPr>
        <w:t>16.</w:t>
      </w:r>
      <w:r>
        <w:rPr>
          <w:rFonts w:hint="cs"/>
          <w:rtl/>
        </w:rPr>
        <w:tab/>
        <w:t xml:space="preserve">ביחס לנאשם 3 (איברהים) צוין שהוא בן 25, נשוי ואב לילדה בת שנתיים וחצי ושוהה בתנאים מגבילים. עובד בתחום החקלאות בעסק שמנהל אביו. הוא נעדר עבר פלילי ותפקודו היה נורמטיבי עד למעצרו. הוא ביטא מוכנות להשתלב בטיפול מאימת הדין ולא מתוך חיבור פנימי והצורך לעריכת שינוי, וניתנה פרוגנוזה טיפולית נמוכה. בתסקיר משלים לא שונתה המסקנה האמורה. </w:t>
      </w:r>
    </w:p>
    <w:p w14:paraId="5B7BCCF1" w14:textId="77777777" w:rsidR="00302CFF" w:rsidRDefault="00302CFF" w:rsidP="00302CFF">
      <w:pPr>
        <w:spacing w:line="360" w:lineRule="auto"/>
        <w:ind w:firstLine="720"/>
        <w:jc w:val="both"/>
        <w:rPr>
          <w:rtl/>
        </w:rPr>
      </w:pPr>
    </w:p>
    <w:p w14:paraId="37723376" w14:textId="77777777" w:rsidR="00302CFF" w:rsidRDefault="00302CFF" w:rsidP="00302CFF">
      <w:pPr>
        <w:spacing w:line="360" w:lineRule="auto"/>
        <w:jc w:val="both"/>
        <w:rPr>
          <w:b/>
          <w:bCs/>
          <w:u w:val="single"/>
          <w:rtl/>
        </w:rPr>
      </w:pPr>
    </w:p>
    <w:p w14:paraId="332CFDA6" w14:textId="77777777" w:rsidR="00302CFF" w:rsidRDefault="00302CFF" w:rsidP="00302CFF">
      <w:pPr>
        <w:spacing w:line="360" w:lineRule="auto"/>
        <w:jc w:val="both"/>
        <w:rPr>
          <w:b/>
          <w:bCs/>
          <w:u w:val="single"/>
          <w:rtl/>
        </w:rPr>
      </w:pPr>
      <w:r>
        <w:rPr>
          <w:rFonts w:hint="cs"/>
          <w:b/>
          <w:bCs/>
          <w:u w:val="single"/>
          <w:rtl/>
        </w:rPr>
        <w:t>דיון  והכרעה:</w:t>
      </w:r>
    </w:p>
    <w:p w14:paraId="600BA397" w14:textId="77777777" w:rsidR="00302CFF" w:rsidRDefault="00302CFF" w:rsidP="00302CFF">
      <w:pPr>
        <w:spacing w:line="360" w:lineRule="auto"/>
        <w:jc w:val="both"/>
        <w:rPr>
          <w:b/>
          <w:bCs/>
          <w:u w:val="single"/>
          <w:rtl/>
        </w:rPr>
      </w:pPr>
    </w:p>
    <w:p w14:paraId="398FD357" w14:textId="77777777" w:rsidR="00302CFF" w:rsidRDefault="00302CFF" w:rsidP="00302CFF">
      <w:pPr>
        <w:spacing w:line="360" w:lineRule="auto"/>
        <w:jc w:val="both"/>
        <w:rPr>
          <w:rtl/>
        </w:rPr>
      </w:pPr>
      <w:r>
        <w:rPr>
          <w:rFonts w:hint="cs"/>
          <w:rtl/>
        </w:rPr>
        <w:t>17.</w:t>
      </w:r>
      <w:r>
        <w:rPr>
          <w:rFonts w:hint="cs"/>
          <w:rtl/>
        </w:rPr>
        <w:tab/>
        <w:t xml:space="preserve">במקרה דינן, נפגעו הערכים המוגנים של שמירה על שלום הציבור וביטחונו ובטחון הפרט במקום מגוריו. על פי סעיפי האישום, תפקידו של הנאשם 1 היה המרכזי ותפקידם של הנאשמים 2 ו-3 היו בבחינת סיוע. ברור שמבחינת הנאשם 1 התקיים תכנון מוקפד, כאשר המטען הוכן מראש,  והשלושה נסעו בשעת לילה מאוחרת בקרבת ביתו של המתלונן. עם זאת, יש לציין שמדובר בחפץ נפיץ שאמנם מסוכן אך אין מדובר במטען בעל רמת סיכון גבוהה ביותר. הנאשמים היו צריכים לדעת את הפסול במעשיהם ולהימנע מהם. </w:t>
      </w:r>
    </w:p>
    <w:p w14:paraId="5DAB7144" w14:textId="77777777" w:rsidR="00302CFF" w:rsidRDefault="00302CFF" w:rsidP="00302CFF">
      <w:pPr>
        <w:spacing w:line="360" w:lineRule="auto"/>
        <w:jc w:val="both"/>
        <w:rPr>
          <w:rtl/>
        </w:rPr>
      </w:pPr>
    </w:p>
    <w:p w14:paraId="1525348B" w14:textId="77777777" w:rsidR="00302CFF" w:rsidRDefault="00302CFF" w:rsidP="00302CFF">
      <w:pPr>
        <w:spacing w:line="360" w:lineRule="auto"/>
        <w:jc w:val="both"/>
        <w:rPr>
          <w:rtl/>
        </w:rPr>
      </w:pPr>
      <w:r>
        <w:rPr>
          <w:rFonts w:hint="cs"/>
          <w:rtl/>
        </w:rPr>
        <w:t>18.</w:t>
      </w:r>
      <w:r>
        <w:rPr>
          <w:rFonts w:hint="cs"/>
          <w:rtl/>
        </w:rPr>
        <w:tab/>
        <w:t xml:space="preserve">בנסיבות, המתחם ההולם ביחס לנאשם 1 עומד על בין 6 חודשי מאסר לבין 18 חודשי מאסר. וביחס לנאשמים האחרים, בין 3-9 חודשי מאסר. </w:t>
      </w:r>
    </w:p>
    <w:p w14:paraId="4F5D6F1E" w14:textId="77777777" w:rsidR="00302CFF" w:rsidRDefault="00302CFF" w:rsidP="00302CFF">
      <w:pPr>
        <w:spacing w:line="360" w:lineRule="auto"/>
        <w:jc w:val="both"/>
        <w:rPr>
          <w:rtl/>
        </w:rPr>
      </w:pPr>
    </w:p>
    <w:p w14:paraId="4E7CBBB2" w14:textId="77777777" w:rsidR="00302CFF" w:rsidRDefault="00302CFF" w:rsidP="00302CFF">
      <w:pPr>
        <w:spacing w:line="360" w:lineRule="auto"/>
        <w:jc w:val="both"/>
        <w:rPr>
          <w:rtl/>
        </w:rPr>
      </w:pPr>
      <w:r>
        <w:rPr>
          <w:rFonts w:hint="cs"/>
          <w:rtl/>
        </w:rPr>
        <w:t>19.</w:t>
      </w:r>
      <w:r>
        <w:rPr>
          <w:rFonts w:hint="cs"/>
          <w:rtl/>
        </w:rPr>
        <w:tab/>
        <w:t xml:space="preserve">בכל הקשור לענישה בתוך המתחם, נראה שאכן מדובר במעידה חד פעמית וכי ההליך היווה גורם מרתיע משמעותי עבור הנאשמים. בכל הקשור לענישה בתוך המתחם, ותסקירי המבחן שנערכו, נראה שאכן ייתכן שחל אי הבנה בין הנאשמים לבין שירות המבחן בשיחות האחרונות. אולם, עם זאת אין עדיין לומר כי מדובר בתסקירים חיוביים מאד וזאת על אף שבתסקירים לא נמצאה עדות לדפוסים עברייניים מושרשים אצל מי מהנאשמים. </w:t>
      </w:r>
    </w:p>
    <w:p w14:paraId="223987CA" w14:textId="77777777" w:rsidR="00302CFF" w:rsidRPr="002827FD" w:rsidRDefault="00302CFF" w:rsidP="00302CFF">
      <w:pPr>
        <w:spacing w:line="360" w:lineRule="auto"/>
        <w:jc w:val="both"/>
        <w:rPr>
          <w:b/>
          <w:bCs/>
          <w:u w:val="single"/>
          <w:rtl/>
        </w:rPr>
      </w:pPr>
    </w:p>
    <w:p w14:paraId="141B07FC" w14:textId="77777777" w:rsidR="00302CFF" w:rsidRDefault="00302CFF" w:rsidP="00302CFF">
      <w:pPr>
        <w:spacing w:line="360" w:lineRule="auto"/>
        <w:jc w:val="both"/>
        <w:rPr>
          <w:b/>
          <w:bCs/>
          <w:u w:val="single"/>
          <w:rtl/>
        </w:rPr>
      </w:pPr>
      <w:r w:rsidRPr="002827FD">
        <w:rPr>
          <w:rFonts w:hint="cs"/>
          <w:b/>
          <w:bCs/>
          <w:u w:val="single"/>
          <w:rtl/>
        </w:rPr>
        <w:t>בסופו של עניין בשקלול הכולל של הנסיבות, הגעתי למסקנה שיש להטיל ענישה כלדקמן:</w:t>
      </w:r>
    </w:p>
    <w:p w14:paraId="6C0DF97A" w14:textId="77777777" w:rsidR="00302CFF" w:rsidRDefault="00302CFF" w:rsidP="00302CFF">
      <w:pPr>
        <w:spacing w:line="360" w:lineRule="auto"/>
        <w:jc w:val="both"/>
        <w:rPr>
          <w:b/>
          <w:bCs/>
          <w:u w:val="single"/>
          <w:rtl/>
        </w:rPr>
      </w:pPr>
    </w:p>
    <w:p w14:paraId="6F28C098" w14:textId="77777777" w:rsidR="00302CFF" w:rsidRDefault="00302CFF" w:rsidP="00302CFF">
      <w:pPr>
        <w:spacing w:line="360" w:lineRule="auto"/>
        <w:jc w:val="both"/>
        <w:rPr>
          <w:b/>
          <w:bCs/>
          <w:u w:val="single"/>
          <w:rtl/>
        </w:rPr>
      </w:pPr>
      <w:r w:rsidRPr="002827FD">
        <w:rPr>
          <w:rFonts w:hint="cs"/>
          <w:b/>
          <w:bCs/>
          <w:u w:val="single"/>
          <w:rtl/>
        </w:rPr>
        <w:t>נאשם 1</w:t>
      </w:r>
      <w:r>
        <w:rPr>
          <w:rFonts w:hint="cs"/>
          <w:b/>
          <w:bCs/>
          <w:u w:val="single"/>
          <w:rtl/>
        </w:rPr>
        <w:t>:</w:t>
      </w:r>
    </w:p>
    <w:p w14:paraId="09716A0E" w14:textId="77777777" w:rsidR="00302CFF" w:rsidRPr="002827FD" w:rsidRDefault="00302CFF" w:rsidP="00302CFF">
      <w:pPr>
        <w:spacing w:line="360" w:lineRule="auto"/>
        <w:jc w:val="both"/>
        <w:rPr>
          <w:b/>
          <w:bCs/>
          <w:u w:val="single"/>
          <w:rtl/>
        </w:rPr>
      </w:pPr>
    </w:p>
    <w:p w14:paraId="5EFE3EAD" w14:textId="77777777" w:rsidR="00302CFF" w:rsidRDefault="00302CFF" w:rsidP="00302CFF">
      <w:pPr>
        <w:pStyle w:val="a9"/>
        <w:numPr>
          <w:ilvl w:val="0"/>
          <w:numId w:val="1"/>
        </w:numPr>
        <w:spacing w:line="360" w:lineRule="auto"/>
        <w:jc w:val="both"/>
        <w:rPr>
          <w:rtl/>
        </w:rPr>
      </w:pPr>
      <w:r>
        <w:rPr>
          <w:rFonts w:hint="cs"/>
          <w:rtl/>
        </w:rPr>
        <w:t xml:space="preserve">9 חודשי מאסר בפועל שירוצו בעבודות שירות, בתנאי שתינתן חוות דעת חיובית מהממונה על עבודות השירות. </w:t>
      </w:r>
    </w:p>
    <w:p w14:paraId="5AB75766" w14:textId="77777777" w:rsidR="00302CFF" w:rsidRDefault="00302CFF" w:rsidP="00302CFF">
      <w:pPr>
        <w:pStyle w:val="a9"/>
        <w:numPr>
          <w:ilvl w:val="0"/>
          <w:numId w:val="1"/>
        </w:numPr>
        <w:spacing w:line="360" w:lineRule="auto"/>
        <w:jc w:val="both"/>
        <w:rPr>
          <w:rtl/>
        </w:rPr>
      </w:pPr>
      <w:r>
        <w:rPr>
          <w:rFonts w:hint="cs"/>
          <w:rtl/>
        </w:rPr>
        <w:t>6 חודשי מאסר על תנאי למשך 3 שנים כאשר התנאי יופעל במידה והנאשם יעבור עבירות נשק או אלימות.</w:t>
      </w:r>
    </w:p>
    <w:p w14:paraId="46A0DB1E" w14:textId="77777777" w:rsidR="00302CFF" w:rsidRDefault="00302CFF" w:rsidP="00302CFF">
      <w:pPr>
        <w:pStyle w:val="a9"/>
        <w:numPr>
          <w:ilvl w:val="0"/>
          <w:numId w:val="1"/>
        </w:numPr>
        <w:spacing w:line="360" w:lineRule="auto"/>
        <w:jc w:val="both"/>
        <w:rPr>
          <w:rtl/>
        </w:rPr>
      </w:pPr>
      <w:r>
        <w:rPr>
          <w:rFonts w:hint="cs"/>
          <w:rtl/>
        </w:rPr>
        <w:t>פיצוי בסך 2,500 ₪ למתלונן לתשלום עד ליום 30.7.20.</w:t>
      </w:r>
    </w:p>
    <w:p w14:paraId="2402D96E" w14:textId="77777777" w:rsidR="00302CFF" w:rsidRDefault="00302CFF" w:rsidP="00302CFF">
      <w:pPr>
        <w:spacing w:line="360" w:lineRule="auto"/>
        <w:jc w:val="both"/>
        <w:rPr>
          <w:rtl/>
        </w:rPr>
      </w:pPr>
    </w:p>
    <w:p w14:paraId="1C5C0809" w14:textId="77777777" w:rsidR="00302CFF" w:rsidRDefault="00302CFF" w:rsidP="00302CFF">
      <w:pPr>
        <w:spacing w:line="360" w:lineRule="auto"/>
        <w:jc w:val="both"/>
        <w:rPr>
          <w:b/>
          <w:bCs/>
          <w:u w:val="single"/>
          <w:rtl/>
        </w:rPr>
      </w:pPr>
      <w:r>
        <w:rPr>
          <w:rFonts w:hint="cs"/>
          <w:b/>
          <w:bCs/>
          <w:u w:val="single"/>
          <w:rtl/>
        </w:rPr>
        <w:t>נאשמים 2-3:</w:t>
      </w:r>
    </w:p>
    <w:p w14:paraId="11AD0828" w14:textId="77777777" w:rsidR="00302CFF" w:rsidRDefault="00302CFF" w:rsidP="00302CFF">
      <w:pPr>
        <w:spacing w:line="360" w:lineRule="auto"/>
        <w:jc w:val="both"/>
        <w:rPr>
          <w:b/>
          <w:bCs/>
          <w:u w:val="single"/>
          <w:rtl/>
        </w:rPr>
      </w:pPr>
    </w:p>
    <w:p w14:paraId="361E9390" w14:textId="77777777" w:rsidR="00302CFF" w:rsidRDefault="00302CFF" w:rsidP="00302CFF">
      <w:pPr>
        <w:pStyle w:val="a9"/>
        <w:numPr>
          <w:ilvl w:val="0"/>
          <w:numId w:val="2"/>
        </w:numPr>
        <w:spacing w:line="360" w:lineRule="auto"/>
        <w:jc w:val="both"/>
        <w:rPr>
          <w:rtl/>
        </w:rPr>
      </w:pPr>
      <w:r>
        <w:rPr>
          <w:rFonts w:hint="cs"/>
          <w:rtl/>
        </w:rPr>
        <w:t xml:space="preserve">4.5 חודשי מאסר בפועל שירוצו בעבודות שירות, בתנאי שתינתן חוות דעת חיובית מהממונה על עבודות השירות. </w:t>
      </w:r>
    </w:p>
    <w:p w14:paraId="4E0FDB85" w14:textId="77777777" w:rsidR="00302CFF" w:rsidRDefault="00302CFF" w:rsidP="00302CFF">
      <w:pPr>
        <w:pStyle w:val="a9"/>
        <w:numPr>
          <w:ilvl w:val="0"/>
          <w:numId w:val="2"/>
        </w:numPr>
        <w:spacing w:line="360" w:lineRule="auto"/>
        <w:jc w:val="both"/>
        <w:rPr>
          <w:rtl/>
        </w:rPr>
      </w:pPr>
      <w:r>
        <w:rPr>
          <w:rFonts w:hint="cs"/>
          <w:rtl/>
        </w:rPr>
        <w:t xml:space="preserve">3 חודשי מאסר על תנאי למשך 3 שנים כאשר התנאי יופעל במידה והנאשמים יעברו עבירות נשק או אלימות. </w:t>
      </w:r>
    </w:p>
    <w:p w14:paraId="51655FD9" w14:textId="77777777" w:rsidR="00302CFF" w:rsidRDefault="00302CFF" w:rsidP="00302CFF">
      <w:pPr>
        <w:pStyle w:val="a9"/>
        <w:numPr>
          <w:ilvl w:val="0"/>
          <w:numId w:val="2"/>
        </w:numPr>
        <w:spacing w:line="360" w:lineRule="auto"/>
        <w:jc w:val="both"/>
        <w:rPr>
          <w:rtl/>
        </w:rPr>
      </w:pPr>
      <w:r>
        <w:rPr>
          <w:rFonts w:hint="cs"/>
          <w:rtl/>
        </w:rPr>
        <w:t>פיצוי בסך 1,250 ₪ מכל אחד מהנאשמים למתלונן לתשלום עד ליום 30.7.20.</w:t>
      </w:r>
    </w:p>
    <w:p w14:paraId="391ADC34" w14:textId="77777777" w:rsidR="00302CFF" w:rsidRPr="002827FD" w:rsidRDefault="00302CFF" w:rsidP="00302CFF">
      <w:pPr>
        <w:spacing w:line="360" w:lineRule="auto"/>
        <w:jc w:val="both"/>
        <w:rPr>
          <w:b/>
          <w:bCs/>
          <w:u w:val="single"/>
          <w:rtl/>
        </w:rPr>
      </w:pPr>
    </w:p>
    <w:p w14:paraId="567E7E99" w14:textId="77777777" w:rsidR="00302CFF" w:rsidRPr="00832F5E" w:rsidRDefault="00302CFF" w:rsidP="00302CFF">
      <w:pPr>
        <w:spacing w:line="360" w:lineRule="auto"/>
        <w:jc w:val="both"/>
        <w:rPr>
          <w:b/>
          <w:bCs/>
          <w:u w:val="single"/>
          <w:rtl/>
        </w:rPr>
      </w:pPr>
      <w:r w:rsidRPr="00832F5E">
        <w:rPr>
          <w:rFonts w:hint="cs"/>
          <w:b/>
          <w:bCs/>
          <w:u w:val="single"/>
          <w:rtl/>
        </w:rPr>
        <w:t xml:space="preserve">זכות ערעור תוך 45 יום. </w:t>
      </w:r>
    </w:p>
    <w:p w14:paraId="4DCB86E7" w14:textId="77777777" w:rsidR="00302CFF" w:rsidRPr="00B05847" w:rsidRDefault="00302CFF" w:rsidP="00302CFF">
      <w:pPr>
        <w:rPr>
          <w:rtl/>
        </w:rPr>
      </w:pPr>
    </w:p>
    <w:p w14:paraId="14032529" w14:textId="77777777" w:rsidR="00302CFF" w:rsidRPr="007E1A75" w:rsidRDefault="007E1A75" w:rsidP="00302CFF">
      <w:pPr>
        <w:rPr>
          <w:color w:val="FFFFFF"/>
          <w:sz w:val="2"/>
          <w:szCs w:val="2"/>
          <w:rtl/>
        </w:rPr>
      </w:pPr>
      <w:r w:rsidRPr="007E1A75">
        <w:rPr>
          <w:color w:val="FFFFFF"/>
          <w:sz w:val="2"/>
          <w:szCs w:val="2"/>
          <w:rtl/>
        </w:rPr>
        <w:t>5129371</w:t>
      </w:r>
    </w:p>
    <w:p w14:paraId="57B5562F" w14:textId="77777777" w:rsidR="00302CFF" w:rsidRDefault="007E1A75" w:rsidP="00302CFF">
      <w:pPr>
        <w:rPr>
          <w:rFonts w:cs="FrankRuehl"/>
          <w:sz w:val="28"/>
          <w:szCs w:val="28"/>
          <w:rtl/>
        </w:rPr>
      </w:pPr>
      <w:bookmarkStart w:id="8" w:name="Nitan"/>
      <w:r w:rsidRPr="007E1A75">
        <w:rPr>
          <w:rFonts w:ascii="Arial" w:hAnsi="Arial"/>
          <w:color w:val="FFFFFF"/>
          <w:sz w:val="2"/>
          <w:szCs w:val="2"/>
          <w:rtl/>
        </w:rPr>
        <w:t>54678313</w:t>
      </w:r>
      <w:r>
        <w:rPr>
          <w:rFonts w:ascii="Arial" w:hAnsi="Arial"/>
          <w:rtl/>
        </w:rPr>
        <w:t xml:space="preserve">ניתן היום,  ט' סיוון תש"פ, 01 יוני 2020, בהעדר הצדדים. </w:t>
      </w:r>
      <w:bookmarkEnd w:id="8"/>
    </w:p>
    <w:p w14:paraId="62B81D11" w14:textId="77777777" w:rsidR="00302CFF" w:rsidRDefault="00302CFF" w:rsidP="007E1A7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C4006C4" w14:textId="77777777" w:rsidR="00302CFF" w:rsidRDefault="00302CFF" w:rsidP="00302CFF">
      <w:pPr>
        <w:jc w:val="center"/>
        <w:rPr>
          <w:rFonts w:ascii="Arial" w:hAnsi="Arial" w:cs="FrankRuehl"/>
          <w:sz w:val="28"/>
          <w:szCs w:val="28"/>
          <w:rtl/>
        </w:rPr>
      </w:pPr>
    </w:p>
    <w:p w14:paraId="4F507521" w14:textId="77777777" w:rsidR="007E1A75" w:rsidRDefault="00CC4688" w:rsidP="007E1A75">
      <w:pPr>
        <w:rPr>
          <w:rtl/>
        </w:rPr>
      </w:pPr>
      <w:r>
        <w:rPr>
          <w:rFonts w:hint="cs"/>
          <w:rtl/>
        </w:rPr>
        <w:t xml:space="preserve">             </w:t>
      </w:r>
    </w:p>
    <w:p w14:paraId="5CAA4A5A" w14:textId="77777777" w:rsidR="007E1A75" w:rsidRDefault="007E1A75" w:rsidP="007E1A75">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0BF356F5" w14:textId="77777777" w:rsidR="00AC30C3" w:rsidRPr="00AC30C3" w:rsidRDefault="00AC30C3" w:rsidP="00AC30C3">
      <w:pPr>
        <w:keepNext/>
        <w:rPr>
          <w:rFonts w:ascii="David" w:hAnsi="David"/>
          <w:color w:val="000000"/>
          <w:sz w:val="22"/>
          <w:szCs w:val="22"/>
          <w:rtl/>
        </w:rPr>
      </w:pPr>
    </w:p>
    <w:p w14:paraId="115BBCF0" w14:textId="77777777" w:rsidR="00AC30C3" w:rsidRPr="00AC30C3" w:rsidRDefault="00AC30C3" w:rsidP="00AC30C3">
      <w:pPr>
        <w:keepNext/>
        <w:rPr>
          <w:rFonts w:ascii="David" w:hAnsi="David"/>
          <w:color w:val="000000"/>
          <w:sz w:val="22"/>
          <w:szCs w:val="22"/>
          <w:rtl/>
        </w:rPr>
      </w:pPr>
      <w:r w:rsidRPr="00AC30C3">
        <w:rPr>
          <w:rFonts w:ascii="David" w:hAnsi="David"/>
          <w:color w:val="000000"/>
          <w:sz w:val="22"/>
          <w:szCs w:val="22"/>
          <w:rtl/>
        </w:rPr>
        <w:t>דניאל פיש 54678313-/</w:t>
      </w:r>
    </w:p>
    <w:p w14:paraId="076C050E" w14:textId="77777777" w:rsidR="007E1A75" w:rsidRPr="007E1A75" w:rsidRDefault="00AC30C3" w:rsidP="00AC30C3">
      <w:pPr>
        <w:rPr>
          <w:color w:val="0000FF"/>
          <w:u w:val="single"/>
        </w:rPr>
      </w:pPr>
      <w:r w:rsidRPr="00AC30C3">
        <w:rPr>
          <w:color w:val="000000"/>
          <w:u w:val="single"/>
          <w:rtl/>
        </w:rPr>
        <w:t>נוסח מסמך זה כפוף לשינויי ניסוח ועריכה</w:t>
      </w:r>
    </w:p>
    <w:sectPr w:rsidR="007E1A75" w:rsidRPr="007E1A75" w:rsidSect="00AC30C3">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A5C82" w14:textId="77777777" w:rsidR="001A342B" w:rsidRDefault="001A342B" w:rsidP="00CC6A7D">
      <w:r>
        <w:separator/>
      </w:r>
    </w:p>
  </w:endnote>
  <w:endnote w:type="continuationSeparator" w:id="0">
    <w:p w14:paraId="4DD6AE85" w14:textId="77777777" w:rsidR="001A342B" w:rsidRDefault="001A342B" w:rsidP="00CC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398E" w14:textId="77777777" w:rsidR="00AC30C3" w:rsidRDefault="00AC30C3" w:rsidP="00AC30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115C0EC" w14:textId="77777777" w:rsidR="00B06956" w:rsidRPr="00AC30C3" w:rsidRDefault="00AC30C3" w:rsidP="00AC30C3">
    <w:pPr>
      <w:pStyle w:val="a5"/>
      <w:pBdr>
        <w:top w:val="single" w:sz="4" w:space="1" w:color="auto"/>
        <w:between w:val="single" w:sz="4" w:space="0" w:color="auto"/>
      </w:pBdr>
      <w:spacing w:after="60"/>
      <w:jc w:val="center"/>
      <w:rPr>
        <w:rFonts w:ascii="FrankRuehl" w:hAnsi="FrankRuehl" w:cs="FrankRuehl"/>
        <w:color w:val="000000"/>
      </w:rPr>
    </w:pPr>
    <w:r w:rsidRPr="00AC30C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AAAD5" w14:textId="77777777" w:rsidR="00AC30C3" w:rsidRDefault="00AC30C3" w:rsidP="00AC30C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78E4">
      <w:rPr>
        <w:rFonts w:ascii="FrankRuehl" w:hAnsi="FrankRuehl" w:cs="FrankRuehl"/>
        <w:noProof/>
        <w:rtl/>
      </w:rPr>
      <w:t>1</w:t>
    </w:r>
    <w:r>
      <w:rPr>
        <w:rFonts w:ascii="FrankRuehl" w:hAnsi="FrankRuehl" w:cs="FrankRuehl"/>
        <w:rtl/>
      </w:rPr>
      <w:fldChar w:fldCharType="end"/>
    </w:r>
  </w:p>
  <w:p w14:paraId="3068A989" w14:textId="77777777" w:rsidR="00B06956" w:rsidRPr="00AC30C3" w:rsidRDefault="00AC30C3" w:rsidP="00AC30C3">
    <w:pPr>
      <w:pStyle w:val="a5"/>
      <w:pBdr>
        <w:top w:val="single" w:sz="4" w:space="1" w:color="auto"/>
        <w:between w:val="single" w:sz="4" w:space="0" w:color="auto"/>
      </w:pBdr>
      <w:spacing w:after="60"/>
      <w:jc w:val="center"/>
      <w:rPr>
        <w:rFonts w:ascii="FrankRuehl" w:hAnsi="FrankRuehl" w:cs="FrankRuehl"/>
        <w:color w:val="000000"/>
      </w:rPr>
    </w:pPr>
    <w:r w:rsidRPr="00AC30C3">
      <w:rPr>
        <w:rFonts w:ascii="FrankRuehl" w:hAnsi="FrankRuehl" w:cs="FrankRuehl"/>
        <w:color w:val="000000"/>
      </w:rPr>
      <w:pict w14:anchorId="6B8B1C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A255B" w14:textId="77777777" w:rsidR="001A342B" w:rsidRDefault="001A342B" w:rsidP="00CC6A7D">
      <w:r>
        <w:separator/>
      </w:r>
    </w:p>
  </w:footnote>
  <w:footnote w:type="continuationSeparator" w:id="0">
    <w:p w14:paraId="32989C56" w14:textId="77777777" w:rsidR="001A342B" w:rsidRDefault="001A342B" w:rsidP="00CC6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195BE" w14:textId="77777777" w:rsidR="007E1A75" w:rsidRPr="00AC30C3" w:rsidRDefault="00AC30C3" w:rsidP="00AC30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39990-12-18</w:t>
    </w:r>
    <w:r>
      <w:rPr>
        <w:rFonts w:ascii="David" w:hAnsi="David"/>
        <w:color w:val="000000"/>
        <w:sz w:val="22"/>
        <w:szCs w:val="22"/>
        <w:rtl/>
      </w:rPr>
      <w:tab/>
      <w:t xml:space="preserve"> מדינת ישראל נ' טאהא זידאן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11547" w14:textId="77777777" w:rsidR="007E1A75" w:rsidRPr="00AC30C3" w:rsidRDefault="00AC30C3" w:rsidP="00AC30C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39990-12-18</w:t>
    </w:r>
    <w:r>
      <w:rPr>
        <w:rFonts w:ascii="David" w:hAnsi="David"/>
        <w:color w:val="000000"/>
        <w:sz w:val="22"/>
        <w:szCs w:val="22"/>
        <w:rtl/>
      </w:rPr>
      <w:tab/>
      <w:t xml:space="preserve"> מדינת ישראל נ' טאהא זידאן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9C76B3"/>
    <w:multiLevelType w:val="hybridMultilevel"/>
    <w:tmpl w:val="7112292C"/>
    <w:lvl w:ilvl="0" w:tplc="B0C4BEF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C286A"/>
    <w:multiLevelType w:val="hybridMultilevel"/>
    <w:tmpl w:val="80107DBC"/>
    <w:lvl w:ilvl="0" w:tplc="FB48BA6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958323">
    <w:abstractNumId w:val="1"/>
  </w:num>
  <w:num w:numId="2" w16cid:durableId="1620646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02CFF"/>
    <w:rsid w:val="001A342B"/>
    <w:rsid w:val="002E5F7F"/>
    <w:rsid w:val="00302CFF"/>
    <w:rsid w:val="00363BC0"/>
    <w:rsid w:val="007859A4"/>
    <w:rsid w:val="007E1A75"/>
    <w:rsid w:val="008209A3"/>
    <w:rsid w:val="00880E52"/>
    <w:rsid w:val="009F1803"/>
    <w:rsid w:val="00AC30C3"/>
    <w:rsid w:val="00B06956"/>
    <w:rsid w:val="00B978E4"/>
    <w:rsid w:val="00C501AB"/>
    <w:rsid w:val="00CC4688"/>
    <w:rsid w:val="00CC6A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71F713"/>
  <w15:chartTrackingRefBased/>
  <w15:docId w15:val="{0A5F00E4-5155-4BE4-9A91-03940821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2CF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02CFF"/>
    <w:pPr>
      <w:tabs>
        <w:tab w:val="center" w:pos="4153"/>
        <w:tab w:val="right" w:pos="8306"/>
      </w:tabs>
    </w:pPr>
  </w:style>
  <w:style w:type="character" w:customStyle="1" w:styleId="a4">
    <w:name w:val="כותרת עליונה תו"/>
    <w:link w:val="a3"/>
    <w:rsid w:val="00302CFF"/>
    <w:rPr>
      <w:rFonts w:ascii="Times New Roman" w:eastAsia="Times New Roman" w:hAnsi="Times New Roman" w:cs="David"/>
      <w:sz w:val="24"/>
      <w:szCs w:val="24"/>
    </w:rPr>
  </w:style>
  <w:style w:type="paragraph" w:styleId="a5">
    <w:name w:val="footer"/>
    <w:basedOn w:val="a"/>
    <w:link w:val="a6"/>
    <w:rsid w:val="00302CFF"/>
    <w:pPr>
      <w:tabs>
        <w:tab w:val="center" w:pos="4153"/>
        <w:tab w:val="right" w:pos="8306"/>
      </w:tabs>
    </w:pPr>
  </w:style>
  <w:style w:type="character" w:customStyle="1" w:styleId="a6">
    <w:name w:val="כותרת תחתונה תו"/>
    <w:link w:val="a5"/>
    <w:rsid w:val="00302CFF"/>
    <w:rPr>
      <w:rFonts w:ascii="Times New Roman" w:eastAsia="Times New Roman" w:hAnsi="Times New Roman" w:cs="David"/>
      <w:sz w:val="24"/>
      <w:szCs w:val="24"/>
    </w:rPr>
  </w:style>
  <w:style w:type="table" w:styleId="a7">
    <w:name w:val="Table Grid"/>
    <w:basedOn w:val="a1"/>
    <w:rsid w:val="00302CF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02CFF"/>
  </w:style>
  <w:style w:type="paragraph" w:styleId="a9">
    <w:name w:val="List Paragraph"/>
    <w:basedOn w:val="a"/>
    <w:qFormat/>
    <w:rsid w:val="00302CFF"/>
    <w:pPr>
      <w:ind w:left="720"/>
      <w:contextualSpacing/>
    </w:pPr>
  </w:style>
  <w:style w:type="character" w:customStyle="1" w:styleId="TimesNewRomanTimesNewRoman">
    <w:name w:val="סגנון (לטיני) Times New Roman (עברית ושפות אחרות) Times New Roman..."/>
    <w:rsid w:val="00302CFF"/>
    <w:rPr>
      <w:rFonts w:ascii="Times New Roman" w:hAnsi="Times New Roman" w:cs="David" w:hint="default"/>
      <w:b/>
      <w:bCs/>
      <w:sz w:val="26"/>
      <w:szCs w:val="26"/>
    </w:rPr>
  </w:style>
  <w:style w:type="table" w:customStyle="1" w:styleId="1">
    <w:name w:val="רשת טבלה1"/>
    <w:basedOn w:val="a1"/>
    <w:next w:val="a7"/>
    <w:rsid w:val="00302CFF"/>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E1A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2010/10"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6043688" TargetMode="External"/><Relationship Id="rId39" Type="http://schemas.openxmlformats.org/officeDocument/2006/relationships/hyperlink" Target="http://www.nevo.co.il/case/23132678" TargetMode="External"/><Relationship Id="rId21" Type="http://schemas.openxmlformats.org/officeDocument/2006/relationships/hyperlink" Target="http://www.nevo.co.il/law/70301/338.3" TargetMode="External"/><Relationship Id="rId34" Type="http://schemas.openxmlformats.org/officeDocument/2006/relationships/hyperlink" Target="http://www.nevo.co.il/law/72010/19.a"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230094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38.3" TargetMode="External"/><Relationship Id="rId24" Type="http://schemas.openxmlformats.org/officeDocument/2006/relationships/hyperlink" Target="http://www.nevo.co.il/case/10485614" TargetMode="External"/><Relationship Id="rId32" Type="http://schemas.openxmlformats.org/officeDocument/2006/relationships/hyperlink" Target="http://www.nevo.co.il/case/5212672" TargetMode="External"/><Relationship Id="rId37" Type="http://schemas.openxmlformats.org/officeDocument/2006/relationships/hyperlink" Target="http://www.nevo.co.il/law/7030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3878506" TargetMode="External"/><Relationship Id="rId28" Type="http://schemas.openxmlformats.org/officeDocument/2006/relationships/hyperlink" Target="http://www.nevo.co.il/case/21480120" TargetMode="External"/><Relationship Id="rId36" Type="http://schemas.openxmlformats.org/officeDocument/2006/relationships/hyperlink" Target="http://www.nevo.co.il/law/70301/29.b"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1049951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2010/19.a" TargetMode="External"/><Relationship Id="rId22" Type="http://schemas.openxmlformats.org/officeDocument/2006/relationships/hyperlink" Target="http://www.nevo.co.il/case/6043688" TargetMode="External"/><Relationship Id="rId27" Type="http://schemas.openxmlformats.org/officeDocument/2006/relationships/hyperlink" Target="http://www.nevo.co.il/case/20704756" TargetMode="External"/><Relationship Id="rId30" Type="http://schemas.openxmlformats.org/officeDocument/2006/relationships/hyperlink" Target="http://www.nevo.co.il/case/7821883" TargetMode="External"/><Relationship Id="rId35" Type="http://schemas.openxmlformats.org/officeDocument/2006/relationships/hyperlink" Target="http://www.nevo.co.il/law/72010" TargetMode="External"/><Relationship Id="rId43" Type="http://schemas.openxmlformats.org/officeDocument/2006/relationships/footer" Target="footer1.xml"/><Relationship Id="rId8" Type="http://schemas.openxmlformats.org/officeDocument/2006/relationships/hyperlink" Target="http://www.nevo.co.il/law/70301/29.b" TargetMode="External"/><Relationship Id="rId3" Type="http://schemas.openxmlformats.org/officeDocument/2006/relationships/settings" Target="settings.xml"/><Relationship Id="rId12" Type="http://schemas.openxmlformats.org/officeDocument/2006/relationships/hyperlink" Target="http://www.nevo.co.il/law/7201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22476" TargetMode="External"/><Relationship Id="rId33" Type="http://schemas.openxmlformats.org/officeDocument/2006/relationships/hyperlink" Target="http://www.nevo.co.il/law/72010/10" TargetMode="External"/><Relationship Id="rId38" Type="http://schemas.openxmlformats.org/officeDocument/2006/relationships/hyperlink" Target="http://www.nevo.co.il/case/5568354" TargetMode="External"/><Relationship Id="rId46" Type="http://schemas.openxmlformats.org/officeDocument/2006/relationships/theme" Target="theme/theme1.xml"/><Relationship Id="rId20" Type="http://schemas.openxmlformats.org/officeDocument/2006/relationships/hyperlink" Target="http://www.nevo.co.il/law/70301/338.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2574</Words>
  <Characters>12871</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15415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3539058</vt:i4>
      </vt:variant>
      <vt:variant>
        <vt:i4>96</vt:i4>
      </vt:variant>
      <vt:variant>
        <vt:i4>0</vt:i4>
      </vt:variant>
      <vt:variant>
        <vt:i4>5</vt:i4>
      </vt:variant>
      <vt:variant>
        <vt:lpwstr>http://www.nevo.co.il/case/23132678</vt:lpwstr>
      </vt:variant>
      <vt:variant>
        <vt:lpwstr/>
      </vt:variant>
      <vt:variant>
        <vt:i4>3407996</vt:i4>
      </vt:variant>
      <vt:variant>
        <vt:i4>93</vt:i4>
      </vt:variant>
      <vt:variant>
        <vt:i4>0</vt:i4>
      </vt:variant>
      <vt:variant>
        <vt:i4>5</vt:i4>
      </vt:variant>
      <vt:variant>
        <vt:lpwstr>http://www.nevo.co.il/case/5568354</vt:lpwstr>
      </vt:variant>
      <vt:variant>
        <vt:lpwstr/>
      </vt:variant>
      <vt:variant>
        <vt:i4>7995492</vt:i4>
      </vt:variant>
      <vt:variant>
        <vt:i4>90</vt:i4>
      </vt:variant>
      <vt:variant>
        <vt:i4>0</vt:i4>
      </vt:variant>
      <vt:variant>
        <vt:i4>5</vt:i4>
      </vt:variant>
      <vt:variant>
        <vt:lpwstr>http://www.nevo.co.il/law/70301</vt:lpwstr>
      </vt:variant>
      <vt:variant>
        <vt:lpwstr/>
      </vt:variant>
      <vt:variant>
        <vt:i4>917577</vt:i4>
      </vt:variant>
      <vt:variant>
        <vt:i4>87</vt:i4>
      </vt:variant>
      <vt:variant>
        <vt:i4>0</vt:i4>
      </vt:variant>
      <vt:variant>
        <vt:i4>5</vt:i4>
      </vt:variant>
      <vt:variant>
        <vt:lpwstr>http://www.nevo.co.il/law/70301/29.b</vt:lpwstr>
      </vt:variant>
      <vt:variant>
        <vt:lpwstr/>
      </vt:variant>
      <vt:variant>
        <vt:i4>7929959</vt:i4>
      </vt:variant>
      <vt:variant>
        <vt:i4>84</vt:i4>
      </vt:variant>
      <vt:variant>
        <vt:i4>0</vt:i4>
      </vt:variant>
      <vt:variant>
        <vt:i4>5</vt:i4>
      </vt:variant>
      <vt:variant>
        <vt:lpwstr>http://www.nevo.co.il/law/72010</vt:lpwstr>
      </vt:variant>
      <vt:variant>
        <vt:lpwstr/>
      </vt:variant>
      <vt:variant>
        <vt:i4>917576</vt:i4>
      </vt:variant>
      <vt:variant>
        <vt:i4>81</vt:i4>
      </vt:variant>
      <vt:variant>
        <vt:i4>0</vt:i4>
      </vt:variant>
      <vt:variant>
        <vt:i4>5</vt:i4>
      </vt:variant>
      <vt:variant>
        <vt:lpwstr>http://www.nevo.co.il/law/72010/19.a</vt:lpwstr>
      </vt:variant>
      <vt:variant>
        <vt:lpwstr/>
      </vt:variant>
      <vt:variant>
        <vt:i4>6684774</vt:i4>
      </vt:variant>
      <vt:variant>
        <vt:i4>78</vt:i4>
      </vt:variant>
      <vt:variant>
        <vt:i4>0</vt:i4>
      </vt:variant>
      <vt:variant>
        <vt:i4>5</vt:i4>
      </vt:variant>
      <vt:variant>
        <vt:lpwstr>http://www.nevo.co.il/law/72010/10</vt:lpwstr>
      </vt:variant>
      <vt:variant>
        <vt:lpwstr/>
      </vt:variant>
      <vt:variant>
        <vt:i4>3145843</vt:i4>
      </vt:variant>
      <vt:variant>
        <vt:i4>75</vt:i4>
      </vt:variant>
      <vt:variant>
        <vt:i4>0</vt:i4>
      </vt:variant>
      <vt:variant>
        <vt:i4>5</vt:i4>
      </vt:variant>
      <vt:variant>
        <vt:lpwstr>http://www.nevo.co.il/case/5212672</vt:lpwstr>
      </vt:variant>
      <vt:variant>
        <vt:lpwstr/>
      </vt:variant>
      <vt:variant>
        <vt:i4>3997816</vt:i4>
      </vt:variant>
      <vt:variant>
        <vt:i4>72</vt:i4>
      </vt:variant>
      <vt:variant>
        <vt:i4>0</vt:i4>
      </vt:variant>
      <vt:variant>
        <vt:i4>5</vt:i4>
      </vt:variant>
      <vt:variant>
        <vt:lpwstr>http://www.nevo.co.il/case/10499511</vt:lpwstr>
      </vt:variant>
      <vt:variant>
        <vt:lpwstr/>
      </vt:variant>
      <vt:variant>
        <vt:i4>4063349</vt:i4>
      </vt:variant>
      <vt:variant>
        <vt:i4>69</vt:i4>
      </vt:variant>
      <vt:variant>
        <vt:i4>0</vt:i4>
      </vt:variant>
      <vt:variant>
        <vt:i4>5</vt:i4>
      </vt:variant>
      <vt:variant>
        <vt:lpwstr>http://www.nevo.co.il/case/7821883</vt:lpwstr>
      </vt:variant>
      <vt:variant>
        <vt:lpwstr/>
      </vt:variant>
      <vt:variant>
        <vt:i4>3670131</vt:i4>
      </vt:variant>
      <vt:variant>
        <vt:i4>66</vt:i4>
      </vt:variant>
      <vt:variant>
        <vt:i4>0</vt:i4>
      </vt:variant>
      <vt:variant>
        <vt:i4>5</vt:i4>
      </vt:variant>
      <vt:variant>
        <vt:lpwstr>http://www.nevo.co.il/case/23009435</vt:lpwstr>
      </vt:variant>
      <vt:variant>
        <vt:lpwstr/>
      </vt:variant>
      <vt:variant>
        <vt:i4>3407996</vt:i4>
      </vt:variant>
      <vt:variant>
        <vt:i4>63</vt:i4>
      </vt:variant>
      <vt:variant>
        <vt:i4>0</vt:i4>
      </vt:variant>
      <vt:variant>
        <vt:i4>5</vt:i4>
      </vt:variant>
      <vt:variant>
        <vt:lpwstr>http://www.nevo.co.il/case/21480120</vt:lpwstr>
      </vt:variant>
      <vt:variant>
        <vt:lpwstr/>
      </vt:variant>
      <vt:variant>
        <vt:i4>3407987</vt:i4>
      </vt:variant>
      <vt:variant>
        <vt:i4>60</vt:i4>
      </vt:variant>
      <vt:variant>
        <vt:i4>0</vt:i4>
      </vt:variant>
      <vt:variant>
        <vt:i4>5</vt:i4>
      </vt:variant>
      <vt:variant>
        <vt:lpwstr>http://www.nevo.co.il/case/20704756</vt:lpwstr>
      </vt:variant>
      <vt:variant>
        <vt:lpwstr/>
      </vt:variant>
      <vt:variant>
        <vt:i4>3932287</vt:i4>
      </vt:variant>
      <vt:variant>
        <vt:i4>57</vt:i4>
      </vt:variant>
      <vt:variant>
        <vt:i4>0</vt:i4>
      </vt:variant>
      <vt:variant>
        <vt:i4>5</vt:i4>
      </vt:variant>
      <vt:variant>
        <vt:lpwstr>http://www.nevo.co.il/case/6043688</vt:lpwstr>
      </vt:variant>
      <vt:variant>
        <vt:lpwstr/>
      </vt:variant>
      <vt:variant>
        <vt:i4>3276921</vt:i4>
      </vt:variant>
      <vt:variant>
        <vt:i4>54</vt:i4>
      </vt:variant>
      <vt:variant>
        <vt:i4>0</vt:i4>
      </vt:variant>
      <vt:variant>
        <vt:i4>5</vt:i4>
      </vt:variant>
      <vt:variant>
        <vt:lpwstr>http://www.nevo.co.il/case/2822476</vt:lpwstr>
      </vt:variant>
      <vt:variant>
        <vt:lpwstr/>
      </vt:variant>
      <vt:variant>
        <vt:i4>3211386</vt:i4>
      </vt:variant>
      <vt:variant>
        <vt:i4>51</vt:i4>
      </vt:variant>
      <vt:variant>
        <vt:i4>0</vt:i4>
      </vt:variant>
      <vt:variant>
        <vt:i4>5</vt:i4>
      </vt:variant>
      <vt:variant>
        <vt:lpwstr>http://www.nevo.co.il/case/10485614</vt:lpwstr>
      </vt:variant>
      <vt:variant>
        <vt:lpwstr/>
      </vt:variant>
      <vt:variant>
        <vt:i4>3604596</vt:i4>
      </vt:variant>
      <vt:variant>
        <vt:i4>48</vt:i4>
      </vt:variant>
      <vt:variant>
        <vt:i4>0</vt:i4>
      </vt:variant>
      <vt:variant>
        <vt:i4>5</vt:i4>
      </vt:variant>
      <vt:variant>
        <vt:lpwstr>http://www.nevo.co.il/case/3878506</vt:lpwstr>
      </vt:variant>
      <vt:variant>
        <vt:lpwstr/>
      </vt:variant>
      <vt:variant>
        <vt:i4>3932287</vt:i4>
      </vt:variant>
      <vt:variant>
        <vt:i4>45</vt:i4>
      </vt:variant>
      <vt:variant>
        <vt:i4>0</vt:i4>
      </vt:variant>
      <vt:variant>
        <vt:i4>5</vt:i4>
      </vt:variant>
      <vt:variant>
        <vt:lpwstr>http://www.nevo.co.il/case/6043688</vt:lpwstr>
      </vt:variant>
      <vt:variant>
        <vt:lpwstr/>
      </vt:variant>
      <vt:variant>
        <vt:i4>4718686</vt:i4>
      </vt:variant>
      <vt:variant>
        <vt:i4>42</vt:i4>
      </vt:variant>
      <vt:variant>
        <vt:i4>0</vt:i4>
      </vt:variant>
      <vt:variant>
        <vt:i4>5</vt:i4>
      </vt:variant>
      <vt:variant>
        <vt:lpwstr>http://www.nevo.co.il/law/70301/338.3</vt:lpwstr>
      </vt:variant>
      <vt:variant>
        <vt:lpwstr/>
      </vt:variant>
      <vt:variant>
        <vt:i4>4718686</vt:i4>
      </vt:variant>
      <vt:variant>
        <vt:i4>39</vt:i4>
      </vt:variant>
      <vt:variant>
        <vt:i4>0</vt:i4>
      </vt:variant>
      <vt:variant>
        <vt:i4>5</vt:i4>
      </vt:variant>
      <vt:variant>
        <vt:lpwstr>http://www.nevo.co.il/law/70301/338.3</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917576</vt:i4>
      </vt:variant>
      <vt:variant>
        <vt:i4>21</vt:i4>
      </vt:variant>
      <vt:variant>
        <vt:i4>0</vt:i4>
      </vt:variant>
      <vt:variant>
        <vt:i4>5</vt:i4>
      </vt:variant>
      <vt:variant>
        <vt:lpwstr>http://www.nevo.co.il/law/72010/19.a</vt:lpwstr>
      </vt:variant>
      <vt:variant>
        <vt:lpwstr/>
      </vt:variant>
      <vt:variant>
        <vt:i4>6684774</vt:i4>
      </vt:variant>
      <vt:variant>
        <vt:i4>18</vt:i4>
      </vt:variant>
      <vt:variant>
        <vt:i4>0</vt:i4>
      </vt:variant>
      <vt:variant>
        <vt:i4>5</vt:i4>
      </vt:variant>
      <vt:variant>
        <vt:lpwstr>http://www.nevo.co.il/law/72010/10</vt:lpwstr>
      </vt:variant>
      <vt:variant>
        <vt:lpwstr/>
      </vt:variant>
      <vt:variant>
        <vt:i4>7929959</vt:i4>
      </vt:variant>
      <vt:variant>
        <vt:i4>15</vt:i4>
      </vt:variant>
      <vt:variant>
        <vt:i4>0</vt:i4>
      </vt:variant>
      <vt:variant>
        <vt:i4>5</vt:i4>
      </vt:variant>
      <vt:variant>
        <vt:lpwstr>http://www.nevo.co.il/law/72010</vt:lpwstr>
      </vt:variant>
      <vt:variant>
        <vt:lpwstr/>
      </vt:variant>
      <vt:variant>
        <vt:i4>4718686</vt:i4>
      </vt:variant>
      <vt:variant>
        <vt:i4>12</vt:i4>
      </vt:variant>
      <vt:variant>
        <vt:i4>0</vt:i4>
      </vt:variant>
      <vt:variant>
        <vt:i4>5</vt:i4>
      </vt:variant>
      <vt:variant>
        <vt:lpwstr>http://www.nevo.co.il/law/70301/338.3</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2025-04-25T10:44:00Z</dcterms:created>
  <dcterms:modified xsi:type="dcterms:W3CDTF">2025-04-25T10:44:00Z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39990</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טאהא זידאן ;מג'ד עזאם ;אבראהים זידאן </vt:lpwstr>
  </property>
  <property fmtid="{D5CDD505-2E9C-101B-9397-08002B2CF9AE}" pid="10" name="LAWYER">
    <vt:lpwstr>מוחמד מולא ;לידאווי;אבראהים זידאן;יוסף שלבי;</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20200601</vt:lpwstr>
  </property>
  <property fmtid="{D5CDD505-2E9C-101B-9397-08002B2CF9AE}" pid="14" name="TYPE_N_DATE">
    <vt:lpwstr>39020200601</vt:lpwstr>
  </property>
  <property fmtid="{D5CDD505-2E9C-101B-9397-08002B2CF9AE}" pid="15" name="WORDNUMPAGES">
    <vt:lpwstr>9</vt:lpwstr>
  </property>
  <property fmtid="{D5CDD505-2E9C-101B-9397-08002B2CF9AE}" pid="16" name="TYPE_ABS_DATE">
    <vt:lpwstr>390020200601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6043688:2;3878506;10485614;2822476;20704756;21480120;23009435;7821883;10499511;5212672;5568354;23132678</vt:lpwstr>
  </property>
  <property fmtid="{D5CDD505-2E9C-101B-9397-08002B2CF9AE}" pid="36" name="LAWLISTTMP1">
    <vt:lpwstr>70301/144.a:2;144.b:2;338.3:2;029.b</vt:lpwstr>
  </property>
  <property fmtid="{D5CDD505-2E9C-101B-9397-08002B2CF9AE}" pid="37" name="LAWLISTTMP2">
    <vt:lpwstr>72010/010;019.a</vt:lpwstr>
  </property>
</Properties>
</file>