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844AB" w:rsidRPr="000844AB" w14:paraId="3C67A52C" w14:textId="77777777" w:rsidTr="002E4AAA">
        <w:trPr>
          <w:trHeight w:hRule="exact" w:val="418"/>
          <w:jc w:val="center"/>
        </w:trPr>
        <w:tc>
          <w:tcPr>
            <w:tcW w:w="8721" w:type="dxa"/>
            <w:gridSpan w:val="2"/>
          </w:tcPr>
          <w:p w14:paraId="761C72A9" w14:textId="77777777" w:rsidR="000844AB" w:rsidRPr="000844AB" w:rsidRDefault="000844AB" w:rsidP="001A7C4A">
            <w:pPr>
              <w:pStyle w:val="a3"/>
              <w:jc w:val="center"/>
              <w:rPr>
                <w:rFonts w:ascii="Tahoma" w:hAnsi="Tahoma" w:cs="Tahoma"/>
                <w:color w:val="000080"/>
                <w:rtl/>
              </w:rPr>
            </w:pPr>
            <w:r w:rsidRPr="000844AB">
              <w:rPr>
                <w:rFonts w:ascii="Tahoma" w:hAnsi="Tahoma" w:cs="Tahoma"/>
                <w:b/>
                <w:bCs/>
                <w:color w:val="000080"/>
                <w:rtl/>
              </w:rPr>
              <w:t>בית המשפט המחוזי בחיפה</w:t>
            </w:r>
          </w:p>
        </w:tc>
      </w:tr>
      <w:tr w:rsidR="000844AB" w:rsidRPr="000844AB" w14:paraId="1868B585" w14:textId="77777777" w:rsidTr="002E4AAA">
        <w:trPr>
          <w:trHeight w:val="337"/>
          <w:jc w:val="center"/>
        </w:trPr>
        <w:tc>
          <w:tcPr>
            <w:tcW w:w="5059" w:type="dxa"/>
          </w:tcPr>
          <w:p w14:paraId="6F38527D" w14:textId="77777777" w:rsidR="000844AB" w:rsidRPr="000844AB" w:rsidRDefault="000844AB" w:rsidP="001A7C4A">
            <w:pPr>
              <w:rPr>
                <w:rFonts w:cs="FrankRuehl"/>
                <w:sz w:val="28"/>
                <w:szCs w:val="28"/>
                <w:rtl/>
              </w:rPr>
            </w:pPr>
            <w:r w:rsidRPr="000844AB">
              <w:rPr>
                <w:rFonts w:cs="FrankRuehl"/>
                <w:sz w:val="28"/>
                <w:szCs w:val="28"/>
                <w:rtl/>
              </w:rPr>
              <w:t xml:space="preserve">ת"פ </w:t>
            </w:r>
            <w:bookmarkStart w:id="0" w:name="_GoBack"/>
            <w:r w:rsidRPr="000844AB">
              <w:rPr>
                <w:rFonts w:cs="FrankRuehl"/>
                <w:sz w:val="28"/>
                <w:szCs w:val="28"/>
                <w:rtl/>
              </w:rPr>
              <w:t>17860-01-19</w:t>
            </w:r>
            <w:bookmarkEnd w:id="0"/>
            <w:r w:rsidRPr="000844AB">
              <w:rPr>
                <w:rFonts w:cs="FrankRuehl"/>
                <w:sz w:val="28"/>
                <w:szCs w:val="28"/>
                <w:rtl/>
              </w:rPr>
              <w:t xml:space="preserve"> מדינת ישראל נ' צביחאת(עצור בפיקוח)</w:t>
            </w:r>
          </w:p>
          <w:p w14:paraId="5EC16684" w14:textId="77777777" w:rsidR="000844AB" w:rsidRPr="000844AB" w:rsidRDefault="000844AB" w:rsidP="001A7C4A">
            <w:pPr>
              <w:pStyle w:val="a3"/>
              <w:rPr>
                <w:rFonts w:cs="FrankRuehl"/>
                <w:sz w:val="28"/>
                <w:szCs w:val="28"/>
                <w:rtl/>
              </w:rPr>
            </w:pPr>
          </w:p>
        </w:tc>
        <w:tc>
          <w:tcPr>
            <w:tcW w:w="3662" w:type="dxa"/>
          </w:tcPr>
          <w:p w14:paraId="3C86BF61" w14:textId="77777777" w:rsidR="000844AB" w:rsidRPr="000844AB" w:rsidRDefault="000844AB" w:rsidP="001A7C4A">
            <w:pPr>
              <w:pStyle w:val="a3"/>
              <w:jc w:val="right"/>
              <w:rPr>
                <w:rFonts w:cs="FrankRuehl"/>
                <w:sz w:val="28"/>
                <w:szCs w:val="28"/>
                <w:rtl/>
              </w:rPr>
            </w:pPr>
          </w:p>
        </w:tc>
      </w:tr>
    </w:tbl>
    <w:p w14:paraId="04087B86" w14:textId="77777777" w:rsidR="000844AB" w:rsidRPr="000844AB" w:rsidRDefault="000844AB" w:rsidP="000844AB">
      <w:pPr>
        <w:pStyle w:val="a3"/>
        <w:rPr>
          <w:rtl/>
        </w:rPr>
      </w:pPr>
      <w:r w:rsidRPr="000844AB">
        <w:rPr>
          <w:rtl/>
        </w:rPr>
        <w:t xml:space="preserve"> </w:t>
      </w:r>
    </w:p>
    <w:p w14:paraId="54776CBD" w14:textId="77777777" w:rsidR="00065B2C" w:rsidRPr="000844AB" w:rsidRDefault="00065B2C" w:rsidP="00A80225">
      <w:pPr>
        <w:pStyle w:val="12"/>
        <w:spacing w:line="360" w:lineRule="auto"/>
        <w:rPr>
          <w:rFonts w:hint="cs"/>
          <w:b w:val="0"/>
          <w:bCs w:val="0"/>
          <w:u w:val="none"/>
          <w:rtl/>
        </w:rPr>
      </w:pPr>
    </w:p>
    <w:tbl>
      <w:tblPr>
        <w:bidiVisual/>
        <w:tblW w:w="0" w:type="auto"/>
        <w:jc w:val="center"/>
        <w:tblLook w:val="00A0" w:firstRow="1" w:lastRow="0" w:firstColumn="1" w:lastColumn="0" w:noHBand="0" w:noVBand="0"/>
      </w:tblPr>
      <w:tblGrid>
        <w:gridCol w:w="3154"/>
        <w:gridCol w:w="2513"/>
        <w:gridCol w:w="235"/>
        <w:gridCol w:w="2533"/>
        <w:gridCol w:w="286"/>
      </w:tblGrid>
      <w:tr w:rsidR="000844AB" w:rsidRPr="000844AB" w14:paraId="2120510B" w14:textId="77777777" w:rsidTr="001A7C4A">
        <w:trPr>
          <w:gridAfter w:val="1"/>
          <w:wAfter w:w="297" w:type="dxa"/>
          <w:trHeight w:val="337"/>
          <w:jc w:val="center"/>
        </w:trPr>
        <w:tc>
          <w:tcPr>
            <w:tcW w:w="5856" w:type="dxa"/>
            <w:gridSpan w:val="2"/>
          </w:tcPr>
          <w:p w14:paraId="04937D2F" w14:textId="77777777" w:rsidR="000844AB" w:rsidRPr="000844AB" w:rsidRDefault="000844AB" w:rsidP="001A7C4A">
            <w:pPr>
              <w:spacing w:line="360" w:lineRule="auto"/>
            </w:pPr>
            <w:r w:rsidRPr="000844AB">
              <w:rPr>
                <w:rFonts w:ascii="Arial" w:hAnsi="Arial"/>
                <w:b/>
                <w:bCs/>
                <w:rtl/>
              </w:rPr>
              <w:t>בפני כב' השופט אברהם אליקים, סגן נשיא</w:t>
            </w:r>
          </w:p>
          <w:p w14:paraId="2936247B" w14:textId="77777777" w:rsidR="000844AB" w:rsidRPr="000844AB" w:rsidRDefault="000844AB" w:rsidP="001A7C4A">
            <w:pPr>
              <w:spacing w:line="360" w:lineRule="auto"/>
              <w:jc w:val="both"/>
              <w:rPr>
                <w:b/>
                <w:bCs/>
                <w:sz w:val="26"/>
                <w:szCs w:val="26"/>
              </w:rPr>
            </w:pPr>
          </w:p>
        </w:tc>
        <w:tc>
          <w:tcPr>
            <w:tcW w:w="236" w:type="dxa"/>
          </w:tcPr>
          <w:p w14:paraId="1D224333" w14:textId="77777777" w:rsidR="000844AB" w:rsidRPr="000844AB" w:rsidRDefault="000844AB" w:rsidP="001A7C4A">
            <w:pPr>
              <w:pStyle w:val="a3"/>
              <w:spacing w:line="360" w:lineRule="auto"/>
              <w:jc w:val="both"/>
              <w:rPr>
                <w:b/>
                <w:bCs/>
                <w:sz w:val="26"/>
                <w:szCs w:val="26"/>
                <w:rtl/>
              </w:rPr>
            </w:pPr>
          </w:p>
        </w:tc>
        <w:tc>
          <w:tcPr>
            <w:tcW w:w="2628" w:type="dxa"/>
          </w:tcPr>
          <w:p w14:paraId="4678BE10" w14:textId="77777777" w:rsidR="000844AB" w:rsidRPr="000844AB" w:rsidRDefault="000844AB" w:rsidP="001A7C4A">
            <w:pPr>
              <w:pStyle w:val="a3"/>
              <w:spacing w:line="360" w:lineRule="auto"/>
              <w:jc w:val="both"/>
              <w:rPr>
                <w:b/>
                <w:bCs/>
                <w:sz w:val="26"/>
                <w:szCs w:val="26"/>
                <w:rtl/>
              </w:rPr>
            </w:pPr>
            <w:r w:rsidRPr="000844AB">
              <w:rPr>
                <w:rtl/>
              </w:rPr>
              <w:t xml:space="preserve">     </w:t>
            </w:r>
          </w:p>
        </w:tc>
      </w:tr>
      <w:tr w:rsidR="000844AB" w:rsidRPr="000844AB" w14:paraId="642DAEC1" w14:textId="77777777" w:rsidTr="001A7C4A">
        <w:tblPrEx>
          <w:jc w:val="left"/>
          <w:tblLook w:val="01E0" w:firstRow="1" w:lastRow="1" w:firstColumn="1" w:lastColumn="1" w:noHBand="0" w:noVBand="0"/>
        </w:tblPrEx>
        <w:tc>
          <w:tcPr>
            <w:tcW w:w="3240" w:type="dxa"/>
          </w:tcPr>
          <w:p w14:paraId="6FD1D5AE" w14:textId="77777777" w:rsidR="000844AB" w:rsidRPr="000844AB" w:rsidRDefault="000844AB" w:rsidP="001A7C4A">
            <w:pPr>
              <w:spacing w:line="360" w:lineRule="auto"/>
              <w:ind w:left="195"/>
              <w:rPr>
                <w:b/>
                <w:bCs/>
                <w:sz w:val="26"/>
                <w:szCs w:val="26"/>
                <w:rtl/>
              </w:rPr>
            </w:pPr>
            <w:bookmarkStart w:id="1" w:name="FirstAppellant"/>
            <w:bookmarkStart w:id="2" w:name="LastJudge"/>
            <w:bookmarkEnd w:id="2"/>
            <w:r w:rsidRPr="000844AB">
              <w:rPr>
                <w:b/>
                <w:bCs/>
                <w:sz w:val="26"/>
                <w:szCs w:val="26"/>
                <w:rtl/>
              </w:rPr>
              <w:t>המאשימה</w:t>
            </w:r>
          </w:p>
        </w:tc>
        <w:tc>
          <w:tcPr>
            <w:tcW w:w="5562" w:type="dxa"/>
            <w:gridSpan w:val="4"/>
          </w:tcPr>
          <w:p w14:paraId="5FFF6760" w14:textId="77777777" w:rsidR="000844AB" w:rsidRPr="000844AB" w:rsidRDefault="000844AB" w:rsidP="001A7C4A">
            <w:pPr>
              <w:spacing w:line="360" w:lineRule="auto"/>
              <w:rPr>
                <w:b/>
                <w:bCs/>
                <w:sz w:val="26"/>
                <w:szCs w:val="26"/>
                <w:rtl/>
              </w:rPr>
            </w:pPr>
            <w:r w:rsidRPr="000844AB">
              <w:rPr>
                <w:b/>
                <w:bCs/>
                <w:sz w:val="26"/>
                <w:szCs w:val="26"/>
                <w:rtl/>
              </w:rPr>
              <w:t xml:space="preserve"> מדינת ישראל</w:t>
            </w:r>
          </w:p>
        </w:tc>
      </w:tr>
      <w:bookmarkEnd w:id="1"/>
      <w:tr w:rsidR="000844AB" w:rsidRPr="000844AB" w14:paraId="3183F0C9" w14:textId="77777777" w:rsidTr="001A7C4A">
        <w:tblPrEx>
          <w:jc w:val="left"/>
          <w:tblLook w:val="01E0" w:firstRow="1" w:lastRow="1" w:firstColumn="1" w:lastColumn="1" w:noHBand="0" w:noVBand="0"/>
        </w:tblPrEx>
        <w:tc>
          <w:tcPr>
            <w:tcW w:w="8802" w:type="dxa"/>
            <w:gridSpan w:val="5"/>
          </w:tcPr>
          <w:p w14:paraId="47961CFF" w14:textId="77777777" w:rsidR="000844AB" w:rsidRPr="000844AB" w:rsidRDefault="000844AB" w:rsidP="001A7C4A">
            <w:pPr>
              <w:spacing w:line="360" w:lineRule="auto"/>
              <w:jc w:val="both"/>
              <w:rPr>
                <w:rFonts w:ascii="Arial" w:hAnsi="Arial"/>
                <w:b/>
                <w:bCs/>
                <w:sz w:val="26"/>
                <w:szCs w:val="26"/>
                <w:rtl/>
              </w:rPr>
            </w:pPr>
          </w:p>
          <w:p w14:paraId="64E33847" w14:textId="77777777" w:rsidR="000844AB" w:rsidRPr="000844AB" w:rsidRDefault="000844AB" w:rsidP="001A7C4A">
            <w:pPr>
              <w:spacing w:line="360" w:lineRule="auto"/>
              <w:jc w:val="center"/>
              <w:rPr>
                <w:rFonts w:ascii="Arial" w:hAnsi="Arial"/>
                <w:b/>
                <w:bCs/>
                <w:sz w:val="26"/>
                <w:szCs w:val="26"/>
                <w:rtl/>
              </w:rPr>
            </w:pPr>
            <w:r w:rsidRPr="000844AB">
              <w:rPr>
                <w:rFonts w:ascii="Arial" w:hAnsi="Arial"/>
                <w:b/>
                <w:bCs/>
                <w:sz w:val="26"/>
                <w:szCs w:val="26"/>
                <w:rtl/>
              </w:rPr>
              <w:t>נגד</w:t>
            </w:r>
          </w:p>
          <w:p w14:paraId="7BF2ED3B" w14:textId="77777777" w:rsidR="000844AB" w:rsidRPr="000844AB" w:rsidRDefault="000844AB" w:rsidP="001A7C4A">
            <w:pPr>
              <w:spacing w:line="360" w:lineRule="auto"/>
              <w:jc w:val="center"/>
              <w:rPr>
                <w:rFonts w:ascii="Arial" w:hAnsi="Arial"/>
                <w:b/>
                <w:bCs/>
                <w:sz w:val="26"/>
                <w:szCs w:val="26"/>
                <w:rtl/>
              </w:rPr>
            </w:pPr>
          </w:p>
        </w:tc>
      </w:tr>
      <w:tr w:rsidR="000844AB" w:rsidRPr="000844AB" w14:paraId="50F85114" w14:textId="77777777" w:rsidTr="001A7C4A">
        <w:tblPrEx>
          <w:jc w:val="left"/>
          <w:tblLook w:val="01E0" w:firstRow="1" w:lastRow="1" w:firstColumn="1" w:lastColumn="1" w:noHBand="0" w:noVBand="0"/>
        </w:tblPrEx>
        <w:tc>
          <w:tcPr>
            <w:tcW w:w="3240" w:type="dxa"/>
          </w:tcPr>
          <w:p w14:paraId="2DB92EB4" w14:textId="77777777" w:rsidR="000844AB" w:rsidRPr="000844AB" w:rsidRDefault="000844AB" w:rsidP="001A7C4A">
            <w:pPr>
              <w:spacing w:line="360" w:lineRule="auto"/>
              <w:ind w:left="195"/>
              <w:rPr>
                <w:b/>
                <w:bCs/>
                <w:sz w:val="26"/>
                <w:szCs w:val="26"/>
              </w:rPr>
            </w:pPr>
            <w:r w:rsidRPr="000844AB">
              <w:rPr>
                <w:b/>
                <w:bCs/>
                <w:sz w:val="26"/>
                <w:szCs w:val="26"/>
                <w:rtl/>
              </w:rPr>
              <w:t>הנאשם</w:t>
            </w:r>
          </w:p>
        </w:tc>
        <w:tc>
          <w:tcPr>
            <w:tcW w:w="5562" w:type="dxa"/>
            <w:gridSpan w:val="4"/>
          </w:tcPr>
          <w:p w14:paraId="34418782" w14:textId="77777777" w:rsidR="000844AB" w:rsidRPr="000844AB" w:rsidRDefault="000844AB" w:rsidP="001A7C4A">
            <w:pPr>
              <w:spacing w:line="360" w:lineRule="auto"/>
              <w:rPr>
                <w:b/>
                <w:bCs/>
                <w:sz w:val="26"/>
                <w:szCs w:val="26"/>
                <w:rtl/>
              </w:rPr>
            </w:pPr>
            <w:r w:rsidRPr="000844AB">
              <w:rPr>
                <w:b/>
                <w:bCs/>
                <w:sz w:val="26"/>
                <w:szCs w:val="26"/>
                <w:rtl/>
              </w:rPr>
              <w:t xml:space="preserve"> תאופיק צביחאת (עציר) ת"ז </w:t>
            </w:r>
            <w:r>
              <w:rPr>
                <w:b/>
                <w:bCs/>
                <w:sz w:val="26"/>
                <w:szCs w:val="26"/>
              </w:rPr>
              <w:t>xxxxxxxxx</w:t>
            </w:r>
          </w:p>
        </w:tc>
      </w:tr>
    </w:tbl>
    <w:p w14:paraId="614B57B6" w14:textId="77777777" w:rsidR="000844AB" w:rsidRPr="000844AB" w:rsidRDefault="000844AB" w:rsidP="000844AB">
      <w:pPr>
        <w:spacing w:after="120" w:line="240" w:lineRule="exact"/>
        <w:ind w:left="283" w:hanging="283"/>
        <w:jc w:val="both"/>
        <w:rPr>
          <w:rFonts w:ascii="FrankRuehl" w:hAnsi="FrankRuehl" w:cs="FrankRuehl"/>
          <w:rtl/>
        </w:rPr>
      </w:pPr>
    </w:p>
    <w:p w14:paraId="2270CD17" w14:textId="77777777" w:rsidR="00423818" w:rsidRDefault="00423818" w:rsidP="00423818">
      <w:pPr>
        <w:spacing w:line="360" w:lineRule="auto"/>
        <w:rPr>
          <w:rFonts w:ascii="Arial" w:hAnsi="Arial"/>
          <w:rtl/>
        </w:rPr>
      </w:pPr>
      <w:bookmarkStart w:id="3" w:name="LawTable"/>
      <w:bookmarkEnd w:id="3"/>
    </w:p>
    <w:p w14:paraId="5C78BB61" w14:textId="77777777" w:rsidR="00423818" w:rsidRPr="00423818" w:rsidRDefault="00423818" w:rsidP="00423818">
      <w:pPr>
        <w:spacing w:before="120" w:after="120" w:line="240" w:lineRule="exact"/>
        <w:ind w:left="283" w:hanging="283"/>
        <w:jc w:val="both"/>
        <w:rPr>
          <w:rFonts w:ascii="FrankRuehl" w:hAnsi="FrankRuehl" w:cs="FrankRuehl"/>
          <w:rtl/>
        </w:rPr>
      </w:pPr>
    </w:p>
    <w:p w14:paraId="1EB951C8" w14:textId="77777777" w:rsidR="00423818" w:rsidRPr="00423818" w:rsidRDefault="00423818" w:rsidP="00423818">
      <w:pPr>
        <w:spacing w:before="120" w:after="120" w:line="240" w:lineRule="exact"/>
        <w:ind w:left="283" w:hanging="283"/>
        <w:jc w:val="both"/>
        <w:rPr>
          <w:rFonts w:ascii="FrankRuehl" w:hAnsi="FrankRuehl" w:cs="FrankRuehl"/>
          <w:rtl/>
        </w:rPr>
      </w:pPr>
    </w:p>
    <w:p w14:paraId="46831B74" w14:textId="77777777" w:rsidR="00423818" w:rsidRPr="00423818" w:rsidRDefault="00423818" w:rsidP="00423818">
      <w:pPr>
        <w:spacing w:before="120" w:after="120" w:line="240" w:lineRule="exact"/>
        <w:ind w:left="283" w:hanging="283"/>
        <w:jc w:val="both"/>
        <w:rPr>
          <w:rFonts w:ascii="FrankRuehl" w:hAnsi="FrankRuehl" w:cs="FrankRuehl"/>
          <w:rtl/>
        </w:rPr>
      </w:pPr>
      <w:r w:rsidRPr="00423818">
        <w:rPr>
          <w:rFonts w:ascii="FrankRuehl" w:hAnsi="FrankRuehl" w:cs="FrankRuehl"/>
          <w:rtl/>
        </w:rPr>
        <w:t xml:space="preserve">חקיקה שאוזכרה: </w:t>
      </w:r>
    </w:p>
    <w:p w14:paraId="2EC11B04" w14:textId="77777777" w:rsidR="00423818" w:rsidRPr="00423818" w:rsidRDefault="00423818" w:rsidP="00423818">
      <w:pPr>
        <w:spacing w:before="120" w:after="120" w:line="240" w:lineRule="exact"/>
        <w:ind w:left="283" w:hanging="283"/>
        <w:jc w:val="both"/>
        <w:rPr>
          <w:rFonts w:ascii="FrankRuehl" w:hAnsi="FrankRuehl" w:cs="FrankRuehl"/>
          <w:rtl/>
        </w:rPr>
      </w:pPr>
      <w:hyperlink r:id="rId8" w:history="1">
        <w:r w:rsidRPr="00423818">
          <w:rPr>
            <w:rFonts w:ascii="FrankRuehl" w:hAnsi="FrankRuehl" w:cs="FrankRuehl"/>
            <w:color w:val="0000FF"/>
            <w:rtl/>
          </w:rPr>
          <w:t>חוק העונשין, תשל"ז-1977</w:t>
        </w:r>
      </w:hyperlink>
      <w:r w:rsidRPr="00423818">
        <w:rPr>
          <w:rFonts w:ascii="FrankRuehl" w:hAnsi="FrankRuehl" w:cs="FrankRuehl"/>
          <w:rtl/>
        </w:rPr>
        <w:t xml:space="preserve">: סע'  </w:t>
      </w:r>
      <w:hyperlink r:id="rId9" w:history="1">
        <w:r w:rsidRPr="00423818">
          <w:rPr>
            <w:rFonts w:ascii="FrankRuehl" w:hAnsi="FrankRuehl" w:cs="FrankRuehl"/>
            <w:color w:val="0000FF"/>
            <w:rtl/>
          </w:rPr>
          <w:t>40ב'</w:t>
        </w:r>
      </w:hyperlink>
      <w:r w:rsidRPr="00423818">
        <w:rPr>
          <w:rFonts w:ascii="FrankRuehl" w:hAnsi="FrankRuehl" w:cs="FrankRuehl"/>
          <w:rtl/>
        </w:rPr>
        <w:t xml:space="preserve">, </w:t>
      </w:r>
      <w:hyperlink r:id="rId10" w:history="1">
        <w:r w:rsidRPr="00423818">
          <w:rPr>
            <w:rFonts w:ascii="FrankRuehl" w:hAnsi="FrankRuehl" w:cs="FrankRuehl"/>
            <w:color w:val="0000FF"/>
            <w:rtl/>
          </w:rPr>
          <w:t>40ז</w:t>
        </w:r>
      </w:hyperlink>
      <w:r w:rsidRPr="00423818">
        <w:rPr>
          <w:rFonts w:ascii="FrankRuehl" w:hAnsi="FrankRuehl" w:cs="FrankRuehl"/>
          <w:rtl/>
        </w:rPr>
        <w:t xml:space="preserve">, </w:t>
      </w:r>
      <w:hyperlink r:id="rId11" w:history="1">
        <w:r w:rsidRPr="00423818">
          <w:rPr>
            <w:rFonts w:ascii="FrankRuehl" w:hAnsi="FrankRuehl" w:cs="FrankRuehl"/>
            <w:color w:val="0000FF"/>
            <w:rtl/>
          </w:rPr>
          <w:t>40ט</w:t>
        </w:r>
      </w:hyperlink>
      <w:r w:rsidRPr="00423818">
        <w:rPr>
          <w:rFonts w:ascii="FrankRuehl" w:hAnsi="FrankRuehl" w:cs="FrankRuehl"/>
          <w:rtl/>
        </w:rPr>
        <w:t xml:space="preserve">, </w:t>
      </w:r>
      <w:hyperlink r:id="rId12" w:history="1">
        <w:r w:rsidRPr="00423818">
          <w:rPr>
            <w:rFonts w:ascii="FrankRuehl" w:hAnsi="FrankRuehl" w:cs="FrankRuehl"/>
            <w:color w:val="0000FF"/>
            <w:rtl/>
          </w:rPr>
          <w:t>144(א)</w:t>
        </w:r>
      </w:hyperlink>
      <w:r w:rsidRPr="00423818">
        <w:rPr>
          <w:rFonts w:ascii="FrankRuehl" w:hAnsi="FrankRuehl" w:cs="FrankRuehl"/>
          <w:rtl/>
        </w:rPr>
        <w:t xml:space="preserve">, </w:t>
      </w:r>
      <w:hyperlink r:id="rId13" w:history="1">
        <w:r w:rsidRPr="00423818">
          <w:rPr>
            <w:rFonts w:ascii="FrankRuehl" w:hAnsi="FrankRuehl" w:cs="FrankRuehl"/>
            <w:color w:val="0000FF"/>
            <w:rtl/>
          </w:rPr>
          <w:t>(ב)</w:t>
        </w:r>
      </w:hyperlink>
      <w:r w:rsidRPr="00423818">
        <w:rPr>
          <w:rFonts w:ascii="FrankRuehl" w:hAnsi="FrankRuehl" w:cs="FrankRuehl"/>
          <w:rtl/>
        </w:rPr>
        <w:t xml:space="preserve">, </w:t>
      </w:r>
      <w:hyperlink r:id="rId14" w:history="1">
        <w:r w:rsidRPr="00423818">
          <w:rPr>
            <w:rFonts w:ascii="FrankRuehl" w:hAnsi="FrankRuehl" w:cs="FrankRuehl"/>
            <w:color w:val="0000FF"/>
            <w:rtl/>
          </w:rPr>
          <w:t>40יא'</w:t>
        </w:r>
      </w:hyperlink>
    </w:p>
    <w:p w14:paraId="4136352E" w14:textId="77777777" w:rsidR="00423818" w:rsidRPr="00423818" w:rsidRDefault="00423818" w:rsidP="00423818">
      <w:pPr>
        <w:spacing w:line="360" w:lineRule="auto"/>
        <w:rPr>
          <w:rFonts w:ascii="Arial" w:hAnsi="Arial"/>
          <w:rtl/>
        </w:rPr>
      </w:pPr>
      <w:bookmarkStart w:id="4" w:name="LawTable_End"/>
      <w:bookmarkEnd w:id="4"/>
    </w:p>
    <w:p w14:paraId="57A2FF8D" w14:textId="77777777" w:rsidR="00065B2C" w:rsidRPr="000844AB" w:rsidRDefault="00065B2C" w:rsidP="00A80225">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44AB" w14:paraId="66AD4B94" w14:textId="77777777" w:rsidTr="001A7C4A">
        <w:trPr>
          <w:trHeight w:val="355"/>
          <w:jc w:val="center"/>
        </w:trPr>
        <w:tc>
          <w:tcPr>
            <w:tcW w:w="8820" w:type="dxa"/>
            <w:tcBorders>
              <w:top w:val="nil"/>
              <w:left w:val="nil"/>
              <w:bottom w:val="nil"/>
              <w:right w:val="nil"/>
            </w:tcBorders>
          </w:tcPr>
          <w:p w14:paraId="233295E6" w14:textId="77777777" w:rsidR="000844AB" w:rsidRPr="000844AB" w:rsidRDefault="000844AB" w:rsidP="000844AB">
            <w:pPr>
              <w:spacing w:line="360" w:lineRule="auto"/>
              <w:jc w:val="center"/>
              <w:rPr>
                <w:rFonts w:ascii="Arial" w:hAnsi="Arial" w:cs="FrankRuehl"/>
                <w:bCs/>
                <w:sz w:val="32"/>
                <w:szCs w:val="32"/>
                <w:u w:val="single"/>
                <w:rtl/>
              </w:rPr>
            </w:pPr>
            <w:bookmarkStart w:id="5" w:name="PsakDin" w:colFirst="0" w:colLast="0"/>
            <w:r w:rsidRPr="000844AB">
              <w:rPr>
                <w:rFonts w:ascii="Arial" w:hAnsi="Arial" w:cs="FrankRuehl"/>
                <w:b/>
                <w:bCs/>
                <w:sz w:val="32"/>
                <w:szCs w:val="32"/>
                <w:u w:val="single"/>
                <w:rtl/>
              </w:rPr>
              <w:t>גזר דין</w:t>
            </w:r>
          </w:p>
        </w:tc>
      </w:tr>
      <w:bookmarkEnd w:id="5"/>
    </w:tbl>
    <w:p w14:paraId="2139615B" w14:textId="77777777" w:rsidR="000844AB" w:rsidRPr="00B05847" w:rsidRDefault="000844AB" w:rsidP="00A80225">
      <w:pPr>
        <w:spacing w:line="360" w:lineRule="auto"/>
        <w:rPr>
          <w:rFonts w:ascii="Arial" w:hAnsi="Arial"/>
          <w:rtl/>
        </w:rPr>
      </w:pPr>
    </w:p>
    <w:p w14:paraId="3158ABD0" w14:textId="77777777" w:rsidR="00065B2C" w:rsidRPr="00A80225" w:rsidRDefault="00065B2C" w:rsidP="00A80225">
      <w:pPr>
        <w:spacing w:line="360" w:lineRule="auto"/>
        <w:ind w:left="720"/>
        <w:jc w:val="both"/>
        <w:rPr>
          <w:rFonts w:cs="FrankRuehl"/>
          <w:szCs w:val="28"/>
        </w:rPr>
      </w:pPr>
      <w:r>
        <w:rPr>
          <w:rFonts w:ascii="Miriam" w:hAnsi="Miriam" w:cs="Miriam"/>
          <w:rtl/>
        </w:rPr>
        <w:t>מבוא</w:t>
      </w:r>
    </w:p>
    <w:p w14:paraId="31C4168A" w14:textId="77777777" w:rsidR="00065B2C" w:rsidRDefault="00065B2C" w:rsidP="0036671D">
      <w:pPr>
        <w:numPr>
          <w:ilvl w:val="0"/>
          <w:numId w:val="3"/>
        </w:numPr>
        <w:spacing w:line="360" w:lineRule="auto"/>
        <w:jc w:val="both"/>
        <w:rPr>
          <w:rFonts w:ascii="FrankRuehl" w:hAnsi="FrankRuehl" w:cs="FrankRuehl"/>
          <w:sz w:val="28"/>
          <w:szCs w:val="28"/>
        </w:rPr>
      </w:pPr>
      <w:bookmarkStart w:id="6" w:name="ABSTRACT_START"/>
      <w:bookmarkEnd w:id="6"/>
      <w:r w:rsidRPr="0036671D">
        <w:rPr>
          <w:rFonts w:ascii="FrankRuehl" w:hAnsi="FrankRuehl" w:cs="FrankRuehl"/>
          <w:sz w:val="28"/>
          <w:szCs w:val="28"/>
          <w:rtl/>
        </w:rPr>
        <w:t xml:space="preserve">הנאשם הורשע בעבירת החזקה, נשיאה והובלה של נשק לפי </w:t>
      </w:r>
      <w:hyperlink r:id="rId15" w:history="1">
        <w:r w:rsidR="002E4AAA" w:rsidRPr="002E4AAA">
          <w:rPr>
            <w:rFonts w:ascii="FrankRuehl" w:hAnsi="FrankRuehl" w:cs="FrankRuehl"/>
            <w:color w:val="0000FF"/>
            <w:sz w:val="28"/>
            <w:szCs w:val="28"/>
            <w:u w:val="single"/>
            <w:rtl/>
          </w:rPr>
          <w:t>סעיף 144(א)</w:t>
        </w:r>
      </w:hyperlink>
      <w:r w:rsidRPr="0036671D">
        <w:rPr>
          <w:rFonts w:ascii="FrankRuehl" w:hAnsi="FrankRuehl" w:cs="FrankRuehl"/>
          <w:sz w:val="28"/>
          <w:szCs w:val="28"/>
          <w:rtl/>
        </w:rPr>
        <w:t xml:space="preserve"> ו- </w:t>
      </w:r>
      <w:hyperlink r:id="rId16" w:history="1">
        <w:r w:rsidR="002E4AAA" w:rsidRPr="002E4AAA">
          <w:rPr>
            <w:rFonts w:ascii="FrankRuehl" w:hAnsi="FrankRuehl" w:cs="FrankRuehl"/>
            <w:color w:val="0000FF"/>
            <w:sz w:val="28"/>
            <w:szCs w:val="28"/>
            <w:u w:val="single"/>
            <w:rtl/>
          </w:rPr>
          <w:t>(ב)</w:t>
        </w:r>
      </w:hyperlink>
      <w:r w:rsidRPr="0036671D">
        <w:rPr>
          <w:rFonts w:ascii="FrankRuehl" w:hAnsi="FrankRuehl" w:cs="FrankRuehl"/>
          <w:sz w:val="28"/>
          <w:szCs w:val="28"/>
          <w:rtl/>
        </w:rPr>
        <w:t xml:space="preserve">  רישה וס</w:t>
      </w:r>
      <w:r>
        <w:rPr>
          <w:rFonts w:ascii="FrankRuehl" w:hAnsi="FrankRuehl" w:cs="FrankRuehl"/>
          <w:sz w:val="28"/>
          <w:szCs w:val="28"/>
          <w:rtl/>
        </w:rPr>
        <w:t>י</w:t>
      </w:r>
      <w:r w:rsidRPr="0036671D">
        <w:rPr>
          <w:rFonts w:ascii="FrankRuehl" w:hAnsi="FrankRuehl" w:cs="FrankRuehl"/>
          <w:sz w:val="28"/>
          <w:szCs w:val="28"/>
          <w:rtl/>
        </w:rPr>
        <w:t xml:space="preserve">יפה </w:t>
      </w:r>
      <w:r w:rsidRPr="0036671D">
        <w:rPr>
          <w:rFonts w:ascii="Miriam" w:hAnsi="Miriam" w:cs="Miriam"/>
          <w:rtl/>
        </w:rPr>
        <w:t>ל</w:t>
      </w:r>
      <w:hyperlink r:id="rId17" w:history="1">
        <w:r w:rsidR="000844AB" w:rsidRPr="000844AB">
          <w:rPr>
            <w:rFonts w:ascii="Miriam" w:hAnsi="Miriam" w:cs="Miriam"/>
            <w:color w:val="0000FF"/>
            <w:u w:val="single"/>
            <w:rtl/>
          </w:rPr>
          <w:t>חוק העונשין</w:t>
        </w:r>
      </w:hyperlink>
      <w:r w:rsidRPr="0036671D">
        <w:rPr>
          <w:rFonts w:ascii="Miriam" w:hAnsi="Miriam" w:cs="Miriam"/>
          <w:rtl/>
        </w:rPr>
        <w:t>, התשל"ז-1977</w:t>
      </w:r>
      <w:r>
        <w:rPr>
          <w:rFonts w:ascii="FrankRuehl" w:hAnsi="FrankRuehl" w:cs="FrankRuehl"/>
          <w:sz w:val="28"/>
          <w:szCs w:val="28"/>
          <w:rtl/>
        </w:rPr>
        <w:t xml:space="preserve"> (להלן- החוק) בהתאם ל</w:t>
      </w:r>
      <w:r w:rsidRPr="0036671D">
        <w:rPr>
          <w:rFonts w:ascii="FrankRuehl" w:hAnsi="FrankRuehl" w:cs="FrankRuehl"/>
          <w:sz w:val="28"/>
          <w:szCs w:val="28"/>
          <w:rtl/>
        </w:rPr>
        <w:t>הודאתו בעובדות כתב אישום שתוקן במסגרת הסדר טיעון שלא כלל הסכמה ל</w:t>
      </w:r>
      <w:r>
        <w:rPr>
          <w:rFonts w:ascii="FrankRuehl" w:hAnsi="FrankRuehl" w:cs="FrankRuehl"/>
          <w:sz w:val="28"/>
          <w:szCs w:val="28"/>
          <w:rtl/>
        </w:rPr>
        <w:t>עניין העונש.</w:t>
      </w:r>
    </w:p>
    <w:p w14:paraId="4AA18D04" w14:textId="77777777" w:rsidR="00065B2C" w:rsidRPr="0036671D" w:rsidRDefault="00065B2C" w:rsidP="0036671D">
      <w:pPr>
        <w:spacing w:line="360" w:lineRule="auto"/>
        <w:ind w:left="720"/>
        <w:jc w:val="both"/>
        <w:rPr>
          <w:rFonts w:ascii="FrankRuehl" w:hAnsi="FrankRuehl" w:cs="FrankRuehl"/>
          <w:sz w:val="28"/>
          <w:szCs w:val="28"/>
        </w:rPr>
      </w:pPr>
      <w:bookmarkStart w:id="7" w:name="ABSTRACT_END"/>
      <w:bookmarkEnd w:id="7"/>
    </w:p>
    <w:p w14:paraId="32ABA6F9" w14:textId="77777777" w:rsidR="00065B2C" w:rsidRDefault="00065B2C" w:rsidP="002C5F85">
      <w:pPr>
        <w:numPr>
          <w:ilvl w:val="0"/>
          <w:numId w:val="3"/>
        </w:numPr>
        <w:spacing w:line="360" w:lineRule="auto"/>
        <w:jc w:val="both"/>
        <w:rPr>
          <w:rFonts w:ascii="FrankRuehl" w:hAnsi="FrankRuehl" w:cs="FrankRuehl"/>
          <w:sz w:val="28"/>
          <w:szCs w:val="28"/>
        </w:rPr>
      </w:pPr>
      <w:r w:rsidRPr="00A80225">
        <w:rPr>
          <w:rFonts w:ascii="FrankRuehl" w:hAnsi="FrankRuehl" w:cs="FrankRuehl"/>
          <w:sz w:val="28"/>
          <w:szCs w:val="28"/>
          <w:rtl/>
        </w:rPr>
        <w:t>על פי כתב האישום המתוקן (סומן א), בתאריך 25.12.2018 בשעה 22:50 נסעו הנאשם ואחמד אחיו</w:t>
      </w:r>
      <w:r>
        <w:rPr>
          <w:rFonts w:ascii="FrankRuehl" w:hAnsi="FrankRuehl" w:cs="FrankRuehl"/>
          <w:sz w:val="28"/>
          <w:szCs w:val="28"/>
          <w:rtl/>
        </w:rPr>
        <w:t>,</w:t>
      </w:r>
      <w:r w:rsidRPr="00A80225">
        <w:rPr>
          <w:rFonts w:ascii="FrankRuehl" w:hAnsi="FrankRuehl" w:cs="FrankRuehl"/>
          <w:sz w:val="28"/>
          <w:szCs w:val="28"/>
          <w:rtl/>
        </w:rPr>
        <w:t xml:space="preserve"> יליד 1994, ברכב  כשאחמד נוהג ברכב והנאשם יושב לצדו. שני אנשי משטרה עצרו את הרכב לבדיקה, בחיפוש שנעשה על ידם נמצא כי באותה עת הנאשם החזיק, נשא והוביל על גופו, אקדח חצי אוטומטי מסוג ברטה תוצרת איטליה מודל 70 קליבר 7.65 מ"מ (להלן – האקדח), טעון במחסנית עם 7 כדורים בקוטר 0.32, שהייתה </w:t>
      </w:r>
      <w:r w:rsidRPr="00A80225">
        <w:rPr>
          <w:rFonts w:ascii="FrankRuehl" w:hAnsi="FrankRuehl" w:cs="FrankRuehl"/>
          <w:sz w:val="28"/>
          <w:szCs w:val="28"/>
          <w:rtl/>
        </w:rPr>
        <w:lastRenderedPageBreak/>
        <w:t>במצב "הכנס" באקדח.  בנוסף הנאשם נשא והוביל על גופו שלוש מחסניות נוספות שכל אחת מהן הייתה טעונה בכדורים – 7 כדורים, 6 כדורים, ו-5 כדורים, סה"כ 18 כדורים בקוטר 0.32.</w:t>
      </w:r>
    </w:p>
    <w:p w14:paraId="7E317419" w14:textId="77777777" w:rsidR="00065B2C" w:rsidRDefault="00065B2C" w:rsidP="00A80225">
      <w:pPr>
        <w:pStyle w:val="ab"/>
        <w:rPr>
          <w:rFonts w:ascii="FrankRuehl" w:hAnsi="FrankRuehl"/>
          <w:sz w:val="28"/>
          <w:rtl/>
        </w:rPr>
      </w:pPr>
    </w:p>
    <w:p w14:paraId="4A3FD486" w14:textId="77777777" w:rsidR="00065B2C" w:rsidRPr="00A80225" w:rsidRDefault="00065B2C" w:rsidP="00A80225">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הנאשם החזיק את הנשק והמחסניות בלא רשות על פי דין עוד קודם לתאריך 25.12.2018 במשך תקופה שאיננה ידועה.</w:t>
      </w:r>
    </w:p>
    <w:p w14:paraId="0DC8F2D2" w14:textId="77777777" w:rsidR="00065B2C" w:rsidRDefault="00065B2C" w:rsidP="00A80225">
      <w:pPr>
        <w:spacing w:line="360" w:lineRule="auto"/>
        <w:ind w:left="720"/>
        <w:jc w:val="both"/>
        <w:rPr>
          <w:rtl/>
        </w:rPr>
      </w:pPr>
    </w:p>
    <w:p w14:paraId="71182978" w14:textId="77777777" w:rsidR="00065B2C" w:rsidRDefault="00065B2C" w:rsidP="00A80225">
      <w:pPr>
        <w:spacing w:line="360" w:lineRule="auto"/>
        <w:ind w:left="360" w:firstLine="360"/>
        <w:jc w:val="both"/>
        <w:rPr>
          <w:u w:val="single"/>
        </w:rPr>
      </w:pPr>
      <w:r>
        <w:rPr>
          <w:rFonts w:cs="Miriam"/>
          <w:rtl/>
        </w:rPr>
        <w:t>ראיות לעונש</w:t>
      </w:r>
    </w:p>
    <w:p w14:paraId="46FBCFDD" w14:textId="77777777" w:rsidR="00065B2C" w:rsidRDefault="00065B2C" w:rsidP="00A80225">
      <w:pPr>
        <w:pStyle w:val="ab"/>
        <w:numPr>
          <w:ilvl w:val="0"/>
          <w:numId w:val="3"/>
        </w:numPr>
        <w:spacing w:line="360" w:lineRule="auto"/>
        <w:jc w:val="both"/>
        <w:rPr>
          <w:u w:val="single"/>
          <w:rtl/>
        </w:rPr>
      </w:pPr>
      <w:r>
        <w:rPr>
          <w:rtl/>
        </w:rPr>
        <w:t>לא הוגשו מטעם הצדדים ראיות לעונש. לנאשם אין רישום פלילי.</w:t>
      </w:r>
    </w:p>
    <w:p w14:paraId="45622115" w14:textId="77777777" w:rsidR="00065B2C" w:rsidRDefault="00065B2C" w:rsidP="00A80225">
      <w:pPr>
        <w:spacing w:line="360" w:lineRule="auto"/>
        <w:ind w:left="360" w:firstLine="360"/>
        <w:jc w:val="both"/>
        <w:rPr>
          <w:rFonts w:cs="FrankRuehl"/>
          <w:szCs w:val="28"/>
          <w:u w:val="single"/>
          <w:rtl/>
        </w:rPr>
      </w:pPr>
      <w:r>
        <w:rPr>
          <w:rFonts w:cs="Miriam"/>
          <w:rtl/>
        </w:rPr>
        <w:t>תסקירי שירות המבחן</w:t>
      </w:r>
    </w:p>
    <w:p w14:paraId="609C0DA0" w14:textId="77777777" w:rsidR="00065B2C" w:rsidRDefault="00065B2C" w:rsidP="002C5F85">
      <w:pPr>
        <w:pStyle w:val="ab"/>
        <w:numPr>
          <w:ilvl w:val="0"/>
          <w:numId w:val="3"/>
        </w:numPr>
        <w:spacing w:line="360" w:lineRule="auto"/>
        <w:jc w:val="both"/>
        <w:rPr>
          <w:rtl/>
        </w:rPr>
      </w:pPr>
      <w:r>
        <w:rPr>
          <w:rtl/>
        </w:rPr>
        <w:t>לפי הסכמה דיונית בין הצדדים, הופנה הנאשם לשירות המבחן לצורך הכנת תסקיר תוך הסכמת הצדדים כי תוכן התסקיר לא יחייב את מי מהצדדים.</w:t>
      </w:r>
    </w:p>
    <w:p w14:paraId="5DC39BA6" w14:textId="77777777" w:rsidR="00065B2C" w:rsidRDefault="00065B2C" w:rsidP="00A80225">
      <w:pPr>
        <w:pStyle w:val="ab"/>
        <w:spacing w:line="360" w:lineRule="auto"/>
        <w:jc w:val="both"/>
      </w:pPr>
    </w:p>
    <w:p w14:paraId="3437180E" w14:textId="77777777" w:rsidR="00065B2C" w:rsidRDefault="00065B2C" w:rsidP="002C5F85">
      <w:pPr>
        <w:pStyle w:val="ab"/>
        <w:spacing w:line="360" w:lineRule="auto"/>
        <w:jc w:val="both"/>
      </w:pPr>
      <w:r>
        <w:rPr>
          <w:rtl/>
        </w:rPr>
        <w:t>בעניין הנאשם הוגשו שלושה תסקירים, בתסקיר הראשון לא ניתנה כל המלצה שיקומית, התסקיר השני הוגש לבקשת סנגורו של הנאשם אשר ביקש כי קצין המבחן אתו ישוחח הנאשם יהיה דובר השפה הערבית או שהשיחה תקוים באמצעות מתורגמן. התסקיר השני שהוגש לא היה תסקיר סופי ובו ביקש שירות המבחן לדחות את מועד הכנת התסקיר בארבעה חודשים על מנת לבחון את השתלבות הנאשם בטיפול. בקשת הדחייה נדחתה על ידי והוריתי על הכנת תסקיר סופי.</w:t>
      </w:r>
    </w:p>
    <w:p w14:paraId="40A2A861" w14:textId="77777777" w:rsidR="00065B2C" w:rsidRDefault="00065B2C" w:rsidP="00A80225">
      <w:pPr>
        <w:pStyle w:val="ab"/>
        <w:spacing w:line="360" w:lineRule="auto"/>
      </w:pPr>
    </w:p>
    <w:p w14:paraId="3B225C2B" w14:textId="77777777" w:rsidR="00065B2C" w:rsidRDefault="00065B2C" w:rsidP="002C5F85">
      <w:pPr>
        <w:pStyle w:val="ab"/>
        <w:spacing w:line="360" w:lineRule="auto"/>
        <w:jc w:val="both"/>
        <w:rPr>
          <w:rtl/>
        </w:rPr>
      </w:pPr>
      <w:r>
        <w:rPr>
          <w:rtl/>
        </w:rPr>
        <w:t>בתסקיר השלישי והאחרון המליצה קצינת המבחן על ענישה משולבת - הטלת מאסר על הנאשם בדרך של עבודות שירות ובנוסף להעמדת הנאשם בצו מבחן לתקופה של שנה, שבמהלכה ישולב בהליך טיפולי שיסייע בהפחתת הסיכון להישנות ביצוע עבירות.</w:t>
      </w:r>
    </w:p>
    <w:p w14:paraId="3036A9AD" w14:textId="77777777" w:rsidR="00065B2C" w:rsidRDefault="00065B2C" w:rsidP="00A80225">
      <w:pPr>
        <w:pStyle w:val="ab"/>
        <w:spacing w:line="360" w:lineRule="auto"/>
        <w:jc w:val="both"/>
      </w:pPr>
    </w:p>
    <w:p w14:paraId="3C181356" w14:textId="77777777" w:rsidR="00065B2C" w:rsidRDefault="00065B2C" w:rsidP="002C5F85">
      <w:pPr>
        <w:pStyle w:val="ab"/>
        <w:spacing w:line="360" w:lineRule="auto"/>
        <w:jc w:val="both"/>
        <w:rPr>
          <w:rtl/>
        </w:rPr>
      </w:pPr>
      <w:r>
        <w:rPr>
          <w:rtl/>
        </w:rPr>
        <w:t>להערכת שירות המבחן הנאשם מתאים להליך טיפולי נוכח העובדה כי מדובר בבחור צעיר, שזו היא מעורבותו הראשונה בפלילים, שלא הפר את התנאים המגבילים שהוטלו עליו, והחל להתקדם בלקיחת אחריות למעשיו ויש לו מודעות ראשונית למניעים הרגשיים והחברתיים שעמדו ברקע להתנהגותו.</w:t>
      </w:r>
    </w:p>
    <w:p w14:paraId="02AA9AA5" w14:textId="77777777" w:rsidR="00065B2C" w:rsidRDefault="00065B2C" w:rsidP="00A80225">
      <w:pPr>
        <w:pStyle w:val="ab"/>
        <w:spacing w:line="360" w:lineRule="auto"/>
        <w:jc w:val="both"/>
        <w:rPr>
          <w:rtl/>
        </w:rPr>
      </w:pPr>
    </w:p>
    <w:p w14:paraId="65FB5B98" w14:textId="77777777" w:rsidR="00065B2C" w:rsidRDefault="00065B2C" w:rsidP="00A80225">
      <w:pPr>
        <w:spacing w:line="360" w:lineRule="auto"/>
        <w:ind w:left="360" w:firstLine="360"/>
        <w:jc w:val="both"/>
        <w:rPr>
          <w:rFonts w:cs="Miriam"/>
          <w:rtl/>
        </w:rPr>
      </w:pPr>
      <w:r>
        <w:rPr>
          <w:rFonts w:cs="Miriam"/>
          <w:rtl/>
        </w:rPr>
        <w:t>תמצית טענות הצדדים</w:t>
      </w:r>
    </w:p>
    <w:p w14:paraId="76F5C423" w14:textId="77777777" w:rsidR="00065B2C" w:rsidRDefault="00065B2C" w:rsidP="002C5F85">
      <w:pPr>
        <w:pStyle w:val="ab"/>
        <w:numPr>
          <w:ilvl w:val="0"/>
          <w:numId w:val="3"/>
        </w:numPr>
        <w:spacing w:line="360" w:lineRule="auto"/>
        <w:jc w:val="both"/>
        <w:rPr>
          <w:rtl/>
        </w:rPr>
      </w:pPr>
      <w:r>
        <w:rPr>
          <w:rtl/>
        </w:rPr>
        <w:lastRenderedPageBreak/>
        <w:t>ב"כ המאשימה בטיעוניו בכתב (ט/1) ובעל פה, ביקש לקבוע מתחם עונש הולם שנע בין 2.5 ל-4.5 שנות מאסר בפועל וזאת בהסתמך על פסיקה אותה צירף, וביקש להשית על הנאשם עונש קרוב לקצה התחתון עד בינוני של המתחם  ביחד עם הטלת מאסר על תנאי מרתיע וקנס.</w:t>
      </w:r>
    </w:p>
    <w:p w14:paraId="4D727577" w14:textId="77777777" w:rsidR="00065B2C" w:rsidRDefault="00065B2C" w:rsidP="00A80225">
      <w:pPr>
        <w:pStyle w:val="ab"/>
        <w:spacing w:line="360" w:lineRule="auto"/>
        <w:jc w:val="both"/>
      </w:pPr>
      <w:r>
        <w:rPr>
          <w:rtl/>
        </w:rPr>
        <w:t>בטיעוניו  הדגיש את החומרה הרבה של עבירות הנשק בעיקר בימים אלה בהם קם קול צעקה במדינה לעניין נפיצות השימוש בנשקים והחזקת נשקים לא חוקיים.</w:t>
      </w:r>
    </w:p>
    <w:p w14:paraId="3B112EB9" w14:textId="77777777" w:rsidR="00065B2C" w:rsidRDefault="00065B2C" w:rsidP="00F83D71">
      <w:pPr>
        <w:pStyle w:val="ab"/>
        <w:spacing w:line="360" w:lineRule="auto"/>
        <w:jc w:val="both"/>
        <w:rPr>
          <w:rtl/>
        </w:rPr>
      </w:pPr>
      <w:r>
        <w:rPr>
          <w:rtl/>
        </w:rPr>
        <w:t>עוד הוסיף כי לא הוכח בתסקירים כי הנאשם השתקם או שקיים סיכוי של ממש כי הוא ישתקם. הוא נמצא בתחילתו הראשונית של התהליך, על כן אין מקום לטענתו לסטות מהמתחם שייקבע.</w:t>
      </w:r>
    </w:p>
    <w:p w14:paraId="1D3A368B" w14:textId="77777777" w:rsidR="00065B2C" w:rsidRDefault="00065B2C" w:rsidP="00A80225">
      <w:pPr>
        <w:pStyle w:val="ab"/>
        <w:spacing w:line="360" w:lineRule="auto"/>
        <w:jc w:val="both"/>
        <w:rPr>
          <w:rtl/>
        </w:rPr>
      </w:pPr>
    </w:p>
    <w:p w14:paraId="5D4B22F9" w14:textId="77777777" w:rsidR="00065B2C" w:rsidRDefault="00065B2C" w:rsidP="00A80225">
      <w:pPr>
        <w:pStyle w:val="ab"/>
        <w:numPr>
          <w:ilvl w:val="0"/>
          <w:numId w:val="3"/>
        </w:numPr>
        <w:spacing w:line="360" w:lineRule="auto"/>
        <w:jc w:val="both"/>
        <w:rPr>
          <w:rtl/>
        </w:rPr>
      </w:pPr>
      <w:r>
        <w:rPr>
          <w:rtl/>
        </w:rPr>
        <w:t>הסנגור ביקש לאמץ את המלצות שירות המבחן לפיהן יש להטיל על הנאשם עונש מאסר שניתן לרצות אותו על דרך עבודות שירות בתוספת צו מבחן לשנה.</w:t>
      </w:r>
    </w:p>
    <w:p w14:paraId="2689984E" w14:textId="77777777" w:rsidR="00065B2C" w:rsidRDefault="00065B2C" w:rsidP="00A80225">
      <w:pPr>
        <w:pStyle w:val="ab"/>
        <w:spacing w:line="360" w:lineRule="auto"/>
        <w:jc w:val="both"/>
      </w:pPr>
      <w:r>
        <w:rPr>
          <w:rtl/>
        </w:rPr>
        <w:t xml:space="preserve">הדגיש את גילו הצעיר של הנאשם שהיה בן 25 במועד ביצוע העבירות, ללא עבר פלילי, הודה בהזדמנות הראשונה ולקח אחריות מלאה על מעשיו. </w:t>
      </w:r>
    </w:p>
    <w:p w14:paraId="07A4A6C1" w14:textId="77777777" w:rsidR="00065B2C" w:rsidRDefault="00065B2C" w:rsidP="00A80225">
      <w:pPr>
        <w:pStyle w:val="ab"/>
        <w:spacing w:line="360" w:lineRule="auto"/>
        <w:jc w:val="both"/>
        <w:rPr>
          <w:rtl/>
        </w:rPr>
      </w:pPr>
    </w:p>
    <w:p w14:paraId="529DF95A" w14:textId="77777777" w:rsidR="00065B2C" w:rsidRDefault="00065B2C" w:rsidP="00A80225">
      <w:pPr>
        <w:pStyle w:val="ab"/>
        <w:spacing w:line="360" w:lineRule="auto"/>
        <w:jc w:val="both"/>
        <w:rPr>
          <w:rtl/>
        </w:rPr>
      </w:pPr>
      <w:r>
        <w:rPr>
          <w:rtl/>
        </w:rPr>
        <w:t>עוד טען כי במסגרת שיקולי הענישה יש לקחת בחשבון את התקופה בה היה עצור הנאשם באזוק אלקטרוני מיום 6.2.2019 ועד היום, משך של כ-9 חודשים, כאשר בכל התקופה הזאת לא נרשמה לחובתו כל הפרה בתנאי המעצר בפיקוח.</w:t>
      </w:r>
    </w:p>
    <w:p w14:paraId="1173D73A" w14:textId="77777777" w:rsidR="00065B2C" w:rsidRDefault="00065B2C" w:rsidP="00A80225">
      <w:pPr>
        <w:pStyle w:val="ab"/>
        <w:spacing w:line="360" w:lineRule="auto"/>
        <w:jc w:val="both"/>
        <w:rPr>
          <w:rtl/>
        </w:rPr>
      </w:pPr>
    </w:p>
    <w:p w14:paraId="24148445" w14:textId="77777777" w:rsidR="00065B2C" w:rsidRDefault="00065B2C" w:rsidP="00F83D71">
      <w:pPr>
        <w:pStyle w:val="ab"/>
        <w:spacing w:line="360" w:lineRule="auto"/>
        <w:jc w:val="both"/>
        <w:rPr>
          <w:rtl/>
        </w:rPr>
      </w:pPr>
      <w:r>
        <w:rPr>
          <w:rtl/>
        </w:rPr>
        <w:t xml:space="preserve">לדבריו הנאשם נמצא בתחילת ההליך הטיפולי ואין לזקוף זאת לחובתו נוכח בקשתו של שירות המבחן לדחות את מועד הגשת התסקיר לחודש ינואר על מנת לשלב את הנאשם בהליך טיפולי והמאשימה בהתנגדותה לדחייה מנעה קיומו של ההליך. </w:t>
      </w:r>
    </w:p>
    <w:p w14:paraId="42230762" w14:textId="77777777" w:rsidR="00065B2C" w:rsidRDefault="00065B2C" w:rsidP="00A80225">
      <w:pPr>
        <w:pStyle w:val="ab"/>
        <w:spacing w:line="360" w:lineRule="auto"/>
        <w:jc w:val="both"/>
        <w:rPr>
          <w:rtl/>
        </w:rPr>
      </w:pPr>
      <w:r>
        <w:rPr>
          <w:rtl/>
        </w:rPr>
        <w:t>הסנגור הפנה לפסקי דין רבים מערכאות שונות אשר לרלבנטיים מתוכם אתייחס בהמשך.</w:t>
      </w:r>
    </w:p>
    <w:p w14:paraId="54DF1CE8" w14:textId="77777777" w:rsidR="00065B2C" w:rsidRDefault="00065B2C" w:rsidP="00A80225">
      <w:pPr>
        <w:pStyle w:val="ab"/>
        <w:spacing w:line="360" w:lineRule="auto"/>
        <w:jc w:val="both"/>
        <w:rPr>
          <w:rtl/>
        </w:rPr>
      </w:pPr>
    </w:p>
    <w:p w14:paraId="0E64D61D" w14:textId="77777777" w:rsidR="00065B2C" w:rsidRDefault="00065B2C" w:rsidP="00A80225">
      <w:pPr>
        <w:pStyle w:val="ab"/>
        <w:numPr>
          <w:ilvl w:val="0"/>
          <w:numId w:val="3"/>
        </w:numPr>
        <w:spacing w:line="360" w:lineRule="auto"/>
        <w:jc w:val="both"/>
        <w:rPr>
          <w:rtl/>
        </w:rPr>
      </w:pPr>
      <w:r>
        <w:rPr>
          <w:rtl/>
        </w:rPr>
        <w:t xml:space="preserve">בתום דברי הסנגור, הודה הנאשם בחומרת מעשיו, אמר כי יש לו נכונות לקיים כל החלטה של בית המשפט, טען כי הוא ממלא אחר הוראות קצין המבחן, לומד ממנו הרבה והוא החל להשתפר ולהתקדם וביקש שתינתן לו הזדמנות. </w:t>
      </w:r>
    </w:p>
    <w:p w14:paraId="4D76C43E" w14:textId="77777777" w:rsidR="00065B2C" w:rsidRDefault="00065B2C" w:rsidP="00A80225">
      <w:pPr>
        <w:pStyle w:val="ab"/>
        <w:spacing w:line="360" w:lineRule="auto"/>
        <w:jc w:val="both"/>
        <w:rPr>
          <w:rtl/>
        </w:rPr>
      </w:pPr>
    </w:p>
    <w:p w14:paraId="605350B8" w14:textId="77777777" w:rsidR="00065B2C" w:rsidRDefault="00065B2C" w:rsidP="00A80225">
      <w:pPr>
        <w:pStyle w:val="ab"/>
        <w:spacing w:line="360" w:lineRule="auto"/>
        <w:jc w:val="both"/>
        <w:rPr>
          <w:rFonts w:cs="Miriam"/>
          <w:szCs w:val="24"/>
        </w:rPr>
      </w:pPr>
      <w:r>
        <w:rPr>
          <w:rFonts w:cs="Miriam"/>
          <w:szCs w:val="24"/>
          <w:rtl/>
        </w:rPr>
        <w:t>דיון</w:t>
      </w:r>
    </w:p>
    <w:p w14:paraId="774C86A5" w14:textId="77777777" w:rsidR="00065B2C" w:rsidRDefault="00065B2C" w:rsidP="00A80225">
      <w:pPr>
        <w:pStyle w:val="ab"/>
        <w:numPr>
          <w:ilvl w:val="0"/>
          <w:numId w:val="3"/>
        </w:numPr>
        <w:spacing w:line="360" w:lineRule="auto"/>
        <w:jc w:val="both"/>
        <w:rPr>
          <w:color w:val="000000"/>
          <w:sz w:val="28"/>
        </w:rPr>
      </w:pPr>
      <w:r>
        <w:rPr>
          <w:color w:val="000000"/>
          <w:sz w:val="28"/>
          <w:rtl/>
        </w:rPr>
        <w:t>במקרה זה חל תיקון 113 לחוק שקובע כי "</w:t>
      </w:r>
      <w:r>
        <w:rPr>
          <w:sz w:val="28"/>
          <w:rtl/>
        </w:rPr>
        <w:t xml:space="preserve">העיקרון המנחה בענישה הוא קיומו של יחס הולם בין חומרת מעשה העבירה בנסיבותיו ומידת אשמו של הנאשם ובין סוג ומידת העונש המוטל </w:t>
      </w:r>
      <w:r>
        <w:rPr>
          <w:color w:val="000000"/>
          <w:sz w:val="28"/>
          <w:rtl/>
        </w:rPr>
        <w:t>עליו" (</w:t>
      </w:r>
      <w:hyperlink r:id="rId18" w:history="1">
        <w:r w:rsidR="002E4AAA" w:rsidRPr="002E4AAA">
          <w:rPr>
            <w:color w:val="0000FF"/>
            <w:sz w:val="28"/>
            <w:u w:val="single"/>
            <w:rtl/>
          </w:rPr>
          <w:t>סעיף 40ב'</w:t>
        </w:r>
      </w:hyperlink>
      <w:r>
        <w:rPr>
          <w:color w:val="000000"/>
          <w:sz w:val="28"/>
          <w:rtl/>
        </w:rPr>
        <w:t xml:space="preserve"> לחוק).</w:t>
      </w:r>
    </w:p>
    <w:p w14:paraId="4DD6660C" w14:textId="77777777" w:rsidR="00065B2C" w:rsidRDefault="00065B2C" w:rsidP="00A80225">
      <w:pPr>
        <w:pStyle w:val="ab"/>
        <w:spacing w:line="360" w:lineRule="auto"/>
        <w:jc w:val="both"/>
        <w:rPr>
          <w:color w:val="000000"/>
          <w:sz w:val="28"/>
          <w:rtl/>
        </w:rPr>
      </w:pPr>
    </w:p>
    <w:p w14:paraId="3515A8CF" w14:textId="77777777" w:rsidR="00065B2C" w:rsidRDefault="00065B2C" w:rsidP="00A80225">
      <w:pPr>
        <w:pStyle w:val="ab"/>
        <w:spacing w:line="360" w:lineRule="auto"/>
        <w:jc w:val="both"/>
        <w:rPr>
          <w:color w:val="000000"/>
          <w:sz w:val="28"/>
        </w:rPr>
      </w:pPr>
    </w:p>
    <w:p w14:paraId="1AF9EDDC" w14:textId="77777777" w:rsidR="00065B2C" w:rsidRDefault="00065B2C" w:rsidP="00A80225">
      <w:pPr>
        <w:pStyle w:val="ab"/>
        <w:spacing w:line="360" w:lineRule="auto"/>
        <w:jc w:val="both"/>
        <w:rPr>
          <w:rFonts w:cs="Miriam"/>
          <w:szCs w:val="24"/>
        </w:rPr>
      </w:pPr>
      <w:r>
        <w:rPr>
          <w:rFonts w:cs="Miriam"/>
          <w:szCs w:val="24"/>
          <w:rtl/>
        </w:rPr>
        <w:t>מתחם העונש ההולם</w:t>
      </w:r>
    </w:p>
    <w:p w14:paraId="0126D08A" w14:textId="77777777" w:rsidR="00065B2C" w:rsidRDefault="00065B2C" w:rsidP="00F83D71">
      <w:pPr>
        <w:pStyle w:val="ab"/>
        <w:numPr>
          <w:ilvl w:val="0"/>
          <w:numId w:val="3"/>
        </w:numPr>
        <w:spacing w:line="360" w:lineRule="auto"/>
        <w:jc w:val="both"/>
        <w:rPr>
          <w:rtl/>
        </w:rPr>
      </w:pPr>
      <w:r>
        <w:rPr>
          <w:rtl/>
        </w:rPr>
        <w:t>במהלך אירוע אחד, הנאשם נשא והוביל על גופו, עת נסע עם אחיו בשעת לילה ברכב, אקדח חצי אוטומטי טעון במחסנית עם 7 כדורים שהייתה במצב 'הכנס' וזאת עד שנתפס על ידי המשטרה. בחיפוש שנערך באותו מעמד נמצאו אצלו שלוש מחסניות נוספות אותן  נשא והוביל על גופו, שכל אחת מהן הייתה טעונה בכדורים ובסה"כ היו בהן 18 כדורים.</w:t>
      </w:r>
    </w:p>
    <w:p w14:paraId="491AF9C7" w14:textId="77777777" w:rsidR="00065B2C" w:rsidRDefault="00065B2C" w:rsidP="00A80225">
      <w:pPr>
        <w:pStyle w:val="ab"/>
        <w:spacing w:line="360" w:lineRule="auto"/>
        <w:jc w:val="both"/>
      </w:pPr>
    </w:p>
    <w:p w14:paraId="2AED1140" w14:textId="77777777" w:rsidR="00065B2C" w:rsidRPr="00A80225" w:rsidRDefault="00065B2C" w:rsidP="008074D3">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בכל עבירה בנשק יש פוטנציאל פגיעה משמעותי בער</w:t>
      </w:r>
      <w:r>
        <w:rPr>
          <w:rFonts w:ascii="FrankRuehl" w:hAnsi="FrankRuehl" w:cs="FrankRuehl"/>
          <w:sz w:val="28"/>
          <w:szCs w:val="28"/>
          <w:rtl/>
        </w:rPr>
        <w:t xml:space="preserve">כים חברתיים </w:t>
      </w:r>
      <w:r w:rsidRPr="00A80225">
        <w:rPr>
          <w:rFonts w:ascii="FrankRuehl" w:hAnsi="FrankRuehl" w:cs="FrankRuehl"/>
          <w:sz w:val="28"/>
          <w:szCs w:val="28"/>
          <w:rtl/>
        </w:rPr>
        <w:t>של שלום הציבור וביטחונו וסיכון ממשי לחיי אדם. במקרה זה הפגיעה בערכים אלו ה</w:t>
      </w:r>
      <w:r>
        <w:rPr>
          <w:rFonts w:ascii="FrankRuehl" w:hAnsi="FrankRuehl" w:cs="FrankRuehl"/>
          <w:sz w:val="28"/>
          <w:szCs w:val="28"/>
          <w:rtl/>
        </w:rPr>
        <w:t>י</w:t>
      </w:r>
      <w:r w:rsidRPr="00A80225">
        <w:rPr>
          <w:rFonts w:ascii="FrankRuehl" w:hAnsi="FrankRuehl" w:cs="FrankRuehl"/>
          <w:sz w:val="28"/>
          <w:szCs w:val="28"/>
          <w:rtl/>
        </w:rPr>
        <w:t>יתה בינונית.</w:t>
      </w:r>
    </w:p>
    <w:p w14:paraId="63BB8DE7" w14:textId="77777777" w:rsidR="00065B2C" w:rsidRPr="00A80225" w:rsidRDefault="00065B2C" w:rsidP="00A80225">
      <w:pPr>
        <w:spacing w:line="360" w:lineRule="auto"/>
        <w:ind w:left="720"/>
        <w:jc w:val="both"/>
        <w:rPr>
          <w:rFonts w:ascii="FrankRuehl" w:hAnsi="FrankRuehl" w:cs="FrankRuehl"/>
          <w:sz w:val="28"/>
          <w:szCs w:val="28"/>
          <w:rtl/>
        </w:rPr>
      </w:pPr>
    </w:p>
    <w:p w14:paraId="2D3FC5F7" w14:textId="77777777" w:rsidR="00065B2C" w:rsidRPr="00A80225" w:rsidRDefault="00065B2C" w:rsidP="00A80225">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 xml:space="preserve">אשר למדיניות הענישה הנהוגה, מנעד הענישה בעבירות בנשק רחב, בין השאר בהתחשב בסוג העבירה (החזקה, נשיאה, סחר), סוג הנשק וכמותו. במקרה זה מדובר בעבירת החזקה, נשיאה והובלה של אקדח חצי אוטומטי טעון ואין להתעלם </w:t>
      </w:r>
      <w:r>
        <w:rPr>
          <w:rFonts w:ascii="FrankRuehl" w:hAnsi="FrankRuehl" w:cs="FrankRuehl"/>
          <w:sz w:val="28"/>
          <w:szCs w:val="28"/>
          <w:rtl/>
        </w:rPr>
        <w:t xml:space="preserve">מהעובדה </w:t>
      </w:r>
      <w:r w:rsidRPr="00A80225">
        <w:rPr>
          <w:rFonts w:ascii="FrankRuehl" w:hAnsi="FrankRuehl" w:cs="FrankRuehl"/>
          <w:sz w:val="28"/>
          <w:szCs w:val="28"/>
          <w:rtl/>
        </w:rPr>
        <w:t>כי ביחד עם הנשק החזיק הנאשם 3 מחסניות עם כדורים בכמות לא מבוטלת. את הנשק, התחמושת והכדורים נשא הנאשם על גופו שהם מוכנים לשימוש.</w:t>
      </w:r>
    </w:p>
    <w:p w14:paraId="029A4F8E" w14:textId="77777777" w:rsidR="00065B2C" w:rsidRPr="00A80225" w:rsidRDefault="00065B2C" w:rsidP="00A80225">
      <w:pPr>
        <w:spacing w:line="360" w:lineRule="auto"/>
        <w:ind w:left="720"/>
        <w:jc w:val="both"/>
        <w:rPr>
          <w:rFonts w:ascii="FrankRuehl" w:hAnsi="FrankRuehl" w:cs="FrankRuehl"/>
          <w:sz w:val="28"/>
          <w:szCs w:val="28"/>
          <w:rtl/>
        </w:rPr>
      </w:pPr>
    </w:p>
    <w:p w14:paraId="74EA9E40" w14:textId="77777777" w:rsidR="00065B2C" w:rsidRPr="00A80225" w:rsidRDefault="00065B2C" w:rsidP="007A24DD">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זה המקום להזכיר כי לא בכדי העונש המרבי הקבוע בחוק בגין עבירה של נשיאה והובלת נשק עומד על 10 שנות מאסר (</w:t>
      </w:r>
      <w:hyperlink r:id="rId19" w:history="1">
        <w:r w:rsidR="002E4AAA" w:rsidRPr="002E4AAA">
          <w:rPr>
            <w:rFonts w:ascii="FrankRuehl" w:hAnsi="FrankRuehl" w:cs="FrankRuehl"/>
            <w:color w:val="0000FF"/>
            <w:sz w:val="28"/>
            <w:szCs w:val="28"/>
            <w:u w:val="single"/>
            <w:rtl/>
          </w:rPr>
          <w:t>סעיף 144(ב)</w:t>
        </w:r>
      </w:hyperlink>
      <w:r w:rsidRPr="00A80225">
        <w:rPr>
          <w:rFonts w:ascii="FrankRuehl" w:hAnsi="FrankRuehl" w:cs="FrankRuehl"/>
          <w:sz w:val="28"/>
          <w:szCs w:val="28"/>
          <w:rtl/>
        </w:rPr>
        <w:t xml:space="preserve"> לחוק) והעונש המרבי הקבוע בחוק בגין  החזקת נשק עומד על 7 שנות מאסר (</w:t>
      </w:r>
      <w:hyperlink r:id="rId20" w:history="1">
        <w:r w:rsidR="002E4AAA" w:rsidRPr="002E4AAA">
          <w:rPr>
            <w:rFonts w:ascii="FrankRuehl" w:hAnsi="FrankRuehl" w:cs="FrankRuehl"/>
            <w:color w:val="0000FF"/>
            <w:sz w:val="28"/>
            <w:szCs w:val="28"/>
            <w:u w:val="single"/>
            <w:rtl/>
          </w:rPr>
          <w:t>סעיף 144(א)</w:t>
        </w:r>
      </w:hyperlink>
      <w:r w:rsidRPr="00A80225">
        <w:rPr>
          <w:rFonts w:ascii="FrankRuehl" w:hAnsi="FrankRuehl" w:cs="FrankRuehl"/>
          <w:sz w:val="28"/>
          <w:szCs w:val="28"/>
          <w:rtl/>
        </w:rPr>
        <w:t xml:space="preserve"> ריש</w:t>
      </w:r>
      <w:r>
        <w:rPr>
          <w:rFonts w:ascii="FrankRuehl" w:hAnsi="FrankRuehl" w:cs="FrankRuehl"/>
          <w:sz w:val="28"/>
          <w:szCs w:val="28"/>
          <w:rtl/>
        </w:rPr>
        <w:t>ה לחוק</w:t>
      </w:r>
      <w:r w:rsidRPr="00A80225">
        <w:rPr>
          <w:rFonts w:ascii="FrankRuehl" w:hAnsi="FrankRuehl" w:cs="FrankRuehl"/>
          <w:sz w:val="28"/>
          <w:szCs w:val="28"/>
          <w:rtl/>
        </w:rPr>
        <w:t>).</w:t>
      </w:r>
    </w:p>
    <w:p w14:paraId="67C5E8C6" w14:textId="77777777" w:rsidR="00065B2C" w:rsidRPr="00A80225" w:rsidRDefault="00065B2C" w:rsidP="00A80225">
      <w:pPr>
        <w:spacing w:line="360" w:lineRule="auto"/>
        <w:ind w:left="720"/>
        <w:jc w:val="both"/>
        <w:rPr>
          <w:rFonts w:ascii="FrankRuehl" w:hAnsi="FrankRuehl" w:cs="FrankRuehl"/>
          <w:sz w:val="28"/>
          <w:szCs w:val="28"/>
        </w:rPr>
      </w:pPr>
    </w:p>
    <w:p w14:paraId="2E7FD783" w14:textId="77777777" w:rsidR="00065B2C" w:rsidRPr="00A80225" w:rsidRDefault="00065B2C" w:rsidP="00A80225">
      <w:pPr>
        <w:spacing w:line="360" w:lineRule="auto"/>
        <w:ind w:left="720"/>
        <w:jc w:val="both"/>
        <w:rPr>
          <w:rFonts w:ascii="FrankRuehl" w:hAnsi="FrankRuehl" w:cs="FrankRuehl"/>
          <w:sz w:val="28"/>
          <w:szCs w:val="28"/>
          <w:rtl/>
        </w:rPr>
      </w:pPr>
      <w:r w:rsidRPr="00A80225">
        <w:rPr>
          <w:rFonts w:ascii="FrankRuehl" w:hAnsi="FrankRuehl" w:cs="FrankRuehl"/>
          <w:sz w:val="28"/>
          <w:szCs w:val="28"/>
          <w:rtl/>
        </w:rPr>
        <w:t xml:space="preserve">בתי  המשפט עמדו לא פעם על החומרה הרבה הגלומה בעבירות בנשק, גם כאשר מדובר בעבירה של החזקה ונשיאה, </w:t>
      </w:r>
      <w:r w:rsidRPr="00A80225">
        <w:rPr>
          <w:rFonts w:ascii="FrankRuehl" w:hAnsi="FrankRuehl" w:cs="FrankRuehl"/>
          <w:color w:val="000000"/>
          <w:sz w:val="28"/>
          <w:szCs w:val="28"/>
          <w:rtl/>
        </w:rPr>
        <w:t>בין היתר בשל הפוטנציאל לגרימת נזק חמור מאוד</w:t>
      </w:r>
      <w:r w:rsidRPr="00A80225">
        <w:rPr>
          <w:rFonts w:ascii="FrankRuehl" w:hAnsi="FrankRuehl" w:cs="FrankRuehl"/>
          <w:sz w:val="28"/>
          <w:szCs w:val="28"/>
          <w:rtl/>
        </w:rPr>
        <w:t xml:space="preserve">. </w:t>
      </w:r>
      <w:r w:rsidRPr="00A80225">
        <w:rPr>
          <w:rFonts w:ascii="FrankRuehl" w:hAnsi="FrankRuehl" w:cs="FrankRuehl"/>
          <w:spacing w:val="10"/>
          <w:sz w:val="28"/>
          <w:szCs w:val="28"/>
          <w:rtl/>
        </w:rPr>
        <w:t>ראו לעניין זה דברי כב' השופט סולברג ב</w:t>
      </w:r>
      <w:hyperlink r:id="rId21" w:history="1">
        <w:r w:rsidR="000844AB" w:rsidRPr="000844AB">
          <w:rPr>
            <w:rFonts w:ascii="FrankRuehl" w:hAnsi="FrankRuehl" w:cs="FrankRuehl"/>
            <w:color w:val="0000FF"/>
            <w:spacing w:val="10"/>
            <w:sz w:val="28"/>
            <w:szCs w:val="28"/>
            <w:u w:val="single"/>
            <w:rtl/>
          </w:rPr>
          <w:t>ע"פ  135/17</w:t>
        </w:r>
      </w:hyperlink>
      <w:r w:rsidRPr="00A80225">
        <w:rPr>
          <w:rFonts w:ascii="FrankRuehl" w:hAnsi="FrankRuehl" w:cs="FrankRuehl"/>
          <w:spacing w:val="10"/>
          <w:sz w:val="28"/>
          <w:szCs w:val="28"/>
          <w:rtl/>
        </w:rPr>
        <w:t xml:space="preserve"> </w:t>
      </w:r>
      <w:r w:rsidRPr="00A80225">
        <w:rPr>
          <w:rFonts w:ascii="Miriam" w:hAnsi="Miriam" w:cs="Miriam"/>
          <w:spacing w:val="10"/>
          <w:rtl/>
        </w:rPr>
        <w:t>מדינת ישראל נגד בסל</w:t>
      </w:r>
      <w:r w:rsidRPr="00A80225">
        <w:rPr>
          <w:rFonts w:ascii="FrankRuehl" w:hAnsi="FrankRuehl" w:cs="FrankRuehl"/>
          <w:spacing w:val="10"/>
          <w:sz w:val="28"/>
          <w:szCs w:val="28"/>
          <w:rtl/>
        </w:rPr>
        <w:t xml:space="preserve"> (8.3.2018) אשר קובע כדלקמן:</w:t>
      </w:r>
    </w:p>
    <w:p w14:paraId="797B7F6C" w14:textId="77777777" w:rsidR="00065B2C" w:rsidRPr="00A80225" w:rsidRDefault="00065B2C" w:rsidP="00A80225">
      <w:pPr>
        <w:ind w:left="1080" w:right="709"/>
        <w:jc w:val="both"/>
        <w:rPr>
          <w:rFonts w:ascii="FrankRuehl" w:hAnsi="FrankRuehl" w:cs="FrankRuehl"/>
          <w:spacing w:val="10"/>
          <w:sz w:val="28"/>
          <w:szCs w:val="28"/>
          <w:rtl/>
        </w:rPr>
      </w:pPr>
      <w:r w:rsidRPr="00A80225">
        <w:rPr>
          <w:rFonts w:ascii="FrankRuehl" w:hAnsi="FrankRuehl" w:cs="FrankRuehl"/>
          <w:spacing w:val="10"/>
          <w:sz w:val="28"/>
          <w:szCs w:val="28"/>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w:t>
      </w:r>
    </w:p>
    <w:p w14:paraId="11D45357" w14:textId="77777777" w:rsidR="00065B2C" w:rsidRDefault="00065B2C" w:rsidP="005D3187">
      <w:pPr>
        <w:pStyle w:val="ruller41"/>
        <w:bidi/>
        <w:spacing w:after="0" w:line="360" w:lineRule="auto"/>
        <w:ind w:left="720"/>
        <w:contextualSpacing/>
        <w:jc w:val="both"/>
        <w:rPr>
          <w:rFonts w:ascii="Arial TUR" w:hAnsi="Arial TUR" w:cs="Arial TUR"/>
          <w:spacing w:val="10"/>
          <w:sz w:val="22"/>
          <w:szCs w:val="22"/>
          <w:rtl/>
        </w:rPr>
      </w:pPr>
      <w:r>
        <w:rPr>
          <w:rFonts w:ascii="Arial TUR" w:hAnsi="Arial TUR" w:cs="FrankRuehl"/>
          <w:spacing w:val="10"/>
          <w:sz w:val="28"/>
          <w:szCs w:val="28"/>
          <w:rtl/>
        </w:rPr>
        <w:t xml:space="preserve">בתקופה האחרונה אנחנו עדים לכך שעבירות הנשק הפכו ל"מכת מדינה" ועל כן על בית המשפט לתת את תרומתו ביתר שאת למיגור התופעה. בהקשר זה אפנה </w:t>
      </w:r>
      <w:bookmarkStart w:id="8" w:name="casename_body"/>
      <w:r>
        <w:rPr>
          <w:rFonts w:ascii="Arial TUR" w:hAnsi="Arial TUR" w:cs="FrankRuehl"/>
          <w:spacing w:val="10"/>
          <w:sz w:val="28"/>
          <w:szCs w:val="28"/>
          <w:rtl/>
        </w:rPr>
        <w:t>ל</w:t>
      </w:r>
      <w:hyperlink r:id="rId22" w:history="1">
        <w:bookmarkEnd w:id="8"/>
        <w:r w:rsidR="000844AB" w:rsidRPr="000844AB">
          <w:rPr>
            <w:rFonts w:ascii="Arial TUR" w:hAnsi="Arial TUR" w:cs="FrankRuehl"/>
            <w:color w:val="0000FF"/>
            <w:spacing w:val="10"/>
            <w:sz w:val="28"/>
            <w:szCs w:val="28"/>
            <w:u w:val="single"/>
            <w:rtl/>
          </w:rPr>
          <w:t>ע"פ  2564/19</w:t>
        </w:r>
      </w:hyperlink>
      <w:r>
        <w:rPr>
          <w:rFonts w:ascii="Arial TUR" w:hAnsi="Arial TUR" w:cs="FrankRuehl"/>
          <w:spacing w:val="10"/>
          <w:sz w:val="28"/>
          <w:szCs w:val="28"/>
          <w:rtl/>
        </w:rPr>
        <w:t xml:space="preserve"> </w:t>
      </w:r>
      <w:r>
        <w:rPr>
          <w:rFonts w:ascii="Miriam" w:hAnsi="Miriam" w:cs="Miriam"/>
          <w:spacing w:val="10"/>
          <w:rtl/>
        </w:rPr>
        <w:t>אזברגה נ' מדינת ישראל</w:t>
      </w:r>
      <w:r>
        <w:rPr>
          <w:rFonts w:ascii="Arial TUR" w:hAnsi="Arial TUR" w:cs="FrankRuehl"/>
          <w:spacing w:val="10"/>
          <w:sz w:val="28"/>
          <w:szCs w:val="28"/>
          <w:rtl/>
        </w:rPr>
        <w:t xml:space="preserve"> (18.7.2019) (להלן- עניין אזברגה) אשר קובע כדלקמן:</w:t>
      </w:r>
    </w:p>
    <w:p w14:paraId="198DE2E3" w14:textId="77777777" w:rsidR="00065B2C" w:rsidRDefault="00065B2C" w:rsidP="00F83D71">
      <w:pPr>
        <w:pStyle w:val="ruller41"/>
        <w:bidi/>
        <w:spacing w:after="0"/>
        <w:ind w:left="1440" w:right="709"/>
        <w:contextualSpacing/>
        <w:jc w:val="both"/>
        <w:rPr>
          <w:rFonts w:ascii="Arial TUR" w:hAnsi="Arial TUR" w:cs="FrankRuehl"/>
          <w:spacing w:val="10"/>
          <w:sz w:val="28"/>
          <w:szCs w:val="28"/>
          <w:rtl/>
        </w:rPr>
      </w:pPr>
      <w:r>
        <w:rPr>
          <w:rFonts w:ascii="Arial TUR" w:hAnsi="Arial TUR" w:cs="FrankRuehl"/>
          <w:spacing w:val="10"/>
          <w:sz w:val="28"/>
          <w:szCs w:val="28"/>
          <w:rtl/>
        </w:rPr>
        <w:t>"המערער הורשע על פי הודאתו בעבירה של נשיאת נשק. 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 היטיב לנסח זאת השופט א' רובינשטיין (כתוארו אז) ב-</w:t>
      </w:r>
      <w:hyperlink r:id="rId23" w:history="1">
        <w:r w:rsidR="000844AB" w:rsidRPr="000844AB">
          <w:rPr>
            <w:rFonts w:ascii="Arial TUR" w:hAnsi="Arial TUR" w:cs="FrankRuehl"/>
            <w:color w:val="0000FF"/>
            <w:spacing w:val="10"/>
            <w:sz w:val="28"/>
            <w:szCs w:val="28"/>
            <w:u w:val="single"/>
            <w:rtl/>
          </w:rPr>
          <w:t>ע"פ 5220/09</w:t>
        </w:r>
      </w:hyperlink>
      <w:r>
        <w:rPr>
          <w:rFonts w:ascii="Arial TUR" w:hAnsi="Arial TUR" w:cs="FrankRuehl"/>
          <w:spacing w:val="10"/>
          <w:sz w:val="28"/>
          <w:szCs w:val="28"/>
          <w:rtl/>
        </w:rPr>
        <w:t xml:space="preserve"> </w:t>
      </w:r>
      <w:r w:rsidRPr="005D3187">
        <w:rPr>
          <w:rFonts w:ascii="Miriam" w:hAnsi="Miriam" w:cs="Miriam"/>
          <w:spacing w:val="10"/>
          <w:rtl/>
        </w:rPr>
        <w:t>עוואודה נ' מדינת ישראל,</w:t>
      </w:r>
      <w:r>
        <w:rPr>
          <w:rFonts w:ascii="Arial TUR" w:hAnsi="Arial TUR" w:cs="FrankRuehl"/>
          <w:spacing w:val="10"/>
          <w:sz w:val="28"/>
          <w:szCs w:val="28"/>
          <w:rtl/>
        </w:rPr>
        <w:t xml:space="preserve"> בפסקה י (30.12.2009):"דרך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p>
    <w:p w14:paraId="7345CD5E" w14:textId="77777777" w:rsidR="00065B2C" w:rsidRDefault="00065B2C" w:rsidP="00A80225">
      <w:pPr>
        <w:spacing w:line="360" w:lineRule="auto"/>
        <w:ind w:right="709"/>
        <w:jc w:val="both"/>
        <w:rPr>
          <w:rFonts w:ascii="Arial TUR" w:hAnsi="Arial TUR" w:cs="FrankRuehl"/>
          <w:spacing w:val="10"/>
          <w:sz w:val="28"/>
          <w:szCs w:val="28"/>
          <w:rtl/>
        </w:rPr>
      </w:pPr>
    </w:p>
    <w:p w14:paraId="57E4841C" w14:textId="77777777" w:rsidR="00065B2C" w:rsidRPr="00A80225" w:rsidRDefault="00065B2C" w:rsidP="005D3187">
      <w:pPr>
        <w:spacing w:line="360" w:lineRule="auto"/>
        <w:ind w:left="651"/>
        <w:jc w:val="both"/>
        <w:rPr>
          <w:rFonts w:ascii="FrankRuehl" w:hAnsi="FrankRuehl" w:cs="FrankRuehl"/>
          <w:spacing w:val="10"/>
          <w:sz w:val="28"/>
          <w:szCs w:val="28"/>
          <w:rtl/>
        </w:rPr>
      </w:pPr>
      <w:r w:rsidRPr="00A80225">
        <w:rPr>
          <w:rFonts w:ascii="FrankRuehl" w:hAnsi="FrankRuehl" w:cs="FrankRuehl"/>
          <w:spacing w:val="10"/>
          <w:sz w:val="28"/>
          <w:szCs w:val="28"/>
          <w:rtl/>
        </w:rPr>
        <w:t xml:space="preserve">עוד ראו </w:t>
      </w:r>
      <w:hyperlink r:id="rId24" w:history="1">
        <w:r w:rsidR="000844AB" w:rsidRPr="000844AB">
          <w:rPr>
            <w:rFonts w:ascii="FrankRuehl" w:hAnsi="FrankRuehl" w:cs="FrankRuehl"/>
            <w:color w:val="0000FF"/>
            <w:spacing w:val="10"/>
            <w:sz w:val="28"/>
            <w:szCs w:val="28"/>
            <w:u w:val="single"/>
            <w:rtl/>
          </w:rPr>
          <w:t>ע"פ  3877/16</w:t>
        </w:r>
      </w:hyperlink>
      <w:r w:rsidRPr="00A80225">
        <w:rPr>
          <w:rFonts w:ascii="FrankRuehl" w:hAnsi="FrankRuehl" w:cs="FrankRuehl"/>
          <w:spacing w:val="10"/>
          <w:sz w:val="28"/>
          <w:szCs w:val="28"/>
          <w:rtl/>
        </w:rPr>
        <w:t xml:space="preserve"> </w:t>
      </w:r>
      <w:r w:rsidRPr="00A80225">
        <w:rPr>
          <w:rFonts w:ascii="Miriam" w:hAnsi="Miriam" w:cs="Miriam"/>
          <w:spacing w:val="10"/>
          <w:rtl/>
        </w:rPr>
        <w:t>ג'באלי נ</w:t>
      </w:r>
      <w:r>
        <w:rPr>
          <w:rFonts w:ascii="Miriam" w:hAnsi="Miriam" w:cs="Miriam"/>
          <w:spacing w:val="10"/>
          <w:rtl/>
        </w:rPr>
        <w:t>גד</w:t>
      </w:r>
      <w:r w:rsidRPr="00A80225">
        <w:rPr>
          <w:rFonts w:ascii="Miriam" w:hAnsi="Miriam" w:cs="Miriam"/>
          <w:spacing w:val="10"/>
          <w:rtl/>
        </w:rPr>
        <w:t xml:space="preserve"> מדינת ישראל</w:t>
      </w:r>
      <w:r w:rsidRPr="00A80225">
        <w:rPr>
          <w:rFonts w:ascii="FrankRuehl" w:hAnsi="FrankRuehl" w:cs="FrankRuehl"/>
          <w:spacing w:val="10"/>
          <w:sz w:val="28"/>
          <w:szCs w:val="28"/>
          <w:rtl/>
        </w:rPr>
        <w:t xml:space="preserve"> (17.11.2016) (להלן- עניין ג'באלי) אשר קבע לעניין עבירת החזקת נשק ונשיאתו כדלקמן:</w:t>
      </w:r>
    </w:p>
    <w:p w14:paraId="74AD14D7" w14:textId="77777777" w:rsidR="00065B2C" w:rsidRPr="00A80225" w:rsidRDefault="00065B2C" w:rsidP="00A80225">
      <w:pPr>
        <w:ind w:left="1080" w:right="851"/>
        <w:jc w:val="both"/>
        <w:rPr>
          <w:rFonts w:ascii="FrankRuehl" w:hAnsi="FrankRuehl" w:cs="FrankRuehl"/>
          <w:spacing w:val="10"/>
          <w:sz w:val="28"/>
          <w:szCs w:val="28"/>
          <w:rtl/>
        </w:rPr>
      </w:pPr>
      <w:r w:rsidRPr="00A80225">
        <w:rPr>
          <w:rFonts w:ascii="FrankRuehl" w:hAnsi="FrankRuehl" w:cs="FrankRuehl"/>
          <w:spacing w:val="10"/>
          <w:sz w:val="28"/>
          <w:szCs w:val="28"/>
          <w:rtl/>
        </w:rPr>
        <w:t>"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p>
    <w:p w14:paraId="2F0560CF" w14:textId="77777777" w:rsidR="00065B2C" w:rsidRPr="00A80225" w:rsidRDefault="00065B2C" w:rsidP="00A80225">
      <w:pPr>
        <w:spacing w:line="360" w:lineRule="auto"/>
        <w:ind w:left="1080" w:right="851"/>
        <w:jc w:val="both"/>
        <w:rPr>
          <w:rFonts w:ascii="FrankRuehl" w:hAnsi="FrankRuehl" w:cs="FrankRuehl"/>
          <w:spacing w:val="10"/>
          <w:sz w:val="28"/>
          <w:szCs w:val="28"/>
          <w:rtl/>
        </w:rPr>
      </w:pPr>
    </w:p>
    <w:p w14:paraId="7C5FC3D5" w14:textId="77777777" w:rsidR="00065B2C" w:rsidRDefault="00065B2C" w:rsidP="00A80225">
      <w:pPr>
        <w:pStyle w:val="Ruller40"/>
        <w:ind w:left="720"/>
        <w:rPr>
          <w:rtl/>
        </w:rPr>
      </w:pPr>
      <w:r>
        <w:rPr>
          <w:rFonts w:ascii="Garamond" w:hAnsi="Garamond" w:hint="eastAsia"/>
          <w:sz w:val="24"/>
          <w:rtl/>
        </w:rPr>
        <w:t>ראו</w:t>
      </w:r>
      <w:r>
        <w:rPr>
          <w:rFonts w:ascii="Garamond" w:hAnsi="Garamond"/>
          <w:sz w:val="24"/>
          <w:rtl/>
        </w:rPr>
        <w:t xml:space="preserve"> </w:t>
      </w:r>
      <w:r>
        <w:rPr>
          <w:rFonts w:ascii="Garamond" w:hAnsi="Garamond" w:hint="eastAsia"/>
          <w:sz w:val="24"/>
          <w:rtl/>
        </w:rPr>
        <w:t>גם</w:t>
      </w:r>
      <w:r>
        <w:rPr>
          <w:rFonts w:ascii="Garamond" w:hAnsi="Garamond"/>
          <w:sz w:val="24"/>
          <w:rtl/>
        </w:rPr>
        <w:t xml:space="preserve"> </w:t>
      </w:r>
      <w:r>
        <w:rPr>
          <w:rFonts w:ascii="Garamond" w:hAnsi="Garamond" w:hint="eastAsia"/>
          <w:sz w:val="24"/>
          <w:rtl/>
        </w:rPr>
        <w:t>לעניין</w:t>
      </w:r>
      <w:r>
        <w:rPr>
          <w:rFonts w:ascii="Garamond" w:hAnsi="Garamond"/>
          <w:sz w:val="24"/>
          <w:rtl/>
        </w:rPr>
        <w:t xml:space="preserve"> </w:t>
      </w:r>
      <w:r>
        <w:rPr>
          <w:rFonts w:ascii="Garamond" w:hAnsi="Garamond" w:hint="eastAsia"/>
          <w:sz w:val="24"/>
          <w:rtl/>
        </w:rPr>
        <w:t>מדיניות</w:t>
      </w:r>
      <w:r>
        <w:rPr>
          <w:rFonts w:ascii="Garamond" w:hAnsi="Garamond"/>
          <w:sz w:val="24"/>
          <w:rtl/>
        </w:rPr>
        <w:t xml:space="preserve"> </w:t>
      </w:r>
      <w:r>
        <w:rPr>
          <w:rFonts w:ascii="Garamond" w:hAnsi="Garamond" w:hint="eastAsia"/>
          <w:sz w:val="24"/>
          <w:rtl/>
        </w:rPr>
        <w:t>הענישה</w:t>
      </w:r>
      <w:r>
        <w:rPr>
          <w:rFonts w:ascii="Garamond" w:hAnsi="Garamond"/>
          <w:sz w:val="24"/>
          <w:rtl/>
        </w:rPr>
        <w:t xml:space="preserve">, </w:t>
      </w:r>
      <w:hyperlink r:id="rId25" w:history="1">
        <w:r w:rsidR="000844AB" w:rsidRPr="000844AB">
          <w:rPr>
            <w:rFonts w:ascii="Garamond" w:hAnsi="Garamond" w:hint="eastAsia"/>
            <w:color w:val="0000FF"/>
            <w:sz w:val="24"/>
            <w:u w:val="single"/>
            <w:rtl/>
          </w:rPr>
          <w:t>ע</w:t>
        </w:r>
        <w:r w:rsidR="000844AB" w:rsidRPr="000844AB">
          <w:rPr>
            <w:rFonts w:ascii="Garamond" w:hAnsi="Garamond"/>
            <w:color w:val="0000FF"/>
            <w:sz w:val="24"/>
            <w:u w:val="single"/>
            <w:rtl/>
          </w:rPr>
          <w:t>"</w:t>
        </w:r>
        <w:r w:rsidR="000844AB" w:rsidRPr="000844AB">
          <w:rPr>
            <w:rFonts w:ascii="Garamond" w:hAnsi="Garamond" w:hint="eastAsia"/>
            <w:color w:val="0000FF"/>
            <w:sz w:val="24"/>
            <w:u w:val="single"/>
            <w:rtl/>
          </w:rPr>
          <w:t>פ</w:t>
        </w:r>
        <w:r w:rsidR="000844AB" w:rsidRPr="000844AB">
          <w:rPr>
            <w:rFonts w:ascii="Garamond" w:hAnsi="Garamond"/>
            <w:color w:val="0000FF"/>
            <w:sz w:val="24"/>
            <w:u w:val="single"/>
            <w:rtl/>
          </w:rPr>
          <w:t xml:space="preserve">  9830/17</w:t>
        </w:r>
      </w:hyperlink>
      <w:r>
        <w:rPr>
          <w:rFonts w:ascii="Garamond" w:hAnsi="Garamond"/>
          <w:sz w:val="24"/>
          <w:rtl/>
        </w:rPr>
        <w:t xml:space="preserve"> </w:t>
      </w:r>
      <w:r>
        <w:rPr>
          <w:rFonts w:ascii="Miriam" w:hAnsi="Miriam" w:cs="Miriam"/>
          <w:spacing w:val="0"/>
          <w:sz w:val="24"/>
          <w:szCs w:val="24"/>
          <w:rtl/>
        </w:rPr>
        <w:t>חמודה נ' מדינת ישראל</w:t>
      </w:r>
      <w:r>
        <w:rPr>
          <w:rFonts w:ascii="Garamond" w:hAnsi="Garamond"/>
          <w:sz w:val="24"/>
          <w:rtl/>
        </w:rPr>
        <w:t xml:space="preserve"> (8.3.2018). </w:t>
      </w:r>
    </w:p>
    <w:p w14:paraId="00E8AC08" w14:textId="77777777" w:rsidR="00065B2C" w:rsidRDefault="00065B2C" w:rsidP="00A80225">
      <w:pPr>
        <w:spacing w:line="360" w:lineRule="auto"/>
        <w:ind w:right="851"/>
        <w:jc w:val="both"/>
        <w:rPr>
          <w:rFonts w:ascii="Arial TUR" w:hAnsi="Arial TUR"/>
          <w:spacing w:val="10"/>
          <w:sz w:val="28"/>
          <w:rtl/>
        </w:rPr>
      </w:pPr>
    </w:p>
    <w:p w14:paraId="791C66E0" w14:textId="77777777" w:rsidR="00065B2C" w:rsidRDefault="00065B2C" w:rsidP="005D3187">
      <w:pPr>
        <w:pStyle w:val="ab"/>
        <w:numPr>
          <w:ilvl w:val="0"/>
          <w:numId w:val="3"/>
        </w:numPr>
        <w:spacing w:line="360" w:lineRule="auto"/>
        <w:jc w:val="both"/>
        <w:rPr>
          <w:rFonts w:ascii="FrankRuehl" w:hAnsi="FrankRuehl"/>
          <w:sz w:val="28"/>
          <w:rtl/>
        </w:rPr>
      </w:pPr>
      <w:r>
        <w:rPr>
          <w:rFonts w:ascii="FrankRuehl" w:hAnsi="FrankRuehl"/>
          <w:sz w:val="28"/>
          <w:rtl/>
        </w:rPr>
        <w:t>ב"כ הצדדים הפנו למספר  פסקי דין לתמיכה בטיעוניהם. חלק מפסקי הדין אינם של בית המשפט העליון וחלקם אינם מתאימים לנסיבותיו של תיק זה. אתייחס רק לפסיקה הרלבנטית.</w:t>
      </w:r>
    </w:p>
    <w:p w14:paraId="51A39384" w14:textId="77777777" w:rsidR="00065B2C" w:rsidRDefault="00065B2C" w:rsidP="00A80225">
      <w:pPr>
        <w:pStyle w:val="ab"/>
        <w:spacing w:line="360" w:lineRule="auto"/>
        <w:jc w:val="both"/>
        <w:rPr>
          <w:rFonts w:ascii="FrankRuehl" w:hAnsi="FrankRuehl"/>
          <w:sz w:val="28"/>
        </w:rPr>
      </w:pPr>
    </w:p>
    <w:p w14:paraId="0B5F02CD" w14:textId="77777777" w:rsidR="00065B2C" w:rsidRPr="0004104C" w:rsidRDefault="00065B2C" w:rsidP="00A80225">
      <w:pPr>
        <w:spacing w:line="360" w:lineRule="auto"/>
        <w:ind w:left="720"/>
        <w:jc w:val="both"/>
        <w:rPr>
          <w:rFonts w:ascii="FrankRuehl" w:hAnsi="FrankRuehl" w:cs="FrankRuehl"/>
          <w:sz w:val="28"/>
          <w:szCs w:val="28"/>
          <w:rtl/>
        </w:rPr>
      </w:pPr>
      <w:r w:rsidRPr="0004104C">
        <w:rPr>
          <w:rFonts w:ascii="FrankRuehl" w:hAnsi="FrankRuehl" w:cs="FrankRuehl"/>
          <w:sz w:val="28"/>
          <w:szCs w:val="28"/>
          <w:rtl/>
        </w:rPr>
        <w:t>ב"כ המאשימה הפנה ל</w:t>
      </w:r>
      <w:hyperlink r:id="rId26" w:history="1">
        <w:r w:rsidR="000844AB" w:rsidRPr="000844AB">
          <w:rPr>
            <w:rFonts w:ascii="FrankRuehl" w:hAnsi="FrankRuehl" w:cs="FrankRuehl"/>
            <w:color w:val="0000FF"/>
            <w:sz w:val="28"/>
            <w:szCs w:val="28"/>
            <w:u w:val="single"/>
            <w:rtl/>
          </w:rPr>
          <w:t>ע"פ  3156/11</w:t>
        </w:r>
      </w:hyperlink>
      <w:r w:rsidRPr="0004104C">
        <w:rPr>
          <w:rFonts w:ascii="FrankRuehl" w:hAnsi="FrankRuehl" w:cs="FrankRuehl"/>
          <w:sz w:val="28"/>
          <w:szCs w:val="28"/>
          <w:rtl/>
        </w:rPr>
        <w:t xml:space="preserve"> </w:t>
      </w:r>
      <w:r w:rsidRPr="0004104C">
        <w:rPr>
          <w:rFonts w:ascii="Miriam" w:hAnsi="Miriam" w:cs="Miriam"/>
          <w:rtl/>
        </w:rPr>
        <w:t>זראי</w:t>
      </w:r>
      <w:r w:rsidRPr="0004104C">
        <w:rPr>
          <w:rFonts w:ascii="Miriam" w:hAnsi="Miriam" w:cs="Miriam"/>
          <w:spacing w:val="10"/>
          <w:rtl/>
        </w:rPr>
        <w:t>עה נ' מדינת ישראל</w:t>
      </w:r>
      <w:r w:rsidRPr="0004104C">
        <w:rPr>
          <w:rFonts w:ascii="FrankRuehl" w:hAnsi="FrankRuehl" w:cs="FrankRuehl"/>
          <w:sz w:val="28"/>
          <w:szCs w:val="28"/>
          <w:rtl/>
        </w:rPr>
        <w:t xml:space="preserve"> (21.2.2012), בו המערער הורשע על פי הודאתו בעבירות של נשיאת והובלת נשק, והסתייעות ברכב לביצוע פשע, כאשר בעת חיפוש שגרתי של המשטרה ברכבו נתפסו אקדח, מחסנית טעונה בכדורי אקדח וקופסאות עם כדורי אקדח. בית המשפט המחוזי השית עליו עונש של 24 חודשי מאסר בפועל, ערעורו של הנאשם לבית המשפט העליון נדחה. לנאשם לא היה עבר פלילי.</w:t>
      </w:r>
    </w:p>
    <w:p w14:paraId="56FB2FC3" w14:textId="77777777" w:rsidR="00065B2C" w:rsidRPr="0004104C" w:rsidRDefault="00065B2C" w:rsidP="00A80225">
      <w:pPr>
        <w:spacing w:line="360" w:lineRule="auto"/>
        <w:ind w:left="720"/>
        <w:jc w:val="both"/>
        <w:rPr>
          <w:rFonts w:ascii="FrankRuehl" w:hAnsi="FrankRuehl" w:cs="FrankRuehl"/>
          <w:sz w:val="28"/>
          <w:szCs w:val="28"/>
          <w:rtl/>
        </w:rPr>
      </w:pPr>
    </w:p>
    <w:p w14:paraId="7D643C01" w14:textId="77777777" w:rsidR="00065B2C" w:rsidRPr="0004104C" w:rsidRDefault="00065B2C" w:rsidP="00A80225">
      <w:pPr>
        <w:spacing w:line="360" w:lineRule="auto"/>
        <w:ind w:left="720"/>
        <w:jc w:val="both"/>
        <w:rPr>
          <w:rFonts w:ascii="FrankRuehl" w:hAnsi="FrankRuehl" w:cs="FrankRuehl"/>
          <w:sz w:val="28"/>
          <w:szCs w:val="28"/>
          <w:rtl/>
        </w:rPr>
      </w:pPr>
      <w:r w:rsidRPr="0004104C">
        <w:rPr>
          <w:rFonts w:ascii="FrankRuehl" w:hAnsi="FrankRuehl" w:cs="FrankRuehl"/>
          <w:sz w:val="28"/>
          <w:szCs w:val="28"/>
          <w:rtl/>
        </w:rPr>
        <w:t>עוד הפנה ל</w:t>
      </w:r>
      <w:hyperlink r:id="rId27" w:history="1">
        <w:r w:rsidR="000844AB" w:rsidRPr="000844AB">
          <w:rPr>
            <w:rFonts w:ascii="FrankRuehl" w:hAnsi="FrankRuehl" w:cs="FrankRuehl"/>
            <w:color w:val="0000FF"/>
            <w:sz w:val="28"/>
            <w:szCs w:val="28"/>
            <w:u w:val="single"/>
            <w:rtl/>
          </w:rPr>
          <w:t>ע"פ 2839/05</w:t>
        </w:r>
      </w:hyperlink>
      <w:r w:rsidRPr="0004104C">
        <w:rPr>
          <w:rFonts w:ascii="FrankRuehl" w:hAnsi="FrankRuehl" w:cs="FrankRuehl"/>
          <w:sz w:val="28"/>
          <w:szCs w:val="28"/>
          <w:rtl/>
        </w:rPr>
        <w:t xml:space="preserve"> </w:t>
      </w:r>
      <w:r w:rsidRPr="0004104C">
        <w:rPr>
          <w:rFonts w:ascii="Miriam" w:hAnsi="Miriam" w:cs="Miriam"/>
          <w:spacing w:val="10"/>
          <w:rtl/>
        </w:rPr>
        <w:t>עבד אל קאדר נ' מדינת ישראל</w:t>
      </w:r>
      <w:r w:rsidRPr="0004104C">
        <w:rPr>
          <w:rFonts w:ascii="FrankRuehl" w:hAnsi="FrankRuehl" w:cs="FrankRuehl"/>
          <w:sz w:val="28"/>
          <w:szCs w:val="28"/>
          <w:rtl/>
        </w:rPr>
        <w:t xml:space="preserve"> (17.11.2005), , בו הורשע המערער בעבירה של נשיאת נשק, בכך שבעת שישב במושב האחורי ברכב הוא השליך מידו אקדח בו הייתה מחסנית עם 13 כדורים. בית המשפט המחוזי השית על הנאשם </w:t>
      </w:r>
      <w:r>
        <w:rPr>
          <w:rFonts w:ascii="FrankRuehl" w:hAnsi="FrankRuehl" w:cs="FrankRuehl"/>
          <w:sz w:val="28"/>
          <w:szCs w:val="28"/>
          <w:rtl/>
        </w:rPr>
        <w:t xml:space="preserve">        </w:t>
      </w:r>
      <w:r w:rsidRPr="0004104C">
        <w:rPr>
          <w:rFonts w:ascii="FrankRuehl" w:hAnsi="FrankRuehl" w:cs="FrankRuehl"/>
          <w:sz w:val="28"/>
          <w:szCs w:val="28"/>
          <w:rtl/>
        </w:rPr>
        <w:t xml:space="preserve">    36 חודשי מאסר בפועל, ערעורו לבית המשפט העליון נדחה.</w:t>
      </w:r>
    </w:p>
    <w:p w14:paraId="095EEF59" w14:textId="77777777" w:rsidR="00065B2C" w:rsidRPr="0004104C" w:rsidRDefault="00065B2C" w:rsidP="00A80225">
      <w:pPr>
        <w:spacing w:line="360" w:lineRule="auto"/>
        <w:ind w:left="720"/>
        <w:jc w:val="both"/>
        <w:rPr>
          <w:rFonts w:ascii="FrankRuehl" w:hAnsi="FrankRuehl" w:cs="FrankRuehl"/>
          <w:sz w:val="28"/>
          <w:szCs w:val="28"/>
          <w:rtl/>
        </w:rPr>
      </w:pPr>
    </w:p>
    <w:p w14:paraId="1A10DBE9" w14:textId="77777777" w:rsidR="00065B2C" w:rsidRDefault="00065B2C" w:rsidP="005D3187">
      <w:pPr>
        <w:pStyle w:val="ab"/>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jc w:val="both"/>
        <w:rPr>
          <w:rFonts w:ascii="FrankRuehl" w:hAnsi="FrankRuehl"/>
          <w:sz w:val="28"/>
          <w:rtl/>
          <w:lang w:eastAsia="he-IL"/>
        </w:rPr>
      </w:pPr>
      <w:r w:rsidRPr="0004104C">
        <w:rPr>
          <w:rFonts w:ascii="FrankRuehl" w:hAnsi="FrankRuehl"/>
          <w:sz w:val="28"/>
          <w:rtl/>
        </w:rPr>
        <w:t xml:space="preserve">הסניגור הפנה </w:t>
      </w:r>
      <w:r w:rsidRPr="0004104C">
        <w:rPr>
          <w:rFonts w:ascii="FrankRuehl" w:hAnsi="FrankRuehl"/>
          <w:sz w:val="28"/>
          <w:rtl/>
          <w:lang w:eastAsia="he-IL"/>
        </w:rPr>
        <w:t>ל</w:t>
      </w:r>
      <w:hyperlink r:id="rId28" w:history="1">
        <w:r w:rsidR="000844AB" w:rsidRPr="000844AB">
          <w:rPr>
            <w:rFonts w:ascii="FrankRuehl" w:hAnsi="FrankRuehl"/>
            <w:color w:val="0000FF"/>
            <w:sz w:val="28"/>
            <w:u w:val="single"/>
            <w:rtl/>
            <w:lang w:eastAsia="he-IL"/>
          </w:rPr>
          <w:t>ע"פ 4945/13</w:t>
        </w:r>
      </w:hyperlink>
      <w:r w:rsidRPr="0004104C">
        <w:rPr>
          <w:rFonts w:ascii="FrankRuehl" w:hAnsi="FrankRuehl"/>
          <w:sz w:val="28"/>
          <w:rtl/>
          <w:lang w:eastAsia="he-IL"/>
        </w:rPr>
        <w:t xml:space="preserve"> </w:t>
      </w:r>
      <w:r w:rsidRPr="0004104C">
        <w:rPr>
          <w:rFonts w:ascii="Miriam" w:hAnsi="Miriam" w:cs="Miriam"/>
          <w:szCs w:val="24"/>
          <w:rtl/>
          <w:lang w:eastAsia="he-IL"/>
        </w:rPr>
        <w:t>מדינת ישראל נ' סלימאן</w:t>
      </w:r>
      <w:r w:rsidRPr="0004104C">
        <w:rPr>
          <w:rFonts w:ascii="FrankRuehl" w:hAnsi="FrankRuehl"/>
          <w:sz w:val="28"/>
          <w:rtl/>
          <w:lang w:eastAsia="he-IL"/>
        </w:rPr>
        <w:t xml:space="preserve"> (19.1.2014), בו הגישה המדינה</w:t>
      </w:r>
      <w:r>
        <w:rPr>
          <w:rFonts w:ascii="FrankRuehl" w:hAnsi="FrankRuehl"/>
          <w:sz w:val="28"/>
          <w:rtl/>
          <w:lang w:eastAsia="he-IL"/>
        </w:rPr>
        <w:t xml:space="preserve"> ערעור על קולת עונשו של משיב בן 20 אשר הורשע בעבירה של רכישה והחזקה של נשק ותחמושת, נשיאה והובלת נשק ותחמושת, הפרעה לשוטר במילוי תפקידו, מעשה פזיזות ורשלנות והסתייעות ברכב לביצוע פשע. תסקיר שירות המבחן היה חיובי, הומלץ להטיל עליו צו מבחן לשנתיים, לשלבו בקבוצות טיפוליות ולהטיל עליו בנוסף עבודות שירות. נמצא כי הסיבה לרכישת הנשק הייתה חשש לביטחונו. בית משפט המחוזי קבע מתחם שנע בין מאסר שירוצה בעבודות שירות ל- 20 חודשי מאסר בפועל, נגזר על המבקש עונש של 6 חודשים לביצוע בעבודות שירות, מאסר על תנאי וקנס בסך 2,000 ₪. בית משפט העליון אומנם דחה את הערעור בנסיבות המיוחדות של אותו תיק (כאשר אחד משופטי ההרכב הגדיר זאת כ: "</w:t>
      </w:r>
      <w:r>
        <w:rPr>
          <w:rtl/>
        </w:rPr>
        <w:t xml:space="preserve"> </w:t>
      </w:r>
      <w:r>
        <w:rPr>
          <w:rFonts w:ascii="Miriam" w:hAnsi="Miriam" w:cs="Miriam"/>
          <w:szCs w:val="24"/>
          <w:rtl/>
        </w:rPr>
        <w:t>המשיב נמלט לטעמי מן המאסר אך בעור שיניו</w:t>
      </w:r>
      <w:r>
        <w:rPr>
          <w:rFonts w:ascii="FrankRuehl" w:hAnsi="FrankRuehl"/>
          <w:sz w:val="28"/>
          <w:rtl/>
          <w:lang w:eastAsia="he-IL"/>
        </w:rPr>
        <w:t>..."), אולם קבע כדלקמן:</w:t>
      </w:r>
    </w:p>
    <w:p w14:paraId="13D1446D" w14:textId="77777777" w:rsidR="00065B2C" w:rsidRDefault="00065B2C" w:rsidP="005D3187">
      <w:pPr>
        <w:pStyle w:val="Ruller40"/>
        <w:spacing w:line="240" w:lineRule="auto"/>
        <w:ind w:left="1502" w:right="709"/>
        <w:rPr>
          <w:rtl/>
        </w:rPr>
      </w:pPr>
      <w:r>
        <w:rPr>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5E3AC7B6" w14:textId="77777777" w:rsidR="00065B2C" w:rsidRDefault="00065B2C" w:rsidP="00A80225">
      <w:pPr>
        <w:pStyle w:val="Ruller40"/>
        <w:ind w:left="793" w:right="142"/>
        <w:rPr>
          <w:rtl/>
        </w:rPr>
      </w:pPr>
    </w:p>
    <w:p w14:paraId="100C8137" w14:textId="77777777" w:rsidR="00065B2C" w:rsidRDefault="00065B2C" w:rsidP="000A4B24">
      <w:pPr>
        <w:pStyle w:val="Ruller40"/>
        <w:ind w:left="793" w:right="142"/>
        <w:rPr>
          <w:rtl/>
        </w:rPr>
      </w:pPr>
      <w:r>
        <w:rPr>
          <w:rtl/>
        </w:rPr>
        <w:t xml:space="preserve">בהמשך פסק הדין קבע בית המשפט העליון מתחם ענישה הולם שנע בין                12  ל-36 חודשי מאסר בפועל ומאחר למשיב היה "פוטנציאל שיקום גבוה" הוא בחר לחרוג ממתחם הענישה ולהסתפק בעונש של מאסר בעבודות שירות.  </w:t>
      </w:r>
    </w:p>
    <w:p w14:paraId="4AC5C444" w14:textId="77777777" w:rsidR="00065B2C" w:rsidRDefault="00065B2C" w:rsidP="00A80225">
      <w:pPr>
        <w:pStyle w:val="Ruller40"/>
        <w:ind w:left="793" w:right="142"/>
        <w:rPr>
          <w:rtl/>
        </w:rPr>
      </w:pPr>
    </w:p>
    <w:p w14:paraId="200741C4" w14:textId="77777777" w:rsidR="00065B2C" w:rsidRPr="0004104C" w:rsidRDefault="00065B2C" w:rsidP="00A80225">
      <w:pPr>
        <w:spacing w:line="360" w:lineRule="auto"/>
        <w:ind w:left="720"/>
        <w:jc w:val="both"/>
        <w:rPr>
          <w:rFonts w:ascii="FrankRuehl" w:hAnsi="FrankRuehl" w:cs="FrankRuehl"/>
          <w:sz w:val="28"/>
          <w:szCs w:val="28"/>
          <w:rtl/>
        </w:rPr>
      </w:pPr>
      <w:r w:rsidRPr="0004104C">
        <w:rPr>
          <w:rFonts w:ascii="FrankRuehl" w:hAnsi="FrankRuehl" w:cs="FrankRuehl"/>
          <w:spacing w:val="10"/>
          <w:sz w:val="28"/>
          <w:szCs w:val="28"/>
          <w:rtl/>
        </w:rPr>
        <w:t>ב</w:t>
      </w:r>
      <w:hyperlink r:id="rId29" w:history="1">
        <w:r w:rsidR="000844AB" w:rsidRPr="000844AB">
          <w:rPr>
            <w:rFonts w:ascii="FrankRuehl" w:hAnsi="FrankRuehl" w:cs="FrankRuehl"/>
            <w:color w:val="0000FF"/>
            <w:spacing w:val="10"/>
            <w:sz w:val="28"/>
            <w:szCs w:val="28"/>
            <w:u w:val="single"/>
            <w:rtl/>
          </w:rPr>
          <w:t>ע"פ 9373/10</w:t>
        </w:r>
      </w:hyperlink>
      <w:r w:rsidRPr="0004104C">
        <w:rPr>
          <w:rFonts w:ascii="FrankRuehl" w:hAnsi="FrankRuehl" w:cs="FrankRuehl"/>
          <w:spacing w:val="10"/>
          <w:sz w:val="28"/>
          <w:szCs w:val="28"/>
          <w:rtl/>
        </w:rPr>
        <w:t xml:space="preserve"> </w:t>
      </w:r>
      <w:r w:rsidRPr="0004104C">
        <w:rPr>
          <w:rFonts w:ascii="Miriam" w:hAnsi="Miriam" w:cs="Miriam"/>
          <w:spacing w:val="10"/>
          <w:rtl/>
        </w:rPr>
        <w:t>ותד נ' מדינת ישראל</w:t>
      </w:r>
      <w:r w:rsidRPr="0004104C">
        <w:rPr>
          <w:rFonts w:ascii="FrankRuehl" w:hAnsi="FrankRuehl" w:cs="FrankRuehl"/>
          <w:spacing w:val="10"/>
          <w:sz w:val="28"/>
          <w:szCs w:val="28"/>
          <w:rtl/>
        </w:rPr>
        <w:t xml:space="preserve"> (14.9.2011), המערער הורשע על יסוד הודאתו בעבירה של החזקה ונשיאה של נשק באופן בו אקדח ומחסנית בה היו 9 כדורים נמצאו מתחת למזרן בביתו ו-63 כדורים נוספים נמצאו מוטמנים בחצר. המערער נידון בבית המשפט המחוזי ל-50 חודשי מאסר בפועל, בית משפט העליון הפחית את עונשו והעמידו על 30 חודשי מאסר בפועל.</w:t>
      </w:r>
    </w:p>
    <w:p w14:paraId="5172C69B" w14:textId="77777777" w:rsidR="00065B2C" w:rsidRPr="0004104C" w:rsidRDefault="00065B2C" w:rsidP="00A80225">
      <w:pPr>
        <w:spacing w:line="360" w:lineRule="auto"/>
        <w:ind w:left="720"/>
        <w:jc w:val="both"/>
        <w:rPr>
          <w:rFonts w:ascii="FrankRuehl" w:hAnsi="FrankRuehl" w:cs="FrankRuehl"/>
          <w:sz w:val="28"/>
          <w:szCs w:val="28"/>
          <w:rtl/>
        </w:rPr>
      </w:pPr>
    </w:p>
    <w:p w14:paraId="3B3A104F" w14:textId="77777777" w:rsidR="00065B2C" w:rsidRDefault="00065B2C" w:rsidP="001F167B">
      <w:pPr>
        <w:spacing w:line="360" w:lineRule="auto"/>
        <w:ind w:left="720"/>
        <w:jc w:val="both"/>
        <w:rPr>
          <w:rFonts w:ascii="FrankRuehl" w:hAnsi="FrankRuehl" w:cs="FrankRuehl"/>
          <w:sz w:val="28"/>
          <w:szCs w:val="28"/>
          <w:rtl/>
        </w:rPr>
      </w:pPr>
      <w:r w:rsidRPr="0004104C">
        <w:rPr>
          <w:rFonts w:ascii="FrankRuehl" w:hAnsi="FrankRuehl" w:cs="FrankRuehl"/>
          <w:sz w:val="28"/>
          <w:szCs w:val="28"/>
          <w:rtl/>
        </w:rPr>
        <w:t>ב</w:t>
      </w:r>
      <w:hyperlink r:id="rId30" w:history="1">
        <w:r w:rsidR="000844AB" w:rsidRPr="000844AB">
          <w:rPr>
            <w:rFonts w:ascii="FrankRuehl" w:hAnsi="FrankRuehl" w:cs="FrankRuehl"/>
            <w:color w:val="0000FF"/>
            <w:sz w:val="28"/>
            <w:szCs w:val="28"/>
            <w:u w:val="single"/>
            <w:rtl/>
          </w:rPr>
          <w:t>ע"פ 4982/15</w:t>
        </w:r>
      </w:hyperlink>
      <w:r w:rsidRPr="0004104C">
        <w:rPr>
          <w:rFonts w:ascii="FrankRuehl" w:hAnsi="FrankRuehl" w:cs="FrankRuehl"/>
          <w:sz w:val="28"/>
          <w:szCs w:val="28"/>
          <w:rtl/>
        </w:rPr>
        <w:t xml:space="preserve"> </w:t>
      </w:r>
      <w:r w:rsidRPr="0004104C">
        <w:rPr>
          <w:rFonts w:ascii="Miriam" w:hAnsi="Miriam" w:cs="Miriam"/>
          <w:rtl/>
        </w:rPr>
        <w:t>שחיטה נגד מדינת ישראל</w:t>
      </w:r>
      <w:r w:rsidRPr="0004104C">
        <w:rPr>
          <w:rFonts w:ascii="FrankRuehl" w:hAnsi="FrankRuehl" w:cs="FrankRuehl"/>
          <w:sz w:val="28"/>
          <w:szCs w:val="28"/>
          <w:rtl/>
        </w:rPr>
        <w:t xml:space="preserve"> (3.9.2015), נדון ענינו של נאשם שהורשע בנשיאה של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3D908509" w14:textId="77777777" w:rsidR="00065B2C" w:rsidRPr="001F167B" w:rsidRDefault="00065B2C" w:rsidP="001F167B">
      <w:pPr>
        <w:spacing w:line="360" w:lineRule="auto"/>
        <w:ind w:left="720"/>
        <w:jc w:val="both"/>
        <w:rPr>
          <w:rFonts w:ascii="FrankRuehl" w:hAnsi="FrankRuehl" w:cs="FrankRuehl"/>
          <w:sz w:val="28"/>
          <w:szCs w:val="28"/>
          <w:rtl/>
        </w:rPr>
      </w:pPr>
    </w:p>
    <w:p w14:paraId="6C4C780B" w14:textId="77777777" w:rsidR="00065B2C" w:rsidRDefault="00065B2C" w:rsidP="00971D85">
      <w:pPr>
        <w:pStyle w:val="ab"/>
        <w:numPr>
          <w:ilvl w:val="0"/>
          <w:numId w:val="3"/>
        </w:numPr>
        <w:spacing w:line="360" w:lineRule="auto"/>
        <w:jc w:val="both"/>
        <w:rPr>
          <w:rFonts w:ascii="FrankRuehl" w:hAnsi="FrankRuehl"/>
          <w:sz w:val="28"/>
          <w:rtl/>
        </w:rPr>
      </w:pPr>
      <w:r>
        <w:rPr>
          <w:rtl/>
        </w:rPr>
        <w:t>אשר לנסיבות הקשורות בביצוע העבירה (</w:t>
      </w:r>
      <w:hyperlink r:id="rId31" w:history="1">
        <w:r w:rsidR="002E4AAA" w:rsidRPr="002E4AAA">
          <w:rPr>
            <w:color w:val="0000FF"/>
            <w:u w:val="single"/>
            <w:rtl/>
          </w:rPr>
          <w:t>סעיף 40ט</w:t>
        </w:r>
      </w:hyperlink>
      <w:r>
        <w:rPr>
          <w:rtl/>
        </w:rPr>
        <w:t xml:space="preserve"> לחוק), חשוב לציין כי מדובר במעשים מחושבים, המחסנית הייתה במצב 'הכנס' באקדח הטעון  והנאשם החזיק  בנשק ובמחסניות גם לפני מועד חשיפת העבירה (סעיף 7 לכתב האישום המתוקן). </w:t>
      </w:r>
    </w:p>
    <w:p w14:paraId="4CA62CAA" w14:textId="77777777" w:rsidR="00065B2C" w:rsidRPr="0004104C" w:rsidRDefault="00065B2C" w:rsidP="00A80225">
      <w:pPr>
        <w:spacing w:line="360" w:lineRule="auto"/>
        <w:ind w:left="720"/>
        <w:jc w:val="both"/>
        <w:rPr>
          <w:rFonts w:ascii="FrankRuehl" w:hAnsi="FrankRuehl" w:cs="FrankRuehl"/>
          <w:sz w:val="28"/>
          <w:szCs w:val="28"/>
        </w:rPr>
      </w:pPr>
      <w:r w:rsidRPr="0004104C">
        <w:rPr>
          <w:rFonts w:ascii="FrankRuehl" w:hAnsi="FrankRuehl" w:cs="FrankRuehl"/>
          <w:sz w:val="28"/>
          <w:szCs w:val="28"/>
          <w:rtl/>
        </w:rPr>
        <w:t>מיותר לציין כפי שתואר לעיל בפסקי הדין של בית המשפט העליון כי בעבירות של החזקה ונשיאת נשק טמון פוטנציאל גדול מאוד לגרימת נזק משמעותי לחברה ולביטחונה.</w:t>
      </w:r>
    </w:p>
    <w:p w14:paraId="1E0C5A8A" w14:textId="77777777" w:rsidR="00065B2C" w:rsidRDefault="00065B2C" w:rsidP="00A80225">
      <w:pPr>
        <w:spacing w:line="360" w:lineRule="auto"/>
        <w:ind w:left="720"/>
        <w:jc w:val="both"/>
        <w:rPr>
          <w:rFonts w:ascii="FrankRuehl" w:hAnsi="FrankRuehl"/>
          <w:sz w:val="28"/>
          <w:rtl/>
        </w:rPr>
      </w:pPr>
    </w:p>
    <w:p w14:paraId="5AFA1F5F" w14:textId="77777777" w:rsidR="00065B2C" w:rsidRDefault="00065B2C" w:rsidP="00A80225">
      <w:pPr>
        <w:pStyle w:val="ab"/>
        <w:spacing w:line="360" w:lineRule="auto"/>
        <w:jc w:val="both"/>
        <w:rPr>
          <w:u w:val="single"/>
          <w:rtl/>
        </w:rPr>
      </w:pPr>
      <w:r>
        <w:rPr>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Pr>
          <w:u w:val="single"/>
          <w:rtl/>
        </w:rPr>
        <w:t>12</w:t>
      </w:r>
      <w:r>
        <w:rPr>
          <w:rtl/>
        </w:rPr>
        <w:t xml:space="preserve"> לבין </w:t>
      </w:r>
      <w:r>
        <w:rPr>
          <w:u w:val="single"/>
          <w:rtl/>
        </w:rPr>
        <w:t xml:space="preserve">36 </w:t>
      </w:r>
      <w:r>
        <w:rPr>
          <w:rtl/>
        </w:rPr>
        <w:t>חודשי מאסר בפועל.</w:t>
      </w:r>
    </w:p>
    <w:p w14:paraId="4892650A" w14:textId="77777777" w:rsidR="00065B2C" w:rsidRDefault="00065B2C" w:rsidP="00A80225">
      <w:pPr>
        <w:pStyle w:val="ab"/>
        <w:spacing w:line="360" w:lineRule="auto"/>
        <w:jc w:val="both"/>
        <w:rPr>
          <w:u w:val="single"/>
          <w:rtl/>
        </w:rPr>
      </w:pPr>
    </w:p>
    <w:p w14:paraId="333B0F32" w14:textId="77777777" w:rsidR="00065B2C" w:rsidRDefault="00065B2C" w:rsidP="00A80225">
      <w:pPr>
        <w:spacing w:line="360" w:lineRule="auto"/>
        <w:ind w:left="720"/>
        <w:jc w:val="both"/>
        <w:rPr>
          <w:rFonts w:cs="Miriam"/>
          <w:rtl/>
        </w:rPr>
      </w:pPr>
      <w:r>
        <w:rPr>
          <w:rFonts w:cs="Miriam"/>
          <w:rtl/>
        </w:rPr>
        <w:t>העונש המתאים</w:t>
      </w:r>
    </w:p>
    <w:p w14:paraId="7BC2AD7A" w14:textId="77777777" w:rsidR="00065B2C" w:rsidRDefault="00065B2C" w:rsidP="00A80225">
      <w:pPr>
        <w:pStyle w:val="3"/>
        <w:numPr>
          <w:ilvl w:val="0"/>
          <w:numId w:val="3"/>
        </w:numPr>
        <w:spacing w:line="360" w:lineRule="auto"/>
        <w:jc w:val="both"/>
        <w:rPr>
          <w:rFonts w:ascii="Arial" w:hAnsi="Arial" w:cs="FrankRuehl"/>
          <w:sz w:val="28"/>
          <w:szCs w:val="28"/>
          <w:rtl/>
        </w:rPr>
      </w:pPr>
      <w:r>
        <w:rPr>
          <w:rFonts w:ascii="FrankRuehl" w:hAnsi="FrankRuehl" w:cs="FrankRuehl"/>
          <w:sz w:val="28"/>
          <w:szCs w:val="28"/>
          <w:rtl/>
        </w:rPr>
        <w:t xml:space="preserve"> הנאשם נמצא בתחילתו של הליך טיפולי, ולא נעלמה מעיניי עמדת שירות המבחן לפיה</w:t>
      </w:r>
      <w:r>
        <w:rPr>
          <w:rFonts w:ascii="Arial" w:hAnsi="Arial" w:cs="FrankRuehl"/>
          <w:sz w:val="28"/>
          <w:szCs w:val="28"/>
          <w:rtl/>
        </w:rPr>
        <w:t xml:space="preserve">  לנאשם נזקקות טיפולית וכי הוא מוכן לשתף פעולה, אך איני סבור כי יש לחרוג במקרה זה ממתחם העונש ההולם. </w:t>
      </w:r>
    </w:p>
    <w:p w14:paraId="768629FD" w14:textId="77777777" w:rsidR="00065B2C" w:rsidRDefault="00065B2C" w:rsidP="00A80225">
      <w:pPr>
        <w:pStyle w:val="3"/>
        <w:spacing w:line="360" w:lineRule="auto"/>
        <w:jc w:val="both"/>
        <w:rPr>
          <w:rFonts w:ascii="Arial" w:hAnsi="Arial" w:cs="FrankRuehl"/>
          <w:sz w:val="28"/>
          <w:szCs w:val="28"/>
        </w:rPr>
      </w:pPr>
    </w:p>
    <w:p w14:paraId="1405B4BE" w14:textId="77777777" w:rsidR="00065B2C" w:rsidRDefault="00065B2C" w:rsidP="00A80225">
      <w:pPr>
        <w:pStyle w:val="Ruller40"/>
        <w:ind w:left="720"/>
      </w:pPr>
      <w:r>
        <w:rPr>
          <w:rFonts w:ascii="Arial" w:hAnsi="Arial"/>
          <w:sz w:val="28"/>
          <w:rtl/>
        </w:rPr>
        <w:t>איני סבור כי יש לאמץ במקרה זה את האמור בתסקירי שירות המבחן, כלל מושרש הוא כי אין חפיפה בין שיקוליו לבין שיקולי בית המשפט ואפנה בעניין זה לפסק דינה של הנשיאה חיות ב</w:t>
      </w:r>
      <w:hyperlink r:id="rId32" w:history="1">
        <w:r w:rsidR="000844AB" w:rsidRPr="000844AB">
          <w:rPr>
            <w:color w:val="0000FF"/>
            <w:u w:val="single"/>
            <w:rtl/>
          </w:rPr>
          <w:t>ע"פ 1077/19</w:t>
        </w:r>
      </w:hyperlink>
      <w:r>
        <w:rPr>
          <w:rtl/>
        </w:rPr>
        <w:t xml:space="preserve"> </w:t>
      </w:r>
      <w:r w:rsidRPr="0004104C">
        <w:rPr>
          <w:rFonts w:ascii="Miriam" w:hAnsi="Miriam" w:cs="Miriam"/>
          <w:sz w:val="24"/>
          <w:szCs w:val="24"/>
          <w:rtl/>
        </w:rPr>
        <w:t>אמסלם נגד מדינת ישראל</w:t>
      </w:r>
      <w:r>
        <w:rPr>
          <w:rtl/>
        </w:rPr>
        <w:t xml:space="preserve"> (29.10.19):</w:t>
      </w:r>
    </w:p>
    <w:p w14:paraId="39F38ACE" w14:textId="77777777" w:rsidR="00065B2C" w:rsidRDefault="00065B2C" w:rsidP="0004104C">
      <w:pPr>
        <w:pStyle w:val="Ruller40"/>
        <w:spacing w:line="240" w:lineRule="auto"/>
        <w:ind w:left="1440" w:right="567"/>
        <w:rPr>
          <w:rtl/>
        </w:rPr>
      </w:pPr>
      <w:r>
        <w:rPr>
          <w:rtl/>
        </w:rPr>
        <w:t xml:space="preserve">"בית המשפט אינו כבול להמלצות שירות המבחן ובמקרה דנן בצדק סבר בית המשפט קמא כי אין מקום לאמץ את ההמלצה החורגת ממתחם הענישה ההולם את נסיבותיו החמורות של המקרה ואינה מתחשבת במכלול השיקולים והאינטרסים שעל בית המשפט לשקול בעת גזירת הדין, ובהם שיקולי גמול והרתעת הרבים [...] מאמצי השיקום של המערער, שעליהם יש לברך, אין בהם כדי לשנות ממסקנה זו". </w:t>
      </w:r>
    </w:p>
    <w:p w14:paraId="4F20DA00" w14:textId="77777777" w:rsidR="00065B2C" w:rsidRDefault="00065B2C" w:rsidP="00A80225">
      <w:pPr>
        <w:pStyle w:val="3"/>
        <w:spacing w:line="360" w:lineRule="auto"/>
        <w:jc w:val="both"/>
        <w:rPr>
          <w:rFonts w:ascii="Arial" w:hAnsi="Arial" w:cs="FrankRuehl"/>
          <w:sz w:val="28"/>
          <w:szCs w:val="28"/>
          <w:rtl/>
        </w:rPr>
      </w:pPr>
    </w:p>
    <w:p w14:paraId="3A5811AF" w14:textId="77777777" w:rsidR="00065B2C" w:rsidRDefault="00065B2C" w:rsidP="0034361A">
      <w:pPr>
        <w:pStyle w:val="ab"/>
        <w:numPr>
          <w:ilvl w:val="0"/>
          <w:numId w:val="3"/>
        </w:numPr>
        <w:spacing w:line="360" w:lineRule="auto"/>
        <w:jc w:val="both"/>
        <w:rPr>
          <w:rtl/>
        </w:rPr>
      </w:pPr>
      <w:r>
        <w:rPr>
          <w:rtl/>
        </w:rPr>
        <w:t xml:space="preserve">לעניין הנסיבות שאינן קשורות בביצוע העבירה לפי </w:t>
      </w:r>
      <w:hyperlink r:id="rId33" w:history="1">
        <w:r w:rsidR="002E4AAA" w:rsidRPr="002E4AAA">
          <w:rPr>
            <w:color w:val="0000FF"/>
            <w:u w:val="single"/>
            <w:rtl/>
          </w:rPr>
          <w:t>סעיף 40יא'</w:t>
        </w:r>
      </w:hyperlink>
      <w:r>
        <w:rPr>
          <w:rtl/>
        </w:rPr>
        <w:t xml:space="preserve"> לחוק, אזקוף לזכות הנאשם את הודאתו בהזדמנות הראשונה שהביאה לחיסכון בזמן שיפוטי, את הבעת הצער שהביע בפניי על מעשיו ואת עברו הפלילי הנקי. בנוסף, אתחשב בגילו של הנאשם כבן 26 שנה ובעובדה כי עד ביצוע עבירה זו ניהל אורח חיים נורמטיבי. </w:t>
      </w:r>
    </w:p>
    <w:p w14:paraId="5FAB3EB0" w14:textId="77777777" w:rsidR="00065B2C" w:rsidRDefault="00065B2C" w:rsidP="00A80225">
      <w:pPr>
        <w:spacing w:line="360" w:lineRule="auto"/>
        <w:ind w:left="720"/>
        <w:jc w:val="both"/>
        <w:rPr>
          <w:sz w:val="28"/>
        </w:rPr>
      </w:pPr>
    </w:p>
    <w:p w14:paraId="4790D727" w14:textId="77777777" w:rsidR="00065B2C" w:rsidRDefault="00065B2C" w:rsidP="00971D85">
      <w:pPr>
        <w:pStyle w:val="ab"/>
        <w:numPr>
          <w:ilvl w:val="0"/>
          <w:numId w:val="3"/>
        </w:numPr>
        <w:spacing w:line="360" w:lineRule="auto"/>
        <w:jc w:val="both"/>
        <w:rPr>
          <w:rtl/>
        </w:rPr>
      </w:pPr>
      <w:r>
        <w:rPr>
          <w:rtl/>
        </w:rPr>
        <w:t xml:space="preserve">אני סבור כי יש צורך במקרה זה בהרתעת הרבים מפני ביצוע עבירה מסוג העבירה שביצע הנאשם (לפי </w:t>
      </w:r>
      <w:hyperlink r:id="rId34" w:history="1">
        <w:r w:rsidR="002E4AAA" w:rsidRPr="002E4AAA">
          <w:rPr>
            <w:color w:val="0000FF"/>
            <w:u w:val="single"/>
            <w:rtl/>
          </w:rPr>
          <w:t>סעיף 40ז</w:t>
        </w:r>
      </w:hyperlink>
      <w:r>
        <w:rPr>
          <w:rtl/>
        </w:rPr>
        <w:t xml:space="preserve"> לחוק)  וכי יש סיכוי של ממש שהחמרה בעונשו של הנאשם, הן בעונש המאסר בפועל והן בעונש המאסר על תנאי, תביא להרתעת הרבים ותגרום לכך שעבריינים פוטנציאלים ישקלו פעמיים לפני שייבחרו לבצע עבירה של החזקה, נשיאה או הובלה של נשק ותחמושת.</w:t>
      </w:r>
    </w:p>
    <w:p w14:paraId="1A9ADE9E" w14:textId="77777777" w:rsidR="00065B2C" w:rsidRDefault="00065B2C" w:rsidP="00444AB1">
      <w:pPr>
        <w:jc w:val="both"/>
      </w:pPr>
    </w:p>
    <w:p w14:paraId="425B1902" w14:textId="77777777" w:rsidR="00065B2C" w:rsidRDefault="00065B2C" w:rsidP="00971D85">
      <w:pPr>
        <w:pStyle w:val="ab"/>
        <w:spacing w:line="360" w:lineRule="auto"/>
        <w:jc w:val="both"/>
        <w:rPr>
          <w:sz w:val="22"/>
        </w:rPr>
      </w:pPr>
      <w:r w:rsidRPr="00444AB1">
        <w:rPr>
          <w:rtl/>
        </w:rPr>
        <w:t>בטרם סיום אפנה לפסק דינו של השופט יוסף אלרון ב</w:t>
      </w:r>
      <w:hyperlink r:id="rId35" w:history="1">
        <w:r w:rsidR="000844AB" w:rsidRPr="000844AB">
          <w:rPr>
            <w:color w:val="0000FF"/>
            <w:u w:val="single"/>
            <w:rtl/>
          </w:rPr>
          <w:t>ע"פ 4406/19</w:t>
        </w:r>
      </w:hyperlink>
      <w:r w:rsidRPr="00444AB1">
        <w:rPr>
          <w:rtl/>
        </w:rPr>
        <w:t xml:space="preserve">, 4411/19, 4418/19, 4439/19 </w:t>
      </w:r>
      <w:r w:rsidRPr="00444AB1">
        <w:rPr>
          <w:rFonts w:ascii="Miriam" w:hAnsi="Miriam" w:cs="Miriam"/>
          <w:szCs w:val="24"/>
          <w:rtl/>
        </w:rPr>
        <w:t>מדינת ישראל נ' סובח</w:t>
      </w:r>
      <w:r w:rsidRPr="00444AB1">
        <w:rPr>
          <w:rtl/>
        </w:rPr>
        <w:t xml:space="preserve"> (5.11.2019) לפיו "על רקע המציאות אותה אנו חווים למרבה הצער מדי יום, אנו עדים לקריאה ציבורית נרגשת להגברת האכיפה כלפי עבירות נשק – ולהחמרה במדיניות הענישה הנוהגת" ובהמשך קובע כי יש לנקוט במדיניות ענישה מחמירה </w:t>
      </w:r>
      <w:r>
        <w:rPr>
          <w:rtl/>
        </w:rPr>
        <w:t xml:space="preserve">גם </w:t>
      </w:r>
      <w:r w:rsidRPr="00444AB1">
        <w:rPr>
          <w:rtl/>
        </w:rPr>
        <w:t xml:space="preserve">כלפי </w:t>
      </w:r>
      <w:r>
        <w:rPr>
          <w:rtl/>
        </w:rPr>
        <w:t>ביצוע עבירות החזקת נשק שלא כדין.  כב'  השופט  מזוז הצטרף והוסיף כך:</w:t>
      </w:r>
    </w:p>
    <w:p w14:paraId="3BDB31C0" w14:textId="77777777" w:rsidR="00065B2C" w:rsidRPr="0004104C" w:rsidRDefault="00065B2C" w:rsidP="0004104C">
      <w:pPr>
        <w:ind w:left="1440" w:right="567"/>
        <w:jc w:val="both"/>
        <w:rPr>
          <w:rFonts w:ascii="FrankRuehl" w:hAnsi="FrankRuehl" w:cs="FrankRuehl"/>
          <w:spacing w:val="10"/>
          <w:sz w:val="28"/>
          <w:szCs w:val="28"/>
          <w:rtl/>
        </w:rPr>
      </w:pPr>
      <w:r w:rsidRPr="0004104C">
        <w:rPr>
          <w:rFonts w:ascii="FrankRuehl" w:hAnsi="FrankRuehl" w:cs="FrankRuehl"/>
          <w:spacing w:val="10"/>
          <w:sz w:val="28"/>
          <w:szCs w:val="28"/>
          <w:rtl/>
        </w:rPr>
        <w:t>"התופעה של החזקת נשק שלא כדין על ידי אזרחים מהווה איום על שלום הציבור ועל הסדר הציבורי. היא התשתית ו"הגורם בלעדו איין" (</w:t>
      </w:r>
      <w:r w:rsidRPr="0004104C">
        <w:rPr>
          <w:rFonts w:ascii="FrankRuehl" w:hAnsi="FrankRuehl" w:cs="FrankRuehl"/>
          <w:spacing w:val="10"/>
          <w:sz w:val="28"/>
          <w:szCs w:val="28"/>
        </w:rPr>
        <w:t>causa sine qua non</w:t>
      </w:r>
      <w:r w:rsidRPr="0004104C">
        <w:rPr>
          <w:rFonts w:ascii="FrankRuehl" w:hAnsi="FrankRuehl" w:cs="FrankRuehl"/>
          <w:spacing w:val="10"/>
          <w:sz w:val="28"/>
          <w:szCs w:val="28"/>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63106C4A" w14:textId="77777777" w:rsidR="00065B2C" w:rsidRPr="0004104C" w:rsidRDefault="00065B2C" w:rsidP="0004104C">
      <w:pPr>
        <w:ind w:left="1440" w:right="567" w:firstLine="720"/>
        <w:jc w:val="both"/>
        <w:rPr>
          <w:rFonts w:ascii="FrankRuehl" w:hAnsi="FrankRuehl" w:cs="FrankRuehl"/>
          <w:spacing w:val="10"/>
          <w:sz w:val="28"/>
          <w:szCs w:val="28"/>
          <w:rtl/>
        </w:rPr>
      </w:pPr>
    </w:p>
    <w:p w14:paraId="08172F0C" w14:textId="77777777" w:rsidR="00065B2C" w:rsidRPr="0004104C" w:rsidRDefault="00065B2C" w:rsidP="00372CDF">
      <w:pPr>
        <w:ind w:left="1440" w:right="567"/>
        <w:jc w:val="both"/>
        <w:rPr>
          <w:rFonts w:ascii="FrankRuehl" w:hAnsi="FrankRuehl" w:cs="FrankRuehl"/>
          <w:spacing w:val="10"/>
          <w:sz w:val="28"/>
          <w:szCs w:val="28"/>
          <w:rtl/>
        </w:rPr>
      </w:pPr>
      <w:r w:rsidRPr="0004104C">
        <w:rPr>
          <w:rFonts w:ascii="FrankRuehl" w:hAnsi="FrankRuehl" w:cs="FrankRuehl"/>
          <w:spacing w:val="10"/>
          <w:sz w:val="28"/>
          <w:szCs w:val="28"/>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7C74A2DE" w14:textId="77777777" w:rsidR="00065B2C" w:rsidRPr="0004104C" w:rsidRDefault="00065B2C" w:rsidP="0004104C">
      <w:pPr>
        <w:ind w:left="1440" w:right="567" w:firstLine="720"/>
        <w:jc w:val="both"/>
        <w:rPr>
          <w:rFonts w:ascii="FrankRuehl" w:hAnsi="FrankRuehl" w:cs="FrankRuehl"/>
          <w:spacing w:val="10"/>
          <w:sz w:val="28"/>
          <w:szCs w:val="28"/>
          <w:rtl/>
        </w:rPr>
      </w:pPr>
    </w:p>
    <w:p w14:paraId="219911BE" w14:textId="77777777" w:rsidR="00065B2C" w:rsidRPr="0004104C" w:rsidRDefault="00065B2C" w:rsidP="0004104C">
      <w:pPr>
        <w:ind w:left="1440" w:right="567"/>
        <w:jc w:val="both"/>
        <w:rPr>
          <w:rFonts w:ascii="FrankRuehl" w:hAnsi="FrankRuehl" w:cs="FrankRuehl"/>
          <w:spacing w:val="10"/>
          <w:sz w:val="28"/>
          <w:szCs w:val="28"/>
          <w:rtl/>
        </w:rPr>
      </w:pPr>
      <w:r w:rsidRPr="0004104C">
        <w:rPr>
          <w:rFonts w:ascii="FrankRuehl" w:hAnsi="FrankRuehl" w:cs="FrankRuehl"/>
          <w:spacing w:val="10"/>
          <w:sz w:val="28"/>
          <w:szCs w:val="28"/>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084A5981" w14:textId="77777777" w:rsidR="00065B2C" w:rsidRPr="0004104C" w:rsidRDefault="00065B2C" w:rsidP="0004104C">
      <w:pPr>
        <w:ind w:left="1440" w:right="567" w:firstLine="720"/>
        <w:jc w:val="both"/>
        <w:rPr>
          <w:rFonts w:ascii="FrankRuehl" w:hAnsi="FrankRuehl" w:cs="FrankRuehl"/>
          <w:spacing w:val="10"/>
          <w:sz w:val="28"/>
          <w:szCs w:val="28"/>
          <w:rtl/>
        </w:rPr>
      </w:pPr>
    </w:p>
    <w:p w14:paraId="2758552C" w14:textId="77777777" w:rsidR="00065B2C" w:rsidRDefault="00065B2C" w:rsidP="00A80225">
      <w:pPr>
        <w:pStyle w:val="ab"/>
        <w:numPr>
          <w:ilvl w:val="0"/>
          <w:numId w:val="3"/>
        </w:numPr>
        <w:spacing w:line="360" w:lineRule="auto"/>
        <w:jc w:val="both"/>
      </w:pPr>
      <w:r>
        <w:rPr>
          <w:rtl/>
        </w:rPr>
        <w:t xml:space="preserve">בעת קביעת משך המאסר בפועל לקחתי בחשבון את העובדה כי מיום 6.2.2019 ועד היום הנאשם עצור באיזוק אלקטרוני. </w:t>
      </w:r>
    </w:p>
    <w:p w14:paraId="02C85261" w14:textId="77777777" w:rsidR="00065B2C" w:rsidRDefault="00065B2C" w:rsidP="00A80225">
      <w:pPr>
        <w:pStyle w:val="ab"/>
        <w:spacing w:line="360" w:lineRule="auto"/>
        <w:jc w:val="both"/>
        <w:rPr>
          <w:rtl/>
        </w:rPr>
      </w:pPr>
    </w:p>
    <w:p w14:paraId="5A0CFB19" w14:textId="77777777" w:rsidR="00065B2C" w:rsidRPr="00971D85" w:rsidRDefault="00065B2C" w:rsidP="00A80225">
      <w:pPr>
        <w:pStyle w:val="ab"/>
        <w:spacing w:line="360" w:lineRule="auto"/>
        <w:jc w:val="both"/>
        <w:rPr>
          <w:rtl/>
        </w:rPr>
      </w:pPr>
    </w:p>
    <w:p w14:paraId="3F09E033" w14:textId="77777777" w:rsidR="00065B2C" w:rsidRDefault="00065B2C" w:rsidP="00A80225">
      <w:pPr>
        <w:spacing w:line="360" w:lineRule="auto"/>
        <w:ind w:left="360" w:firstLine="360"/>
        <w:contextualSpacing/>
        <w:jc w:val="both"/>
        <w:rPr>
          <w:rFonts w:cs="Miriam"/>
          <w:rtl/>
        </w:rPr>
      </w:pPr>
      <w:r>
        <w:rPr>
          <w:rFonts w:cs="Miriam"/>
          <w:rtl/>
        </w:rPr>
        <w:t>סיכום</w:t>
      </w:r>
    </w:p>
    <w:p w14:paraId="78EAE781" w14:textId="77777777" w:rsidR="00065B2C" w:rsidRDefault="00065B2C" w:rsidP="00A80225">
      <w:pPr>
        <w:pStyle w:val="ab"/>
        <w:numPr>
          <w:ilvl w:val="0"/>
          <w:numId w:val="3"/>
        </w:numPr>
        <w:spacing w:line="360" w:lineRule="auto"/>
        <w:jc w:val="both"/>
      </w:pPr>
      <w:r>
        <w:rPr>
          <w:rtl/>
        </w:rPr>
        <w:t>לאור האמור לעיל אני דן את הנאשם לעונשים הבאים:</w:t>
      </w:r>
    </w:p>
    <w:p w14:paraId="66C03E0A" w14:textId="77777777" w:rsidR="00065B2C" w:rsidRDefault="00065B2C" w:rsidP="00A80225">
      <w:pPr>
        <w:pStyle w:val="2"/>
        <w:numPr>
          <w:ilvl w:val="0"/>
          <w:numId w:val="4"/>
        </w:numPr>
        <w:spacing w:line="360" w:lineRule="auto"/>
        <w:jc w:val="both"/>
        <w:rPr>
          <w:rFonts w:ascii="Arial" w:hAnsi="Arial" w:cs="FrankRuehl"/>
          <w:szCs w:val="28"/>
        </w:rPr>
      </w:pPr>
      <w:r>
        <w:rPr>
          <w:rFonts w:ascii="Arial" w:hAnsi="Arial" w:cs="FrankRuehl"/>
          <w:szCs w:val="28"/>
          <w:u w:val="single"/>
          <w:rtl/>
        </w:rPr>
        <w:t>15</w:t>
      </w:r>
      <w:r>
        <w:rPr>
          <w:rFonts w:ascii="Arial" w:hAnsi="Arial" w:cs="FrankRuehl"/>
          <w:szCs w:val="28"/>
          <w:rtl/>
        </w:rPr>
        <w:t>חודשי מאסר בפועל בניכוי ימי מעצרו, מיום 25.12.2018 ועד ליום 6.2.2019.</w:t>
      </w:r>
    </w:p>
    <w:p w14:paraId="78190156" w14:textId="77777777" w:rsidR="00065B2C" w:rsidRDefault="00065B2C" w:rsidP="00971D85">
      <w:pPr>
        <w:pStyle w:val="2"/>
        <w:numPr>
          <w:ilvl w:val="0"/>
          <w:numId w:val="4"/>
        </w:numPr>
        <w:spacing w:line="360" w:lineRule="auto"/>
        <w:jc w:val="both"/>
        <w:rPr>
          <w:rFonts w:ascii="Arial" w:hAnsi="Arial" w:cs="FrankRuehl"/>
          <w:szCs w:val="28"/>
        </w:rPr>
      </w:pPr>
      <w:r>
        <w:rPr>
          <w:rFonts w:ascii="Arial" w:hAnsi="Arial" w:cs="FrankRuehl"/>
          <w:szCs w:val="28"/>
          <w:u w:val="single"/>
          <w:rtl/>
        </w:rPr>
        <w:t>10</w:t>
      </w:r>
      <w:r>
        <w:rPr>
          <w:rFonts w:ascii="Arial" w:hAnsi="Arial" w:cs="FrankRuehl"/>
          <w:szCs w:val="28"/>
          <w:rtl/>
        </w:rPr>
        <w:t xml:space="preserve"> חודשי מאסר על תנאי,  הנאשם לא יישא את עונש המאסר על  תנאי אלא אם יעבור תוך שלוש שנים מיום שחרורו ממאסר, עבירה בנשק ויורשע בשל עבירה כזאת תוך תקופת התנאי או לאחריה. </w:t>
      </w:r>
    </w:p>
    <w:p w14:paraId="72553C2C" w14:textId="77777777" w:rsidR="00065B2C" w:rsidRDefault="00065B2C" w:rsidP="00971D85">
      <w:pPr>
        <w:pStyle w:val="2"/>
        <w:spacing w:line="360" w:lineRule="auto"/>
        <w:ind w:left="780"/>
        <w:jc w:val="both"/>
        <w:rPr>
          <w:rFonts w:ascii="Arial" w:hAnsi="Arial" w:cs="FrankRuehl"/>
          <w:szCs w:val="28"/>
        </w:rPr>
      </w:pPr>
    </w:p>
    <w:p w14:paraId="4AF24E9B" w14:textId="77777777" w:rsidR="00065B2C" w:rsidRPr="00971D85" w:rsidRDefault="00065B2C" w:rsidP="00971D85">
      <w:pPr>
        <w:pStyle w:val="ab"/>
        <w:spacing w:line="360" w:lineRule="auto"/>
        <w:ind w:left="780"/>
        <w:jc w:val="both"/>
        <w:rPr>
          <w:rFonts w:ascii="FrankRuehl" w:hAnsi="FrankRuehl"/>
          <w:sz w:val="28"/>
          <w:rtl/>
        </w:rPr>
      </w:pPr>
      <w:r w:rsidRPr="00971D85">
        <w:rPr>
          <w:rFonts w:ascii="FrankRuehl" w:hAnsi="FrankRuehl"/>
          <w:sz w:val="28"/>
          <w:rtl/>
        </w:rPr>
        <w:t>הנאשם יתייצב למאסרו בבית סוהר ימ"ר קישון ביום 22.12.19 עד השעה 10:00, או על פי החלטת שב"ס, כשברשותו תעודת זהות או דרכון.</w:t>
      </w:r>
    </w:p>
    <w:p w14:paraId="4CBE7C6E" w14:textId="77777777" w:rsidR="00065B2C" w:rsidRPr="00971D85" w:rsidRDefault="00065B2C" w:rsidP="00971D85">
      <w:pPr>
        <w:pStyle w:val="ab"/>
        <w:spacing w:line="360" w:lineRule="auto"/>
        <w:ind w:left="780"/>
        <w:jc w:val="both"/>
        <w:rPr>
          <w:rFonts w:ascii="FrankRuehl" w:hAnsi="FrankRuehl"/>
          <w:sz w:val="28"/>
          <w:rtl/>
        </w:rPr>
      </w:pPr>
      <w:r w:rsidRPr="00971D85">
        <w:rPr>
          <w:rFonts w:ascii="FrankRuehl" w:hAnsi="FrankRuehl"/>
          <w:sz w:val="28"/>
          <w:rtl/>
        </w:rPr>
        <w:t>על הנאשם לתאם את הכניסה למאסר, כולל האפשרות למיון מוקדם, עם ענף אבחון ומיון של שב"ס, טלפונים: 08-9787377, 08-9787336.</w:t>
      </w:r>
    </w:p>
    <w:p w14:paraId="42B865EC" w14:textId="77777777" w:rsidR="00065B2C" w:rsidRDefault="00065B2C" w:rsidP="00971D85">
      <w:pPr>
        <w:pStyle w:val="ab"/>
        <w:spacing w:line="360" w:lineRule="auto"/>
        <w:ind w:left="780"/>
        <w:jc w:val="both"/>
        <w:rPr>
          <w:rFonts w:ascii="Times New Roman" w:hAnsi="Times New Roman"/>
          <w:sz w:val="28"/>
          <w:rtl/>
        </w:rPr>
      </w:pPr>
    </w:p>
    <w:p w14:paraId="372AE008" w14:textId="77777777" w:rsidR="00065B2C" w:rsidRDefault="00065B2C" w:rsidP="00971D85">
      <w:pPr>
        <w:pStyle w:val="ab"/>
        <w:spacing w:line="360" w:lineRule="auto"/>
        <w:ind w:left="780"/>
        <w:jc w:val="both"/>
        <w:rPr>
          <w:rFonts w:ascii="Times New Roman" w:hAnsi="Times New Roman"/>
          <w:sz w:val="28"/>
        </w:rPr>
      </w:pPr>
      <w:r>
        <w:rPr>
          <w:rFonts w:ascii="Times New Roman" w:hAnsi="Times New Roman"/>
          <w:sz w:val="28"/>
          <w:rtl/>
        </w:rPr>
        <w:t>בהתחשב בתקופת המאסר ובגילו של הנאשם לא מצאתי לנכון להטיל על הנאשם קנס.</w:t>
      </w:r>
    </w:p>
    <w:p w14:paraId="02E16FD2" w14:textId="77777777" w:rsidR="00065B2C" w:rsidRDefault="00065B2C" w:rsidP="00A80225">
      <w:pPr>
        <w:spacing w:line="360" w:lineRule="auto"/>
        <w:ind w:left="360"/>
        <w:jc w:val="both"/>
        <w:rPr>
          <w:rFonts w:ascii="David" w:hAnsi="David"/>
        </w:rPr>
      </w:pPr>
    </w:p>
    <w:p w14:paraId="1D8B87C2" w14:textId="77777777" w:rsidR="00065B2C" w:rsidRDefault="00065B2C" w:rsidP="00971D85">
      <w:pPr>
        <w:pStyle w:val="ab"/>
        <w:numPr>
          <w:ilvl w:val="0"/>
          <w:numId w:val="3"/>
        </w:numPr>
        <w:spacing w:line="360" w:lineRule="auto"/>
        <w:jc w:val="both"/>
        <w:rPr>
          <w:rtl/>
        </w:rPr>
      </w:pPr>
      <w:r>
        <w:rPr>
          <w:rtl/>
        </w:rPr>
        <w:t>נוכח רצונו של הנאשם להשתקם כפי שהביע בפני שירות המבחן, אמליץ לשרות בתי הסוהר לשלב את הנאשם בקבוצות שיקום בתוך כותלי בית הכלא.</w:t>
      </w:r>
    </w:p>
    <w:p w14:paraId="0CE3E75D" w14:textId="77777777" w:rsidR="00065B2C" w:rsidRDefault="00065B2C" w:rsidP="00A80225">
      <w:pPr>
        <w:spacing w:line="360" w:lineRule="auto"/>
        <w:ind w:left="720"/>
        <w:jc w:val="both"/>
        <w:rPr>
          <w:rFonts w:ascii="FrankRuehl" w:hAnsi="FrankRuehl" w:cs="FrankRuehl"/>
          <w:sz w:val="28"/>
          <w:szCs w:val="28"/>
          <w:rtl/>
        </w:rPr>
      </w:pPr>
    </w:p>
    <w:p w14:paraId="1E2F82A6" w14:textId="77777777" w:rsidR="00065B2C" w:rsidRPr="00971D85" w:rsidRDefault="00065B2C" w:rsidP="00A80225">
      <w:pPr>
        <w:spacing w:line="360" w:lineRule="auto"/>
        <w:ind w:left="720"/>
        <w:jc w:val="both"/>
        <w:rPr>
          <w:rFonts w:ascii="FrankRuehl" w:hAnsi="FrankRuehl" w:cs="FrankRuehl"/>
          <w:sz w:val="28"/>
          <w:szCs w:val="28"/>
          <w:u w:val="single"/>
          <w:rtl/>
        </w:rPr>
      </w:pPr>
      <w:r w:rsidRPr="00971D85">
        <w:rPr>
          <w:rFonts w:ascii="FrankRuehl" w:hAnsi="FrankRuehl" w:cs="FrankRuehl"/>
          <w:sz w:val="28"/>
          <w:szCs w:val="28"/>
          <w:u w:val="single"/>
          <w:rtl/>
        </w:rPr>
        <w:t xml:space="preserve"> המזכירות תשלח העתק מגזר הדין לשירות המבחן.</w:t>
      </w:r>
    </w:p>
    <w:p w14:paraId="1FB3E60F" w14:textId="77777777" w:rsidR="00065B2C" w:rsidRPr="00A80225" w:rsidRDefault="00065B2C" w:rsidP="00A80225">
      <w:pPr>
        <w:spacing w:line="360" w:lineRule="auto"/>
        <w:ind w:left="720"/>
        <w:jc w:val="both"/>
        <w:rPr>
          <w:rFonts w:ascii="FrankRuehl" w:hAnsi="FrankRuehl" w:cs="FrankRuehl"/>
          <w:sz w:val="28"/>
          <w:szCs w:val="28"/>
          <w:u w:val="single"/>
        </w:rPr>
      </w:pPr>
      <w:r w:rsidRPr="00A80225">
        <w:rPr>
          <w:rFonts w:ascii="FrankRuehl" w:hAnsi="FrankRuehl" w:cs="FrankRuehl"/>
          <w:sz w:val="28"/>
          <w:szCs w:val="28"/>
          <w:u w:val="single"/>
          <w:rtl/>
        </w:rPr>
        <w:t>זכות ערעור לבית המשפט העליון תוך 45 יום.</w:t>
      </w:r>
    </w:p>
    <w:p w14:paraId="538D996D" w14:textId="77777777" w:rsidR="00065B2C" w:rsidRPr="000844AB" w:rsidRDefault="000844AB" w:rsidP="00A80225">
      <w:pPr>
        <w:spacing w:line="360" w:lineRule="auto"/>
        <w:rPr>
          <w:color w:val="FFFFFF"/>
          <w:sz w:val="2"/>
          <w:szCs w:val="2"/>
          <w:rtl/>
        </w:rPr>
      </w:pPr>
      <w:r w:rsidRPr="000844AB">
        <w:rPr>
          <w:color w:val="FFFFFF"/>
          <w:sz w:val="2"/>
          <w:szCs w:val="2"/>
          <w:rtl/>
        </w:rPr>
        <w:t>5129371</w:t>
      </w:r>
    </w:p>
    <w:p w14:paraId="7A43CB7A" w14:textId="77777777" w:rsidR="00065B2C" w:rsidRDefault="000844AB" w:rsidP="00A80225">
      <w:pPr>
        <w:spacing w:line="360" w:lineRule="auto"/>
        <w:jc w:val="both"/>
        <w:rPr>
          <w:rFonts w:ascii="Arial" w:hAnsi="Arial"/>
        </w:rPr>
      </w:pPr>
      <w:bookmarkStart w:id="9" w:name="Nitan"/>
      <w:r w:rsidRPr="000844AB">
        <w:rPr>
          <w:rFonts w:ascii="Arial" w:hAnsi="Arial"/>
          <w:color w:val="FFFFFF"/>
          <w:sz w:val="2"/>
          <w:szCs w:val="2"/>
          <w:rtl/>
        </w:rPr>
        <w:t>54678313</w:t>
      </w:r>
      <w:r>
        <w:rPr>
          <w:rFonts w:ascii="Arial" w:hAnsi="Arial"/>
          <w:rtl/>
        </w:rPr>
        <w:t xml:space="preserve">ניתן היום,  י"ט חשוון תש"פ, 17 נובמבר 2019, בנוכחות ב"כ המאשימה עו"ד גימפל, הסנגור            </w:t>
      </w:r>
      <w:bookmarkEnd w:id="9"/>
      <w:r w:rsidR="00065B2C">
        <w:rPr>
          <w:rFonts w:ascii="Arial" w:hAnsi="Arial"/>
          <w:rtl/>
        </w:rPr>
        <w:t>עו"ד בויראת והנאשם בעצמו.</w:t>
      </w:r>
    </w:p>
    <w:p w14:paraId="15E20235" w14:textId="77777777" w:rsidR="00065B2C" w:rsidRDefault="00065B2C" w:rsidP="00A80225">
      <w:pPr>
        <w:spacing w:line="360" w:lineRule="auto"/>
        <w:rPr>
          <w:rFonts w:cs="FrankRuehl"/>
          <w:sz w:val="28"/>
          <w:szCs w:val="28"/>
          <w:rtl/>
        </w:rPr>
      </w:pPr>
    </w:p>
    <w:p w14:paraId="1A7B5A89" w14:textId="77777777" w:rsidR="00065B2C" w:rsidRDefault="00065B2C" w:rsidP="00A629B3">
      <w:pPr>
        <w:spacing w:line="360" w:lineRule="auto"/>
        <w:jc w:val="center"/>
      </w:pPr>
      <w:r>
        <w:rPr>
          <w:rtl/>
        </w:rPr>
        <w:t xml:space="preserve">   </w:t>
      </w:r>
      <w:r>
        <w:rPr>
          <w:rtl/>
        </w:rPr>
        <w:tab/>
      </w:r>
      <w:r>
        <w:rPr>
          <w:rtl/>
        </w:rPr>
        <w:tab/>
      </w:r>
      <w:r>
        <w:rPr>
          <w:rtl/>
        </w:rPr>
        <w:tab/>
      </w:r>
      <w:r>
        <w:rPr>
          <w:rtl/>
        </w:rPr>
        <w:tab/>
      </w:r>
      <w:r>
        <w:rPr>
          <w:rtl/>
        </w:rPr>
        <w:tab/>
      </w:r>
    </w:p>
    <w:p w14:paraId="094D04DA" w14:textId="77777777" w:rsidR="00065B2C" w:rsidRDefault="00065B2C" w:rsidP="00A80225">
      <w:pPr>
        <w:spacing w:line="360" w:lineRule="auto"/>
        <w:jc w:val="center"/>
        <w:rPr>
          <w:rFonts w:ascii="Arial" w:hAnsi="Arial" w:cs="FrankRuehl"/>
          <w:sz w:val="28"/>
          <w:szCs w:val="28"/>
          <w:rtl/>
        </w:rPr>
      </w:pPr>
    </w:p>
    <w:p w14:paraId="6ABFD2D2" w14:textId="77777777" w:rsidR="00065B2C" w:rsidRDefault="00065B2C" w:rsidP="00A80225">
      <w:pPr>
        <w:spacing w:line="360" w:lineRule="auto"/>
        <w:rPr>
          <w:rFonts w:cs="FrankRuehl"/>
          <w:sz w:val="28"/>
          <w:szCs w:val="28"/>
          <w:rtl/>
        </w:rPr>
      </w:pPr>
    </w:p>
    <w:p w14:paraId="5C07A1E5" w14:textId="77777777" w:rsidR="00065B2C" w:rsidRPr="000844AB" w:rsidRDefault="00065B2C" w:rsidP="000844AB">
      <w:pPr>
        <w:pStyle w:val="a3"/>
        <w:keepNext/>
        <w:spacing w:line="360" w:lineRule="auto"/>
        <w:rPr>
          <w:rFonts w:ascii="David" w:hAnsi="David"/>
          <w:color w:val="000000"/>
          <w:sz w:val="22"/>
          <w:szCs w:val="22"/>
          <w:rtl/>
        </w:rPr>
      </w:pPr>
    </w:p>
    <w:p w14:paraId="2BDAC5B4" w14:textId="77777777" w:rsidR="000844AB" w:rsidRPr="000844AB" w:rsidRDefault="000844AB" w:rsidP="000844AB">
      <w:pPr>
        <w:pStyle w:val="a3"/>
        <w:keepNext/>
        <w:spacing w:line="360" w:lineRule="auto"/>
        <w:rPr>
          <w:rFonts w:ascii="David" w:hAnsi="David"/>
          <w:color w:val="000000"/>
          <w:sz w:val="22"/>
          <w:szCs w:val="22"/>
          <w:rtl/>
        </w:rPr>
      </w:pPr>
      <w:r w:rsidRPr="000844AB">
        <w:rPr>
          <w:rFonts w:ascii="David" w:hAnsi="David"/>
          <w:color w:val="000000"/>
          <w:sz w:val="22"/>
          <w:szCs w:val="22"/>
          <w:rtl/>
        </w:rPr>
        <w:t>אברהם אליקים 54678313</w:t>
      </w:r>
    </w:p>
    <w:p w14:paraId="02DF595E" w14:textId="77777777" w:rsidR="000844AB" w:rsidRDefault="000844AB" w:rsidP="000844AB">
      <w:pPr>
        <w:pStyle w:val="a3"/>
        <w:spacing w:line="360" w:lineRule="auto"/>
        <w:rPr>
          <w:rtl/>
        </w:rPr>
      </w:pPr>
      <w:r w:rsidRPr="000844AB">
        <w:rPr>
          <w:color w:val="000000"/>
          <w:rtl/>
        </w:rPr>
        <w:t>נוסח מסמך זה כפוף לשינויי ניסוח ועריכה</w:t>
      </w:r>
    </w:p>
    <w:p w14:paraId="4D742FDB" w14:textId="77777777" w:rsidR="000844AB" w:rsidRDefault="000844AB" w:rsidP="000844AB">
      <w:pPr>
        <w:pStyle w:val="a3"/>
        <w:spacing w:line="360" w:lineRule="auto"/>
        <w:rPr>
          <w:rtl/>
        </w:rPr>
      </w:pPr>
    </w:p>
    <w:p w14:paraId="7D5CD40D" w14:textId="77777777" w:rsidR="000844AB" w:rsidRDefault="000844AB" w:rsidP="000844AB">
      <w:pPr>
        <w:pStyle w:val="a3"/>
        <w:spacing w:line="360" w:lineRule="auto"/>
        <w:jc w:val="center"/>
        <w:rPr>
          <w:color w:val="0000FF"/>
          <w:u w:val="single"/>
          <w:rtl/>
        </w:rPr>
      </w:pPr>
      <w:hyperlink r:id="rId36" w:history="1">
        <w:r>
          <w:rPr>
            <w:color w:val="0000FF"/>
            <w:u w:val="single"/>
            <w:rtl/>
          </w:rPr>
          <w:t>בעניין עריכה ושינויים במסמכי פסיקה, חקיקה ועוד באתר נבו – הקש כאן</w:t>
        </w:r>
      </w:hyperlink>
    </w:p>
    <w:p w14:paraId="6D3FF25A" w14:textId="77777777" w:rsidR="000844AB" w:rsidRPr="000844AB" w:rsidRDefault="000844AB" w:rsidP="000844AB">
      <w:pPr>
        <w:pStyle w:val="a3"/>
        <w:spacing w:line="360" w:lineRule="auto"/>
        <w:jc w:val="center"/>
        <w:rPr>
          <w:color w:val="0000FF"/>
          <w:u w:val="single"/>
          <w:rtl/>
        </w:rPr>
      </w:pPr>
    </w:p>
    <w:sectPr w:rsidR="000844AB" w:rsidRPr="000844AB" w:rsidSect="000844AB">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C1D16" w14:textId="77777777" w:rsidR="00F90AD7" w:rsidRDefault="00F90AD7">
      <w:r>
        <w:separator/>
      </w:r>
    </w:p>
  </w:endnote>
  <w:endnote w:type="continuationSeparator" w:id="0">
    <w:p w14:paraId="53E1E254" w14:textId="77777777" w:rsidR="00F90AD7" w:rsidRDefault="00F9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A01CD" w14:textId="77777777" w:rsidR="000844AB" w:rsidRDefault="000844AB" w:rsidP="00084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03CEB9" w14:textId="77777777" w:rsidR="00065B2C" w:rsidRPr="000844AB" w:rsidRDefault="000844AB" w:rsidP="00084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3943F" w14:textId="77777777" w:rsidR="000844AB" w:rsidRDefault="000844AB" w:rsidP="00084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53ED">
      <w:rPr>
        <w:rFonts w:ascii="FrankRuehl" w:hAnsi="FrankRuehl" w:cs="FrankRuehl"/>
        <w:noProof/>
        <w:rtl/>
      </w:rPr>
      <w:t>1</w:t>
    </w:r>
    <w:r>
      <w:rPr>
        <w:rFonts w:ascii="FrankRuehl" w:hAnsi="FrankRuehl" w:cs="FrankRuehl"/>
        <w:rtl/>
      </w:rPr>
      <w:fldChar w:fldCharType="end"/>
    </w:r>
  </w:p>
  <w:p w14:paraId="367B1FF6" w14:textId="77777777" w:rsidR="00065B2C" w:rsidRPr="000844AB" w:rsidRDefault="000844AB" w:rsidP="00084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3A4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BEA70" w14:textId="77777777" w:rsidR="00F90AD7" w:rsidRDefault="00F90AD7">
      <w:r>
        <w:separator/>
      </w:r>
    </w:p>
  </w:footnote>
  <w:footnote w:type="continuationSeparator" w:id="0">
    <w:p w14:paraId="7A91FA1F" w14:textId="77777777" w:rsidR="00F90AD7" w:rsidRDefault="00F90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E0176" w14:textId="77777777" w:rsidR="000844AB" w:rsidRPr="000844AB" w:rsidRDefault="000844AB" w:rsidP="0008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17860-01-19</w:t>
    </w:r>
    <w:r>
      <w:rPr>
        <w:rFonts w:ascii="David" w:hAnsi="David"/>
        <w:color w:val="000000"/>
        <w:sz w:val="22"/>
        <w:szCs w:val="22"/>
        <w:rtl/>
      </w:rPr>
      <w:tab/>
      <w:t xml:space="preserve"> מדינת ישראל נ' תאופיק צביחאת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E06B3" w14:textId="77777777" w:rsidR="00065B2C" w:rsidRPr="000844AB" w:rsidRDefault="000844AB" w:rsidP="0008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17860-01-19</w:t>
    </w:r>
    <w:r>
      <w:rPr>
        <w:rFonts w:ascii="David" w:hAnsi="David"/>
        <w:color w:val="000000"/>
        <w:sz w:val="22"/>
        <w:szCs w:val="22"/>
        <w:rtl/>
      </w:rPr>
      <w:tab/>
      <w:t xml:space="preserve"> מדינת ישראל נ' תאופיק צביחאת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1CE03E9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38836102">
    <w:abstractNumId w:val="3"/>
  </w:num>
  <w:num w:numId="2" w16cid:durableId="1633905570">
    <w:abstractNumId w:val="2"/>
  </w:num>
  <w:num w:numId="3" w16cid:durableId="172228825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372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121D7"/>
    <w:rsid w:val="00031F8A"/>
    <w:rsid w:val="0004104C"/>
    <w:rsid w:val="00054FC4"/>
    <w:rsid w:val="00065B2C"/>
    <w:rsid w:val="0006726A"/>
    <w:rsid w:val="000844AB"/>
    <w:rsid w:val="000A4B24"/>
    <w:rsid w:val="00100577"/>
    <w:rsid w:val="00141877"/>
    <w:rsid w:val="001A7C4A"/>
    <w:rsid w:val="001F167B"/>
    <w:rsid w:val="00212125"/>
    <w:rsid w:val="002C5F85"/>
    <w:rsid w:val="002D6C61"/>
    <w:rsid w:val="002E4AAA"/>
    <w:rsid w:val="00335096"/>
    <w:rsid w:val="0034361A"/>
    <w:rsid w:val="0036671D"/>
    <w:rsid w:val="00367565"/>
    <w:rsid w:val="00372CDF"/>
    <w:rsid w:val="003C552B"/>
    <w:rsid w:val="003E0C9F"/>
    <w:rsid w:val="003E1BD6"/>
    <w:rsid w:val="004215DC"/>
    <w:rsid w:val="00423818"/>
    <w:rsid w:val="00444AB1"/>
    <w:rsid w:val="00507694"/>
    <w:rsid w:val="005330ED"/>
    <w:rsid w:val="005C7B0B"/>
    <w:rsid w:val="005D3187"/>
    <w:rsid w:val="00683ABD"/>
    <w:rsid w:val="00684E84"/>
    <w:rsid w:val="00694516"/>
    <w:rsid w:val="006A6355"/>
    <w:rsid w:val="006E2145"/>
    <w:rsid w:val="006E53ED"/>
    <w:rsid w:val="007228E4"/>
    <w:rsid w:val="00757983"/>
    <w:rsid w:val="007A24DD"/>
    <w:rsid w:val="007D46DD"/>
    <w:rsid w:val="008074D3"/>
    <w:rsid w:val="008163E6"/>
    <w:rsid w:val="00821F29"/>
    <w:rsid w:val="00832D73"/>
    <w:rsid w:val="00892040"/>
    <w:rsid w:val="009140AC"/>
    <w:rsid w:val="00971D85"/>
    <w:rsid w:val="009E35A7"/>
    <w:rsid w:val="009E49A1"/>
    <w:rsid w:val="009F504D"/>
    <w:rsid w:val="00A17744"/>
    <w:rsid w:val="00A504C4"/>
    <w:rsid w:val="00A629B3"/>
    <w:rsid w:val="00A80225"/>
    <w:rsid w:val="00AB2708"/>
    <w:rsid w:val="00AF41B1"/>
    <w:rsid w:val="00B05847"/>
    <w:rsid w:val="00B22E0A"/>
    <w:rsid w:val="00B6192D"/>
    <w:rsid w:val="00BB4D66"/>
    <w:rsid w:val="00BB5887"/>
    <w:rsid w:val="00BD67E7"/>
    <w:rsid w:val="00BE0015"/>
    <w:rsid w:val="00BF2253"/>
    <w:rsid w:val="00C02463"/>
    <w:rsid w:val="00C55E62"/>
    <w:rsid w:val="00C572E8"/>
    <w:rsid w:val="00C7713B"/>
    <w:rsid w:val="00CE4CEE"/>
    <w:rsid w:val="00D202F4"/>
    <w:rsid w:val="00D3203D"/>
    <w:rsid w:val="00D4458B"/>
    <w:rsid w:val="00DD1844"/>
    <w:rsid w:val="00E70F9C"/>
    <w:rsid w:val="00E76031"/>
    <w:rsid w:val="00F75AFC"/>
    <w:rsid w:val="00F83D71"/>
    <w:rsid w:val="00F90AD7"/>
    <w:rsid w:val="00FF3A1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06230C"/>
  <w15:chartTrackingRefBased/>
  <w15:docId w15:val="{C58FD31D-E4C8-407B-BF05-206D0E67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character" w:styleId="a6">
    <w:name w:val="annotation reference"/>
    <w:semiHidden/>
    <w:rPr>
      <w:rFonts w:cs="Times New Roman"/>
      <w:sz w:val="16"/>
      <w:szCs w:val="16"/>
    </w:rPr>
  </w:style>
  <w:style w:type="paragraph" w:styleId="a7">
    <w:name w:val="annotation text"/>
    <w:basedOn w:val="a"/>
    <w:semiHidden/>
    <w:rPr>
      <w:rFonts w:cs="Times New Roman"/>
      <w:lang w:eastAsia="he-IL"/>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customStyle="1" w:styleId="a4">
    <w:name w:val="כותרת עליונה תו"/>
    <w:link w:val="a3"/>
    <w:locked/>
    <w:rsid w:val="000121D7"/>
    <w:rPr>
      <w:rFonts w:cs="David"/>
      <w:sz w:val="24"/>
      <w:szCs w:val="24"/>
    </w:rPr>
  </w:style>
  <w:style w:type="paragraph" w:customStyle="1" w:styleId="12">
    <w:name w:val="רגיל + ‏12 נק'"/>
    <w:aliases w:val="מיושר לשני הצדדים,מרווח בין שורות:  שורה וחצי"/>
    <w:basedOn w:val="a"/>
    <w:rsid w:val="000121D7"/>
    <w:rPr>
      <w:b/>
      <w:bCs/>
      <w:u w:val="single"/>
    </w:rPr>
  </w:style>
  <w:style w:type="paragraph" w:styleId="ab">
    <w:name w:val="List Paragraph"/>
    <w:basedOn w:val="a"/>
    <w:qFormat/>
    <w:rsid w:val="00A80225"/>
    <w:pPr>
      <w:ind w:left="720"/>
      <w:contextualSpacing/>
    </w:pPr>
    <w:rPr>
      <w:rFonts w:ascii="Arial" w:hAnsi="Arial" w:cs="FrankRuehl"/>
      <w:szCs w:val="28"/>
    </w:rPr>
  </w:style>
  <w:style w:type="character" w:customStyle="1" w:styleId="Ruller4">
    <w:name w:val="Ruller4 תו"/>
    <w:link w:val="Ruller40"/>
    <w:locked/>
    <w:rsid w:val="00A80225"/>
    <w:rPr>
      <w:rFonts w:ascii="Arial TUR" w:hAnsi="Arial TUR" w:cs="FrankRuehl"/>
      <w:spacing w:val="10"/>
      <w:sz w:val="28"/>
      <w:szCs w:val="28"/>
    </w:rPr>
  </w:style>
  <w:style w:type="paragraph" w:customStyle="1" w:styleId="Ruller40">
    <w:name w:val="Ruller4"/>
    <w:basedOn w:val="a"/>
    <w:link w:val="Ruller4"/>
    <w:rsid w:val="00A80225"/>
    <w:pPr>
      <w:tabs>
        <w:tab w:val="left" w:pos="800"/>
      </w:tabs>
      <w:overflowPunct w:val="0"/>
      <w:adjustRightInd w:val="0"/>
      <w:spacing w:line="360" w:lineRule="auto"/>
      <w:jc w:val="both"/>
    </w:pPr>
    <w:rPr>
      <w:rFonts w:ascii="Arial TUR" w:hAnsi="Arial TUR" w:cs="FrankRuehl"/>
      <w:spacing w:val="10"/>
      <w:sz w:val="22"/>
      <w:szCs w:val="28"/>
    </w:rPr>
  </w:style>
  <w:style w:type="paragraph" w:customStyle="1" w:styleId="2">
    <w:name w:val="פיסקת רשימה2"/>
    <w:basedOn w:val="a"/>
    <w:rsid w:val="00A80225"/>
    <w:pPr>
      <w:ind w:left="720"/>
      <w:contextualSpacing/>
    </w:pPr>
  </w:style>
  <w:style w:type="paragraph" w:customStyle="1" w:styleId="3">
    <w:name w:val="פיסקת רשימה3"/>
    <w:basedOn w:val="a"/>
    <w:rsid w:val="00A80225"/>
    <w:pPr>
      <w:ind w:left="720"/>
      <w:contextualSpacing/>
    </w:pPr>
  </w:style>
  <w:style w:type="paragraph" w:customStyle="1" w:styleId="ruller41">
    <w:name w:val="ruller4"/>
    <w:basedOn w:val="a"/>
    <w:rsid w:val="00A80225"/>
    <w:pPr>
      <w:bidi w:val="0"/>
      <w:spacing w:after="150"/>
    </w:pPr>
    <w:rPr>
      <w:rFonts w:cs="Times New Roman"/>
    </w:rPr>
  </w:style>
  <w:style w:type="character" w:styleId="Hyperlink">
    <w:name w:val="Hyperlink"/>
    <w:semiHidden/>
    <w:rsid w:val="00A8022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5878682" TargetMode="External"/><Relationship Id="rId39" Type="http://schemas.openxmlformats.org/officeDocument/2006/relationships/footer" Target="footer1.xml"/><Relationship Id="rId21" Type="http://schemas.openxmlformats.org/officeDocument/2006/relationships/hyperlink" Target="http://www.nevo.co.il/case/22006503" TargetMode="External"/><Relationship Id="rId34" Type="http://schemas.openxmlformats.org/officeDocument/2006/relationships/hyperlink" Target="http://www.nevo.co.il/law/70301/40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b" TargetMode="External"/><Relationship Id="rId20" Type="http://schemas.openxmlformats.org/officeDocument/2006/relationships/hyperlink" Target="http://www.nevo.co.il/law/70301/144.a" TargetMode="External"/><Relationship Id="rId29" Type="http://schemas.openxmlformats.org/officeDocument/2006/relationships/hyperlink" Target="http://www.nevo.co.il/case/6151556"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i" TargetMode="External"/><Relationship Id="rId24" Type="http://schemas.openxmlformats.org/officeDocument/2006/relationships/hyperlink" Target="http://www.nevo.co.il/case/21474168" TargetMode="External"/><Relationship Id="rId32" Type="http://schemas.openxmlformats.org/officeDocument/2006/relationships/hyperlink" Target="http://www.nevo.co.il/case/2543801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779149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40g"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40i" TargetMode="External"/><Relationship Id="rId4" Type="http://schemas.openxmlformats.org/officeDocument/2006/relationships/settings" Target="settings.xml"/><Relationship Id="rId9" Type="http://schemas.openxmlformats.org/officeDocument/2006/relationships/hyperlink" Target="http://www.nevo.co.il/law/70301/40b"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5612982" TargetMode="External"/><Relationship Id="rId27" Type="http://schemas.openxmlformats.org/officeDocument/2006/relationships/hyperlink" Target="http://www.nevo.co.il/case/5859902" TargetMode="External"/><Relationship Id="rId30" Type="http://schemas.openxmlformats.org/officeDocument/2006/relationships/hyperlink" Target="http://www.nevo.co.il/case/20446658" TargetMode="External"/><Relationship Id="rId35" Type="http://schemas.openxmlformats.org/officeDocument/2006/relationships/hyperlink" Target="http://www.nevo.co.il/case/25824863" TargetMode="Externa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509035" TargetMode="External"/><Relationship Id="rId33" Type="http://schemas.openxmlformats.org/officeDocument/2006/relationships/hyperlink" Target="http://www.nevo.co.il/law/70301/40j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2774</Words>
  <Characters>13874</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16615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6619233</vt:i4>
      </vt:variant>
      <vt:variant>
        <vt:i4>78</vt:i4>
      </vt:variant>
      <vt:variant>
        <vt:i4>0</vt:i4>
      </vt:variant>
      <vt:variant>
        <vt:i4>5</vt:i4>
      </vt:variant>
      <vt:variant>
        <vt:lpwstr>http://www.nevo.co.il/law/70301/40g</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4128882</vt:i4>
      </vt:variant>
      <vt:variant>
        <vt:i4>72</vt:i4>
      </vt:variant>
      <vt:variant>
        <vt:i4>0</vt:i4>
      </vt:variant>
      <vt:variant>
        <vt:i4>5</vt:i4>
      </vt:variant>
      <vt:variant>
        <vt:lpwstr>http://www.nevo.co.il/case/25438016</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3473526</vt:i4>
      </vt:variant>
      <vt:variant>
        <vt:i4>66</vt:i4>
      </vt:variant>
      <vt:variant>
        <vt:i4>0</vt:i4>
      </vt:variant>
      <vt:variant>
        <vt:i4>5</vt:i4>
      </vt:variant>
      <vt:variant>
        <vt:lpwstr>http://www.nevo.co.il/case/20446658</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3866741</vt:i4>
      </vt:variant>
      <vt:variant>
        <vt:i4>57</vt:i4>
      </vt:variant>
      <vt:variant>
        <vt:i4>0</vt:i4>
      </vt:variant>
      <vt:variant>
        <vt:i4>5</vt:i4>
      </vt:variant>
      <vt:variant>
        <vt:lpwstr>http://www.nevo.co.il/case/5859902</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3997815</vt:i4>
      </vt:variant>
      <vt:variant>
        <vt:i4>51</vt:i4>
      </vt:variant>
      <vt:variant>
        <vt:i4>0</vt:i4>
      </vt:variant>
      <vt:variant>
        <vt:i4>5</vt:i4>
      </vt:variant>
      <vt:variant>
        <vt:lpwstr>http://www.nevo.co.il/case/23509035</vt:lpwstr>
      </vt:variant>
      <vt:variant>
        <vt:lpwstr/>
      </vt:variant>
      <vt:variant>
        <vt:i4>3407987</vt:i4>
      </vt:variant>
      <vt:variant>
        <vt:i4>48</vt:i4>
      </vt:variant>
      <vt:variant>
        <vt:i4>0</vt:i4>
      </vt:variant>
      <vt:variant>
        <vt:i4>5</vt:i4>
      </vt:variant>
      <vt:variant>
        <vt:lpwstr>http://www.nevo.co.il/case/21474168</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17860</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תאופיק צביחאת</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20191117</vt:lpwstr>
  </property>
  <property fmtid="{D5CDD505-2E9C-101B-9397-08002B2CF9AE}" pid="13" name="TYPE_N_DATE">
    <vt:lpwstr>39020191117</vt:lpwstr>
  </property>
  <property fmtid="{D5CDD505-2E9C-101B-9397-08002B2CF9AE}" pid="14" name="WORDNUMPAGES">
    <vt:lpwstr>10</vt:lpwstr>
  </property>
  <property fmtid="{D5CDD505-2E9C-101B-9397-08002B2CF9AE}" pid="15" name="TYPE_ABS_DATE">
    <vt:lpwstr>390020191117</vt:lpwstr>
  </property>
  <property fmtid="{D5CDD505-2E9C-101B-9397-08002B2CF9AE}" pid="16" name="ISABSTRACT">
    <vt:lpwstr>Y</vt:lpwstr>
  </property>
  <property fmtid="{D5CDD505-2E9C-101B-9397-08002B2CF9AE}" pid="17" name="CASESLISTTMP1">
    <vt:lpwstr>22006503;25612982;6000182;21474168;23509035;5878682;5859902;7791493;6151556;20446658;25438016;25824863</vt:lpwstr>
  </property>
  <property fmtid="{D5CDD505-2E9C-101B-9397-08002B2CF9AE}" pid="18" name="LAWLISTTMP1">
    <vt:lpwstr>70301/144.a:2;144.b:2;040b;040i;40ja;040g</vt:lpwstr>
  </property>
</Properties>
</file>