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E17123" w:rsidRPr="00431D40" w14:paraId="2DAFBEF5" w14:textId="77777777" w:rsidTr="0060724D">
        <w:trPr>
          <w:trHeight w:hRule="exact" w:val="704"/>
          <w:jc w:val="center"/>
        </w:trPr>
        <w:tc>
          <w:tcPr>
            <w:tcW w:w="8523" w:type="dxa"/>
          </w:tcPr>
          <w:p w14:paraId="75A74930" w14:textId="77777777" w:rsidR="00E17123" w:rsidRPr="00431D40" w:rsidRDefault="00E17123" w:rsidP="004C4140">
            <w:pPr>
              <w:pStyle w:val="a3"/>
              <w:jc w:val="center"/>
              <w:rPr>
                <w:rFonts w:ascii="Tahoma" w:hAnsi="Tahoma"/>
                <w:noProof w:val="0"/>
                <w:color w:val="000080"/>
                <w:sz w:val="32"/>
                <w:szCs w:val="32"/>
                <w:rtl/>
              </w:rPr>
            </w:pPr>
            <w:bookmarkStart w:id="0" w:name="FirstLawyer"/>
            <w:bookmarkStart w:id="1" w:name="LastJudge"/>
            <w:r w:rsidRPr="00431D40">
              <w:rPr>
                <w:rFonts w:ascii="Tahoma" w:hAnsi="Tahoma"/>
                <w:color w:val="000080"/>
                <w:sz w:val="32"/>
                <w:szCs w:val="32"/>
                <w:rtl/>
              </w:rPr>
              <w:t>בית המשפט המחוזי בבאר שבע</w:t>
            </w:r>
          </w:p>
        </w:tc>
      </w:tr>
      <w:tr w:rsidR="00E17123" w:rsidRPr="00431D40" w14:paraId="6C392C2F" w14:textId="77777777" w:rsidTr="0060724D">
        <w:trPr>
          <w:trHeight w:val="337"/>
          <w:jc w:val="center"/>
        </w:trPr>
        <w:tc>
          <w:tcPr>
            <w:tcW w:w="8523" w:type="dxa"/>
          </w:tcPr>
          <w:p w14:paraId="4A3D950B" w14:textId="77777777" w:rsidR="00E17123" w:rsidRPr="00431D40" w:rsidRDefault="00E17123" w:rsidP="004C4140">
            <w:pPr>
              <w:rPr>
                <w:b/>
                <w:bCs/>
                <w:noProof w:val="0"/>
                <w:sz w:val="26"/>
                <w:szCs w:val="26"/>
                <w:rtl/>
              </w:rPr>
            </w:pPr>
            <w:r w:rsidRPr="00431D40">
              <w:rPr>
                <w:b/>
                <w:bCs/>
                <w:noProof w:val="0"/>
                <w:sz w:val="26"/>
                <w:szCs w:val="26"/>
                <w:rtl/>
              </w:rPr>
              <w:t>ת"פ 23872-02-19 מדינת ישראל נ' אלנמר</w:t>
            </w:r>
          </w:p>
          <w:p w14:paraId="378BB13F" w14:textId="77777777" w:rsidR="00E17123" w:rsidRPr="00431D40" w:rsidRDefault="00E17123" w:rsidP="004C4140">
            <w:pPr>
              <w:rPr>
                <w:b/>
                <w:bCs/>
                <w:noProof w:val="0"/>
                <w:sz w:val="2"/>
                <w:szCs w:val="2"/>
                <w:rtl/>
              </w:rPr>
            </w:pPr>
          </w:p>
          <w:p w14:paraId="051B8718" w14:textId="77777777" w:rsidR="00E17123" w:rsidRPr="00431D40" w:rsidRDefault="00E17123" w:rsidP="004C4140">
            <w:pPr>
              <w:rPr>
                <w:sz w:val="20"/>
                <w:szCs w:val="20"/>
                <w:rtl/>
              </w:rPr>
            </w:pPr>
            <w:r w:rsidRPr="00431D40">
              <w:rPr>
                <w:rFonts w:hint="cs"/>
                <w:rtl/>
              </w:rPr>
              <w:t xml:space="preserve">                           </w:t>
            </w:r>
            <w:r w:rsidRPr="00431D40">
              <w:rPr>
                <w:rFonts w:hint="cs"/>
                <w:sz w:val="20"/>
                <w:szCs w:val="20"/>
                <w:rtl/>
              </w:rPr>
              <w:t xml:space="preserve">                                       </w:t>
            </w:r>
          </w:p>
          <w:p w14:paraId="0C1A68F5" w14:textId="77777777" w:rsidR="00E17123" w:rsidRPr="00431D40" w:rsidRDefault="00E17123" w:rsidP="004C4140">
            <w:pPr>
              <w:rPr>
                <w:sz w:val="20"/>
                <w:szCs w:val="20"/>
                <w:rtl/>
              </w:rPr>
            </w:pPr>
            <w:r w:rsidRPr="00431D40">
              <w:rPr>
                <w:rFonts w:hint="cs"/>
                <w:sz w:val="20"/>
                <w:szCs w:val="20"/>
                <w:rtl/>
              </w:rPr>
              <w:t xml:space="preserve">תיק חיצוני: </w:t>
            </w:r>
            <w:r w:rsidRPr="00431D40">
              <w:rPr>
                <w:rFonts w:hint="eastAsia"/>
                <w:sz w:val="20"/>
                <w:szCs w:val="20"/>
              </w:rPr>
              <w:t>30197/2019</w:t>
            </w:r>
            <w:r w:rsidRPr="00431D40">
              <w:rPr>
                <w:rFonts w:hint="cs"/>
                <w:sz w:val="20"/>
                <w:szCs w:val="20"/>
                <w:rtl/>
              </w:rPr>
              <w:t xml:space="preserve"> </w:t>
            </w:r>
            <w:r w:rsidRPr="00431D40">
              <w:rPr>
                <w:sz w:val="20"/>
                <w:szCs w:val="20"/>
                <w:rtl/>
              </w:rPr>
              <w:t xml:space="preserve">  </w:t>
            </w:r>
          </w:p>
        </w:tc>
      </w:tr>
    </w:tbl>
    <w:p w14:paraId="6860F537" w14:textId="77777777" w:rsidR="00E17123" w:rsidRPr="00431D40" w:rsidRDefault="00E17123" w:rsidP="00E17123">
      <w:pPr>
        <w:pStyle w:val="a3"/>
        <w:rPr>
          <w:noProof w:val="0"/>
          <w:rtl/>
        </w:rPr>
      </w:pPr>
      <w:r w:rsidRPr="00431D40">
        <w:rPr>
          <w:noProof w:val="0"/>
          <w:rtl/>
        </w:rPr>
        <w:t xml:space="preserve"> </w:t>
      </w:r>
    </w:p>
    <w:p w14:paraId="6AAC3FC8" w14:textId="77777777" w:rsidR="00E17123" w:rsidRPr="00431D40" w:rsidRDefault="00E17123" w:rsidP="00E17123">
      <w:pPr>
        <w:suppressLineNumbers/>
        <w:rPr>
          <w:rtl/>
        </w:rPr>
      </w:pPr>
    </w:p>
    <w:p w14:paraId="6D17BEB6" w14:textId="77777777" w:rsidR="00E17123" w:rsidRPr="00431D40" w:rsidRDefault="00E17123" w:rsidP="00E17123">
      <w:pPr>
        <w:suppressLineNumbers/>
        <w:rPr>
          <w:rtl/>
        </w:rPr>
      </w:pPr>
      <w:r w:rsidRPr="00431D40">
        <w:rPr>
          <w:rtl/>
        </w:rPr>
        <w:t xml:space="preserve"> </w:t>
      </w:r>
    </w:p>
    <w:tbl>
      <w:tblPr>
        <w:bidiVisual/>
        <w:tblW w:w="8820" w:type="dxa"/>
        <w:jc w:val="center"/>
        <w:tblLook w:val="01E0" w:firstRow="1" w:lastRow="1" w:firstColumn="1" w:lastColumn="1" w:noHBand="0" w:noVBand="0"/>
      </w:tblPr>
      <w:tblGrid>
        <w:gridCol w:w="743"/>
        <w:gridCol w:w="2506"/>
        <w:gridCol w:w="5571"/>
      </w:tblGrid>
      <w:tr w:rsidR="00E17123" w:rsidRPr="00431D40" w14:paraId="2FA378A9" w14:textId="77777777" w:rsidTr="00E17123">
        <w:trPr>
          <w:jc w:val="center"/>
        </w:trPr>
        <w:tc>
          <w:tcPr>
            <w:tcW w:w="743" w:type="dxa"/>
            <w:shd w:val="clear" w:color="auto" w:fill="auto"/>
          </w:tcPr>
          <w:p w14:paraId="42FC2AE7" w14:textId="77777777" w:rsidR="00E17123" w:rsidRPr="00431D40" w:rsidRDefault="00E17123" w:rsidP="00E17123">
            <w:pPr>
              <w:suppressLineNumbers/>
              <w:jc w:val="both"/>
              <w:rPr>
                <w:rFonts w:ascii="Arial" w:hAnsi="Arial"/>
                <w:b/>
                <w:bCs/>
                <w:rtl/>
              </w:rPr>
            </w:pPr>
            <w:r w:rsidRPr="00431D40">
              <w:rPr>
                <w:rFonts w:ascii="Arial" w:hAnsi="Arial" w:hint="cs"/>
                <w:b/>
                <w:bCs/>
                <w:rtl/>
              </w:rPr>
              <w:t>ב</w:t>
            </w:r>
            <w:r w:rsidRPr="00431D40">
              <w:rPr>
                <w:rFonts w:ascii="Arial" w:hAnsi="Arial"/>
                <w:b/>
                <w:bCs/>
                <w:rtl/>
              </w:rPr>
              <w:t xml:space="preserve">פני </w:t>
            </w:r>
          </w:p>
        </w:tc>
        <w:tc>
          <w:tcPr>
            <w:tcW w:w="8077" w:type="dxa"/>
            <w:gridSpan w:val="2"/>
            <w:shd w:val="clear" w:color="auto" w:fill="auto"/>
          </w:tcPr>
          <w:p w14:paraId="5F06B137" w14:textId="77777777" w:rsidR="00E17123" w:rsidRPr="00431D40" w:rsidRDefault="00E17123" w:rsidP="00E17123">
            <w:pPr>
              <w:suppressLineNumbers/>
              <w:rPr>
                <w:rFonts w:ascii="Arial" w:hAnsi="Arial"/>
                <w:b/>
                <w:bCs/>
                <w:rtl/>
              </w:rPr>
            </w:pPr>
            <w:r w:rsidRPr="00431D40">
              <w:rPr>
                <w:rFonts w:ascii="Arial" w:hAnsi="Arial" w:hint="cs"/>
                <w:b/>
                <w:bCs/>
                <w:rtl/>
              </w:rPr>
              <w:t>כבוד ה</w:t>
            </w:r>
            <w:r w:rsidRPr="00431D40">
              <w:rPr>
                <w:rFonts w:ascii="Arial" w:hAnsi="Arial"/>
                <w:b/>
                <w:bCs/>
                <w:rtl/>
              </w:rPr>
              <w:t>שופט</w:t>
            </w:r>
            <w:r w:rsidRPr="00431D40">
              <w:rPr>
                <w:rFonts w:ascii="Arial" w:hAnsi="Arial" w:hint="cs"/>
                <w:b/>
                <w:bCs/>
                <w:rtl/>
              </w:rPr>
              <w:t xml:space="preserve"> </w:t>
            </w:r>
            <w:r w:rsidRPr="00431D40">
              <w:rPr>
                <w:rFonts w:ascii="Arial" w:hAnsi="Arial"/>
                <w:b/>
                <w:bCs/>
                <w:rtl/>
              </w:rPr>
              <w:t>יובל ליבדרו</w:t>
            </w:r>
          </w:p>
          <w:p w14:paraId="1EC967E5" w14:textId="77777777" w:rsidR="00E17123" w:rsidRPr="00431D40" w:rsidRDefault="00E17123" w:rsidP="00E17123">
            <w:pPr>
              <w:suppressLineNumbers/>
              <w:rPr>
                <w:rFonts w:ascii="Arial" w:hAnsi="Arial" w:cs="FrankRuehl"/>
                <w:sz w:val="28"/>
                <w:szCs w:val="28"/>
                <w:highlight w:val="yellow"/>
              </w:rPr>
            </w:pPr>
          </w:p>
        </w:tc>
      </w:tr>
      <w:tr w:rsidR="00E17123" w:rsidRPr="00431D40" w14:paraId="3ED54716" w14:textId="77777777" w:rsidTr="00E17123">
        <w:trPr>
          <w:jc w:val="center"/>
        </w:trPr>
        <w:tc>
          <w:tcPr>
            <w:tcW w:w="3249" w:type="dxa"/>
            <w:gridSpan w:val="2"/>
            <w:shd w:val="clear" w:color="auto" w:fill="auto"/>
          </w:tcPr>
          <w:p w14:paraId="2D58B546" w14:textId="77777777" w:rsidR="00E17123" w:rsidRPr="00431D40" w:rsidRDefault="00E17123" w:rsidP="00E17123">
            <w:pPr>
              <w:suppressLineNumbers/>
              <w:rPr>
                <w:rFonts w:ascii="Arial" w:hAnsi="Arial"/>
                <w:b/>
                <w:bCs/>
                <w:noProof w:val="0"/>
                <w:sz w:val="26"/>
                <w:szCs w:val="26"/>
              </w:rPr>
            </w:pPr>
            <w:bookmarkStart w:id="2" w:name="FirstAppellant"/>
          </w:p>
          <w:p w14:paraId="3F2F1C04" w14:textId="77777777" w:rsidR="00E17123" w:rsidRPr="00431D40" w:rsidRDefault="00E17123" w:rsidP="00E17123">
            <w:pPr>
              <w:suppressLineNumbers/>
              <w:rPr>
                <w:rFonts w:ascii="Arial" w:hAnsi="Arial"/>
                <w:b/>
                <w:bCs/>
                <w:noProof w:val="0"/>
                <w:sz w:val="26"/>
                <w:szCs w:val="26"/>
                <w:rtl/>
              </w:rPr>
            </w:pPr>
            <w:r w:rsidRPr="00431D40">
              <w:rPr>
                <w:rFonts w:ascii="Arial" w:hAnsi="Arial" w:hint="cs"/>
                <w:b/>
                <w:bCs/>
                <w:noProof w:val="0"/>
                <w:sz w:val="26"/>
                <w:szCs w:val="26"/>
                <w:rtl/>
              </w:rPr>
              <w:t>ה</w:t>
            </w:r>
            <w:r w:rsidRPr="00431D40">
              <w:rPr>
                <w:rFonts w:ascii="Arial" w:hAnsi="Arial"/>
                <w:b/>
                <w:bCs/>
                <w:noProof w:val="0"/>
                <w:sz w:val="26"/>
                <w:szCs w:val="26"/>
                <w:rtl/>
              </w:rPr>
              <w:t>מאשימה</w:t>
            </w:r>
            <w:r w:rsidRPr="00431D40">
              <w:rPr>
                <w:rFonts w:ascii="Arial" w:hAnsi="Arial" w:hint="cs"/>
                <w:b/>
                <w:bCs/>
                <w:noProof w:val="0"/>
                <w:sz w:val="26"/>
                <w:szCs w:val="26"/>
                <w:rtl/>
              </w:rPr>
              <w:t>:</w:t>
            </w:r>
          </w:p>
        </w:tc>
        <w:tc>
          <w:tcPr>
            <w:tcW w:w="5571" w:type="dxa"/>
            <w:shd w:val="clear" w:color="auto" w:fill="auto"/>
          </w:tcPr>
          <w:p w14:paraId="0D529A46" w14:textId="77777777" w:rsidR="00E17123" w:rsidRPr="00431D40" w:rsidRDefault="00E17123" w:rsidP="00E17123">
            <w:pPr>
              <w:suppressLineNumbers/>
              <w:rPr>
                <w:rFonts w:ascii="Arial" w:hAnsi="Arial"/>
                <w:bCs/>
                <w:noProof w:val="0"/>
                <w:sz w:val="26"/>
                <w:szCs w:val="26"/>
                <w:rtl/>
              </w:rPr>
            </w:pPr>
          </w:p>
          <w:p w14:paraId="34F53A95" w14:textId="77777777" w:rsidR="00E17123" w:rsidRPr="00431D40" w:rsidRDefault="00E17123" w:rsidP="00E17123">
            <w:pPr>
              <w:suppressLineNumbers/>
              <w:rPr>
                <w:bCs/>
                <w:noProof w:val="0"/>
                <w:sz w:val="26"/>
                <w:szCs w:val="26"/>
              </w:rPr>
            </w:pPr>
            <w:r w:rsidRPr="00431D40">
              <w:rPr>
                <w:rFonts w:ascii="Arial" w:hAnsi="Arial"/>
                <w:bCs/>
                <w:noProof w:val="0"/>
                <w:sz w:val="26"/>
                <w:szCs w:val="26"/>
                <w:rtl/>
              </w:rPr>
              <w:t>מדינת ישראל</w:t>
            </w:r>
            <w:r w:rsidRPr="00431D40">
              <w:rPr>
                <w:rFonts w:hint="cs"/>
                <w:bCs/>
                <w:rtl/>
              </w:rPr>
              <w:t>- פמ"ד</w:t>
            </w:r>
            <w:r w:rsidRPr="00431D40">
              <w:rPr>
                <w:bCs/>
                <w:rtl/>
              </w:rPr>
              <w:br/>
            </w:r>
            <w:r w:rsidRPr="00431D40">
              <w:rPr>
                <w:rFonts w:hint="cs"/>
                <w:bCs/>
                <w:rtl/>
              </w:rPr>
              <w:t>ע"י ב"כ עו"ד רמי אלמכאוי</w:t>
            </w:r>
          </w:p>
        </w:tc>
      </w:tr>
      <w:bookmarkEnd w:id="2"/>
      <w:tr w:rsidR="00E17123" w:rsidRPr="00431D40" w14:paraId="69DA3C38" w14:textId="77777777" w:rsidTr="00E17123">
        <w:trPr>
          <w:jc w:val="center"/>
        </w:trPr>
        <w:tc>
          <w:tcPr>
            <w:tcW w:w="8820" w:type="dxa"/>
            <w:gridSpan w:val="3"/>
            <w:shd w:val="clear" w:color="auto" w:fill="auto"/>
          </w:tcPr>
          <w:p w14:paraId="1714F27C" w14:textId="77777777" w:rsidR="00E17123" w:rsidRPr="00431D40" w:rsidRDefault="00E17123" w:rsidP="00E17123">
            <w:pPr>
              <w:suppressLineNumbers/>
              <w:rPr>
                <w:rFonts w:ascii="Arial" w:hAnsi="Arial"/>
                <w:b/>
                <w:bCs/>
                <w:noProof w:val="0"/>
                <w:sz w:val="26"/>
                <w:szCs w:val="26"/>
                <w:rtl/>
              </w:rPr>
            </w:pPr>
          </w:p>
          <w:p w14:paraId="19A72A35" w14:textId="77777777" w:rsidR="00E17123" w:rsidRPr="00431D40" w:rsidRDefault="00E17123" w:rsidP="00E17123">
            <w:pPr>
              <w:suppressLineNumbers/>
              <w:jc w:val="center"/>
              <w:rPr>
                <w:rFonts w:ascii="Arial" w:hAnsi="Arial"/>
                <w:b/>
                <w:bCs/>
                <w:noProof w:val="0"/>
                <w:sz w:val="26"/>
                <w:szCs w:val="26"/>
                <w:rtl/>
              </w:rPr>
            </w:pPr>
            <w:r w:rsidRPr="00431D40">
              <w:rPr>
                <w:rFonts w:ascii="Arial" w:hAnsi="Arial"/>
                <w:b/>
                <w:bCs/>
                <w:noProof w:val="0"/>
                <w:sz w:val="26"/>
                <w:szCs w:val="26"/>
                <w:rtl/>
              </w:rPr>
              <w:t>נגד</w:t>
            </w:r>
          </w:p>
          <w:p w14:paraId="3D0AFEB5" w14:textId="77777777" w:rsidR="00E17123" w:rsidRPr="00431D40" w:rsidRDefault="00E17123" w:rsidP="00E17123">
            <w:pPr>
              <w:suppressLineNumbers/>
              <w:rPr>
                <w:rFonts w:ascii="Arial" w:hAnsi="Arial"/>
                <w:b/>
                <w:bCs/>
                <w:noProof w:val="0"/>
                <w:sz w:val="26"/>
                <w:szCs w:val="26"/>
              </w:rPr>
            </w:pPr>
          </w:p>
        </w:tc>
      </w:tr>
      <w:tr w:rsidR="00E17123" w:rsidRPr="00431D40" w14:paraId="2FD28630" w14:textId="77777777" w:rsidTr="00E17123">
        <w:trPr>
          <w:jc w:val="center"/>
        </w:trPr>
        <w:tc>
          <w:tcPr>
            <w:tcW w:w="3249" w:type="dxa"/>
            <w:gridSpan w:val="2"/>
            <w:shd w:val="clear" w:color="auto" w:fill="auto"/>
          </w:tcPr>
          <w:p w14:paraId="744521B5" w14:textId="77777777" w:rsidR="00E17123" w:rsidRPr="00431D40" w:rsidRDefault="00E17123" w:rsidP="00E17123">
            <w:pPr>
              <w:suppressLineNumbers/>
              <w:rPr>
                <w:rFonts w:ascii="Arial" w:hAnsi="Arial"/>
                <w:b/>
                <w:bCs/>
                <w:noProof w:val="0"/>
                <w:sz w:val="26"/>
                <w:szCs w:val="26"/>
              </w:rPr>
            </w:pPr>
            <w:r w:rsidRPr="00431D40">
              <w:rPr>
                <w:rFonts w:ascii="Arial" w:hAnsi="Arial" w:hint="cs"/>
                <w:b/>
                <w:bCs/>
                <w:noProof w:val="0"/>
                <w:sz w:val="26"/>
                <w:szCs w:val="26"/>
                <w:rtl/>
              </w:rPr>
              <w:t>ה</w:t>
            </w:r>
            <w:r w:rsidRPr="00431D40">
              <w:rPr>
                <w:rFonts w:ascii="Arial" w:hAnsi="Arial"/>
                <w:b/>
                <w:bCs/>
                <w:noProof w:val="0"/>
                <w:sz w:val="26"/>
                <w:szCs w:val="26"/>
                <w:rtl/>
              </w:rPr>
              <w:t>נאשם</w:t>
            </w:r>
            <w:r w:rsidRPr="00431D40">
              <w:rPr>
                <w:rFonts w:ascii="Arial" w:hAnsi="Arial" w:hint="cs"/>
                <w:b/>
                <w:bCs/>
                <w:noProof w:val="0"/>
                <w:sz w:val="26"/>
                <w:szCs w:val="26"/>
                <w:rtl/>
              </w:rPr>
              <w:t>:</w:t>
            </w:r>
          </w:p>
        </w:tc>
        <w:tc>
          <w:tcPr>
            <w:tcW w:w="5571" w:type="dxa"/>
            <w:shd w:val="clear" w:color="auto" w:fill="auto"/>
          </w:tcPr>
          <w:p w14:paraId="1B2B1624" w14:textId="77777777" w:rsidR="00E17123" w:rsidRPr="00431D40" w:rsidRDefault="00E17123" w:rsidP="00E17123">
            <w:pPr>
              <w:suppressLineNumbers/>
              <w:rPr>
                <w:rtl/>
              </w:rPr>
            </w:pPr>
            <w:r w:rsidRPr="00431D40">
              <w:rPr>
                <w:rFonts w:ascii="Arial" w:hAnsi="Arial"/>
                <w:b/>
                <w:bCs/>
                <w:noProof w:val="0"/>
                <w:sz w:val="26"/>
                <w:szCs w:val="26"/>
                <w:rtl/>
              </w:rPr>
              <w:t>מוחמד אלנמר</w:t>
            </w:r>
            <w:r w:rsidRPr="00431D40">
              <w:rPr>
                <w:rFonts w:hint="cs"/>
                <w:b/>
                <w:bCs/>
                <w:rtl/>
              </w:rPr>
              <w:t>-בעצמו</w:t>
            </w:r>
            <w:r w:rsidRPr="00431D40">
              <w:rPr>
                <w:b/>
                <w:bCs/>
                <w:rtl/>
              </w:rPr>
              <w:br/>
            </w:r>
            <w:r w:rsidRPr="00431D40">
              <w:rPr>
                <w:rFonts w:hint="cs"/>
                <w:b/>
                <w:bCs/>
                <w:rtl/>
              </w:rPr>
              <w:t>ע"י ב"כ עו"ד אסתר בר ציון</w:t>
            </w:r>
          </w:p>
          <w:p w14:paraId="5EFD2071" w14:textId="77777777" w:rsidR="00E17123" w:rsidRPr="00431D40" w:rsidRDefault="00E17123" w:rsidP="00E17123">
            <w:pPr>
              <w:suppressLineNumbers/>
              <w:rPr>
                <w:b/>
                <w:bCs/>
                <w:noProof w:val="0"/>
                <w:sz w:val="26"/>
                <w:szCs w:val="26"/>
                <w:rtl/>
              </w:rPr>
            </w:pPr>
          </w:p>
        </w:tc>
      </w:tr>
    </w:tbl>
    <w:p w14:paraId="3A72B1EF" w14:textId="77777777" w:rsidR="0060724D" w:rsidRDefault="0060724D" w:rsidP="00431D40">
      <w:pPr>
        <w:suppressLineNumbers/>
        <w:rPr>
          <w:rtl/>
        </w:rPr>
      </w:pPr>
    </w:p>
    <w:p w14:paraId="5D20F723" w14:textId="77777777" w:rsidR="0060724D" w:rsidRPr="0060724D" w:rsidRDefault="0060724D" w:rsidP="0060724D">
      <w:pPr>
        <w:suppressLineNumbers/>
        <w:spacing w:after="120" w:line="240" w:lineRule="exact"/>
        <w:ind w:left="283" w:hanging="283"/>
        <w:jc w:val="both"/>
        <w:rPr>
          <w:rFonts w:ascii="FrankRuehl" w:hAnsi="FrankRuehl" w:cs="FrankRuehl"/>
          <w:rtl/>
        </w:rPr>
      </w:pPr>
    </w:p>
    <w:p w14:paraId="54B5E756" w14:textId="77777777" w:rsidR="00F26F91" w:rsidRDefault="00F26F91" w:rsidP="00F26F91">
      <w:pPr>
        <w:suppressLineNumbers/>
        <w:rPr>
          <w:rtl/>
        </w:rPr>
      </w:pPr>
      <w:bookmarkStart w:id="3" w:name="LawTable"/>
      <w:bookmarkEnd w:id="3"/>
    </w:p>
    <w:p w14:paraId="61789E1D"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p>
    <w:p w14:paraId="6B56B080"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p>
    <w:p w14:paraId="77BE02E7"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r w:rsidRPr="00F26F91">
        <w:rPr>
          <w:rFonts w:ascii="FrankRuehl" w:hAnsi="FrankRuehl" w:cs="FrankRuehl"/>
          <w:rtl/>
        </w:rPr>
        <w:t xml:space="preserve">חקיקה שאוזכרה: </w:t>
      </w:r>
    </w:p>
    <w:p w14:paraId="4F82410B"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hyperlink r:id="rId6" w:history="1">
        <w:r w:rsidRPr="00F26F91">
          <w:rPr>
            <w:rFonts w:ascii="FrankRuehl" w:hAnsi="FrankRuehl" w:cs="FrankRuehl"/>
            <w:color w:val="0000FF"/>
            <w:rtl/>
          </w:rPr>
          <w:t>חוק העונשין, תשל"ז-1977</w:t>
        </w:r>
      </w:hyperlink>
      <w:r w:rsidRPr="00F26F91">
        <w:rPr>
          <w:rFonts w:ascii="FrankRuehl" w:hAnsi="FrankRuehl" w:cs="FrankRuehl"/>
          <w:rtl/>
        </w:rPr>
        <w:t xml:space="preserve">: סע'  </w:t>
      </w:r>
      <w:hyperlink r:id="rId7" w:history="1">
        <w:r w:rsidRPr="00F26F91">
          <w:rPr>
            <w:rFonts w:ascii="FrankRuehl" w:hAnsi="FrankRuehl" w:cs="FrankRuehl"/>
            <w:color w:val="0000FF"/>
            <w:rtl/>
          </w:rPr>
          <w:t>40ד(א)</w:t>
        </w:r>
      </w:hyperlink>
      <w:r w:rsidRPr="00F26F91">
        <w:rPr>
          <w:rFonts w:ascii="FrankRuehl" w:hAnsi="FrankRuehl" w:cs="FrankRuehl"/>
          <w:rtl/>
        </w:rPr>
        <w:t xml:space="preserve">, </w:t>
      </w:r>
      <w:hyperlink r:id="rId8" w:history="1">
        <w:r w:rsidRPr="00F26F91">
          <w:rPr>
            <w:rFonts w:ascii="FrankRuehl" w:hAnsi="FrankRuehl" w:cs="FrankRuehl"/>
            <w:color w:val="0000FF"/>
            <w:rtl/>
          </w:rPr>
          <w:t>144(א)</w:t>
        </w:r>
      </w:hyperlink>
      <w:r w:rsidRPr="00F26F91">
        <w:rPr>
          <w:rFonts w:ascii="FrankRuehl" w:hAnsi="FrankRuehl" w:cs="FrankRuehl"/>
          <w:rtl/>
        </w:rPr>
        <w:t xml:space="preserve">, </w:t>
      </w:r>
      <w:hyperlink r:id="rId9" w:history="1">
        <w:r w:rsidRPr="00F26F91">
          <w:rPr>
            <w:rFonts w:ascii="FrankRuehl" w:hAnsi="FrankRuehl" w:cs="FrankRuehl"/>
            <w:color w:val="0000FF"/>
            <w:rtl/>
          </w:rPr>
          <w:t>144(ב)</w:t>
        </w:r>
      </w:hyperlink>
    </w:p>
    <w:p w14:paraId="530616D7" w14:textId="77777777" w:rsidR="00F26F91" w:rsidRPr="00F26F91" w:rsidRDefault="00F26F91" w:rsidP="00F26F91">
      <w:pPr>
        <w:suppressLineNumbers/>
        <w:rPr>
          <w:rtl/>
        </w:rPr>
      </w:pPr>
      <w:bookmarkStart w:id="4" w:name="LawTable_End"/>
      <w:bookmarkEnd w:id="4"/>
    </w:p>
    <w:p w14:paraId="2BA719C3" w14:textId="77777777" w:rsidR="00E17123" w:rsidRPr="00431D40" w:rsidRDefault="00E17123" w:rsidP="00E17123">
      <w:pPr>
        <w:suppressLineNumbers/>
        <w:rPr>
          <w:rtl/>
        </w:rPr>
      </w:pPr>
    </w:p>
    <w:tbl>
      <w:tblPr>
        <w:bidiVisual/>
        <w:tblW w:w="8820" w:type="dxa"/>
        <w:jc w:val="center"/>
        <w:tblLook w:val="01E0" w:firstRow="1" w:lastRow="1" w:firstColumn="1" w:lastColumn="1" w:noHBand="0" w:noVBand="0"/>
      </w:tblPr>
      <w:tblGrid>
        <w:gridCol w:w="8820"/>
      </w:tblGrid>
      <w:tr w:rsidR="00E17123" w:rsidRPr="00DE1E7D" w14:paraId="6168A5E3" w14:textId="77777777" w:rsidTr="00E17123">
        <w:trPr>
          <w:jc w:val="center"/>
        </w:trPr>
        <w:tc>
          <w:tcPr>
            <w:tcW w:w="8820" w:type="dxa"/>
            <w:shd w:val="clear" w:color="auto" w:fill="auto"/>
          </w:tcPr>
          <w:p w14:paraId="449417A5" w14:textId="77777777" w:rsidR="00431D40" w:rsidRPr="00431D40" w:rsidRDefault="00431D40" w:rsidP="00431D40">
            <w:pPr>
              <w:bidi w:val="0"/>
              <w:jc w:val="center"/>
              <w:rPr>
                <w:rFonts w:ascii="Arial" w:hAnsi="Arial"/>
                <w:b/>
                <w:bCs/>
                <w:noProof w:val="0"/>
                <w:sz w:val="28"/>
                <w:szCs w:val="28"/>
                <w:u w:val="single"/>
              </w:rPr>
            </w:pPr>
            <w:bookmarkStart w:id="5" w:name="PsakDin" w:colFirst="0" w:colLast="0"/>
            <w:bookmarkEnd w:id="0"/>
            <w:bookmarkEnd w:id="1"/>
            <w:r w:rsidRPr="00431D40">
              <w:rPr>
                <w:rFonts w:ascii="Arial" w:hAnsi="Arial"/>
                <w:b/>
                <w:bCs/>
                <w:noProof w:val="0"/>
                <w:sz w:val="28"/>
                <w:szCs w:val="28"/>
                <w:u w:val="single"/>
                <w:rtl/>
              </w:rPr>
              <w:t>גזר דין</w:t>
            </w:r>
          </w:p>
          <w:p w14:paraId="005BEB90" w14:textId="77777777" w:rsidR="00E17123" w:rsidRPr="00431D40" w:rsidRDefault="00E17123" w:rsidP="00431D40">
            <w:pPr>
              <w:bidi w:val="0"/>
              <w:jc w:val="center"/>
              <w:rPr>
                <w:rFonts w:ascii="Arial" w:hAnsi="Arial"/>
                <w:b/>
                <w:bCs/>
                <w:noProof w:val="0"/>
                <w:sz w:val="28"/>
                <w:szCs w:val="28"/>
                <w:u w:val="single"/>
              </w:rPr>
            </w:pPr>
          </w:p>
        </w:tc>
      </w:tr>
    </w:tbl>
    <w:p w14:paraId="06B0E69D" w14:textId="77777777" w:rsidR="00E17123" w:rsidRDefault="00E17123" w:rsidP="00E17123">
      <w:pPr>
        <w:spacing w:line="360" w:lineRule="auto"/>
        <w:ind w:left="652" w:hanging="709"/>
        <w:jc w:val="both"/>
        <w:rPr>
          <w:rFonts w:ascii="Arial" w:hAnsi="Arial"/>
          <w:noProof w:val="0"/>
          <w:rtl/>
        </w:rPr>
      </w:pPr>
      <w:bookmarkStart w:id="6" w:name="NGCSBookmark"/>
      <w:bookmarkEnd w:id="5"/>
      <w:bookmarkEnd w:id="6"/>
    </w:p>
    <w:p w14:paraId="4B8BBB2C"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 xml:space="preserve">הנאשם הורשע על פי הודאתו, במסגרת הסדר טיעון, בכתב אישום מתוקן בביצוע שתי עבירות של החזקת נשק ושתי עבירות של הובלה ונשיאה של נשק, עבירות לפי </w:t>
      </w:r>
      <w:hyperlink r:id="rId10" w:history="1">
        <w:r w:rsidR="0060724D" w:rsidRPr="0060724D">
          <w:rPr>
            <w:rStyle w:val="Hyperlink"/>
            <w:rFonts w:ascii="Arial" w:hAnsi="Arial" w:hint="eastAsia"/>
            <w:noProof w:val="0"/>
            <w:rtl/>
          </w:rPr>
          <w:t>סעיפים</w:t>
        </w:r>
        <w:r w:rsidR="0060724D" w:rsidRPr="0060724D">
          <w:rPr>
            <w:rStyle w:val="Hyperlink"/>
            <w:rFonts w:ascii="Arial" w:hAnsi="Arial"/>
            <w:noProof w:val="0"/>
            <w:rtl/>
          </w:rPr>
          <w:t xml:space="preserve"> 144(א)</w:t>
        </w:r>
      </w:hyperlink>
      <w:r>
        <w:rPr>
          <w:rFonts w:ascii="Arial" w:hAnsi="Arial" w:hint="cs"/>
          <w:noProof w:val="0"/>
          <w:rtl/>
        </w:rPr>
        <w:t xml:space="preserve"> רישא וסיפא ו-</w:t>
      </w:r>
      <w:hyperlink r:id="rId11" w:history="1">
        <w:r w:rsidR="0060724D" w:rsidRPr="0060724D">
          <w:rPr>
            <w:rStyle w:val="Hyperlink"/>
            <w:rFonts w:ascii="Arial" w:hAnsi="Arial"/>
            <w:noProof w:val="0"/>
            <w:rtl/>
          </w:rPr>
          <w:t>144(ב)</w:t>
        </w:r>
      </w:hyperlink>
      <w:r>
        <w:rPr>
          <w:rFonts w:ascii="Arial" w:hAnsi="Arial" w:hint="cs"/>
          <w:noProof w:val="0"/>
          <w:rtl/>
        </w:rPr>
        <w:t xml:space="preserve"> רישא וסיפא ל</w:t>
      </w:r>
      <w:hyperlink r:id="rId12" w:history="1">
        <w:r w:rsidR="00431D40" w:rsidRPr="00431D40">
          <w:rPr>
            <w:rFonts w:ascii="Arial" w:hAnsi="Arial"/>
            <w:noProof w:val="0"/>
            <w:color w:val="0000FF"/>
            <w:u w:val="single"/>
            <w:rtl/>
          </w:rPr>
          <w:t>חוק העונשין</w:t>
        </w:r>
      </w:hyperlink>
      <w:r>
        <w:rPr>
          <w:rFonts w:ascii="Arial" w:hAnsi="Arial" w:hint="cs"/>
          <w:noProof w:val="0"/>
          <w:rtl/>
        </w:rPr>
        <w:t>, התשל"ז-1977 (להלן: "חוק העונשין").</w:t>
      </w:r>
    </w:p>
    <w:p w14:paraId="4A987248" w14:textId="77777777" w:rsidR="00E17123" w:rsidRDefault="00E17123" w:rsidP="00E17123">
      <w:pPr>
        <w:spacing w:line="360" w:lineRule="auto"/>
        <w:ind w:left="652" w:hanging="709"/>
        <w:jc w:val="both"/>
        <w:rPr>
          <w:rFonts w:ascii="Arial" w:hAnsi="Arial"/>
          <w:noProof w:val="0"/>
          <w:rtl/>
        </w:rPr>
      </w:pPr>
      <w:bookmarkStart w:id="8" w:name="ABSTRACT_END"/>
      <w:bookmarkEnd w:id="8"/>
    </w:p>
    <w:p w14:paraId="55651231" w14:textId="77777777" w:rsidR="00E17123" w:rsidRPr="009A7B58" w:rsidRDefault="00E17123" w:rsidP="00E17123">
      <w:pPr>
        <w:spacing w:line="360" w:lineRule="auto"/>
        <w:ind w:left="652" w:hanging="709"/>
        <w:jc w:val="both"/>
        <w:rPr>
          <w:rFonts w:ascii="Arial" w:hAnsi="Arial"/>
          <w:b/>
          <w:bCs/>
          <w:noProof w:val="0"/>
          <w:u w:val="single"/>
          <w:rtl/>
        </w:rPr>
      </w:pPr>
      <w:r>
        <w:rPr>
          <w:rFonts w:ascii="Arial" w:hAnsi="Arial"/>
          <w:noProof w:val="0"/>
          <w:rtl/>
        </w:rPr>
        <w:tab/>
      </w:r>
      <w:r w:rsidRPr="009A7B58">
        <w:rPr>
          <w:rFonts w:ascii="Arial" w:hAnsi="Arial" w:hint="cs"/>
          <w:b/>
          <w:bCs/>
          <w:noProof w:val="0"/>
          <w:u w:val="single"/>
          <w:rtl/>
        </w:rPr>
        <w:t>כתב האישום</w:t>
      </w:r>
    </w:p>
    <w:p w14:paraId="2177BA12"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2.</w:t>
      </w:r>
      <w:r>
        <w:rPr>
          <w:rFonts w:ascii="Arial" w:hAnsi="Arial" w:hint="cs"/>
          <w:noProof w:val="0"/>
          <w:rtl/>
        </w:rPr>
        <w:tab/>
        <w:t xml:space="preserve">מעובדות כתב האישום המתוקן עולה כי לנאשם היכרות מוקדמת עם אדיב ועם ואיל (להלן: "אדיב" ו- "ואיל"). ביום 12.7.2018 הוכנס סוכן משטרתי (להלן: "סוכן") לתאו של אדיב בעת שזה היה עצור מבלי שידע כי מדובר בסוכן. במסגרת ההיכרות שנוצרה ביניהם פנה אדיב אל הסוכן והציע למכור לו כלי נשק תמורת תשלום. הסוכן הסכים לכך, והשניים הסכימו שישוחחו ביניהם לאחר שישוחררו ממעצרם. במסגרת הסיכום, בין החודשים יולי עד ספטמבר במספר רב של מועדים, התקיימו שיחות טלפון בין אדיב לסוכן, בין היתר, לצורך קידום וביצוע של עסקת מכירת נשק. בעקבות האמור קשר אדיב קשר עם ואיל למכור נשק לסוכן, ובהמשך קבע עם הסוכן לפגוש אותו ביום 23.1.2019 </w:t>
      </w:r>
      <w:r>
        <w:rPr>
          <w:rFonts w:ascii="Arial" w:hAnsi="Arial" w:hint="cs"/>
          <w:noProof w:val="0"/>
          <w:rtl/>
        </w:rPr>
        <w:lastRenderedPageBreak/>
        <w:t xml:space="preserve">בצומת בית קמה (להלן: "הצומת") על מנת למכור לו  שני כלי נשק מסוג "קרלו גוסטב" בסכום של 12,000 ₪ לכל אחד. במקביל יצר ואיל קשר עם אחר בשם יחיא וקשר עמו קשר במסגרתו יגיע יחיא לצומת בין השעות 12:55 ל-18:00 ויספק להם את כלי הנשק </w:t>
      </w:r>
      <w:r w:rsidRPr="007472CB">
        <w:rPr>
          <w:rFonts w:ascii="Arial" w:hAnsi="Arial" w:hint="cs"/>
          <w:noProof w:val="0"/>
          <w:rtl/>
        </w:rPr>
        <w:t>שימכרו לסוכן</w:t>
      </w:r>
      <w:r>
        <w:rPr>
          <w:rFonts w:ascii="Arial" w:hAnsi="Arial" w:hint="cs"/>
          <w:noProof w:val="0"/>
          <w:rtl/>
        </w:rPr>
        <w:t xml:space="preserve">. </w:t>
      </w:r>
    </w:p>
    <w:p w14:paraId="0929F6F8"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בעקבות האמור ביום 23.1.2019 סמוך לשעה 18:50 החנה הסוכן את רכבו בתחנת הדלק בצומת, כשברשותו סכום של 25,000 ₪ לצורך קניית כלי הנשק והמתין לאדיב. במקביל הגיעו אדיב וואיל לצומת.  אדיב יצא מהרכב, נכנס לרכב הסוכן, ספר את הכסף ויחד המתינו להגעת כלי הנשק. בהמשך הצטרף גם ואיל אל הרכב. בהמשך שוחח ואיל עם יחיא והאיץ בו להגיע עם כלי הנשק. יחיא הגיע לצומת, נעמד מחוץ לרכב הסוכן והראה לסוכן בטלפון הנייד מספר כלי נשק שברשותו אותם הוא מעוניין למכור, אמר לסוכן כי מי שאמור להביא את כלי הנשק יגיע בקרוב  וניסה לשכנע אותו להמתין. </w:t>
      </w:r>
    </w:p>
    <w:p w14:paraId="29F444F0"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לאחר שהסוכן המתין זמן מה להגעת כלי הנשק הודיע הסוכן ליחיא כי הוא אינו מתכוון להמתין עוד וכי אין הוא מעוניין לרכוש ממנו את כלי הנשק. </w:t>
      </w:r>
    </w:p>
    <w:p w14:paraId="1B05718C"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בעקבות האמור, התקשר אדיב אל הנאשם, אמר לו כי יש אדם שמעוניין לקנות ממנו נשק וביקש ממנו להביא עבורו כלי נשק לצומת לצורך מכירתם לסוכן והנאשם הסכים לכך. בהמשך הגיע הנאשם לצומת ברכב והחנה ליד רכב הסוכן. אדיב יצא מרכב הסוכן אל רכב הנאשם שמסר לו שקית לבנה ובתוכה נשק מסוג תת מקלע מאולתר ביחד עם שתי מחסניות ריקות. אדיב נטל את הנשק והמחסניות ומיד לאחר מכן מסר אדיב את הנשק לידי הסוכן. הסוכן הוציא את הכסף שברשותו על מנת למסרו לאדיב בתמורה לנשק. בשלב זה עצרו כוחות המשטרה שהיו במקום במסגרת פעילות משטרתית את אדיב, ואיל והנאשם. </w:t>
      </w:r>
    </w:p>
    <w:p w14:paraId="3AE1D0D7" w14:textId="77777777" w:rsidR="00E17123" w:rsidRDefault="00E17123" w:rsidP="00E17123">
      <w:pPr>
        <w:spacing w:line="360" w:lineRule="auto"/>
        <w:ind w:left="652" w:hanging="709"/>
        <w:jc w:val="both"/>
        <w:rPr>
          <w:rFonts w:ascii="Arial" w:hAnsi="Arial"/>
          <w:noProof w:val="0"/>
          <w:rtl/>
        </w:rPr>
      </w:pPr>
    </w:p>
    <w:p w14:paraId="04159ECD" w14:textId="77777777" w:rsidR="00E17123" w:rsidRPr="004D2DA3" w:rsidRDefault="00E17123" w:rsidP="00E17123">
      <w:pPr>
        <w:spacing w:line="360" w:lineRule="auto"/>
        <w:ind w:left="652" w:hanging="709"/>
        <w:jc w:val="both"/>
        <w:rPr>
          <w:rFonts w:ascii="Arial" w:hAnsi="Arial"/>
          <w:b/>
          <w:bCs/>
          <w:noProof w:val="0"/>
          <w:u w:val="single"/>
          <w:rtl/>
        </w:rPr>
      </w:pPr>
      <w:r>
        <w:rPr>
          <w:rFonts w:ascii="Arial" w:hAnsi="Arial"/>
          <w:noProof w:val="0"/>
          <w:rtl/>
        </w:rPr>
        <w:tab/>
      </w:r>
      <w:r w:rsidRPr="004D2DA3">
        <w:rPr>
          <w:rFonts w:ascii="Arial" w:hAnsi="Arial" w:hint="cs"/>
          <w:b/>
          <w:bCs/>
          <w:noProof w:val="0"/>
          <w:u w:val="single"/>
          <w:rtl/>
        </w:rPr>
        <w:t>תסקירים</w:t>
      </w:r>
    </w:p>
    <w:p w14:paraId="4C79D804"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3.</w:t>
      </w:r>
      <w:r>
        <w:rPr>
          <w:rFonts w:ascii="Arial" w:hAnsi="Arial" w:hint="cs"/>
          <w:noProof w:val="0"/>
          <w:rtl/>
        </w:rPr>
        <w:tab/>
        <w:t>בעניינו של הנאשם התקבלו שני תסקירים של שירות המבחן.</w:t>
      </w:r>
    </w:p>
    <w:p w14:paraId="7960FE78"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sidRPr="0058400C">
        <w:rPr>
          <w:rFonts w:ascii="Arial" w:hAnsi="Arial" w:hint="cs"/>
          <w:noProof w:val="0"/>
          <w:u w:val="single"/>
          <w:rtl/>
        </w:rPr>
        <w:t>מהתסקיר הראשון</w:t>
      </w:r>
      <w:r>
        <w:rPr>
          <w:rFonts w:ascii="Arial" w:hAnsi="Arial" w:hint="cs"/>
          <w:noProof w:val="0"/>
          <w:rtl/>
        </w:rPr>
        <w:t xml:space="preserve"> (מיום 5.2.2020) עלה כי הנאשם כבן 21 (בתסקיר המשלים תוקן וצוין כי הוא בן 23), רווק, סיים 11 שנות לימוד, עזב את לימודיו על מנת לתמוך בפרנסת משפחתו, עבד טרם מעצרו בעסק המשפחתי בתחום עבודות עפר ונקלע לחובות כספיים על רקע בניית ביתו. </w:t>
      </w:r>
    </w:p>
    <w:p w14:paraId="190F4CD0"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ציין כי הנאשם נעדר עבר פלילי, כי לא נפתחו כנגדו תיקים נוספים מאז מעצרו, כי הוא לוקח אחריות על משפחתו וכי אף שהודה בביצוע העבירות הוא מתקשה לקחת אחריות עליהן. הנאשם מסר כי רכש את הנשק מאחד ממכריו ורצה למכור אותו בעקבות מצבו הכלכלי. </w:t>
      </w:r>
    </w:p>
    <w:p w14:paraId="7B028DEB"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מסר כי הנאשם שולב במסגרת צו פיקוח מעצרים בקבוצה טיפולית וכי אף שהנאשם ערך מאמצים לעמוד בכללי הקבוצה הרושם הוא כי הנאשם התקשה לשתף באופן פתוח מעולמו הפנימי, התקשה לקבל גבולות חיצוניים ופנימיים וגילה נוקשות לערוך בחינה עצמית ביחס להתנהלותו השולית. </w:t>
      </w:r>
    </w:p>
    <w:p w14:paraId="2C0B5FB7"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בנוסף שירות המבחן התרשם כי הנאשם מקיים קשרים חברתיים שוליים, כי הוא מתקשה לבחון לעומק את בחירותיו, כי הוא נוטה לשתף באופן מצומצם באשר להתנהלותו השולית, כי התקשה לשמור על יציבות בתחום הלימודי והתעסוקתי, כי הוא </w:t>
      </w:r>
      <w:r>
        <w:rPr>
          <w:rFonts w:ascii="Arial" w:hAnsi="Arial" w:hint="cs"/>
          <w:noProof w:val="0"/>
          <w:rtl/>
        </w:rPr>
        <w:lastRenderedPageBreak/>
        <w:t>פועל באופן אימפולסיבי ומתוך רצון להפיק רווחים כלכליים מהירים וכי ההליכים המשפטיים אינם מהווים גורם מרתיע עבורו. שירות המבחן התרשם כי קיים סיכון להישנות התנהגות עוברת חוק מצד הנאשם. שירות המבחן המליץ להשית על הנאשם עונש מוחשי ההולם את חומרת מעשיו.</w:t>
      </w:r>
    </w:p>
    <w:p w14:paraId="4B63C652" w14:textId="77777777" w:rsidR="00E17123" w:rsidRPr="00C276F9" w:rsidRDefault="00E17123" w:rsidP="00E17123">
      <w:pPr>
        <w:spacing w:line="360" w:lineRule="auto"/>
        <w:ind w:left="652" w:hanging="709"/>
        <w:jc w:val="both"/>
        <w:rPr>
          <w:rFonts w:ascii="Arial" w:hAnsi="Arial"/>
          <w:noProof w:val="0"/>
          <w:rtl/>
        </w:rPr>
      </w:pPr>
      <w:r>
        <w:rPr>
          <w:rFonts w:ascii="Arial" w:hAnsi="Arial"/>
          <w:noProof w:val="0"/>
          <w:rtl/>
        </w:rPr>
        <w:tab/>
      </w:r>
      <w:r w:rsidRPr="0058400C">
        <w:rPr>
          <w:rFonts w:ascii="Arial" w:hAnsi="Arial" w:hint="cs"/>
          <w:noProof w:val="0"/>
          <w:u w:val="single"/>
          <w:rtl/>
        </w:rPr>
        <w:t>מהתסקיר משלים</w:t>
      </w:r>
      <w:r>
        <w:rPr>
          <w:rFonts w:ascii="Arial" w:hAnsi="Arial" w:hint="cs"/>
          <w:noProof w:val="0"/>
          <w:rtl/>
        </w:rPr>
        <w:t xml:space="preserve"> (מיום 5.8.2020) שהוזמן לבקשת ההגנה עולה כי בפגישה פרטנית שקיים שירות המבחן עם הנאשם הודה הנאשם בביצוע העבירות, סיפר כי הוא רכש את הנשק מתוך צורך בתחושת כח וערך. כן מסר כי הוא עובד במשך תקופה ארוכה בעסק משפחתי, הצהיר כי ערך תהליך התבוננות של בחירותיו</w:t>
      </w:r>
      <w:r w:rsidRPr="00C276F9">
        <w:rPr>
          <w:rFonts w:ascii="Arial" w:hAnsi="Arial" w:hint="cs"/>
          <w:noProof w:val="0"/>
          <w:rtl/>
        </w:rPr>
        <w:t xml:space="preserve"> והביע רצון להשתלב בתכנית טיפולית</w:t>
      </w:r>
      <w:r>
        <w:rPr>
          <w:rFonts w:ascii="Arial" w:hAnsi="Arial" w:hint="cs"/>
          <w:noProof w:val="0"/>
          <w:rtl/>
        </w:rPr>
        <w:t xml:space="preserve"> כדי</w:t>
      </w:r>
      <w:r w:rsidRPr="00C276F9">
        <w:rPr>
          <w:rFonts w:ascii="Arial" w:hAnsi="Arial" w:hint="cs"/>
          <w:noProof w:val="0"/>
          <w:rtl/>
        </w:rPr>
        <w:t xml:space="preserve"> </w:t>
      </w:r>
      <w:r>
        <w:rPr>
          <w:rFonts w:ascii="Arial" w:hAnsi="Arial" w:hint="cs"/>
          <w:noProof w:val="0"/>
          <w:rtl/>
        </w:rPr>
        <w:t xml:space="preserve">לבחון את דפוסי התנהלותו. </w:t>
      </w:r>
      <w:r w:rsidRPr="00C276F9">
        <w:rPr>
          <w:rFonts w:ascii="Arial" w:hAnsi="Arial" w:hint="cs"/>
          <w:noProof w:val="0"/>
          <w:rtl/>
        </w:rPr>
        <w:t xml:space="preserve">שירות המבחן התרשם כי הנאשם </w:t>
      </w:r>
      <w:r>
        <w:rPr>
          <w:rFonts w:ascii="Arial" w:hAnsi="Arial" w:hint="cs"/>
          <w:noProof w:val="0"/>
          <w:rtl/>
        </w:rPr>
        <w:t xml:space="preserve">עדיין </w:t>
      </w:r>
      <w:r w:rsidRPr="00C276F9">
        <w:rPr>
          <w:rFonts w:ascii="Arial" w:hAnsi="Arial" w:hint="cs"/>
          <w:noProof w:val="0"/>
          <w:rtl/>
        </w:rPr>
        <w:t>מתקשה לקחת אחריות ממשית על התנהלותו, כי הוא משליך אותה על אחרים וכי</w:t>
      </w:r>
      <w:r>
        <w:rPr>
          <w:rFonts w:ascii="Arial" w:hAnsi="Arial" w:hint="cs"/>
          <w:noProof w:val="0"/>
          <w:rtl/>
        </w:rPr>
        <w:t xml:space="preserve"> הוא </w:t>
      </w:r>
      <w:r w:rsidRPr="00C276F9">
        <w:rPr>
          <w:rFonts w:ascii="Arial" w:hAnsi="Arial" w:hint="cs"/>
          <w:noProof w:val="0"/>
          <w:rtl/>
        </w:rPr>
        <w:t xml:space="preserve"> פ</w:t>
      </w:r>
      <w:r>
        <w:rPr>
          <w:rFonts w:ascii="Arial" w:hAnsi="Arial" w:hint="cs"/>
          <w:noProof w:val="0"/>
          <w:rtl/>
        </w:rPr>
        <w:t>ו</w:t>
      </w:r>
      <w:r w:rsidRPr="00C276F9">
        <w:rPr>
          <w:rFonts w:ascii="Arial" w:hAnsi="Arial" w:hint="cs"/>
          <w:noProof w:val="0"/>
          <w:rtl/>
        </w:rPr>
        <w:t>על על מנת להפיק רווח כלכלי מהיר.</w:t>
      </w:r>
      <w:r>
        <w:rPr>
          <w:rFonts w:ascii="Arial" w:hAnsi="Arial" w:hint="cs"/>
          <w:noProof w:val="0"/>
          <w:rtl/>
        </w:rPr>
        <w:t xml:space="preserve"> שירות המבחן הוסיף כי ההליך המשפטי ומעורבות משפחת הנאשם בחיי הנאשם מהווים כיום גורם מרתיע עבור הנאשם.</w:t>
      </w:r>
    </w:p>
    <w:p w14:paraId="4DBC25A2"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שינה את המלצתו העונשית מהתסקיר הקודם, והמליץ, נוכח המוטיבציה החדשה של הנאשם להשתלב בהליך טיפולי, גילו הצעיר והעובדה כי הוא נעדר עבר פלילי להטיל עליו עונש מאסר לריצוי בעבודות שירות לצד צו מבחן למשך שנה במסגרתו ישולב הנאשם בתכנית טיפולית מתאימה. </w:t>
      </w:r>
    </w:p>
    <w:p w14:paraId="45FC9CA1" w14:textId="77777777" w:rsidR="00E17123" w:rsidRDefault="00E17123" w:rsidP="00E17123">
      <w:pPr>
        <w:spacing w:line="360" w:lineRule="auto"/>
        <w:ind w:left="652" w:hanging="709"/>
        <w:jc w:val="both"/>
        <w:rPr>
          <w:rFonts w:ascii="Arial" w:hAnsi="Arial"/>
          <w:noProof w:val="0"/>
          <w:rtl/>
        </w:rPr>
      </w:pPr>
    </w:p>
    <w:p w14:paraId="0711B218" w14:textId="77777777" w:rsidR="00E17123" w:rsidRPr="00D74B61" w:rsidRDefault="00E17123" w:rsidP="00E17123">
      <w:pPr>
        <w:spacing w:line="360" w:lineRule="auto"/>
        <w:ind w:left="652" w:hanging="709"/>
        <w:jc w:val="both"/>
        <w:rPr>
          <w:rFonts w:ascii="Arial" w:hAnsi="Arial"/>
          <w:b/>
          <w:bCs/>
          <w:noProof w:val="0"/>
          <w:u w:val="single"/>
          <w:rtl/>
        </w:rPr>
      </w:pPr>
      <w:r w:rsidRPr="00D2782A">
        <w:rPr>
          <w:rFonts w:ascii="Arial" w:hAnsi="Arial"/>
          <w:b/>
          <w:bCs/>
          <w:noProof w:val="0"/>
          <w:rtl/>
        </w:rPr>
        <w:tab/>
      </w:r>
      <w:r w:rsidRPr="00D74B61">
        <w:rPr>
          <w:rFonts w:ascii="Arial" w:hAnsi="Arial" w:hint="cs"/>
          <w:b/>
          <w:bCs/>
          <w:noProof w:val="0"/>
          <w:u w:val="single"/>
          <w:rtl/>
        </w:rPr>
        <w:t>טיעוני הצדדים</w:t>
      </w:r>
    </w:p>
    <w:p w14:paraId="4CEA01E2"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4.</w:t>
      </w:r>
      <w:r>
        <w:rPr>
          <w:rFonts w:ascii="Arial" w:hAnsi="Arial"/>
          <w:noProof w:val="0"/>
          <w:rtl/>
        </w:rPr>
        <w:tab/>
      </w:r>
      <w:r>
        <w:rPr>
          <w:rFonts w:ascii="Arial" w:hAnsi="Arial" w:hint="cs"/>
          <w:noProof w:val="0"/>
          <w:rtl/>
        </w:rPr>
        <w:t xml:space="preserve"> בין הצדדים לא הושגה הסכמה עונשית במסגרת ההסדר, וכל צד טען באופן "חופשי".</w:t>
      </w:r>
    </w:p>
    <w:p w14:paraId="485719A9" w14:textId="77777777" w:rsidR="00E17123" w:rsidRDefault="00E17123" w:rsidP="00E17123">
      <w:pPr>
        <w:spacing w:line="360" w:lineRule="auto"/>
        <w:ind w:left="652" w:hanging="709"/>
        <w:jc w:val="both"/>
        <w:rPr>
          <w:rFonts w:ascii="Arial" w:hAnsi="Arial"/>
          <w:noProof w:val="0"/>
          <w:rtl/>
        </w:rPr>
      </w:pPr>
    </w:p>
    <w:p w14:paraId="50804B13"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5.</w:t>
      </w:r>
      <w:r>
        <w:rPr>
          <w:rFonts w:ascii="Arial" w:hAnsi="Arial"/>
          <w:noProof w:val="0"/>
          <w:rtl/>
        </w:rPr>
        <w:tab/>
      </w:r>
      <w:r>
        <w:rPr>
          <w:rFonts w:ascii="Arial" w:hAnsi="Arial" w:hint="cs"/>
          <w:noProof w:val="0"/>
          <w:rtl/>
        </w:rPr>
        <w:t xml:space="preserve">המאשימה טענה בכתב והשלימה טיעוניה על-פה כי מתחם העונש ההולם נע בין שלוש לחמש שנות מאסר וחצי. המאשימה עתרה לעונש של 46 חודשי מאסר, מאסר מותנה וקנס כספי. המאשימה הפנתה לערכים המוגנים שנפגעו, לחומרה היתרה ולפוטנציאל הפגיעה בגוף ובנפש בעבירות נשק לרבות מתוך החשש לתאונות בידי המחזיק בנשק או לשימוש זדוני בנשק. המאשימה הפנתה להתעצמות התופעה של החזקת נשק בלתי חוקי ולממדיה בקרב המגזר הבדואי ולצורך בהתערבות בית המשפט בהשתת ענישה מרתיעה בעבירות אלו. המאשימה הפנתה לחלקו של הנאשם בביצוע העבירה, לנגישותו לכלי הנשק, לסוג הנשק, לנזק שיכול היה להיגרם לו הנשק היה מגיע לידיים עברייניות ולסיבות שהביאו את הנאשם לבצע את העבירות. </w:t>
      </w:r>
    </w:p>
    <w:p w14:paraId="64CCFA35"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המאשימה הפנתה לתסקירי שירות המבחן בעניינו של הנאשם, לעובדה כי הנאשם לקח אחריות חלקית על מעשיו ולהתרשמות שירות המבחן כי קיימת רמת סיכון להישנות התנהגות פורצת חוק. </w:t>
      </w:r>
    </w:p>
    <w:p w14:paraId="26A7A915"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המאשימה התייחסה לעונשים שהושתו על שותפיו של הנאשם (על יחיא שהורשע בעבירה של קשירת קשר לביצוע פשע נגזר עונש של  17 חודשי מאסר (פרי אימוץ הסדר עונשי "סגור"); על  ואיל שהורשע בעבירה של מתן אמצעים לפשע נגזר עונש של 9 חודשי מאסר לריצוי בעבודות שירות (פרי אימוץ הסדר עונשי "סגור") ובעניינו של אדיב הגיעה המאשימה להסדר טיעון במסגרתו תטען לעונש ראוי של 18 חודשי מאסר). המאשימה טענה כי עניינו של הנאשם חמור יותר מעניינם של יתר המעורבים ומכאן שיש להשית עליו עונש חמור יותר. בטיעוניה על-פה הבהירה המאשימה כי ההסדרים בפרשה נעשו לאחר בחינה מדוקדקת של הראיות והטענות שהועלו במסגרת המשא ומתן שנערך עם כלל המעורבים.</w:t>
      </w:r>
    </w:p>
    <w:p w14:paraId="090E5EB4" w14:textId="77777777" w:rsidR="00E17123" w:rsidRDefault="00E17123" w:rsidP="00E17123">
      <w:pPr>
        <w:spacing w:line="360" w:lineRule="auto"/>
        <w:ind w:left="652"/>
        <w:jc w:val="both"/>
        <w:rPr>
          <w:rFonts w:ascii="Arial" w:hAnsi="Arial"/>
          <w:noProof w:val="0"/>
          <w:rtl/>
        </w:rPr>
      </w:pPr>
      <w:r>
        <w:rPr>
          <w:rFonts w:ascii="Arial" w:hAnsi="Arial" w:hint="cs"/>
          <w:noProof w:val="0"/>
          <w:rtl/>
        </w:rPr>
        <w:t>המאשימה הפנתה להנחיית פרקליט המדינה לעניין מדיניות הענישה בעבירות נשק והגישה פסיקה לתמיכה בטיעוניה.</w:t>
      </w:r>
    </w:p>
    <w:p w14:paraId="0753CB3A" w14:textId="77777777" w:rsidR="00E17123" w:rsidRDefault="00E17123" w:rsidP="00E17123">
      <w:pPr>
        <w:spacing w:line="360" w:lineRule="auto"/>
        <w:ind w:left="652" w:hanging="709"/>
        <w:jc w:val="both"/>
        <w:rPr>
          <w:rFonts w:ascii="Arial" w:hAnsi="Arial"/>
          <w:noProof w:val="0"/>
          <w:rtl/>
        </w:rPr>
      </w:pPr>
    </w:p>
    <w:p w14:paraId="34A82D83"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6.</w:t>
      </w:r>
      <w:r>
        <w:rPr>
          <w:rFonts w:ascii="Arial" w:hAnsi="Arial" w:hint="cs"/>
          <w:noProof w:val="0"/>
          <w:rtl/>
        </w:rPr>
        <w:tab/>
        <w:t>ב"כ הנאשם טענה כי מתחם העונש ההולם בעניינו של הנאשם צריך לנוע בין 9 ל-24 חודשי מאסר. ב"כ הנאשם עתרה לחרוג ממתחם העונש לו טענה משיקולי שיקום וביקשה להשית על הנאשם עונש של 6 חודשי מאסר לריצוי בעבודות שירות. לחלופין עתרה ב"כ הנאשם לעונש ברף התחתון של מתחם העונש לו טענה, דהיינו 9 חודשי מאסר לריצוי בעבודות שירות. ב"כ הנאשם אף הסכימה לרכיב ענישה של קנס.</w:t>
      </w:r>
    </w:p>
    <w:p w14:paraId="32E6D255"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ב"כ הנאשם הפנתה לנסיבות ביצוע העבירות, ובפרט לכך שהנאשם החזיק ונשא נשק מאולתר ומחסניות ריקות, לחלקו ולמעורבותו הנמוכה של הנאשם במעשים, לעובדה כי לנאשם לא היה כל קשר עם הסוכן ולעובדה כי הנאשם לא היה יעד מודיעיני אליו הופנה הסוכן. </w:t>
      </w:r>
    </w:p>
    <w:p w14:paraId="5C1FD541"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מנגד, הפנתה ב"כ הנאשם לחלקם המשמעותי של יתר המעורבים באירוע, בדגש על חלקו של אדיב שהיה היוזם והמחולל של העסקה, ומי שהיה בקשר עם הסוכן.</w:t>
      </w:r>
      <w:r w:rsidRPr="008E61C7">
        <w:rPr>
          <w:rFonts w:ascii="Arial" w:hAnsi="Arial" w:hint="cs"/>
          <w:noProof w:val="0"/>
          <w:rtl/>
        </w:rPr>
        <w:t xml:space="preserve"> </w:t>
      </w:r>
      <w:r>
        <w:rPr>
          <w:rFonts w:ascii="Arial" w:hAnsi="Arial" w:hint="cs"/>
          <w:noProof w:val="0"/>
          <w:rtl/>
        </w:rPr>
        <w:t xml:space="preserve">ב"כ הנאשם טענה כי תיקון כתבי האישום למעורבים האחרים במסגרת הסדרי הטיעון שנערכו עימם לא התבססו על קשיים ראיתים ומכאן שהתנהלות המאשימה פגעה בנאשם והפלתה אותו לרעה. ב"כ הנאשם הפנתה </w:t>
      </w:r>
      <w:r w:rsidRPr="008E61C7">
        <w:rPr>
          <w:rFonts w:ascii="Arial" w:hAnsi="Arial" w:hint="cs"/>
          <w:noProof w:val="0"/>
          <w:rtl/>
        </w:rPr>
        <w:t xml:space="preserve">גם לפער </w:t>
      </w:r>
      <w:r>
        <w:rPr>
          <w:rFonts w:ascii="Arial" w:hAnsi="Arial" w:hint="cs"/>
          <w:noProof w:val="0"/>
          <w:rtl/>
        </w:rPr>
        <w:t>בין העונשים שנגזרו על כל אחד מהמעורבים האחרים לעונש לו טוענת המאשימה בעניינו של הנאשם, וזאת גם בשים לב לעבר הפלילי של חלק מהמעורבים.</w:t>
      </w:r>
    </w:p>
    <w:p w14:paraId="4C44F84D"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ביחס לפסיקה שצרפה המאשימה טענה ב"כ הנאשם כי זו אינה רלוונטית לענייננו, שכן בחלקה היא מתייחסת לעבירות חמורות יותר ובחלקה מתייחסת לנאשמים בעלי נתונים אישיים שונים משל הנאשם. </w:t>
      </w:r>
    </w:p>
    <w:p w14:paraId="0CF68C13"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p>
    <w:p w14:paraId="6968702B"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הפנתה לתסקירי שירות המבחן, לשינוי ולהפנמה של הנאשם את מעשיו ולשינוי שחל ביחס להמלצה העונשית של שירות המבחן.</w:t>
      </w:r>
    </w:p>
    <w:p w14:paraId="66A41575"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הפנתה להודאת הנאשם ולחיסכון בזמן שיפוטי, לעובדה כי מדובר במעידה חד פעמית של הנאשם, לגילו של הנאשם, לעובדה כי הוא נעדר עבר פלילי, לחלוף הזמן מאז ביצוע העבירות, לפגיעה של עונש מאסר בנאשם ולתקופה בה היה הנאשם עצור או מצוי בתנאים מגבילים לרבות במעצר בפיקוח אלקטרוני.</w:t>
      </w:r>
    </w:p>
    <w:p w14:paraId="3FD822AA"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כן הפנתה לעמדת היועץ המשפטי לממשלה לפיה יש מקום לצמצום מאסרים נוכח מגפת הקורונה והחלטת בית המשפט העליון בבג"ץ תנאי הכליאה (</w:t>
      </w:r>
      <w:hyperlink r:id="rId13" w:history="1">
        <w:r w:rsidR="00431D40" w:rsidRPr="00431D40">
          <w:rPr>
            <w:rFonts w:ascii="Arial" w:hAnsi="Arial"/>
            <w:noProof w:val="0"/>
            <w:color w:val="0000FF"/>
            <w:u w:val="single"/>
            <w:rtl/>
          </w:rPr>
          <w:t>בג"ץ 1892/14</w:t>
        </w:r>
      </w:hyperlink>
      <w:r>
        <w:rPr>
          <w:rFonts w:ascii="Arial" w:hAnsi="Arial" w:hint="cs"/>
          <w:noProof w:val="0"/>
          <w:rtl/>
        </w:rPr>
        <w:t xml:space="preserve"> </w:t>
      </w:r>
      <w:r w:rsidRPr="00B52A28">
        <w:rPr>
          <w:rFonts w:ascii="Arial" w:hAnsi="Arial" w:hint="cs"/>
          <w:b/>
          <w:bCs/>
          <w:noProof w:val="0"/>
          <w:rtl/>
        </w:rPr>
        <w:t>האגודה לזכויות האזרח ואח' נ' השר לבטחון פנים ואח'</w:t>
      </w:r>
      <w:r>
        <w:rPr>
          <w:rFonts w:ascii="Arial" w:hAnsi="Arial" w:hint="cs"/>
          <w:noProof w:val="0"/>
          <w:rtl/>
        </w:rPr>
        <w:t xml:space="preserve"> (פורסם בנבו, 13.6.2017).</w:t>
      </w:r>
    </w:p>
    <w:p w14:paraId="61B6A295"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הפנתה גם למכתב המלצה של מעסיקו של הנאשם ולפסיקה מטעמה.</w:t>
      </w:r>
    </w:p>
    <w:p w14:paraId="36880B44" w14:textId="77777777" w:rsidR="00E17123" w:rsidRDefault="00E17123" w:rsidP="00E17123">
      <w:pPr>
        <w:spacing w:line="360" w:lineRule="auto"/>
        <w:ind w:left="652" w:hanging="709"/>
        <w:jc w:val="both"/>
        <w:rPr>
          <w:rFonts w:ascii="Arial" w:hAnsi="Arial"/>
          <w:noProof w:val="0"/>
          <w:rtl/>
        </w:rPr>
      </w:pPr>
    </w:p>
    <w:p w14:paraId="1C250114"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7.</w:t>
      </w:r>
      <w:r>
        <w:rPr>
          <w:rFonts w:ascii="Arial" w:hAnsi="Arial"/>
          <w:noProof w:val="0"/>
          <w:rtl/>
        </w:rPr>
        <w:tab/>
      </w:r>
      <w:r>
        <w:rPr>
          <w:rFonts w:ascii="Arial" w:hAnsi="Arial" w:hint="cs"/>
          <w:noProof w:val="0"/>
          <w:rtl/>
        </w:rPr>
        <w:t xml:space="preserve">הנאשם אמר את דברו. הנאשם הביע צער על מעשיו ומסר כי לא יחזור על מעשיו. </w:t>
      </w:r>
    </w:p>
    <w:p w14:paraId="52A719C8" w14:textId="77777777" w:rsidR="00E17123" w:rsidRDefault="00E17123" w:rsidP="00E17123">
      <w:pPr>
        <w:spacing w:line="360" w:lineRule="auto"/>
        <w:ind w:left="652" w:hanging="709"/>
        <w:jc w:val="both"/>
        <w:rPr>
          <w:rFonts w:ascii="Arial" w:hAnsi="Arial"/>
          <w:noProof w:val="0"/>
          <w:rtl/>
        </w:rPr>
      </w:pPr>
    </w:p>
    <w:p w14:paraId="6F94EC5D" w14:textId="77777777" w:rsidR="00E17123" w:rsidRPr="00686868" w:rsidRDefault="00E17123" w:rsidP="00E17123">
      <w:pPr>
        <w:spacing w:line="360" w:lineRule="auto"/>
        <w:ind w:left="652" w:hanging="709"/>
        <w:jc w:val="both"/>
        <w:rPr>
          <w:rFonts w:ascii="Arial" w:hAnsi="Arial"/>
          <w:b/>
          <w:bCs/>
          <w:noProof w:val="0"/>
          <w:u w:val="single"/>
          <w:rtl/>
        </w:rPr>
      </w:pPr>
      <w:r>
        <w:rPr>
          <w:rFonts w:ascii="Arial" w:hAnsi="Arial"/>
          <w:noProof w:val="0"/>
          <w:rtl/>
        </w:rPr>
        <w:tab/>
      </w:r>
      <w:r w:rsidRPr="00686868">
        <w:rPr>
          <w:rFonts w:ascii="Arial" w:hAnsi="Arial" w:hint="cs"/>
          <w:b/>
          <w:bCs/>
          <w:noProof w:val="0"/>
          <w:u w:val="single"/>
          <w:rtl/>
        </w:rPr>
        <w:t>דיון</w:t>
      </w:r>
      <w:r>
        <w:rPr>
          <w:rFonts w:ascii="Arial" w:hAnsi="Arial" w:hint="cs"/>
          <w:b/>
          <w:bCs/>
          <w:noProof w:val="0"/>
          <w:u w:val="single"/>
          <w:rtl/>
        </w:rPr>
        <w:t xml:space="preserve"> והכרעה</w:t>
      </w:r>
      <w:r w:rsidRPr="00686868">
        <w:rPr>
          <w:rFonts w:ascii="Arial" w:hAnsi="Arial" w:hint="cs"/>
          <w:b/>
          <w:bCs/>
          <w:noProof w:val="0"/>
          <w:rtl/>
        </w:rPr>
        <w:tab/>
      </w:r>
    </w:p>
    <w:p w14:paraId="3F3C9C67" w14:textId="77777777" w:rsidR="00E17123" w:rsidRPr="00895E52" w:rsidRDefault="00E17123" w:rsidP="00E17123">
      <w:pPr>
        <w:spacing w:line="360" w:lineRule="auto"/>
        <w:ind w:left="652" w:hanging="709"/>
        <w:jc w:val="both"/>
        <w:rPr>
          <w:rFonts w:ascii="Arial" w:eastAsia="David" w:hAnsi="Arial"/>
          <w:noProof w:val="0"/>
          <w:rtl/>
        </w:rPr>
      </w:pPr>
      <w:r>
        <w:rPr>
          <w:rFonts w:ascii="Arial" w:eastAsia="David" w:hAnsi="Arial" w:hint="cs"/>
          <w:noProof w:val="0"/>
          <w:rtl/>
        </w:rPr>
        <w:t>8</w:t>
      </w:r>
      <w:r w:rsidRPr="00895E52">
        <w:rPr>
          <w:rFonts w:ascii="Arial" w:eastAsia="David" w:hAnsi="Arial" w:hint="cs"/>
          <w:noProof w:val="0"/>
          <w:rtl/>
        </w:rPr>
        <w:t>.</w:t>
      </w:r>
      <w:r w:rsidRPr="00895E52">
        <w:rPr>
          <w:rFonts w:ascii="Arial" w:eastAsia="David" w:hAnsi="Arial" w:hint="cs"/>
          <w:noProof w:val="0"/>
          <w:rtl/>
        </w:rPr>
        <w:tab/>
        <w:t>סבורני כי מתחם  העונש ההולם</w:t>
      </w:r>
      <w:r>
        <w:rPr>
          <w:rFonts w:ascii="Arial" w:eastAsia="David" w:hAnsi="Arial" w:hint="cs"/>
          <w:noProof w:val="0"/>
          <w:rtl/>
        </w:rPr>
        <w:t xml:space="preserve"> בעניינו של הנאשם  צריך לנוע בין 18 ל-36 חודשי מאסר. </w:t>
      </w:r>
      <w:r w:rsidRPr="00895E52">
        <w:rPr>
          <w:rFonts w:ascii="Arial" w:eastAsia="David" w:hAnsi="Arial" w:hint="cs"/>
          <w:noProof w:val="0"/>
          <w:rtl/>
        </w:rPr>
        <w:t>בקביעת המתחם התחשבתי בערכים המוגנים שנפגעו, במידת הפגיעה בהם, בענישה הנוהגת ובנסיבות הקשורות בביצוע העבירות כפי שאפרט להלן.</w:t>
      </w:r>
    </w:p>
    <w:p w14:paraId="1348F58F" w14:textId="77777777" w:rsidR="00E17123" w:rsidRPr="00895E52" w:rsidRDefault="00E17123" w:rsidP="00E17123">
      <w:pPr>
        <w:spacing w:line="360" w:lineRule="auto"/>
        <w:ind w:left="567" w:hanging="567"/>
        <w:jc w:val="both"/>
        <w:rPr>
          <w:rFonts w:ascii="Arial" w:eastAsia="David" w:hAnsi="Arial"/>
          <w:noProof w:val="0"/>
          <w:rtl/>
        </w:rPr>
      </w:pPr>
    </w:p>
    <w:p w14:paraId="71013621" w14:textId="77777777" w:rsidR="00E17123" w:rsidRDefault="00E17123" w:rsidP="00E17123">
      <w:pPr>
        <w:spacing w:line="360" w:lineRule="auto"/>
        <w:ind w:left="652" w:hanging="709"/>
        <w:jc w:val="both"/>
        <w:rPr>
          <w:rFonts w:ascii="Arial" w:eastAsia="David" w:hAnsi="Arial"/>
          <w:noProof w:val="0"/>
          <w:rtl/>
        </w:rPr>
      </w:pPr>
      <w:r w:rsidRPr="00895E52">
        <w:rPr>
          <w:rFonts w:ascii="Arial" w:eastAsia="David" w:hAnsi="Arial" w:hint="cs"/>
          <w:noProof w:val="0"/>
          <w:rtl/>
        </w:rPr>
        <w:t>9.</w:t>
      </w:r>
      <w:r w:rsidRPr="00895E52">
        <w:rPr>
          <w:rFonts w:ascii="Arial" w:eastAsia="David" w:hAnsi="Arial" w:hint="cs"/>
          <w:noProof w:val="0"/>
          <w:rtl/>
        </w:rPr>
        <w:tab/>
        <w:t>הנאשם פגע</w:t>
      </w:r>
      <w:r>
        <w:rPr>
          <w:rFonts w:ascii="Arial" w:eastAsia="David" w:hAnsi="Arial" w:hint="cs"/>
          <w:noProof w:val="0"/>
          <w:rtl/>
        </w:rPr>
        <w:t xml:space="preserve"> בערכים המוגנים של שמירה על שלומו ובטחונו של</w:t>
      </w:r>
      <w:r w:rsidRPr="00895E52">
        <w:rPr>
          <w:rFonts w:ascii="Arial" w:eastAsia="David" w:hAnsi="Arial" w:hint="cs"/>
          <w:noProof w:val="0"/>
          <w:rtl/>
        </w:rPr>
        <w:t xml:space="preserve"> הציבור</w:t>
      </w:r>
      <w:r>
        <w:rPr>
          <w:rFonts w:ascii="Arial" w:eastAsia="David" w:hAnsi="Arial" w:hint="cs"/>
          <w:noProof w:val="0"/>
          <w:rtl/>
        </w:rPr>
        <w:t>.</w:t>
      </w:r>
    </w:p>
    <w:p w14:paraId="56867F41" w14:textId="77777777" w:rsidR="00E17123" w:rsidRPr="00895E52" w:rsidRDefault="00E17123" w:rsidP="00E17123">
      <w:pPr>
        <w:spacing w:line="360" w:lineRule="auto"/>
        <w:ind w:left="567" w:hanging="567"/>
        <w:jc w:val="both"/>
        <w:rPr>
          <w:rFonts w:ascii="David" w:eastAsia="David" w:hAnsi="David"/>
          <w:noProof w:val="0"/>
          <w:rtl/>
        </w:rPr>
      </w:pPr>
    </w:p>
    <w:p w14:paraId="00CCD6C8" w14:textId="77777777" w:rsidR="00E17123" w:rsidRDefault="00E17123" w:rsidP="00E17123">
      <w:pPr>
        <w:spacing w:line="360" w:lineRule="auto"/>
        <w:ind w:left="652" w:hanging="709"/>
        <w:jc w:val="both"/>
        <w:rPr>
          <w:rFonts w:ascii="Arial" w:eastAsia="David" w:hAnsi="Arial"/>
          <w:noProof w:val="0"/>
          <w:rtl/>
        </w:rPr>
      </w:pPr>
      <w:r w:rsidRPr="00895E52">
        <w:rPr>
          <w:rFonts w:ascii="David" w:eastAsia="David" w:hAnsi="David" w:hint="cs"/>
          <w:noProof w:val="0"/>
          <w:rtl/>
        </w:rPr>
        <w:t>10.</w:t>
      </w:r>
      <w:r w:rsidRPr="00895E52">
        <w:rPr>
          <w:rFonts w:ascii="David" w:eastAsia="David" w:hAnsi="David" w:hint="cs"/>
          <w:noProof w:val="0"/>
          <w:rtl/>
        </w:rPr>
        <w:tab/>
      </w:r>
      <w:r w:rsidRPr="00895E52">
        <w:rPr>
          <w:rFonts w:ascii="Arial" w:eastAsia="David" w:hAnsi="Arial" w:hint="cs"/>
          <w:noProof w:val="0"/>
          <w:rtl/>
        </w:rPr>
        <w:t>מידת הפג</w:t>
      </w:r>
      <w:r>
        <w:rPr>
          <w:rFonts w:ascii="Arial" w:eastAsia="David" w:hAnsi="Arial" w:hint="cs"/>
          <w:noProof w:val="0"/>
          <w:rtl/>
        </w:rPr>
        <w:t xml:space="preserve">יעה בערכים המוגנים בענייננו אינה מבוטלת וזאת בשים לב לסוג הנשק (תת מקלע מאולתר ומחסניות) </w:t>
      </w:r>
      <w:r w:rsidRPr="00895E52">
        <w:rPr>
          <w:rFonts w:ascii="Arial" w:eastAsia="David" w:hAnsi="Arial" w:hint="cs"/>
          <w:noProof w:val="0"/>
          <w:rtl/>
        </w:rPr>
        <w:t xml:space="preserve">אותו החזיק </w:t>
      </w:r>
      <w:r>
        <w:rPr>
          <w:rFonts w:ascii="Arial" w:eastAsia="David" w:hAnsi="Arial" w:hint="cs"/>
          <w:noProof w:val="0"/>
          <w:rtl/>
        </w:rPr>
        <w:t xml:space="preserve">והוביל </w:t>
      </w:r>
      <w:r w:rsidRPr="00895E52">
        <w:rPr>
          <w:rFonts w:ascii="Arial" w:eastAsia="David" w:hAnsi="Arial" w:hint="cs"/>
          <w:noProof w:val="0"/>
          <w:rtl/>
        </w:rPr>
        <w:t>הנאשם שלא כחוק,</w:t>
      </w:r>
      <w:r>
        <w:rPr>
          <w:rFonts w:ascii="Arial" w:eastAsia="David" w:hAnsi="Arial" w:hint="cs"/>
          <w:noProof w:val="0"/>
          <w:rtl/>
        </w:rPr>
        <w:t xml:space="preserve"> לזמינות של הנשק שהיה בידי הנאשם ולסיבות שבעטיין ביצע את העבירות. </w:t>
      </w:r>
    </w:p>
    <w:p w14:paraId="4D5854ED" w14:textId="77777777" w:rsidR="00E17123" w:rsidRDefault="00E17123" w:rsidP="00E17123">
      <w:pPr>
        <w:spacing w:line="360" w:lineRule="auto"/>
        <w:ind w:left="652" w:hanging="709"/>
        <w:jc w:val="both"/>
        <w:rPr>
          <w:rFonts w:ascii="Arial" w:eastAsia="David" w:hAnsi="Arial"/>
          <w:noProof w:val="0"/>
          <w:rtl/>
        </w:rPr>
      </w:pPr>
      <w:r>
        <w:rPr>
          <w:rFonts w:ascii="Arial" w:eastAsia="David" w:hAnsi="Arial"/>
          <w:noProof w:val="0"/>
          <w:rtl/>
        </w:rPr>
        <w:tab/>
      </w:r>
      <w:r w:rsidRPr="00895E52">
        <w:rPr>
          <w:rFonts w:ascii="David" w:eastAsia="David" w:hAnsi="David" w:hint="cs"/>
          <w:noProof w:val="0"/>
          <w:rtl/>
        </w:rPr>
        <w:t>אודות החומרה הנשקפת לציבור שעה שנשק מוחזק ומובל שלא כדין וללא פיקוח</w:t>
      </w:r>
      <w:r>
        <w:rPr>
          <w:rFonts w:ascii="David" w:eastAsia="David" w:hAnsi="David" w:hint="cs"/>
          <w:noProof w:val="0"/>
          <w:rtl/>
        </w:rPr>
        <w:t>,</w:t>
      </w:r>
      <w:r w:rsidRPr="00895E52">
        <w:rPr>
          <w:rFonts w:ascii="David" w:eastAsia="David" w:hAnsi="David" w:hint="cs"/>
          <w:noProof w:val="0"/>
          <w:rtl/>
        </w:rPr>
        <w:t xml:space="preserve"> ואודות הצורך להשית במקרה שכזה עונש מאסר ממושך</w:t>
      </w:r>
      <w:r>
        <w:rPr>
          <w:rFonts w:ascii="David" w:eastAsia="David" w:hAnsi="David" w:hint="cs"/>
          <w:noProof w:val="0"/>
          <w:rtl/>
        </w:rPr>
        <w:t xml:space="preserve"> גם במקרים שהנאשמים נעדרי עבר פלילי.</w:t>
      </w:r>
      <w:r w:rsidRPr="00895E52">
        <w:rPr>
          <w:rFonts w:ascii="David" w:eastAsia="David" w:hAnsi="David" w:hint="cs"/>
          <w:noProof w:val="0"/>
          <w:rtl/>
        </w:rPr>
        <w:t xml:space="preserve"> </w:t>
      </w:r>
    </w:p>
    <w:p w14:paraId="50BEF0A0" w14:textId="77777777" w:rsidR="00E17123" w:rsidRDefault="00E17123" w:rsidP="00E17123">
      <w:pPr>
        <w:spacing w:line="360" w:lineRule="auto"/>
        <w:ind w:left="652" w:hanging="709"/>
        <w:jc w:val="both"/>
        <w:rPr>
          <w:rFonts w:ascii="Arial" w:eastAsia="David" w:hAnsi="Arial"/>
          <w:noProof w:val="0"/>
          <w:rtl/>
        </w:rPr>
      </w:pPr>
      <w:r>
        <w:rPr>
          <w:rFonts w:ascii="Arial" w:eastAsia="David" w:hAnsi="Arial"/>
          <w:noProof w:val="0"/>
          <w:rtl/>
        </w:rPr>
        <w:tab/>
      </w:r>
      <w:r>
        <w:rPr>
          <w:rFonts w:ascii="Arial" w:eastAsia="David" w:hAnsi="Arial" w:hint="cs"/>
          <w:noProof w:val="0"/>
          <w:rtl/>
        </w:rPr>
        <w:t xml:space="preserve">ראו </w:t>
      </w:r>
      <w:hyperlink r:id="rId14" w:history="1">
        <w:r w:rsidR="00431D40" w:rsidRPr="00431D40">
          <w:rPr>
            <w:rFonts w:ascii="Arial" w:eastAsia="David" w:hAnsi="Arial"/>
            <w:noProof w:val="0"/>
            <w:color w:val="0000FF"/>
            <w:u w:val="single"/>
            <w:rtl/>
          </w:rPr>
          <w:t>ע"פ 9702/16</w:t>
        </w:r>
      </w:hyperlink>
      <w:r>
        <w:rPr>
          <w:rFonts w:ascii="Arial" w:eastAsia="David" w:hAnsi="Arial" w:hint="cs"/>
          <w:noProof w:val="0"/>
          <w:rtl/>
        </w:rPr>
        <w:t xml:space="preserve"> </w:t>
      </w:r>
      <w:r w:rsidRPr="007F11F0">
        <w:rPr>
          <w:rFonts w:ascii="Arial" w:eastAsia="David" w:hAnsi="Arial"/>
          <w:b/>
          <w:bCs/>
          <w:noProof w:val="0"/>
          <w:rtl/>
        </w:rPr>
        <w:t xml:space="preserve">סאמי אבו אלוליאיה </w:t>
      </w:r>
      <w:r w:rsidRPr="007F11F0">
        <w:rPr>
          <w:rFonts w:ascii="Arial" w:eastAsia="David" w:hAnsi="Arial"/>
          <w:noProof w:val="0"/>
          <w:rtl/>
        </w:rPr>
        <w:t>נ'</w:t>
      </w:r>
      <w:r w:rsidRPr="007F11F0">
        <w:rPr>
          <w:rFonts w:ascii="Arial" w:eastAsia="David" w:hAnsi="Arial"/>
          <w:b/>
          <w:bCs/>
          <w:noProof w:val="0"/>
          <w:rtl/>
        </w:rPr>
        <w:t xml:space="preserve"> מדינת ישראל</w:t>
      </w:r>
      <w:r w:rsidRPr="007F11F0">
        <w:rPr>
          <w:rFonts w:ascii="Arial" w:eastAsia="David" w:hAnsi="Arial"/>
          <w:noProof w:val="0"/>
          <w:rtl/>
        </w:rPr>
        <w:t xml:space="preserve">. </w:t>
      </w:r>
      <w:r>
        <w:rPr>
          <w:rFonts w:ascii="Arial" w:eastAsia="David" w:hAnsi="Arial" w:hint="cs"/>
          <w:noProof w:val="0"/>
          <w:rtl/>
        </w:rPr>
        <w:t>(</w:t>
      </w:r>
      <w:r>
        <w:rPr>
          <w:rFonts w:ascii="Arial" w:eastAsia="David" w:hAnsi="Arial"/>
          <w:noProof w:val="0"/>
          <w:rtl/>
        </w:rPr>
        <w:t>פורסם בנבו</w:t>
      </w:r>
      <w:r>
        <w:rPr>
          <w:rFonts w:ascii="Arial" w:eastAsia="David" w:hAnsi="Arial" w:hint="cs"/>
          <w:noProof w:val="0"/>
          <w:rtl/>
        </w:rPr>
        <w:t>,</w:t>
      </w:r>
      <w:r w:rsidRPr="007F11F0">
        <w:rPr>
          <w:rFonts w:ascii="Arial" w:eastAsia="David" w:hAnsi="Arial"/>
          <w:noProof w:val="0"/>
          <w:rtl/>
        </w:rPr>
        <w:t xml:space="preserve"> מיום 13.9.</w:t>
      </w:r>
      <w:r>
        <w:rPr>
          <w:rFonts w:ascii="Arial" w:eastAsia="David" w:hAnsi="Arial" w:hint="cs"/>
          <w:noProof w:val="0"/>
          <w:rtl/>
        </w:rPr>
        <w:t>2017), פסקה 3:</w:t>
      </w:r>
      <w:r>
        <w:rPr>
          <w:rFonts w:ascii="Arial" w:eastAsia="David" w:hAnsi="Arial"/>
          <w:noProof w:val="0"/>
          <w:rtl/>
        </w:rPr>
        <w:t xml:space="preserve">  </w:t>
      </w:r>
    </w:p>
    <w:p w14:paraId="4821F7FA" w14:textId="77777777" w:rsidR="00E17123" w:rsidRPr="00B52A28" w:rsidRDefault="00E17123" w:rsidP="00E17123">
      <w:pPr>
        <w:spacing w:line="360" w:lineRule="auto"/>
        <w:ind w:left="1503" w:right="567"/>
        <w:jc w:val="both"/>
        <w:rPr>
          <w:rFonts w:ascii="Arial" w:eastAsia="David" w:hAnsi="Arial"/>
          <w:noProof w:val="0"/>
          <w:rtl/>
        </w:rPr>
      </w:pPr>
      <w:r w:rsidRPr="00FD3F14">
        <w:rPr>
          <w:rFonts w:ascii="Arial" w:eastAsia="David" w:hAnsi="Arial" w:hint="cs"/>
          <w:b/>
          <w:bCs/>
          <w:noProof w:val="0"/>
          <w:rtl/>
        </w:rPr>
        <w:t>"</w:t>
      </w:r>
      <w:r w:rsidRPr="00FD3F14">
        <w:rPr>
          <w:rFonts w:ascii="Arial" w:eastAsia="David" w:hAnsi="Arial"/>
          <w:b/>
          <w:bCs/>
          <w:noProof w:val="0"/>
          <w:rtl/>
        </w:rPr>
        <w:t xml:space="preserve">ככלל, בפסיקת בית משפט זה באה לידי ביטוי, בשורה ארוכה של פסקי דין, מדיניות של החמרה בענישה בעבירות נשק (ראו למשל: </w:t>
      </w:r>
      <w:hyperlink r:id="rId15" w:history="1">
        <w:r w:rsidR="00431D40" w:rsidRPr="00431D40">
          <w:rPr>
            <w:rFonts w:ascii="Arial" w:eastAsia="David" w:hAnsi="Arial"/>
            <w:b/>
            <w:bCs/>
            <w:noProof w:val="0"/>
            <w:color w:val="0000FF"/>
            <w:u w:val="single"/>
            <w:rtl/>
          </w:rPr>
          <w:t>ע"פ 4945/13</w:t>
        </w:r>
      </w:hyperlink>
      <w:r w:rsidRPr="00FD3F14">
        <w:rPr>
          <w:rFonts w:ascii="Arial" w:eastAsia="David" w:hAnsi="Arial"/>
          <w:b/>
          <w:bCs/>
          <w:noProof w:val="0"/>
          <w:rtl/>
        </w:rPr>
        <w:t xml:space="preserve"> מדינת ישראל נ' עבד אלכרים סלימאן [פורסם בנבו] (19.1.2014); </w:t>
      </w:r>
      <w:hyperlink r:id="rId16" w:history="1">
        <w:r w:rsidR="00431D40" w:rsidRPr="00431D40">
          <w:rPr>
            <w:rFonts w:ascii="Arial" w:eastAsia="David" w:hAnsi="Arial"/>
            <w:b/>
            <w:bCs/>
            <w:noProof w:val="0"/>
            <w:color w:val="0000FF"/>
            <w:u w:val="single"/>
            <w:rtl/>
          </w:rPr>
          <w:t>ע"פ 2251/11</w:t>
        </w:r>
      </w:hyperlink>
      <w:r w:rsidRPr="00FD3F14">
        <w:rPr>
          <w:rFonts w:ascii="Arial" w:eastAsia="David" w:hAnsi="Arial"/>
          <w:b/>
          <w:bCs/>
          <w:noProof w:val="0"/>
          <w:rtl/>
        </w:rPr>
        <w:t xml:space="preserve"> נפאע נ' מדינת ישראל, [פורסם בנבו] בפסקה 7 (4.12.2011); </w:t>
      </w:r>
      <w:hyperlink r:id="rId17" w:history="1">
        <w:r w:rsidR="00431D40" w:rsidRPr="00431D40">
          <w:rPr>
            <w:rFonts w:ascii="Arial" w:eastAsia="David" w:hAnsi="Arial"/>
            <w:b/>
            <w:bCs/>
            <w:noProof w:val="0"/>
            <w:color w:val="0000FF"/>
            <w:u w:val="single"/>
            <w:rtl/>
          </w:rPr>
          <w:t>ע"פ 6371/11</w:t>
        </w:r>
      </w:hyperlink>
      <w:r w:rsidRPr="00FD3F14">
        <w:rPr>
          <w:rFonts w:ascii="Arial" w:eastAsia="David" w:hAnsi="Arial"/>
          <w:b/>
          <w:bCs/>
          <w:noProof w:val="0"/>
          <w:rtl/>
        </w:rPr>
        <w:t xml:space="preserve"> מדינת ישראל נ' הייבי [פורסם בנבו] (18.12.2011); </w:t>
      </w:r>
      <w:hyperlink r:id="rId18" w:history="1">
        <w:r w:rsidR="00431D40" w:rsidRPr="00431D40">
          <w:rPr>
            <w:rFonts w:ascii="Arial" w:eastAsia="David" w:hAnsi="Arial"/>
            <w:b/>
            <w:bCs/>
            <w:noProof w:val="0"/>
            <w:color w:val="0000FF"/>
            <w:u w:val="single"/>
            <w:rtl/>
          </w:rPr>
          <w:t>ע"פ 1323/13</w:t>
        </w:r>
      </w:hyperlink>
      <w:r w:rsidRPr="00FD3F14">
        <w:rPr>
          <w:rFonts w:ascii="Arial" w:eastAsia="David" w:hAnsi="Arial"/>
          <w:b/>
          <w:bCs/>
          <w:noProof w:val="0"/>
          <w:rtl/>
        </w:rPr>
        <w:t xml:space="preserve"> חסן נ' מדינת ישראל [פורסם בנבו] (5.6.2013)). </w:t>
      </w:r>
      <w:r w:rsidRPr="00953F02">
        <w:rPr>
          <w:rFonts w:ascii="Arial" w:eastAsia="David" w:hAnsi="Arial"/>
          <w:b/>
          <w:bCs/>
          <w:noProof w:val="0"/>
          <w:u w:val="single"/>
          <w:rtl/>
        </w:rPr>
        <w:t>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w:t>
      </w:r>
      <w:r>
        <w:rPr>
          <w:rFonts w:ascii="Arial" w:eastAsia="David" w:hAnsi="Arial" w:hint="cs"/>
          <w:b/>
          <w:bCs/>
          <w:noProof w:val="0"/>
          <w:rtl/>
        </w:rPr>
        <w:t>..."</w:t>
      </w:r>
      <w:r w:rsidRPr="00B52A28">
        <w:rPr>
          <w:rFonts w:ascii="Arial" w:eastAsia="David" w:hAnsi="Arial"/>
          <w:noProof w:val="0"/>
          <w:rtl/>
        </w:rPr>
        <w:t xml:space="preserve"> </w:t>
      </w:r>
      <w:r w:rsidRPr="00B52A28">
        <w:rPr>
          <w:rFonts w:ascii="Arial" w:eastAsia="David" w:hAnsi="Arial" w:hint="cs"/>
          <w:noProof w:val="0"/>
          <w:rtl/>
        </w:rPr>
        <w:t>(דגש לא במקור, י' ל')</w:t>
      </w:r>
      <w:r>
        <w:rPr>
          <w:rFonts w:ascii="Arial" w:eastAsia="David" w:hAnsi="Arial" w:hint="cs"/>
          <w:noProof w:val="0"/>
          <w:rtl/>
        </w:rPr>
        <w:t>.</w:t>
      </w:r>
    </w:p>
    <w:p w14:paraId="5A330118" w14:textId="77777777" w:rsidR="00E17123" w:rsidRPr="00B52A28" w:rsidRDefault="00E17123" w:rsidP="00E17123">
      <w:pPr>
        <w:spacing w:line="360" w:lineRule="auto"/>
        <w:ind w:left="1503" w:right="567"/>
        <w:jc w:val="both"/>
        <w:rPr>
          <w:rFonts w:ascii="David" w:eastAsia="David" w:hAnsi="David"/>
          <w:noProof w:val="0"/>
          <w:rtl/>
        </w:rPr>
      </w:pPr>
    </w:p>
    <w:p w14:paraId="71BDD64C" w14:textId="77777777" w:rsidR="00E17123" w:rsidRPr="00895E52" w:rsidRDefault="00E17123" w:rsidP="00E17123">
      <w:pPr>
        <w:spacing w:line="360" w:lineRule="auto"/>
        <w:ind w:left="652" w:hanging="709"/>
        <w:jc w:val="both"/>
        <w:rPr>
          <w:rFonts w:ascii="David" w:eastAsia="David" w:hAnsi="David"/>
          <w:noProof w:val="0"/>
          <w:rtl/>
        </w:rPr>
      </w:pPr>
      <w:r>
        <w:rPr>
          <w:rFonts w:ascii="David" w:eastAsia="David" w:hAnsi="David"/>
          <w:noProof w:val="0"/>
          <w:rtl/>
        </w:rPr>
        <w:tab/>
      </w:r>
      <w:r>
        <w:rPr>
          <w:rFonts w:ascii="David" w:eastAsia="David" w:hAnsi="David" w:hint="cs"/>
          <w:noProof w:val="0"/>
          <w:rtl/>
        </w:rPr>
        <w:t xml:space="preserve">בפסיקת בית המשפט העליון הובהר כי </w:t>
      </w:r>
      <w:r w:rsidRPr="0026179F">
        <w:rPr>
          <w:rFonts w:ascii="David" w:eastAsia="David" w:hAnsi="David" w:hint="cs"/>
          <w:b/>
          <w:bCs/>
          <w:noProof w:val="0"/>
          <w:rtl/>
        </w:rPr>
        <w:t>מגמת ההחמרה והצורך בהטלת עונשי מאסר נכונים גם ביחס למי שהוא נעדר עבר פלילי</w:t>
      </w:r>
      <w:r>
        <w:rPr>
          <w:rFonts w:ascii="David" w:eastAsia="David" w:hAnsi="David" w:hint="cs"/>
          <w:noProof w:val="0"/>
          <w:rtl/>
        </w:rPr>
        <w:t xml:space="preserve">. </w:t>
      </w:r>
      <w:r w:rsidRPr="00895E52">
        <w:rPr>
          <w:rFonts w:ascii="Arial" w:eastAsia="David" w:hAnsi="Arial" w:hint="cs"/>
          <w:noProof w:val="0"/>
          <w:rtl/>
        </w:rPr>
        <w:t>לעניין זה ראו</w:t>
      </w:r>
      <w:r>
        <w:rPr>
          <w:rFonts w:ascii="Arial" w:eastAsia="David" w:hAnsi="Arial" w:hint="cs"/>
          <w:noProof w:val="0"/>
          <w:rtl/>
        </w:rPr>
        <w:t xml:space="preserve"> למשל</w:t>
      </w:r>
      <w:r w:rsidRPr="00895E52">
        <w:rPr>
          <w:rFonts w:ascii="Arial" w:eastAsia="David" w:hAnsi="Arial" w:hint="cs"/>
          <w:noProof w:val="0"/>
          <w:rtl/>
        </w:rPr>
        <w:t xml:space="preserve"> </w:t>
      </w:r>
      <w:hyperlink r:id="rId19" w:history="1">
        <w:r w:rsidR="00431D40" w:rsidRPr="00431D40">
          <w:rPr>
            <w:rFonts w:ascii="Arial" w:eastAsia="David" w:hAnsi="Arial"/>
            <w:noProof w:val="0"/>
            <w:color w:val="0000FF"/>
            <w:u w:val="single"/>
            <w:rtl/>
          </w:rPr>
          <w:t>ע"פ 2564/19</w:t>
        </w:r>
      </w:hyperlink>
      <w:r w:rsidRPr="00895E52">
        <w:rPr>
          <w:rFonts w:ascii="Arial" w:eastAsia="David" w:hAnsi="Arial" w:hint="cs"/>
          <w:noProof w:val="0"/>
          <w:rtl/>
        </w:rPr>
        <w:t xml:space="preserve"> </w:t>
      </w:r>
      <w:r w:rsidRPr="00895E52">
        <w:rPr>
          <w:rFonts w:ascii="Arial" w:eastAsia="David" w:hAnsi="Arial" w:hint="cs"/>
          <w:b/>
          <w:bCs/>
          <w:noProof w:val="0"/>
          <w:rtl/>
        </w:rPr>
        <w:t>איברהים אזברגה נ' מדינת ישראל</w:t>
      </w:r>
      <w:r>
        <w:rPr>
          <w:rFonts w:ascii="Arial" w:eastAsia="David" w:hAnsi="Arial" w:hint="cs"/>
          <w:noProof w:val="0"/>
          <w:rtl/>
        </w:rPr>
        <w:t xml:space="preserve"> (פורסם בנבו, 18.07.2019), פ</w:t>
      </w:r>
      <w:r w:rsidRPr="00895E52">
        <w:rPr>
          <w:rFonts w:ascii="Arial" w:eastAsia="David" w:hAnsi="Arial" w:hint="cs"/>
          <w:noProof w:val="0"/>
          <w:rtl/>
        </w:rPr>
        <w:t xml:space="preserve">סקה 10: </w:t>
      </w:r>
    </w:p>
    <w:p w14:paraId="1AD326FC" w14:textId="77777777" w:rsidR="00E17123" w:rsidRPr="00552C8C" w:rsidRDefault="00E17123" w:rsidP="00E17123">
      <w:pPr>
        <w:spacing w:line="360" w:lineRule="auto"/>
        <w:ind w:left="1503" w:right="709"/>
        <w:jc w:val="both"/>
        <w:rPr>
          <w:rFonts w:ascii="Arial" w:eastAsia="David" w:hAnsi="Arial"/>
          <w:noProof w:val="0"/>
          <w:rtl/>
        </w:rPr>
      </w:pPr>
      <w:r w:rsidRPr="00895E52">
        <w:rPr>
          <w:rFonts w:ascii="Arial" w:eastAsia="David" w:hAnsi="Arial" w:hint="cs"/>
          <w:b/>
          <w:bCs/>
          <w:noProof w:val="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953F02">
        <w:rPr>
          <w:rFonts w:ascii="Arial" w:eastAsia="David" w:hAnsi="Arial" w:hint="cs"/>
          <w:b/>
          <w:bCs/>
          <w:noProof w:val="0"/>
          <w:u w:val="single"/>
          <w:rtl/>
        </w:rPr>
        <w:t>ברירת המחדל בעבירות נשק היא אפוא מאסר בפועל גם כאשר הנאשם נעדר עבר פלילי, כבענייננו</w:t>
      </w:r>
      <w:r>
        <w:rPr>
          <w:rFonts w:ascii="Arial" w:eastAsia="David" w:hAnsi="Arial" w:hint="cs"/>
          <w:b/>
          <w:bCs/>
          <w:noProof w:val="0"/>
          <w:rtl/>
        </w:rPr>
        <w:t xml:space="preserve">" </w:t>
      </w:r>
      <w:r w:rsidRPr="00552C8C">
        <w:rPr>
          <w:rFonts w:ascii="Arial" w:eastAsia="David" w:hAnsi="Arial" w:hint="cs"/>
          <w:noProof w:val="0"/>
          <w:rtl/>
        </w:rPr>
        <w:t>(דגש לא במקור, י' ל').</w:t>
      </w:r>
    </w:p>
    <w:p w14:paraId="318B5150" w14:textId="77777777" w:rsidR="00E17123" w:rsidRPr="0026179F"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כן ראו </w:t>
      </w:r>
      <w:hyperlink r:id="rId20" w:history="1">
        <w:r w:rsidR="00431D40" w:rsidRPr="00431D40">
          <w:rPr>
            <w:rFonts w:ascii="Arial" w:hAnsi="Arial"/>
            <w:color w:val="0000FF"/>
            <w:u w:val="single"/>
            <w:rtl/>
          </w:rPr>
          <w:t>ע"פ 6989/13</w:t>
        </w:r>
      </w:hyperlink>
      <w:r w:rsidRPr="0026179F">
        <w:rPr>
          <w:rFonts w:ascii="Arial" w:hAnsi="Arial" w:hint="cs"/>
          <w:rtl/>
        </w:rPr>
        <w:t xml:space="preserve"> </w:t>
      </w:r>
      <w:r w:rsidRPr="0026179F">
        <w:rPr>
          <w:rFonts w:ascii="Arial" w:hAnsi="Arial" w:hint="cs"/>
          <w:b/>
          <w:bCs/>
          <w:rtl/>
        </w:rPr>
        <w:t>חנא פרח נ' מדינת ישראל</w:t>
      </w:r>
      <w:r w:rsidRPr="0026179F">
        <w:rPr>
          <w:rFonts w:ascii="Arial" w:hAnsi="Arial" w:hint="cs"/>
          <w:rtl/>
        </w:rPr>
        <w:t xml:space="preserve"> (פורסם בנבו, 25.2.2014), פסקה 13; </w:t>
      </w:r>
      <w:hyperlink r:id="rId21" w:history="1">
        <w:r w:rsidR="00431D40" w:rsidRPr="00431D40">
          <w:rPr>
            <w:rFonts w:ascii="Arial" w:hAnsi="Arial"/>
            <w:color w:val="0000FF"/>
            <w:u w:val="single"/>
            <w:rtl/>
          </w:rPr>
          <w:t>רע"פ 2718/04</w:t>
        </w:r>
      </w:hyperlink>
      <w:r w:rsidRPr="0026179F">
        <w:rPr>
          <w:rFonts w:ascii="Arial" w:hAnsi="Arial" w:hint="cs"/>
          <w:rtl/>
        </w:rPr>
        <w:t xml:space="preserve"> </w:t>
      </w:r>
      <w:r w:rsidRPr="0026179F">
        <w:rPr>
          <w:rFonts w:ascii="Arial" w:hAnsi="Arial" w:hint="cs"/>
          <w:b/>
          <w:bCs/>
          <w:rtl/>
        </w:rPr>
        <w:t>פואד אבו דאחל נ' מדינת ישראל</w:t>
      </w:r>
      <w:r w:rsidRPr="0026179F">
        <w:rPr>
          <w:rFonts w:ascii="Arial" w:hAnsi="Arial" w:hint="cs"/>
          <w:rtl/>
        </w:rPr>
        <w:t xml:space="preserve"> (פורסם בנבו, 29.3.2001).</w:t>
      </w:r>
    </w:p>
    <w:p w14:paraId="48BB33A4" w14:textId="77777777" w:rsidR="00E17123" w:rsidRDefault="00E17123" w:rsidP="00E17123">
      <w:pPr>
        <w:spacing w:line="360" w:lineRule="auto"/>
        <w:ind w:left="652" w:hanging="709"/>
        <w:jc w:val="both"/>
        <w:rPr>
          <w:rFonts w:ascii="Arial" w:hAnsi="Arial"/>
          <w:rtl/>
        </w:rPr>
      </w:pPr>
    </w:p>
    <w:p w14:paraId="50B902A7" w14:textId="77777777" w:rsidR="00E17123" w:rsidRDefault="00E17123" w:rsidP="00E17123">
      <w:pPr>
        <w:spacing w:line="360" w:lineRule="auto"/>
        <w:ind w:left="652" w:hanging="709"/>
        <w:jc w:val="both"/>
        <w:rPr>
          <w:rFonts w:ascii="Arial" w:hAnsi="Arial"/>
          <w:noProof w:val="0"/>
        </w:rPr>
      </w:pPr>
      <w:r>
        <w:rPr>
          <w:rFonts w:ascii="Arial" w:hAnsi="Arial"/>
          <w:rtl/>
        </w:rPr>
        <w:tab/>
      </w:r>
      <w:r>
        <w:rPr>
          <w:rFonts w:ascii="Arial" w:hAnsi="Arial" w:hint="cs"/>
          <w:rtl/>
        </w:rPr>
        <w:t xml:space="preserve">לא למותר לציין כי 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לעניין זה ראו </w:t>
      </w:r>
      <w:hyperlink r:id="rId22" w:history="1">
        <w:r w:rsidR="00431D40" w:rsidRPr="00431D40">
          <w:rPr>
            <w:rFonts w:ascii="Arial" w:hAnsi="Arial"/>
            <w:color w:val="0000FF"/>
            <w:u w:val="single"/>
            <w:rtl/>
          </w:rPr>
          <w:t>ע"פ 5220/09</w:t>
        </w:r>
      </w:hyperlink>
      <w:r>
        <w:rPr>
          <w:rFonts w:ascii="Arial" w:hAnsi="Arial" w:hint="cs"/>
          <w:rtl/>
        </w:rPr>
        <w:t xml:space="preserve"> </w:t>
      </w:r>
      <w:r>
        <w:rPr>
          <w:rFonts w:ascii="Arial" w:hAnsi="Arial" w:hint="cs"/>
          <w:b/>
          <w:bCs/>
          <w:rtl/>
        </w:rPr>
        <w:t>הייתם עוואודה נ' מדינת ישראל</w:t>
      </w:r>
      <w:r>
        <w:rPr>
          <w:rFonts w:ascii="Arial" w:hAnsi="Arial" w:hint="cs"/>
          <w:rtl/>
        </w:rPr>
        <w:t xml:space="preserve"> (פורסם בנבו, 30.12.2009) (להלן :"עניין עוואודה").</w:t>
      </w:r>
    </w:p>
    <w:p w14:paraId="64A7A5F8" w14:textId="77777777" w:rsidR="00E17123" w:rsidRDefault="00E17123" w:rsidP="00E17123">
      <w:pPr>
        <w:spacing w:line="360" w:lineRule="auto"/>
        <w:ind w:left="1361" w:right="567"/>
        <w:jc w:val="both"/>
        <w:rPr>
          <w:rFonts w:ascii="Arial" w:hAnsi="Arial"/>
          <w:b/>
          <w:bCs/>
          <w:rtl/>
        </w:rPr>
      </w:pPr>
    </w:p>
    <w:p w14:paraId="0E970B1D" w14:textId="77777777" w:rsidR="00E17123" w:rsidRPr="00E67ABF"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לצד כל זאת, נתתי דעתי אף ביחס לשאלת מידת הפגיעה בערכים המוגנים, גם לכך שבענייננו הנשק נתפס על-ידי המשטרה עם מעצרם של המעורבים ואף לכך שלא נעשה בו שימוש.</w:t>
      </w:r>
    </w:p>
    <w:p w14:paraId="53922037" w14:textId="77777777" w:rsidR="00E17123" w:rsidRDefault="00E17123" w:rsidP="00E17123">
      <w:pPr>
        <w:spacing w:line="360" w:lineRule="auto"/>
        <w:ind w:left="652" w:hanging="709"/>
        <w:rPr>
          <w:rFonts w:ascii="Arial" w:hAnsi="Arial"/>
          <w:rtl/>
        </w:rPr>
      </w:pPr>
    </w:p>
    <w:p w14:paraId="27EABF2A" w14:textId="77777777" w:rsidR="00E17123" w:rsidRDefault="00E17123" w:rsidP="00E17123">
      <w:pPr>
        <w:spacing w:line="360" w:lineRule="auto"/>
        <w:ind w:left="652" w:hanging="709"/>
        <w:jc w:val="both"/>
        <w:rPr>
          <w:rFonts w:ascii="Arial" w:hAnsi="Arial"/>
          <w:rtl/>
        </w:rPr>
      </w:pPr>
      <w:r>
        <w:rPr>
          <w:rFonts w:hint="cs"/>
          <w:color w:val="000000"/>
          <w:rtl/>
        </w:rPr>
        <w:t xml:space="preserve"> 11.</w:t>
      </w:r>
      <w:r>
        <w:rPr>
          <w:rFonts w:hint="cs"/>
          <w:color w:val="000000"/>
          <w:rtl/>
        </w:rPr>
        <w:tab/>
      </w:r>
      <w:r>
        <w:rPr>
          <w:rFonts w:ascii="Arial" w:hAnsi="Arial" w:hint="cs"/>
          <w:rtl/>
        </w:rPr>
        <w:t>באשר לנסיבות הקשורות בביצוע העבירות נתתי משקל לסיכון ולפוטנציאל הנזק שיכול היה להיגרם לו היה הנשק מגיע לידיים עויינות או עברייניות; לסוג הנשק ולטיבו (נשק התקפי) ולזמינות של הנשק שבידי הנאשם לביצוע העסקה.</w:t>
      </w:r>
    </w:p>
    <w:p w14:paraId="73B47849" w14:textId="77777777" w:rsidR="00E17123" w:rsidRDefault="00E17123" w:rsidP="00E17123">
      <w:pPr>
        <w:spacing w:line="360" w:lineRule="auto"/>
        <w:ind w:left="652" w:hanging="709"/>
        <w:jc w:val="both"/>
        <w:rPr>
          <w:color w:val="000000"/>
          <w:rtl/>
        </w:rPr>
      </w:pPr>
      <w:r>
        <w:rPr>
          <w:color w:val="000000"/>
          <w:rtl/>
        </w:rPr>
        <w:tab/>
      </w:r>
    </w:p>
    <w:p w14:paraId="6D77740A" w14:textId="77777777" w:rsidR="00E17123" w:rsidRDefault="00E17123" w:rsidP="00E17123">
      <w:pPr>
        <w:spacing w:line="360" w:lineRule="auto"/>
        <w:ind w:left="652" w:hanging="709"/>
        <w:jc w:val="both"/>
        <w:rPr>
          <w:rFonts w:ascii="Arial" w:hAnsi="Arial"/>
          <w:rtl/>
        </w:rPr>
      </w:pPr>
      <w:r>
        <w:rPr>
          <w:color w:val="000000"/>
          <w:rtl/>
        </w:rPr>
        <w:tab/>
      </w:r>
      <w:r>
        <w:rPr>
          <w:rFonts w:hint="cs"/>
          <w:color w:val="000000"/>
          <w:rtl/>
        </w:rPr>
        <w:t>לקולא נתתי משקל לחלקו של הנאשם במעשים המתוארים בכתב האישום המתוקן, לרבות לנקודת הזמן בה החל להיות מעורב באירוע; לעובדה כי לא היה לו חלק בקשר ישיר עם הסוכן;</w:t>
      </w:r>
      <w:r>
        <w:rPr>
          <w:rFonts w:ascii="Arial" w:hAnsi="Arial" w:hint="cs"/>
          <w:rtl/>
        </w:rPr>
        <w:t xml:space="preserve"> לעובדה כי בסופו של יום הנשק לא הגיע לידיים עבריינות או עויינות; לעובדה כי לא נעשה בנשק שימוש; לעובדה כי מדובר</w:t>
      </w:r>
      <w:r>
        <w:rPr>
          <w:rFonts w:hint="cs"/>
          <w:color w:val="000000"/>
          <w:rtl/>
        </w:rPr>
        <w:t xml:space="preserve"> בכלי נשק אחד, מאולתר, ולעובדה כי המחסניות היו ריקות.</w:t>
      </w:r>
    </w:p>
    <w:p w14:paraId="1AAB96A6" w14:textId="77777777" w:rsidR="00E17123" w:rsidRPr="009C412B" w:rsidRDefault="00E17123" w:rsidP="00E17123">
      <w:pPr>
        <w:spacing w:line="360" w:lineRule="auto"/>
        <w:ind w:left="652" w:hanging="709"/>
        <w:jc w:val="both"/>
        <w:rPr>
          <w:rFonts w:ascii="Arial" w:hAnsi="Arial"/>
          <w:rtl/>
        </w:rPr>
      </w:pPr>
      <w:r>
        <w:rPr>
          <w:rFonts w:ascii="Arial" w:hAnsi="Arial"/>
          <w:rtl/>
        </w:rPr>
        <w:tab/>
      </w:r>
    </w:p>
    <w:p w14:paraId="43BF3140" w14:textId="77777777" w:rsidR="00E17123" w:rsidRDefault="00E17123" w:rsidP="00E17123">
      <w:pPr>
        <w:spacing w:line="360" w:lineRule="auto"/>
        <w:ind w:left="652" w:hanging="709"/>
        <w:jc w:val="both"/>
        <w:rPr>
          <w:color w:val="000000"/>
          <w:rtl/>
        </w:rPr>
      </w:pPr>
      <w:r>
        <w:rPr>
          <w:rFonts w:hint="cs"/>
          <w:color w:val="000000"/>
          <w:rtl/>
        </w:rPr>
        <w:t>12.</w:t>
      </w:r>
      <w:r>
        <w:rPr>
          <w:rFonts w:hint="cs"/>
          <w:color w:val="000000"/>
          <w:rtl/>
        </w:rPr>
        <w:tab/>
      </w:r>
      <w:r>
        <w:rPr>
          <w:rFonts w:ascii="Arial" w:hAnsi="Arial" w:hint="cs"/>
          <w:rtl/>
        </w:rPr>
        <w:t xml:space="preserve">בית המשפט העליון קבע כי יש לתת ביטוי עונשי הולם ומרתיע לעבירות הנשק, תוך העדפת האינטרס הציבורי על פני האינטרסים האישיים של הנאשמים. בשנים האחרונות קרא בית המשפט העליון פעם אחר פעם להחמיר בענישה בעבירות נשק, קריאה אשר באה לידי ביטוי בשורת פסקי דין. לעניין זה ראו למשל: </w:t>
      </w:r>
      <w:hyperlink r:id="rId23" w:history="1">
        <w:r w:rsidR="00431D40" w:rsidRPr="00431D40">
          <w:rPr>
            <w:rFonts w:ascii="Arial" w:hAnsi="Arial"/>
            <w:color w:val="0000FF"/>
            <w:u w:val="single"/>
            <w:rtl/>
          </w:rPr>
          <w:t>ע"פ 2702/18</w:t>
        </w:r>
      </w:hyperlink>
      <w:r>
        <w:rPr>
          <w:rFonts w:ascii="Arial" w:hAnsi="Arial" w:hint="cs"/>
          <w:rtl/>
        </w:rPr>
        <w:t xml:space="preserve"> </w:t>
      </w:r>
      <w:r>
        <w:rPr>
          <w:rFonts w:ascii="Arial" w:hAnsi="Arial" w:hint="cs"/>
          <w:b/>
          <w:bCs/>
          <w:rtl/>
        </w:rPr>
        <w:t>נסר ח'ליפה נ' מדינת ישראל</w:t>
      </w:r>
      <w:r>
        <w:rPr>
          <w:rFonts w:ascii="Arial" w:hAnsi="Arial" w:hint="cs"/>
          <w:rtl/>
        </w:rPr>
        <w:t xml:space="preserve"> (30.07.2019); </w:t>
      </w:r>
      <w:hyperlink r:id="rId24" w:history="1">
        <w:r w:rsidR="00431D40" w:rsidRPr="00431D40">
          <w:rPr>
            <w:rFonts w:ascii="Arial" w:hAnsi="Arial"/>
            <w:color w:val="0000FF"/>
            <w:u w:val="single"/>
            <w:rtl/>
          </w:rPr>
          <w:t>ע"פ 971/19</w:t>
        </w:r>
      </w:hyperlink>
      <w:r>
        <w:rPr>
          <w:rFonts w:ascii="Arial" w:hAnsi="Arial" w:hint="cs"/>
          <w:rtl/>
        </w:rPr>
        <w:t xml:space="preserve"> </w:t>
      </w:r>
      <w:r>
        <w:rPr>
          <w:rFonts w:ascii="Arial" w:hAnsi="Arial" w:hint="cs"/>
          <w:b/>
          <w:bCs/>
          <w:rtl/>
        </w:rPr>
        <w:t>מדינת ישראל נ' מחמד געביס</w:t>
      </w:r>
      <w:r>
        <w:rPr>
          <w:rFonts w:ascii="Arial" w:hAnsi="Arial" w:hint="cs"/>
          <w:rtl/>
        </w:rPr>
        <w:t xml:space="preserve"> (פורסם בנבו, 11.07.2019); </w:t>
      </w:r>
      <w:hyperlink r:id="rId25" w:history="1">
        <w:r w:rsidR="00431D40" w:rsidRPr="00431D40">
          <w:rPr>
            <w:rFonts w:ascii="Arial" w:hAnsi="Arial"/>
            <w:color w:val="0000FF"/>
            <w:u w:val="single"/>
            <w:rtl/>
          </w:rPr>
          <w:t>ע"פ 1826/19</w:t>
        </w:r>
      </w:hyperlink>
      <w:r>
        <w:rPr>
          <w:rFonts w:ascii="Arial" w:hAnsi="Arial" w:hint="cs"/>
          <w:rtl/>
        </w:rPr>
        <w:t xml:space="preserve"> </w:t>
      </w:r>
      <w:r>
        <w:rPr>
          <w:rFonts w:ascii="Arial" w:hAnsi="Arial" w:hint="cs"/>
          <w:b/>
          <w:bCs/>
          <w:rtl/>
        </w:rPr>
        <w:t>סאמר אבו עסא נ'  מדינת ישראל</w:t>
      </w:r>
      <w:r>
        <w:rPr>
          <w:rFonts w:ascii="Arial" w:hAnsi="Arial" w:hint="cs"/>
          <w:rtl/>
        </w:rPr>
        <w:t xml:space="preserve"> (פורסם בנבו, 18.03.2019); </w:t>
      </w:r>
      <w:hyperlink r:id="rId26" w:history="1">
        <w:r w:rsidR="00431D40" w:rsidRPr="00431D40">
          <w:rPr>
            <w:rFonts w:ascii="Arial" w:hAnsi="Arial"/>
            <w:color w:val="0000FF"/>
            <w:u w:val="single"/>
            <w:rtl/>
          </w:rPr>
          <w:t>ע"פ 4450/11</w:t>
        </w:r>
      </w:hyperlink>
      <w:r>
        <w:rPr>
          <w:rFonts w:ascii="Arial" w:hAnsi="Arial" w:hint="cs"/>
          <w:rtl/>
        </w:rPr>
        <w:t xml:space="preserve"> </w:t>
      </w:r>
      <w:r>
        <w:rPr>
          <w:rFonts w:ascii="Arial" w:hAnsi="Arial" w:hint="cs"/>
          <w:b/>
          <w:bCs/>
          <w:rtl/>
        </w:rPr>
        <w:t>עספור נ' מדינת ישראל</w:t>
      </w:r>
      <w:r>
        <w:rPr>
          <w:rFonts w:ascii="Arial" w:hAnsi="Arial" w:hint="cs"/>
          <w:rtl/>
        </w:rPr>
        <w:t xml:space="preserve"> (פורסם בנבו, 8.2.2012); </w:t>
      </w:r>
      <w:hyperlink r:id="rId27" w:history="1">
        <w:r w:rsidR="00431D40" w:rsidRPr="00431D40">
          <w:rPr>
            <w:rFonts w:ascii="Arial" w:hAnsi="Arial"/>
            <w:color w:val="0000FF"/>
            <w:u w:val="single"/>
            <w:rtl/>
          </w:rPr>
          <w:t>ע"פ 2044/11</w:t>
        </w:r>
      </w:hyperlink>
      <w:r>
        <w:rPr>
          <w:rFonts w:ascii="Arial" w:hAnsi="Arial" w:hint="cs"/>
          <w:rtl/>
        </w:rPr>
        <w:t xml:space="preserve"> </w:t>
      </w:r>
      <w:r>
        <w:rPr>
          <w:rFonts w:ascii="Arial" w:hAnsi="Arial" w:hint="cs"/>
          <w:b/>
          <w:bCs/>
          <w:rtl/>
        </w:rPr>
        <w:t>מדינת ישראל נ' בלוצר קובסקי</w:t>
      </w:r>
      <w:r>
        <w:rPr>
          <w:rFonts w:ascii="Arial" w:hAnsi="Arial" w:hint="cs"/>
          <w:rtl/>
        </w:rPr>
        <w:t>, (פורסם בנבו, 8.2.2012) ו</w:t>
      </w:r>
      <w:hyperlink r:id="rId28" w:history="1">
        <w:r w:rsidR="00431D40" w:rsidRPr="00431D40">
          <w:rPr>
            <w:rFonts w:ascii="Arial" w:hAnsi="Arial"/>
            <w:color w:val="0000FF"/>
            <w:u w:val="single"/>
            <w:rtl/>
          </w:rPr>
          <w:t>ע"פ 1323/13</w:t>
        </w:r>
      </w:hyperlink>
      <w:r>
        <w:rPr>
          <w:rFonts w:ascii="Arial" w:hAnsi="Arial" w:hint="cs"/>
          <w:rtl/>
        </w:rPr>
        <w:t xml:space="preserve"> </w:t>
      </w:r>
      <w:r>
        <w:rPr>
          <w:rFonts w:ascii="Arial" w:hAnsi="Arial" w:hint="cs"/>
          <w:b/>
          <w:bCs/>
          <w:rtl/>
        </w:rPr>
        <w:t>חסן ואח' נ' מדינת ישראל</w:t>
      </w:r>
      <w:r>
        <w:rPr>
          <w:rFonts w:ascii="Arial" w:hAnsi="Arial" w:hint="cs"/>
          <w:rtl/>
        </w:rPr>
        <w:t xml:space="preserve"> (פורסם בנבו, 05.06.2013).</w:t>
      </w:r>
    </w:p>
    <w:p w14:paraId="18D14104" w14:textId="77777777" w:rsidR="00E17123" w:rsidRDefault="00E17123" w:rsidP="00E17123">
      <w:pPr>
        <w:spacing w:line="360" w:lineRule="auto"/>
        <w:ind w:left="652" w:hanging="709"/>
        <w:jc w:val="both"/>
        <w:rPr>
          <w:color w:val="000000"/>
          <w:rtl/>
        </w:rPr>
      </w:pPr>
      <w:r>
        <w:rPr>
          <w:color w:val="000000"/>
          <w:rtl/>
        </w:rPr>
        <w:tab/>
      </w:r>
      <w:r>
        <w:rPr>
          <w:rFonts w:hint="cs"/>
          <w:color w:val="000000"/>
          <w:rtl/>
        </w:rPr>
        <w:t>אף ביחס לעבירות בהן הורשע הנאשם הדגיש בית המשפט העליון כי: "</w:t>
      </w:r>
      <w:r w:rsidRPr="00BA7D91">
        <w:rPr>
          <w:b/>
          <w:bCs/>
          <w:color w:val="000000"/>
          <w:rtl/>
        </w:rPr>
        <w:t xml:space="preserve">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w:t>
      </w:r>
      <w:r>
        <w:rPr>
          <w:b/>
          <w:bCs/>
          <w:color w:val="000000"/>
          <w:rtl/>
        </w:rPr>
        <w:t>לתקופת מאסר ממשית לריצוי בפועל"</w:t>
      </w:r>
      <w:r>
        <w:rPr>
          <w:rFonts w:hint="cs"/>
          <w:color w:val="000000"/>
          <w:rtl/>
        </w:rPr>
        <w:t>" (</w:t>
      </w:r>
      <w:hyperlink r:id="rId29" w:history="1">
        <w:r w:rsidR="00431D40" w:rsidRPr="00431D40">
          <w:rPr>
            <w:color w:val="0000FF"/>
            <w:u w:val="single"/>
            <w:rtl/>
          </w:rPr>
          <w:t>ע"פ 3877/16</w:t>
        </w:r>
      </w:hyperlink>
      <w:r>
        <w:rPr>
          <w:rFonts w:hint="cs"/>
          <w:color w:val="000000"/>
          <w:rtl/>
        </w:rPr>
        <w:t xml:space="preserve"> </w:t>
      </w:r>
      <w:r w:rsidRPr="00CB2429">
        <w:rPr>
          <w:rFonts w:hint="cs"/>
          <w:b/>
          <w:bCs/>
          <w:color w:val="000000"/>
          <w:rtl/>
        </w:rPr>
        <w:t>פאדי ג'יבאלי נ' מדינת ישראל</w:t>
      </w:r>
      <w:r>
        <w:rPr>
          <w:rFonts w:hint="cs"/>
          <w:color w:val="000000"/>
          <w:rtl/>
        </w:rPr>
        <w:t xml:space="preserve"> (פורסם בנבו, 17.11.2016), פסקה 6 אליו הפנתה המאשימה).</w:t>
      </w:r>
    </w:p>
    <w:p w14:paraId="2EB7E4FC" w14:textId="77777777" w:rsidR="00E17123" w:rsidRDefault="00E17123" w:rsidP="00E17123">
      <w:pPr>
        <w:spacing w:line="360" w:lineRule="auto"/>
        <w:ind w:left="567" w:hanging="567"/>
        <w:jc w:val="both"/>
        <w:rPr>
          <w:rFonts w:ascii="Arial" w:hAnsi="Arial"/>
          <w:rtl/>
        </w:rPr>
      </w:pPr>
    </w:p>
    <w:p w14:paraId="5FD869AB" w14:textId="77777777" w:rsidR="00E17123" w:rsidRDefault="00E17123" w:rsidP="00E17123">
      <w:pPr>
        <w:spacing w:line="360" w:lineRule="auto"/>
        <w:ind w:left="652" w:hanging="709"/>
        <w:jc w:val="both"/>
        <w:rPr>
          <w:rFonts w:ascii="Arial" w:hAnsi="Arial"/>
          <w:rtl/>
        </w:rPr>
      </w:pPr>
      <w:r>
        <w:rPr>
          <w:rFonts w:ascii="Arial" w:hAnsi="Arial" w:hint="cs"/>
          <w:rtl/>
        </w:rPr>
        <w:tab/>
        <w:t>בשים לב להערת פתיחה זו, יש להכיר בכך שהפסיקה הנוהגת בעבירות נשק היא מגוונת ותלויה היא בנסיבות ה"עושה", לרבות גילו, עברו הפלילי ושאלת שילובו בהליך טיפולי-שיקומי, ובעיקר בנסיבות ה"המעשה" לרבות סוג הנשק, פוטנציאל הסיכון הנשקף ממנו, היקף הנשק שנתפס, סוג העבירה שעבר הנאשם בנשק, המניע לביצוע העבירה, האם נעשה שימוש בנשק ואופי השימוש ועוד נסיבות המשפיעות על מידת העונש.</w:t>
      </w:r>
    </w:p>
    <w:p w14:paraId="0C5AA1F6" w14:textId="77777777" w:rsidR="00E17123" w:rsidRDefault="00E17123" w:rsidP="00E17123">
      <w:pPr>
        <w:spacing w:line="360" w:lineRule="auto"/>
        <w:ind w:left="652" w:hanging="709"/>
        <w:jc w:val="both"/>
        <w:rPr>
          <w:rFonts w:ascii="Arial" w:hAnsi="Arial"/>
          <w:rtl/>
        </w:rPr>
      </w:pPr>
      <w:r>
        <w:rPr>
          <w:rFonts w:ascii="Arial" w:hAnsi="Arial" w:hint="cs"/>
          <w:rtl/>
        </w:rPr>
        <w:tab/>
        <w:t>ביחס לענישה הנוהגת אצין כי עיינתי בפסיקה שצרפו הצדדים, ומטבע הדברים בעבירות בהן מנעד הענישה הוא רחב ניתן למצוא פסיקה התומכת בעמדה העונשית של כל צד. לחלק מהפסיקה אתייחס להלן.</w:t>
      </w:r>
    </w:p>
    <w:p w14:paraId="0C040FDF" w14:textId="77777777" w:rsidR="00E17123" w:rsidRDefault="00E17123" w:rsidP="00E17123">
      <w:pPr>
        <w:spacing w:line="360" w:lineRule="auto"/>
        <w:ind w:left="567" w:hanging="567"/>
        <w:jc w:val="both"/>
        <w:rPr>
          <w:rFonts w:ascii="Arial" w:hAnsi="Arial"/>
          <w:rtl/>
        </w:rPr>
      </w:pPr>
    </w:p>
    <w:p w14:paraId="12E185A7" w14:textId="77777777" w:rsidR="00E17123" w:rsidRDefault="00E17123" w:rsidP="00E17123">
      <w:pPr>
        <w:tabs>
          <w:tab w:val="num" w:pos="1286"/>
        </w:tabs>
        <w:spacing w:line="360" w:lineRule="auto"/>
        <w:ind w:left="652" w:hanging="709"/>
        <w:jc w:val="both"/>
        <w:rPr>
          <w:rFonts w:ascii="Arial" w:hAnsi="Arial"/>
          <w:rtl/>
        </w:rPr>
      </w:pPr>
      <w:r>
        <w:rPr>
          <w:rFonts w:ascii="Arial" w:hAnsi="Arial"/>
          <w:rtl/>
        </w:rPr>
        <w:tab/>
      </w:r>
      <w:r>
        <w:rPr>
          <w:rFonts w:ascii="Arial" w:hAnsi="Arial" w:hint="cs"/>
          <w:rtl/>
        </w:rPr>
        <w:t>ב</w:t>
      </w:r>
      <w:hyperlink r:id="rId30" w:history="1">
        <w:r w:rsidR="00431D40" w:rsidRPr="00431D40">
          <w:rPr>
            <w:rFonts w:ascii="Arial" w:hAnsi="Arial"/>
            <w:color w:val="0000FF"/>
            <w:u w:val="single"/>
            <w:rtl/>
          </w:rPr>
          <w:t>ע"פ 3156/11</w:t>
        </w:r>
      </w:hyperlink>
      <w:r>
        <w:rPr>
          <w:rFonts w:ascii="Arial" w:hAnsi="Arial" w:hint="cs"/>
          <w:rtl/>
        </w:rPr>
        <w:t xml:space="preserve"> </w:t>
      </w:r>
      <w:r>
        <w:rPr>
          <w:rFonts w:ascii="Arial" w:hAnsi="Arial" w:hint="cs"/>
          <w:bCs/>
          <w:rtl/>
        </w:rPr>
        <w:t>זראיעה נ' מדינת ישראל</w:t>
      </w:r>
      <w:r>
        <w:rPr>
          <w:rFonts w:ascii="Arial" w:hAnsi="Arial" w:hint="cs"/>
          <w:rtl/>
        </w:rPr>
        <w:t xml:space="preserve"> (פורסם בנבו, 21.02.2012), אותו צרפה המאשימה דחה בית המשפט העליון את ערעורו של נאשם, אב ל-4 ילדים, </w:t>
      </w:r>
      <w:r w:rsidRPr="00CB2429">
        <w:rPr>
          <w:rFonts w:ascii="Arial" w:hAnsi="Arial" w:hint="cs"/>
          <w:u w:val="single"/>
          <w:rtl/>
        </w:rPr>
        <w:t>ללא עבר פלילי</w:t>
      </w:r>
      <w:r>
        <w:rPr>
          <w:rFonts w:ascii="Arial" w:hAnsi="Arial" w:hint="cs"/>
          <w:rtl/>
        </w:rPr>
        <w:t xml:space="preserve">, המנהל אורח חיים נורמטיבי, שנשא והוביל אקדח, מחסנית טעונה וקופסאות עם כדורי אקדח בקוטר 9 מ"מ והותיר על כנו עונש של 24 חודשי מאסר. </w:t>
      </w:r>
    </w:p>
    <w:p w14:paraId="70D10E83" w14:textId="77777777" w:rsidR="00E17123" w:rsidRDefault="00E17123" w:rsidP="00E17123">
      <w:pPr>
        <w:tabs>
          <w:tab w:val="num" w:pos="1286"/>
        </w:tabs>
        <w:spacing w:line="360" w:lineRule="auto"/>
        <w:ind w:left="652" w:hanging="709"/>
        <w:jc w:val="both"/>
        <w:rPr>
          <w:rFonts w:ascii="Arial" w:hAnsi="Arial"/>
          <w:rtl/>
        </w:rPr>
      </w:pPr>
    </w:p>
    <w:p w14:paraId="1F26B64C" w14:textId="77777777" w:rsidR="00E17123" w:rsidRDefault="00E17123" w:rsidP="00E17123">
      <w:pPr>
        <w:tabs>
          <w:tab w:val="num" w:pos="1286"/>
        </w:tabs>
        <w:spacing w:line="360" w:lineRule="auto"/>
        <w:ind w:left="652" w:hanging="709"/>
        <w:jc w:val="both"/>
        <w:rPr>
          <w:rFonts w:ascii="Arial" w:hAnsi="Arial"/>
          <w:rtl/>
        </w:rPr>
      </w:pPr>
      <w:r>
        <w:rPr>
          <w:rFonts w:ascii="Arial" w:hAnsi="Arial"/>
          <w:rtl/>
        </w:rPr>
        <w:tab/>
      </w:r>
      <w:r>
        <w:rPr>
          <w:rFonts w:ascii="Arial" w:hAnsi="Arial" w:hint="cs"/>
          <w:rtl/>
        </w:rPr>
        <w:t>ב</w:t>
      </w:r>
      <w:hyperlink r:id="rId31" w:history="1">
        <w:r w:rsidR="00431D40" w:rsidRPr="00431D40">
          <w:rPr>
            <w:rFonts w:ascii="Arial" w:hAnsi="Arial"/>
            <w:color w:val="0000FF"/>
            <w:u w:val="single"/>
            <w:rtl/>
          </w:rPr>
          <w:t>ע"פ 2892/13</w:t>
        </w:r>
      </w:hyperlink>
      <w:r>
        <w:rPr>
          <w:rFonts w:ascii="Arial" w:hAnsi="Arial" w:hint="cs"/>
          <w:rtl/>
        </w:rPr>
        <w:t xml:space="preserve"> </w:t>
      </w:r>
      <w:r>
        <w:rPr>
          <w:rFonts w:ascii="Arial" w:hAnsi="Arial" w:hint="cs"/>
          <w:bCs/>
          <w:rtl/>
        </w:rPr>
        <w:t>עודתאללה נ' מדינת ישראל</w:t>
      </w:r>
      <w:r>
        <w:rPr>
          <w:rFonts w:ascii="Arial" w:hAnsi="Arial" w:hint="cs"/>
          <w:rtl/>
        </w:rPr>
        <w:t xml:space="preserve"> (פורסם בנבו, 29.9.2013) דחה בית המשפט העליון את ערעורו של </w:t>
      </w:r>
      <w:r w:rsidRPr="00CB2429">
        <w:rPr>
          <w:rFonts w:ascii="Arial" w:hAnsi="Arial" w:hint="cs"/>
          <w:u w:val="single"/>
          <w:rtl/>
        </w:rPr>
        <w:t>נאשם צעיר נעדר עבר פלילי</w:t>
      </w:r>
      <w:r>
        <w:rPr>
          <w:rFonts w:ascii="Arial" w:hAnsi="Arial" w:hint="cs"/>
          <w:rtl/>
        </w:rPr>
        <w:t>, שנשא והוביל אקדח עם מחסנית ריקה תחת מושבו. בית המשפט לא מצא להתערב במתחם העונש שנקבע אשר עמד על 12 עד 36 חודשי מאסר בפועל והותיר על כנו עונש של 21 חודשי מאסר בפועל בצירוף ענישה נלווית.</w:t>
      </w:r>
    </w:p>
    <w:p w14:paraId="2B2C3B15" w14:textId="77777777" w:rsidR="00E17123" w:rsidRDefault="00E17123" w:rsidP="00E17123">
      <w:pPr>
        <w:spacing w:line="360" w:lineRule="auto"/>
        <w:ind w:left="652" w:hanging="709"/>
        <w:jc w:val="both"/>
        <w:rPr>
          <w:rFonts w:ascii="Arial" w:hAnsi="Arial"/>
          <w:rtl/>
        </w:rPr>
      </w:pPr>
      <w:r>
        <w:rPr>
          <w:rFonts w:ascii="Arial" w:hAnsi="Arial"/>
          <w:rtl/>
        </w:rPr>
        <w:tab/>
      </w:r>
    </w:p>
    <w:p w14:paraId="5AE35451"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2" w:history="1">
        <w:r w:rsidR="00431D40" w:rsidRPr="00431D40">
          <w:rPr>
            <w:rFonts w:ascii="Arial" w:hAnsi="Arial"/>
            <w:color w:val="0000FF"/>
            <w:u w:val="single"/>
            <w:rtl/>
          </w:rPr>
          <w:t>ע"פ 4329/10</w:t>
        </w:r>
      </w:hyperlink>
      <w:r>
        <w:rPr>
          <w:rFonts w:ascii="Arial" w:hAnsi="Arial" w:hint="cs"/>
          <w:rtl/>
        </w:rPr>
        <w:t xml:space="preserve"> </w:t>
      </w:r>
      <w:r w:rsidRPr="002C7791">
        <w:rPr>
          <w:rFonts w:ascii="Arial" w:hAnsi="Arial" w:hint="cs"/>
          <w:b/>
          <w:bCs/>
          <w:rtl/>
        </w:rPr>
        <w:t>פלוני נ' מדינת ישראל</w:t>
      </w:r>
      <w:r>
        <w:rPr>
          <w:rFonts w:ascii="Arial" w:hAnsi="Arial" w:hint="cs"/>
          <w:rtl/>
        </w:rPr>
        <w:t xml:space="preserve"> (פורסם בנבו, 25.10.2010), דחה בית המשפט העליון את ערעורו של </w:t>
      </w:r>
      <w:r w:rsidRPr="000B255D">
        <w:rPr>
          <w:rFonts w:ascii="Arial" w:hAnsi="Arial" w:hint="cs"/>
          <w:u w:val="single"/>
          <w:rtl/>
        </w:rPr>
        <w:t>נאשם צעיר נעדר עבר פלילי</w:t>
      </w:r>
      <w:r>
        <w:rPr>
          <w:rFonts w:ascii="Arial" w:hAnsi="Arial" w:hint="cs"/>
          <w:rtl/>
        </w:rPr>
        <w:t xml:space="preserve"> שהורשע בעבירות של החזקה ונשיאה של אקדח טעון בתחמושת והותיר על כנו עונש של 20 חודשי מאסר.</w:t>
      </w:r>
    </w:p>
    <w:p w14:paraId="5E269066" w14:textId="77777777" w:rsidR="00E17123" w:rsidRDefault="00E17123" w:rsidP="00E17123">
      <w:pPr>
        <w:spacing w:line="360" w:lineRule="auto"/>
        <w:ind w:left="652" w:hanging="709"/>
        <w:jc w:val="both"/>
        <w:rPr>
          <w:rFonts w:ascii="Arial" w:hAnsi="Arial"/>
          <w:rtl/>
        </w:rPr>
      </w:pPr>
    </w:p>
    <w:p w14:paraId="087E8541"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3" w:history="1">
        <w:r w:rsidR="00431D40" w:rsidRPr="00431D40">
          <w:rPr>
            <w:rFonts w:ascii="Arial" w:hAnsi="Arial"/>
            <w:color w:val="0000FF"/>
            <w:u w:val="single"/>
            <w:rtl/>
          </w:rPr>
          <w:t>ע"פ 135/17</w:t>
        </w:r>
      </w:hyperlink>
      <w:r>
        <w:rPr>
          <w:rFonts w:ascii="Arial" w:hAnsi="Arial" w:hint="cs"/>
          <w:rtl/>
        </w:rPr>
        <w:t xml:space="preserve"> </w:t>
      </w:r>
      <w:r w:rsidRPr="009B1656">
        <w:rPr>
          <w:rFonts w:ascii="Arial" w:hAnsi="Arial" w:hint="cs"/>
          <w:b/>
          <w:bCs/>
          <w:rtl/>
        </w:rPr>
        <w:t>מדינת ישראל נ' סמיר בסל</w:t>
      </w:r>
      <w:r>
        <w:rPr>
          <w:rFonts w:ascii="Arial" w:hAnsi="Arial" w:hint="cs"/>
          <w:rtl/>
        </w:rPr>
        <w:t xml:space="preserve"> (פורסם בנבו, 8.3.2017) קיבל בית המשפט העליון את ערעור המאשימה על קולת העונש בעניינו של נאשם שהורשע בעבירות של החזקה ונשיאת נשק (תת מקלע מאולתר ומחסנית) והמיר את עונשו ל-18 חודשי מאסר חלף 12 חודשי מאסר שגזר עליו בית המשפט המחוזי תוך שהוא מציין כי אין הוא ממצה את הדין עם הנאשם. בית המשפט העליון ציין כי אף שקיימת בפסיקה רמת ענישה דומה לעונש שנגזר על הנאשם אין להתעלם ממגמת ההחמרה בעבירות נשק. </w:t>
      </w:r>
    </w:p>
    <w:p w14:paraId="78CACD2D" w14:textId="77777777" w:rsidR="00E17123" w:rsidRDefault="00E17123" w:rsidP="00E17123">
      <w:pPr>
        <w:spacing w:line="360" w:lineRule="auto"/>
        <w:ind w:left="652" w:hanging="709"/>
        <w:jc w:val="both"/>
        <w:rPr>
          <w:rFonts w:ascii="Arial" w:hAnsi="Arial"/>
          <w:rtl/>
        </w:rPr>
      </w:pPr>
      <w:r>
        <w:rPr>
          <w:rFonts w:ascii="Arial" w:hAnsi="Arial"/>
          <w:rtl/>
        </w:rPr>
        <w:tab/>
      </w:r>
    </w:p>
    <w:p w14:paraId="172E2AE4"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4" w:history="1">
        <w:r w:rsidR="00431D40" w:rsidRPr="00431D40">
          <w:rPr>
            <w:rFonts w:ascii="Arial" w:hAnsi="Arial"/>
            <w:color w:val="0000FF"/>
            <w:u w:val="single"/>
            <w:rtl/>
          </w:rPr>
          <w:t>ע"פ 2564/19</w:t>
        </w:r>
      </w:hyperlink>
      <w:r>
        <w:rPr>
          <w:rFonts w:ascii="Arial" w:hAnsi="Arial" w:hint="cs"/>
          <w:rtl/>
        </w:rPr>
        <w:t xml:space="preserve"> </w:t>
      </w:r>
      <w:r w:rsidRPr="00AD2E57">
        <w:rPr>
          <w:rFonts w:ascii="Arial" w:hAnsi="Arial" w:hint="cs"/>
          <w:b/>
          <w:bCs/>
          <w:rtl/>
        </w:rPr>
        <w:t>איברהים אזברגה נ' מדינת ישראל</w:t>
      </w:r>
      <w:r>
        <w:rPr>
          <w:rFonts w:ascii="Arial" w:hAnsi="Arial" w:hint="cs"/>
          <w:rtl/>
        </w:rPr>
        <w:t xml:space="preserve"> (פורסם בנבו, 18.7.2019) (להלן: "עניין אזברגה") נדחה ערעורו של </w:t>
      </w:r>
      <w:r w:rsidRPr="00AD2E57">
        <w:rPr>
          <w:rFonts w:ascii="Arial" w:hAnsi="Arial" w:hint="cs"/>
          <w:u w:val="single"/>
          <w:rtl/>
        </w:rPr>
        <w:t>נאשם נעדר עבר פלילי</w:t>
      </w:r>
      <w:r>
        <w:rPr>
          <w:rFonts w:ascii="Arial" w:hAnsi="Arial" w:hint="cs"/>
          <w:rtl/>
        </w:rPr>
        <w:t xml:space="preserve"> שנידון לעונש של 16 חודשים בגין הרשעתו בעבירה של נשיאת נשק (אקדח ומחסנית)</w:t>
      </w:r>
    </w:p>
    <w:p w14:paraId="613023E6" w14:textId="77777777" w:rsidR="00E17123" w:rsidRDefault="00E17123" w:rsidP="00E17123">
      <w:pPr>
        <w:spacing w:line="360" w:lineRule="auto"/>
        <w:ind w:left="652" w:hanging="709"/>
        <w:jc w:val="both"/>
        <w:rPr>
          <w:rFonts w:ascii="Arial" w:hAnsi="Arial"/>
          <w:rtl/>
        </w:rPr>
      </w:pPr>
    </w:p>
    <w:p w14:paraId="0EDE1BCE"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5" w:history="1">
        <w:r w:rsidR="00431D40" w:rsidRPr="00431D40">
          <w:rPr>
            <w:rFonts w:ascii="Arial" w:hAnsi="Arial"/>
            <w:color w:val="0000FF"/>
            <w:u w:val="single"/>
            <w:rtl/>
          </w:rPr>
          <w:t>ע"פ 6699/19</w:t>
        </w:r>
      </w:hyperlink>
      <w:r>
        <w:rPr>
          <w:rFonts w:ascii="Arial" w:hAnsi="Arial" w:hint="cs"/>
          <w:rtl/>
        </w:rPr>
        <w:t xml:space="preserve"> </w:t>
      </w:r>
      <w:r w:rsidRPr="00B03790">
        <w:rPr>
          <w:rFonts w:ascii="Arial" w:hAnsi="Arial" w:hint="cs"/>
          <w:b/>
          <w:bCs/>
          <w:rtl/>
        </w:rPr>
        <w:t>עאהד אלטורי נ' מדינת ישראל</w:t>
      </w:r>
      <w:r>
        <w:rPr>
          <w:rFonts w:ascii="Arial" w:hAnsi="Arial" w:hint="cs"/>
          <w:rtl/>
        </w:rPr>
        <w:t xml:space="preserve"> (פורסם בנבו, 2.7.2020) אותו צרפה ב"כ הנאשם, קיבל בית המשפט העליון את ערעורו של נאשם שהורשע בעבירות של עסקה אחרת בנשק ובנשיאת נשק (אקדח ומחסנית) והמיר את עונשו ל-9 חודשי מאסר לריצוי בעבודות שירות חלף 22 חודשי מאסר שגזר עליו בית המשפט המחוזי תוך התחשבות בתקופת מעצרו בפיקוח אלקטרוני ובעיקר נוכח ההליך השיקומי </w:t>
      </w:r>
      <w:r w:rsidRPr="00E50285">
        <w:rPr>
          <w:rFonts w:ascii="Arial" w:hAnsi="Arial" w:hint="cs"/>
          <w:u w:val="single"/>
          <w:rtl/>
        </w:rPr>
        <w:t>המשמעות</w:t>
      </w:r>
      <w:r>
        <w:rPr>
          <w:rFonts w:ascii="Arial" w:hAnsi="Arial" w:hint="cs"/>
          <w:rtl/>
        </w:rPr>
        <w:t xml:space="preserve">י שעבר הנאשם. בענייננו, כעולה מתסקיר שירות המבחן, הנאשם טרם החל בהליך שיקומי ממשי ואך הביע נכונות לעבור הליך שכזה. </w:t>
      </w:r>
    </w:p>
    <w:p w14:paraId="79DD5ADD" w14:textId="77777777" w:rsidR="00E17123" w:rsidRDefault="00E17123" w:rsidP="00E17123">
      <w:pPr>
        <w:spacing w:line="360" w:lineRule="auto"/>
        <w:ind w:left="652" w:hanging="709"/>
        <w:jc w:val="both"/>
        <w:rPr>
          <w:rFonts w:ascii="Arial" w:hAnsi="Arial"/>
          <w:rtl/>
        </w:rPr>
      </w:pPr>
    </w:p>
    <w:p w14:paraId="3BF3D6DB"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6" w:history="1">
        <w:r w:rsidR="00431D40" w:rsidRPr="00431D40">
          <w:rPr>
            <w:rFonts w:ascii="Arial" w:hAnsi="Arial"/>
            <w:color w:val="0000FF"/>
            <w:u w:val="single"/>
            <w:rtl/>
          </w:rPr>
          <w:t>ע"פ 2837/19</w:t>
        </w:r>
      </w:hyperlink>
      <w:r>
        <w:rPr>
          <w:rFonts w:ascii="Arial" w:hAnsi="Arial" w:hint="cs"/>
          <w:rtl/>
        </w:rPr>
        <w:t xml:space="preserve"> </w:t>
      </w:r>
      <w:r w:rsidRPr="001F0795">
        <w:rPr>
          <w:rFonts w:ascii="Arial" w:hAnsi="Arial" w:hint="cs"/>
          <w:b/>
          <w:bCs/>
          <w:rtl/>
        </w:rPr>
        <w:t>מדינת ישראל נ' מורא</w:t>
      </w:r>
      <w:r>
        <w:rPr>
          <w:rFonts w:ascii="Arial" w:hAnsi="Arial" w:hint="cs"/>
          <w:b/>
          <w:bCs/>
          <w:rtl/>
        </w:rPr>
        <w:t>ד</w:t>
      </w:r>
      <w:r w:rsidRPr="001F0795">
        <w:rPr>
          <w:rFonts w:ascii="Arial" w:hAnsi="Arial" w:hint="cs"/>
          <w:b/>
          <w:bCs/>
          <w:rtl/>
        </w:rPr>
        <w:t xml:space="preserve"> אבו צעלוק</w:t>
      </w:r>
      <w:r>
        <w:rPr>
          <w:rFonts w:ascii="Arial" w:hAnsi="Arial" w:hint="cs"/>
          <w:rtl/>
        </w:rPr>
        <w:t xml:space="preserve"> (פורסם בנבו, 10.6.2019), אותו צרפה ב"כ הנאשם, חזרה בה המדינה מערעור שהגישה על פסק הדין של בית המשפט המחוזי במסגרתו הטיל על הנאשם עונש של ששה חודשי מאסר לריצוי בעבודות שירות בגין ביצוע עבירה של החזקת נשק פרט ללכך שצו המובחן בעניינו יוארך בשנה נוספת. </w:t>
      </w:r>
    </w:p>
    <w:p w14:paraId="14867218"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דא עקא, שבאותו מקרה הנאשם לא הורשע בעבירה של הובלת נשק כי אם בעבירה קלה יותר של החזקת נשק. בנוסף הנאשם גם עבר הליך שיקום לאורך תקופה ארוכה, נתון, שכאמור, לא מתקיים בענייננו. </w:t>
      </w:r>
    </w:p>
    <w:p w14:paraId="04D3B0BB" w14:textId="77777777" w:rsidR="00E17123" w:rsidRDefault="00E17123" w:rsidP="00E17123">
      <w:pPr>
        <w:spacing w:line="360" w:lineRule="auto"/>
        <w:ind w:left="652" w:hanging="709"/>
        <w:jc w:val="both"/>
        <w:rPr>
          <w:rFonts w:ascii="Arial" w:hAnsi="Arial"/>
          <w:rtl/>
        </w:rPr>
      </w:pPr>
    </w:p>
    <w:p w14:paraId="482F9747" w14:textId="77777777" w:rsidR="00E17123" w:rsidRPr="009F7370" w:rsidRDefault="00E17123" w:rsidP="00E17123">
      <w:pPr>
        <w:spacing w:line="360" w:lineRule="auto"/>
        <w:ind w:left="652" w:hanging="709"/>
        <w:jc w:val="both"/>
        <w:rPr>
          <w:rFonts w:ascii="Arial" w:hAnsi="Arial"/>
          <w:rtl/>
        </w:rPr>
      </w:pPr>
      <w:r>
        <w:rPr>
          <w:rFonts w:ascii="Arial" w:hAnsi="Arial"/>
          <w:rtl/>
        </w:rPr>
        <w:tab/>
      </w:r>
      <w:r w:rsidRPr="009F7370">
        <w:rPr>
          <w:rFonts w:ascii="Arial" w:hAnsi="Arial" w:hint="cs"/>
          <w:rtl/>
        </w:rPr>
        <w:t>ב</w:t>
      </w:r>
      <w:hyperlink r:id="rId37" w:history="1">
        <w:r w:rsidR="00431D40" w:rsidRPr="00431D40">
          <w:rPr>
            <w:rFonts w:ascii="Arial" w:hAnsi="Arial"/>
            <w:color w:val="0000FF"/>
            <w:u w:val="single"/>
            <w:rtl/>
          </w:rPr>
          <w:t>ת"פ (מחוזי-י"ם) 17520-03-14</w:t>
        </w:r>
      </w:hyperlink>
      <w:r w:rsidRPr="009F7370">
        <w:rPr>
          <w:rFonts w:ascii="Arial" w:hAnsi="Arial" w:hint="cs"/>
          <w:rtl/>
        </w:rPr>
        <w:t xml:space="preserve"> </w:t>
      </w:r>
      <w:r w:rsidRPr="009F7370">
        <w:rPr>
          <w:rFonts w:ascii="Arial" w:hAnsi="Arial" w:hint="cs"/>
          <w:b/>
          <w:bCs/>
          <w:rtl/>
        </w:rPr>
        <w:t>מדינת ישראל נ' אלהווה</w:t>
      </w:r>
      <w:r w:rsidRPr="009F7370">
        <w:rPr>
          <w:rFonts w:ascii="Arial" w:hAnsi="Arial" w:hint="cs"/>
          <w:rtl/>
        </w:rPr>
        <w:t xml:space="preserve"> (פורסם בנבו, 31.12.2014) גזר בית המשפט המחוזי על נאשם שהורשע בעבירה של הובלת נשק (תת מקלע מאולתר) עונש של 20 חודשי מאסר</w:t>
      </w:r>
      <w:r>
        <w:rPr>
          <w:rFonts w:ascii="Arial" w:hAnsi="Arial" w:hint="cs"/>
          <w:rtl/>
        </w:rPr>
        <w:t>.</w:t>
      </w:r>
    </w:p>
    <w:p w14:paraId="64CB521C" w14:textId="77777777" w:rsidR="00E17123" w:rsidRDefault="00E17123" w:rsidP="00E17123">
      <w:pPr>
        <w:spacing w:line="360" w:lineRule="auto"/>
        <w:ind w:left="652" w:hanging="709"/>
        <w:jc w:val="both"/>
        <w:rPr>
          <w:rFonts w:ascii="Arial" w:hAnsi="Arial"/>
          <w:rtl/>
        </w:rPr>
      </w:pPr>
    </w:p>
    <w:p w14:paraId="6719FBC6"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8" w:history="1">
        <w:r w:rsidR="00431D40" w:rsidRPr="00431D40">
          <w:rPr>
            <w:rFonts w:ascii="Arial" w:hAnsi="Arial"/>
            <w:color w:val="0000FF"/>
            <w:u w:val="single"/>
            <w:rtl/>
          </w:rPr>
          <w:t>ת"פ (מחוזי-חיפה) 31034-06-17</w:t>
        </w:r>
      </w:hyperlink>
      <w:r>
        <w:rPr>
          <w:rFonts w:ascii="Arial" w:hAnsi="Arial" w:hint="cs"/>
          <w:rtl/>
        </w:rPr>
        <w:t xml:space="preserve"> </w:t>
      </w:r>
      <w:r w:rsidRPr="0081004E">
        <w:rPr>
          <w:rFonts w:ascii="Arial" w:hAnsi="Arial" w:hint="cs"/>
          <w:b/>
          <w:bCs/>
          <w:rtl/>
        </w:rPr>
        <w:t xml:space="preserve">מדינת ישראל נ' סעיד מסרי </w:t>
      </w:r>
      <w:r>
        <w:rPr>
          <w:rFonts w:ascii="Arial" w:hAnsi="Arial" w:hint="cs"/>
          <w:rtl/>
        </w:rPr>
        <w:t xml:space="preserve">(פורסם בנבו, 17.4.2018), גזר בית המשפט המחוזי על </w:t>
      </w:r>
      <w:r w:rsidRPr="009F7370">
        <w:rPr>
          <w:rFonts w:ascii="Arial" w:hAnsi="Arial" w:hint="cs"/>
          <w:u w:val="single"/>
          <w:rtl/>
        </w:rPr>
        <w:t>נאשם צעיר ללא עבר פלילי</w:t>
      </w:r>
      <w:r>
        <w:rPr>
          <w:rFonts w:ascii="Arial" w:hAnsi="Arial" w:hint="cs"/>
          <w:rtl/>
        </w:rPr>
        <w:t xml:space="preserve"> שהורשע בעבירה של נשיאת נשק (תת מקלע מאולתר ומחסנית כשבתוכה כדור) עונש של 18 חודשי מאסר.</w:t>
      </w:r>
    </w:p>
    <w:p w14:paraId="6ADCC194" w14:textId="77777777" w:rsidR="00E17123" w:rsidRDefault="00E17123" w:rsidP="00E17123">
      <w:pPr>
        <w:tabs>
          <w:tab w:val="num" w:pos="1286"/>
        </w:tabs>
        <w:spacing w:line="360" w:lineRule="auto"/>
        <w:ind w:left="652" w:hanging="709"/>
        <w:jc w:val="both"/>
        <w:rPr>
          <w:rFonts w:ascii="Arial" w:hAnsi="Arial"/>
          <w:rtl/>
        </w:rPr>
      </w:pPr>
    </w:p>
    <w:p w14:paraId="31FB4520" w14:textId="77777777" w:rsidR="00E17123" w:rsidRDefault="00E17123" w:rsidP="00E17123">
      <w:pPr>
        <w:spacing w:line="360" w:lineRule="auto"/>
        <w:ind w:left="652" w:hanging="709"/>
        <w:jc w:val="both"/>
        <w:rPr>
          <w:rFonts w:ascii="David" w:hAnsi="David"/>
          <w:color w:val="000000"/>
          <w:rtl/>
        </w:rPr>
      </w:pPr>
      <w:r>
        <w:rPr>
          <w:rFonts w:ascii="Arial" w:hAnsi="Arial" w:hint="cs"/>
          <w:rtl/>
        </w:rPr>
        <w:t>13.</w:t>
      </w:r>
      <w:r>
        <w:rPr>
          <w:rFonts w:ascii="Arial" w:hAnsi="Arial" w:hint="cs"/>
          <w:rtl/>
        </w:rPr>
        <w:tab/>
        <w:t>לא מצאתי לחרוג ממתחם העונש ההולם אותו קבעתי, ובתוך המתחם נתתי משקל להודאתו של הנאשם ולחיסכון בזמן שיפוטי הנגזר מכך, לנסיבותיו האישיות-משפחתיות של הנאשם לרבות לגילו הצעיר, לעובדה כי הוא נעדר עבר פלילי, לנזק שהעונש יגרום לנאשם ולמשפחתו</w:t>
      </w:r>
      <w:r>
        <w:rPr>
          <w:rFonts w:hint="cs"/>
          <w:color w:val="000000"/>
          <w:rtl/>
        </w:rPr>
        <w:t>, לחלוף הזמן מאז ביצוע העבירות ללא שנפתחו לנאשם תיקים נוספים ולפגיעה בחירות שחווה עד עתה הנאשם במעצר של ממש ובמעצר בפיקוח אלקטרוני.</w:t>
      </w:r>
    </w:p>
    <w:p w14:paraId="0F97A7EE" w14:textId="77777777" w:rsidR="00E17123" w:rsidRPr="003A0B13" w:rsidRDefault="00E17123" w:rsidP="00E17123">
      <w:pPr>
        <w:spacing w:line="360" w:lineRule="auto"/>
        <w:ind w:left="652" w:hanging="709"/>
        <w:jc w:val="both"/>
        <w:rPr>
          <w:rFonts w:ascii="David" w:hAnsi="David"/>
          <w:color w:val="000000"/>
          <w:rtl/>
        </w:rPr>
      </w:pPr>
      <w:r>
        <w:rPr>
          <w:rFonts w:ascii="David" w:hAnsi="David"/>
          <w:color w:val="000000"/>
          <w:rtl/>
        </w:rPr>
        <w:tab/>
      </w:r>
    </w:p>
    <w:p w14:paraId="48121DFE" w14:textId="77777777" w:rsidR="00E17123" w:rsidRDefault="00E17123" w:rsidP="00E17123">
      <w:pPr>
        <w:spacing w:line="360" w:lineRule="auto"/>
        <w:ind w:left="652" w:hanging="709"/>
        <w:jc w:val="both"/>
        <w:rPr>
          <w:rFonts w:ascii="David" w:hAnsi="David"/>
          <w:color w:val="000000"/>
          <w:rtl/>
        </w:rPr>
      </w:pPr>
      <w:r>
        <w:rPr>
          <w:rFonts w:ascii="Arial" w:hAnsi="Arial"/>
          <w:rtl/>
        </w:rPr>
        <w:tab/>
      </w:r>
      <w:r>
        <w:rPr>
          <w:rFonts w:ascii="Arial" w:hAnsi="Arial" w:hint="cs"/>
          <w:rtl/>
        </w:rPr>
        <w:t xml:space="preserve">מן הצד השני סבורני כי יש לתת משקל בענייננו גם לשיקולי ההרתעה. דומה כי אין צורך להכביר מילים אודות ממדי תופעת החזקת הנשק והשימוש בו באופן בלתי חוקי. תופעה זו הפכה "מכת מדינה" בכלל ו"מכת אזור" בפרט, וקריאות הציבור לרבות מהמגזר אליו משתייך הנאשם עצמו, להילחם בתופעה זו מתיישבות עם הפסיקה הענפה של בית המשפט העליון מהשנים האחרונות, כפי שצוטט לעיל. </w:t>
      </w:r>
    </w:p>
    <w:p w14:paraId="7A156C84" w14:textId="77777777" w:rsidR="00E17123" w:rsidRDefault="00E17123" w:rsidP="00E17123">
      <w:pPr>
        <w:spacing w:line="360" w:lineRule="auto"/>
        <w:ind w:left="652" w:hanging="709"/>
        <w:jc w:val="both"/>
        <w:rPr>
          <w:color w:val="000000"/>
          <w:rtl/>
        </w:rPr>
      </w:pPr>
      <w:r>
        <w:rPr>
          <w:rFonts w:hint="cs"/>
          <w:color w:val="000000"/>
          <w:rtl/>
        </w:rPr>
        <w:tab/>
      </w:r>
      <w:r>
        <w:rPr>
          <w:rFonts w:ascii="Arial" w:hAnsi="Arial" w:hint="cs"/>
          <w:rtl/>
        </w:rPr>
        <w:t>הטלת עונש מרתיע לצורך מאבק בתופעה שכזו, אף אם זו לא הוכחה באופן אמפירי, היא נדרשת ונכונה. בעניין מאבק ב"תופעות עברייניות" באמצעות ענישה מרתיעה ראו פסקה 34 ב</w:t>
      </w:r>
      <w:hyperlink r:id="rId39" w:history="1">
        <w:r w:rsidR="00431D40" w:rsidRPr="00431D40">
          <w:rPr>
            <w:rFonts w:ascii="Arial" w:hAnsi="Arial"/>
            <w:color w:val="0000FF"/>
            <w:u w:val="single"/>
            <w:rtl/>
          </w:rPr>
          <w:t>ע"פ 1127/13</w:t>
        </w:r>
      </w:hyperlink>
      <w:r>
        <w:rPr>
          <w:rFonts w:ascii="Arial" w:hAnsi="Arial" w:hint="cs"/>
          <w:rtl/>
        </w:rPr>
        <w:t xml:space="preserve"> </w:t>
      </w:r>
      <w:r>
        <w:rPr>
          <w:rFonts w:ascii="Arial" w:hAnsi="Arial" w:hint="cs"/>
          <w:b/>
          <w:bCs/>
          <w:rtl/>
        </w:rPr>
        <w:t>גברזגיי נ' מדינת ישראל</w:t>
      </w:r>
      <w:r>
        <w:rPr>
          <w:rFonts w:ascii="Arial" w:hAnsi="Arial" w:hint="cs"/>
          <w:rtl/>
        </w:rPr>
        <w:t xml:space="preserve"> (פורסם בנבו, 15.01.2014) וההפניות שם. </w:t>
      </w:r>
    </w:p>
    <w:p w14:paraId="22F0FC97" w14:textId="77777777" w:rsidR="00E17123" w:rsidRDefault="00E17123" w:rsidP="00E17123">
      <w:pPr>
        <w:ind w:left="652" w:hanging="709"/>
        <w:jc w:val="both"/>
        <w:rPr>
          <w:rFonts w:ascii="Arial" w:hAnsi="Arial"/>
          <w:rtl/>
        </w:rPr>
      </w:pPr>
    </w:p>
    <w:p w14:paraId="1216F16B" w14:textId="77777777" w:rsidR="00E17123" w:rsidRDefault="00E17123" w:rsidP="00E17123">
      <w:pPr>
        <w:spacing w:line="360" w:lineRule="auto"/>
        <w:ind w:left="652" w:hanging="709"/>
        <w:jc w:val="both"/>
        <w:rPr>
          <w:rFonts w:ascii="Arial" w:hAnsi="Arial"/>
          <w:rtl/>
        </w:rPr>
      </w:pPr>
      <w:r>
        <w:rPr>
          <w:rFonts w:ascii="Arial" w:hAnsi="Arial" w:hint="cs"/>
          <w:rtl/>
        </w:rPr>
        <w:t>14.</w:t>
      </w:r>
      <w:r>
        <w:rPr>
          <w:rFonts w:ascii="Arial" w:hAnsi="Arial" w:hint="cs"/>
          <w:rtl/>
        </w:rPr>
        <w:tab/>
        <w:t>כפי שיפורט להלן מצאתי להעמיד את עונשו של הנאשם בתחתית מתחם העונש ההולם אותו קבעתי וזאת חרף קיום שיקולי הרתעה וחרף נתונים מסוימים שעלו בתסקירי שירות המבחן שלא החמיאו לנאשם. בהחלטתי זו נתתי משקל לשיקולים לקולה שפורטו לעיל אך גם לשיקולי השיקום ולשיקולים הקשורים במידת מה לעקרון האחידות בענישה, כפי שיפורט להלן.</w:t>
      </w:r>
    </w:p>
    <w:p w14:paraId="15385111" w14:textId="77777777" w:rsidR="00E17123" w:rsidRDefault="00E17123" w:rsidP="00E17123">
      <w:pPr>
        <w:spacing w:line="360" w:lineRule="auto"/>
        <w:ind w:left="652" w:hanging="709"/>
        <w:jc w:val="both"/>
        <w:rPr>
          <w:rFonts w:ascii="Arial" w:hAnsi="Arial"/>
          <w:rtl/>
        </w:rPr>
      </w:pPr>
    </w:p>
    <w:p w14:paraId="2C8ABFAF" w14:textId="77777777" w:rsidR="00E17123" w:rsidRDefault="00E17123" w:rsidP="00E17123">
      <w:pPr>
        <w:spacing w:line="360" w:lineRule="auto"/>
        <w:ind w:left="652" w:hanging="709"/>
        <w:jc w:val="both"/>
        <w:rPr>
          <w:rFonts w:ascii="Arial" w:hAnsi="Arial"/>
          <w:rtl/>
        </w:rPr>
      </w:pPr>
      <w:r>
        <w:rPr>
          <w:rFonts w:ascii="Arial" w:hAnsi="Arial" w:hint="cs"/>
          <w:rtl/>
        </w:rPr>
        <w:t>15.</w:t>
      </w:r>
      <w:r>
        <w:rPr>
          <w:rFonts w:ascii="Arial" w:hAnsi="Arial" w:hint="cs"/>
          <w:rtl/>
        </w:rPr>
        <w:tab/>
        <w:t>כאמור, נתתי דעתי לתסקיר של שירות המבחן ולהמלצתו העונשית.</w:t>
      </w:r>
    </w:p>
    <w:p w14:paraId="61E8737D"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שירות המבחן שינה את המלצתו העונשית</w:t>
      </w:r>
      <w:r w:rsidRPr="003A0B13">
        <w:rPr>
          <w:rFonts w:ascii="Arial" w:hAnsi="Arial" w:hint="cs"/>
          <w:rtl/>
        </w:rPr>
        <w:t xml:space="preserve"> בין התסקיר הראשון לתסקיר המשלים </w:t>
      </w:r>
      <w:r>
        <w:rPr>
          <w:rFonts w:ascii="Arial" w:hAnsi="Arial" w:hint="cs"/>
          <w:rtl/>
        </w:rPr>
        <w:t xml:space="preserve">נוכח המוטיבציה </w:t>
      </w:r>
      <w:r w:rsidRPr="00586ED8">
        <w:rPr>
          <w:rFonts w:ascii="Arial" w:hAnsi="Arial" w:hint="cs"/>
          <w:b/>
          <w:bCs/>
          <w:rtl/>
        </w:rPr>
        <w:t>הראשונית</w:t>
      </w:r>
      <w:r>
        <w:rPr>
          <w:rFonts w:ascii="Arial" w:hAnsi="Arial" w:hint="cs"/>
          <w:rtl/>
        </w:rPr>
        <w:t xml:space="preserve"> שגילה הנאשם להשתלב </w:t>
      </w:r>
      <w:r w:rsidRPr="003A0B13">
        <w:rPr>
          <w:rFonts w:ascii="Arial" w:hAnsi="Arial" w:hint="cs"/>
          <w:rtl/>
        </w:rPr>
        <w:t xml:space="preserve">בהליך שיקומי ונוכח התרשמותו כי הנאשם נמצא בהליכי הפנמה של התנהלותו השולית. </w:t>
      </w:r>
    </w:p>
    <w:p w14:paraId="2DA3773A"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להמלצת שירות המבחן חשיבות לא מבוטלת, ואולם בסופו של יום כשמה כן היא-המלצה. בית המשפט לא מחויב לקבל המלצה זו ובמקרה המתאים לבית המשפט הסמכות לדחותה. מטבע הדברים שירות המבחן מתמקד בנסיבותיו האישיות של הנאשם ובשיקומו, ואולם בית המשפט אמון על בחינת אינטרסים רחבים ונוספים דוגמת שיקולי הגמול וההרתעה, שמהם לא ניתן להתעלם בענייננו.</w:t>
      </w:r>
    </w:p>
    <w:p w14:paraId="7321A65D" w14:textId="77777777" w:rsidR="00E17123" w:rsidRDefault="00E17123" w:rsidP="00E17123">
      <w:pPr>
        <w:spacing w:line="360" w:lineRule="auto"/>
        <w:ind w:left="652" w:hanging="709"/>
        <w:jc w:val="both"/>
        <w:rPr>
          <w:rFonts w:ascii="Arial" w:hAnsi="Arial"/>
          <w:rtl/>
        </w:rPr>
      </w:pPr>
    </w:p>
    <w:p w14:paraId="6CF823C3"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כמפורט לעיל, שירות המבחן ציין (בתסקיר הראשון) כי הנאשם מקיים קשרים עם חברה שולית, פועל באופן איפולסיבי ומתוך רצון להפיק רווחים כלכלים מהירים. אף מהתסקיר המשלים עולה כי הנאשם עד עתה לא עבר כל הליך טיפולי (למעט השתלבות בקבוצה במסגרת פיקוח מעצרים) כי אם אך הביע רצון להשתלב בהליך שכזה וגם עתה מתקשה הוא לקחת אחריות ממשית על התנהגותו ונוטה להשליך אחריות על אחרים. </w:t>
      </w:r>
    </w:p>
    <w:p w14:paraId="0680D1ED"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מן האמור עולה כי לא ניתן לומר שהנאשם השתקם, ואף יש קושי לומר שיש "</w:t>
      </w:r>
      <w:r w:rsidRPr="004B727A">
        <w:rPr>
          <w:rFonts w:ascii="Arial" w:hAnsi="Arial" w:hint="cs"/>
          <w:b/>
          <w:bCs/>
          <w:rtl/>
        </w:rPr>
        <w:t>סיכוי של</w:t>
      </w:r>
      <w:r>
        <w:rPr>
          <w:rFonts w:ascii="Arial" w:hAnsi="Arial" w:hint="cs"/>
          <w:rtl/>
        </w:rPr>
        <w:t xml:space="preserve"> </w:t>
      </w:r>
      <w:r w:rsidRPr="009260E8">
        <w:rPr>
          <w:rFonts w:ascii="Arial" w:hAnsi="Arial" w:hint="cs"/>
          <w:b/>
          <w:bCs/>
          <w:rtl/>
        </w:rPr>
        <w:t>ממש</w:t>
      </w:r>
      <w:r>
        <w:rPr>
          <w:rFonts w:ascii="Arial" w:hAnsi="Arial" w:hint="cs"/>
          <w:rtl/>
        </w:rPr>
        <w:t xml:space="preserve">" שהנאשם ישתקם כדרישתו של </w:t>
      </w:r>
      <w:hyperlink r:id="rId40" w:history="1">
        <w:r w:rsidR="0060724D" w:rsidRPr="0060724D">
          <w:rPr>
            <w:rStyle w:val="Hyperlink"/>
            <w:rFonts w:ascii="Arial" w:hAnsi="Arial" w:hint="eastAsia"/>
            <w:rtl/>
          </w:rPr>
          <w:t>סעיף</w:t>
        </w:r>
        <w:r w:rsidR="0060724D" w:rsidRPr="0060724D">
          <w:rPr>
            <w:rStyle w:val="Hyperlink"/>
            <w:rFonts w:ascii="Arial" w:hAnsi="Arial"/>
            <w:rtl/>
          </w:rPr>
          <w:t xml:space="preserve"> 40ד(א)</w:t>
        </w:r>
      </w:hyperlink>
      <w:r>
        <w:rPr>
          <w:rFonts w:ascii="Arial" w:hAnsi="Arial" w:hint="cs"/>
          <w:rtl/>
        </w:rPr>
        <w:t xml:space="preserve"> ל</w:t>
      </w:r>
      <w:hyperlink r:id="rId41" w:history="1">
        <w:r w:rsidR="00431D40" w:rsidRPr="00431D40">
          <w:rPr>
            <w:rFonts w:ascii="Arial" w:hAnsi="Arial"/>
            <w:color w:val="0000FF"/>
            <w:u w:val="single"/>
            <w:rtl/>
          </w:rPr>
          <w:t>חוק העונשין</w:t>
        </w:r>
      </w:hyperlink>
      <w:r>
        <w:rPr>
          <w:rFonts w:ascii="Arial" w:hAnsi="Arial" w:hint="cs"/>
          <w:rtl/>
        </w:rPr>
        <w:t xml:space="preserve">. </w:t>
      </w:r>
    </w:p>
    <w:p w14:paraId="17021BBC"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42" w:history="1">
        <w:r w:rsidR="00431D40" w:rsidRPr="00431D40">
          <w:rPr>
            <w:rFonts w:ascii="Arial" w:hAnsi="Arial"/>
            <w:color w:val="0000FF"/>
            <w:u w:val="single"/>
            <w:rtl/>
          </w:rPr>
          <w:t>ע"פ 6637/17</w:t>
        </w:r>
      </w:hyperlink>
      <w:r>
        <w:rPr>
          <w:rFonts w:ascii="Arial" w:hAnsi="Arial" w:hint="cs"/>
          <w:rtl/>
        </w:rPr>
        <w:t xml:space="preserve"> </w:t>
      </w:r>
      <w:r w:rsidRPr="004B727A">
        <w:rPr>
          <w:rFonts w:ascii="Arial" w:hAnsi="Arial" w:hint="cs"/>
          <w:b/>
          <w:bCs/>
          <w:rtl/>
        </w:rPr>
        <w:t>אליזבט קרנדל נ' מדיעת ישראל</w:t>
      </w:r>
      <w:r>
        <w:rPr>
          <w:rFonts w:ascii="Arial" w:hAnsi="Arial" w:hint="cs"/>
          <w:rtl/>
        </w:rPr>
        <w:t xml:space="preserve"> (פורסם בנבו, 18.4.2018) התייחס בית המשפט העליון לתיבה זו של "סיכוי של ממש שישתקם" וציין כי : </w:t>
      </w:r>
    </w:p>
    <w:p w14:paraId="46EEBC56" w14:textId="77777777" w:rsidR="00E17123" w:rsidRDefault="00E17123" w:rsidP="00E17123">
      <w:pPr>
        <w:spacing w:line="360" w:lineRule="auto"/>
        <w:ind w:left="1503" w:right="567"/>
        <w:jc w:val="both"/>
        <w:rPr>
          <w:rFonts w:ascii="Arial" w:hAnsi="Arial"/>
          <w:rtl/>
        </w:rPr>
      </w:pPr>
      <w:r>
        <w:rPr>
          <w:rFonts w:ascii="Arial" w:hAnsi="Arial" w:hint="cs"/>
          <w:rtl/>
        </w:rPr>
        <w:t>"</w:t>
      </w:r>
      <w:r w:rsidRPr="000964D1">
        <w:rPr>
          <w:rFonts w:ascii="Arial" w:hAnsi="Arial" w:hint="eastAsia"/>
          <w:b/>
          <w:bCs/>
          <w:rtl/>
        </w:rPr>
        <w:t>במקרים</w:t>
      </w:r>
      <w:r w:rsidRPr="000964D1">
        <w:rPr>
          <w:rFonts w:ascii="Arial" w:hAnsi="Arial"/>
          <w:b/>
          <w:bCs/>
          <w:rtl/>
        </w:rPr>
        <w:t xml:space="preserve"> </w:t>
      </w:r>
      <w:r w:rsidRPr="000964D1">
        <w:rPr>
          <w:rFonts w:ascii="Arial" w:hAnsi="Arial" w:hint="eastAsia"/>
          <w:b/>
          <w:bCs/>
          <w:rtl/>
        </w:rPr>
        <w:t>קודמים</w:t>
      </w:r>
      <w:r w:rsidRPr="000964D1">
        <w:rPr>
          <w:rFonts w:ascii="Arial" w:hAnsi="Arial"/>
          <w:b/>
          <w:bCs/>
          <w:rtl/>
        </w:rPr>
        <w:t xml:space="preserve"> </w:t>
      </w:r>
      <w:r w:rsidRPr="000964D1">
        <w:rPr>
          <w:rFonts w:ascii="Arial" w:hAnsi="Arial" w:hint="eastAsia"/>
          <w:b/>
          <w:bCs/>
          <w:rtl/>
        </w:rPr>
        <w:t>שבהם</w:t>
      </w:r>
      <w:r w:rsidRPr="000964D1">
        <w:rPr>
          <w:rFonts w:ascii="Arial" w:hAnsi="Arial"/>
          <w:b/>
          <w:bCs/>
          <w:rtl/>
        </w:rPr>
        <w:t xml:space="preserve"> </w:t>
      </w:r>
      <w:r w:rsidRPr="000964D1">
        <w:rPr>
          <w:rFonts w:ascii="Arial" w:hAnsi="Arial" w:hint="eastAsia"/>
          <w:b/>
          <w:bCs/>
          <w:rtl/>
        </w:rPr>
        <w:t>נדרש</w:t>
      </w:r>
      <w:r w:rsidRPr="000964D1">
        <w:rPr>
          <w:rFonts w:ascii="Arial" w:hAnsi="Arial"/>
          <w:b/>
          <w:bCs/>
          <w:rtl/>
        </w:rPr>
        <w:t xml:space="preserve"> </w:t>
      </w:r>
      <w:r w:rsidRPr="000964D1">
        <w:rPr>
          <w:rFonts w:ascii="Arial" w:hAnsi="Arial" w:hint="eastAsia"/>
          <w:b/>
          <w:bCs/>
          <w:rtl/>
        </w:rPr>
        <w:t>בית</w:t>
      </w:r>
      <w:r w:rsidRPr="000964D1">
        <w:rPr>
          <w:rFonts w:ascii="Arial" w:hAnsi="Arial"/>
          <w:b/>
          <w:bCs/>
          <w:rtl/>
        </w:rPr>
        <w:t xml:space="preserve"> </w:t>
      </w:r>
      <w:r w:rsidRPr="000964D1">
        <w:rPr>
          <w:rFonts w:ascii="Arial" w:hAnsi="Arial" w:hint="eastAsia"/>
          <w:b/>
          <w:bCs/>
          <w:rtl/>
        </w:rPr>
        <w:t>המשפט</w:t>
      </w:r>
      <w:r w:rsidRPr="000964D1">
        <w:rPr>
          <w:rFonts w:ascii="Arial" w:hAnsi="Arial"/>
          <w:b/>
          <w:bCs/>
          <w:rtl/>
        </w:rPr>
        <w:t xml:space="preserve"> </w:t>
      </w:r>
      <w:r w:rsidRPr="000964D1">
        <w:rPr>
          <w:rFonts w:ascii="Arial" w:hAnsi="Arial" w:hint="eastAsia"/>
          <w:b/>
          <w:bCs/>
          <w:rtl/>
        </w:rPr>
        <w:t>להעריך</w:t>
      </w:r>
      <w:r w:rsidRPr="000964D1">
        <w:rPr>
          <w:rFonts w:ascii="Arial" w:hAnsi="Arial"/>
          <w:b/>
          <w:bCs/>
          <w:rtl/>
        </w:rPr>
        <w:t xml:space="preserve"> </w:t>
      </w:r>
      <w:r w:rsidRPr="000964D1">
        <w:rPr>
          <w:rFonts w:ascii="Arial" w:hAnsi="Arial" w:hint="eastAsia"/>
          <w:b/>
          <w:bCs/>
          <w:rtl/>
        </w:rPr>
        <w:t>את</w:t>
      </w:r>
      <w:r w:rsidRPr="000964D1">
        <w:rPr>
          <w:rFonts w:ascii="Arial" w:hAnsi="Arial"/>
          <w:b/>
          <w:bCs/>
          <w:rtl/>
        </w:rPr>
        <w:t xml:space="preserve"> </w:t>
      </w:r>
      <w:r w:rsidRPr="000964D1">
        <w:rPr>
          <w:rFonts w:ascii="Arial" w:hAnsi="Arial" w:hint="eastAsia"/>
          <w:b/>
          <w:bCs/>
          <w:rtl/>
        </w:rPr>
        <w:t>סיכויי</w:t>
      </w:r>
      <w:r w:rsidRPr="000964D1">
        <w:rPr>
          <w:rFonts w:ascii="Arial" w:hAnsi="Arial"/>
          <w:b/>
          <w:bCs/>
          <w:rtl/>
        </w:rPr>
        <w:t xml:space="preserve"> </w:t>
      </w:r>
      <w:r w:rsidRPr="000964D1">
        <w:rPr>
          <w:rFonts w:ascii="Arial" w:hAnsi="Arial" w:hint="eastAsia"/>
          <w:b/>
          <w:bCs/>
          <w:rtl/>
        </w:rPr>
        <w:t>השיקום</w:t>
      </w:r>
      <w:r w:rsidRPr="000964D1">
        <w:rPr>
          <w:rFonts w:ascii="Arial" w:hAnsi="Arial"/>
          <w:b/>
          <w:bCs/>
          <w:rtl/>
        </w:rPr>
        <w:t xml:space="preserve"> </w:t>
      </w:r>
      <w:r w:rsidRPr="000964D1">
        <w:rPr>
          <w:rFonts w:ascii="Arial" w:hAnsi="Arial" w:hint="eastAsia"/>
          <w:b/>
          <w:bCs/>
          <w:rtl/>
        </w:rPr>
        <w:t>במסגרת</w:t>
      </w:r>
      <w:r w:rsidRPr="000964D1">
        <w:rPr>
          <w:rFonts w:ascii="Arial" w:hAnsi="Arial"/>
          <w:b/>
          <w:bCs/>
          <w:rtl/>
        </w:rPr>
        <w:t xml:space="preserve"> </w:t>
      </w:r>
      <w:r w:rsidRPr="00431D40">
        <w:rPr>
          <w:rFonts w:ascii="Arial" w:hAnsi="Arial" w:hint="eastAsia"/>
          <w:b/>
          <w:bCs/>
          <w:color w:val="000000"/>
          <w:rtl/>
        </w:rPr>
        <w:t>סעיף</w:t>
      </w:r>
      <w:r w:rsidRPr="00431D40">
        <w:rPr>
          <w:rFonts w:ascii="Arial" w:hAnsi="Arial"/>
          <w:b/>
          <w:bCs/>
          <w:color w:val="000000"/>
          <w:rtl/>
        </w:rPr>
        <w:t xml:space="preserve"> 40</w:t>
      </w:r>
      <w:r w:rsidRPr="00431D40">
        <w:rPr>
          <w:rFonts w:ascii="Arial" w:hAnsi="Arial" w:hint="eastAsia"/>
          <w:b/>
          <w:bCs/>
          <w:color w:val="000000"/>
          <w:rtl/>
        </w:rPr>
        <w:t>ד</w:t>
      </w:r>
      <w:r w:rsidRPr="00F02602">
        <w:rPr>
          <w:rFonts w:ascii="Arial" w:hAnsi="Arial"/>
          <w:b/>
          <w:bCs/>
          <w:rtl/>
        </w:rPr>
        <w:t xml:space="preserve"> </w:t>
      </w:r>
      <w:r w:rsidRPr="00F02602">
        <w:rPr>
          <w:rFonts w:ascii="Arial" w:hAnsi="Arial" w:hint="eastAsia"/>
          <w:b/>
          <w:bCs/>
          <w:rtl/>
        </w:rPr>
        <w:t>ל</w:t>
      </w:r>
      <w:hyperlink r:id="rId43" w:history="1">
        <w:r w:rsidR="00431D40" w:rsidRPr="00431D40">
          <w:rPr>
            <w:rFonts w:ascii="Arial" w:hAnsi="Arial"/>
            <w:b/>
            <w:bCs/>
            <w:color w:val="0000FF"/>
            <w:u w:val="single"/>
            <w:rtl/>
          </w:rPr>
          <w:t>חוק העונשין</w:t>
        </w:r>
      </w:hyperlink>
      <w:r w:rsidRPr="000964D1">
        <w:rPr>
          <w:rFonts w:ascii="Arial" w:hAnsi="Arial"/>
          <w:b/>
          <w:bCs/>
          <w:rtl/>
        </w:rPr>
        <w:t xml:space="preserve"> </w:t>
      </w:r>
      <w:r w:rsidRPr="000964D1">
        <w:rPr>
          <w:rFonts w:ascii="Arial" w:hAnsi="Arial" w:hint="eastAsia"/>
          <w:b/>
          <w:bCs/>
          <w:rtl/>
        </w:rPr>
        <w:t>הובאו</w:t>
      </w:r>
      <w:r w:rsidRPr="000964D1">
        <w:rPr>
          <w:rFonts w:ascii="Arial" w:hAnsi="Arial"/>
          <w:b/>
          <w:bCs/>
          <w:rtl/>
        </w:rPr>
        <w:t xml:space="preserve"> </w:t>
      </w:r>
      <w:r w:rsidRPr="000964D1">
        <w:rPr>
          <w:rFonts w:ascii="Arial" w:hAnsi="Arial" w:hint="eastAsia"/>
          <w:b/>
          <w:bCs/>
          <w:rtl/>
        </w:rPr>
        <w:t>בחשבון</w:t>
      </w:r>
      <w:r w:rsidRPr="000964D1">
        <w:rPr>
          <w:rFonts w:ascii="Arial" w:hAnsi="Arial"/>
          <w:b/>
          <w:bCs/>
          <w:rtl/>
        </w:rPr>
        <w:t xml:space="preserve">, </w:t>
      </w:r>
      <w:r w:rsidRPr="000964D1">
        <w:rPr>
          <w:rFonts w:ascii="Arial" w:hAnsi="Arial" w:hint="eastAsia"/>
          <w:b/>
          <w:bCs/>
          <w:rtl/>
        </w:rPr>
        <w:t>בין</w:t>
      </w:r>
      <w:r w:rsidRPr="000964D1">
        <w:rPr>
          <w:rFonts w:ascii="Arial" w:hAnsi="Arial"/>
          <w:b/>
          <w:bCs/>
          <w:rtl/>
        </w:rPr>
        <w:t xml:space="preserve"> </w:t>
      </w:r>
      <w:r w:rsidRPr="000964D1">
        <w:rPr>
          <w:rFonts w:ascii="Arial" w:hAnsi="Arial" w:hint="eastAsia"/>
          <w:b/>
          <w:bCs/>
          <w:rtl/>
        </w:rPr>
        <w:t>היתר</w:t>
      </w:r>
      <w:r w:rsidRPr="000964D1">
        <w:rPr>
          <w:rFonts w:ascii="Arial" w:hAnsi="Arial"/>
          <w:b/>
          <w:bCs/>
          <w:rtl/>
        </w:rPr>
        <w:t xml:space="preserve">, </w:t>
      </w:r>
      <w:r w:rsidRPr="000964D1">
        <w:rPr>
          <w:rFonts w:ascii="Arial" w:hAnsi="Arial" w:hint="eastAsia"/>
          <w:b/>
          <w:bCs/>
          <w:rtl/>
        </w:rPr>
        <w:t>השיקולים</w:t>
      </w:r>
      <w:r w:rsidRPr="000964D1">
        <w:rPr>
          <w:rFonts w:ascii="Arial" w:hAnsi="Arial"/>
          <w:b/>
          <w:bCs/>
          <w:rtl/>
        </w:rPr>
        <w:t xml:space="preserve"> </w:t>
      </w:r>
      <w:r w:rsidRPr="000964D1">
        <w:rPr>
          <w:rFonts w:ascii="Arial" w:hAnsi="Arial" w:hint="eastAsia"/>
          <w:b/>
          <w:bCs/>
          <w:rtl/>
        </w:rPr>
        <w:t>המרכזיים</w:t>
      </w:r>
      <w:r w:rsidRPr="000964D1">
        <w:rPr>
          <w:rFonts w:ascii="Arial" w:hAnsi="Arial"/>
          <w:b/>
          <w:bCs/>
          <w:rtl/>
        </w:rPr>
        <w:t xml:space="preserve"> </w:t>
      </w:r>
      <w:r w:rsidRPr="000964D1">
        <w:rPr>
          <w:rFonts w:ascii="Arial" w:hAnsi="Arial" w:hint="eastAsia"/>
          <w:b/>
          <w:bCs/>
          <w:rtl/>
        </w:rPr>
        <w:t>הבאים</w:t>
      </w:r>
      <w:r w:rsidRPr="000964D1">
        <w:rPr>
          <w:rFonts w:ascii="Arial" w:hAnsi="Arial"/>
          <w:b/>
          <w:bCs/>
          <w:rtl/>
        </w:rPr>
        <w:t xml:space="preserve">: </w:t>
      </w:r>
      <w:r w:rsidRPr="000964D1">
        <w:rPr>
          <w:rFonts w:ascii="Arial" w:hAnsi="Arial" w:hint="eastAsia"/>
          <w:b/>
          <w:bCs/>
          <w:rtl/>
        </w:rPr>
        <w:t>המוטיבציה</w:t>
      </w:r>
      <w:r w:rsidRPr="000964D1">
        <w:rPr>
          <w:rFonts w:ascii="Arial" w:hAnsi="Arial"/>
          <w:b/>
          <w:bCs/>
          <w:rtl/>
        </w:rPr>
        <w:t xml:space="preserve"> </w:t>
      </w:r>
      <w:r w:rsidRPr="000964D1">
        <w:rPr>
          <w:rFonts w:ascii="Arial" w:hAnsi="Arial" w:hint="eastAsia"/>
          <w:b/>
          <w:bCs/>
          <w:rtl/>
        </w:rPr>
        <w:t>שהפגין</w:t>
      </w:r>
      <w:r w:rsidRPr="000964D1">
        <w:rPr>
          <w:rFonts w:ascii="Arial" w:hAnsi="Arial"/>
          <w:b/>
          <w:bCs/>
          <w:rtl/>
        </w:rPr>
        <w:t xml:space="preserve"> </w:t>
      </w:r>
      <w:r w:rsidRPr="000964D1">
        <w:rPr>
          <w:rFonts w:ascii="Arial" w:hAnsi="Arial" w:hint="eastAsia"/>
          <w:b/>
          <w:bCs/>
          <w:rtl/>
        </w:rPr>
        <w:t>האדם</w:t>
      </w:r>
      <w:r w:rsidRPr="000964D1">
        <w:rPr>
          <w:rFonts w:ascii="Arial" w:hAnsi="Arial"/>
          <w:b/>
          <w:bCs/>
          <w:rtl/>
        </w:rPr>
        <w:t xml:space="preserve"> </w:t>
      </w:r>
      <w:r w:rsidRPr="000964D1">
        <w:rPr>
          <w:rFonts w:ascii="Arial" w:hAnsi="Arial" w:hint="eastAsia"/>
          <w:b/>
          <w:bCs/>
          <w:rtl/>
        </w:rPr>
        <w:t>שהורשע</w:t>
      </w:r>
      <w:r w:rsidRPr="000964D1">
        <w:rPr>
          <w:rFonts w:ascii="Arial" w:hAnsi="Arial"/>
          <w:b/>
          <w:bCs/>
          <w:rtl/>
        </w:rPr>
        <w:t xml:space="preserve"> </w:t>
      </w:r>
      <w:r w:rsidRPr="000964D1">
        <w:rPr>
          <w:rFonts w:ascii="Arial" w:hAnsi="Arial" w:hint="eastAsia"/>
          <w:b/>
          <w:bCs/>
          <w:rtl/>
        </w:rPr>
        <w:t>להשתקם</w:t>
      </w:r>
      <w:r w:rsidRPr="000964D1">
        <w:rPr>
          <w:rFonts w:ascii="Arial" w:hAnsi="Arial"/>
          <w:b/>
          <w:bCs/>
          <w:rtl/>
        </w:rPr>
        <w:t xml:space="preserve">; </w:t>
      </w:r>
      <w:r w:rsidRPr="000964D1">
        <w:rPr>
          <w:rFonts w:ascii="Arial" w:hAnsi="Arial" w:hint="eastAsia"/>
          <w:b/>
          <w:bCs/>
          <w:rtl/>
        </w:rPr>
        <w:t>הליך</w:t>
      </w:r>
      <w:r w:rsidRPr="000964D1">
        <w:rPr>
          <w:rFonts w:ascii="Arial" w:hAnsi="Arial"/>
          <w:b/>
          <w:bCs/>
          <w:rtl/>
        </w:rPr>
        <w:t xml:space="preserve"> </w:t>
      </w:r>
      <w:r w:rsidRPr="000964D1">
        <w:rPr>
          <w:rFonts w:ascii="Arial" w:hAnsi="Arial" w:hint="eastAsia"/>
          <w:b/>
          <w:bCs/>
          <w:rtl/>
        </w:rPr>
        <w:t>של</w:t>
      </w:r>
      <w:r w:rsidRPr="000964D1">
        <w:rPr>
          <w:rFonts w:ascii="Arial" w:hAnsi="Arial"/>
          <w:b/>
          <w:bCs/>
          <w:rtl/>
        </w:rPr>
        <w:t xml:space="preserve"> </w:t>
      </w:r>
      <w:r w:rsidRPr="000964D1">
        <w:rPr>
          <w:rFonts w:ascii="Arial" w:hAnsi="Arial" w:hint="eastAsia"/>
          <w:b/>
          <w:bCs/>
          <w:rtl/>
        </w:rPr>
        <w:t>גמילה</w:t>
      </w:r>
      <w:r w:rsidRPr="000964D1">
        <w:rPr>
          <w:rFonts w:ascii="Arial" w:hAnsi="Arial"/>
          <w:b/>
          <w:bCs/>
          <w:rtl/>
        </w:rPr>
        <w:t xml:space="preserve"> </w:t>
      </w:r>
      <w:r w:rsidRPr="000964D1">
        <w:rPr>
          <w:rFonts w:ascii="Arial" w:hAnsi="Arial" w:hint="eastAsia"/>
          <w:b/>
          <w:bCs/>
          <w:rtl/>
        </w:rPr>
        <w:t>מהתמכרות</w:t>
      </w:r>
      <w:r w:rsidRPr="000964D1">
        <w:rPr>
          <w:rFonts w:ascii="Arial" w:hAnsi="Arial"/>
          <w:b/>
          <w:bCs/>
          <w:rtl/>
        </w:rPr>
        <w:t xml:space="preserve"> </w:t>
      </w:r>
      <w:r w:rsidRPr="000964D1">
        <w:rPr>
          <w:rFonts w:ascii="Arial" w:hAnsi="Arial" w:hint="eastAsia"/>
          <w:b/>
          <w:bCs/>
          <w:rtl/>
        </w:rPr>
        <w:t>שהוא</w:t>
      </w:r>
      <w:r w:rsidRPr="000964D1">
        <w:rPr>
          <w:rFonts w:ascii="Arial" w:hAnsi="Arial"/>
          <w:b/>
          <w:bCs/>
          <w:rtl/>
        </w:rPr>
        <w:t xml:space="preserve"> </w:t>
      </w:r>
      <w:r w:rsidRPr="000964D1">
        <w:rPr>
          <w:rFonts w:ascii="Arial" w:hAnsi="Arial" w:hint="eastAsia"/>
          <w:b/>
          <w:bCs/>
          <w:rtl/>
        </w:rPr>
        <w:t>עובר</w:t>
      </w:r>
      <w:r w:rsidRPr="000964D1">
        <w:rPr>
          <w:rFonts w:ascii="Arial" w:hAnsi="Arial"/>
          <w:b/>
          <w:bCs/>
          <w:rtl/>
        </w:rPr>
        <w:t xml:space="preserve">; </w:t>
      </w:r>
      <w:r w:rsidRPr="000964D1">
        <w:rPr>
          <w:rFonts w:ascii="Arial" w:hAnsi="Arial" w:hint="eastAsia"/>
          <w:b/>
          <w:bCs/>
          <w:rtl/>
        </w:rPr>
        <w:t>השתלבות</w:t>
      </w:r>
      <w:r w:rsidRPr="000964D1">
        <w:rPr>
          <w:rFonts w:ascii="Arial" w:hAnsi="Arial"/>
          <w:b/>
          <w:bCs/>
          <w:rtl/>
        </w:rPr>
        <w:t xml:space="preserve"> </w:t>
      </w:r>
      <w:r w:rsidRPr="000964D1">
        <w:rPr>
          <w:rFonts w:ascii="Arial" w:hAnsi="Arial" w:hint="eastAsia"/>
          <w:b/>
          <w:bCs/>
          <w:rtl/>
        </w:rPr>
        <w:t>מוצלחת</w:t>
      </w:r>
      <w:r w:rsidRPr="000964D1">
        <w:rPr>
          <w:rFonts w:ascii="Arial" w:hAnsi="Arial"/>
          <w:b/>
          <w:bCs/>
          <w:rtl/>
        </w:rPr>
        <w:t xml:space="preserve"> </w:t>
      </w:r>
      <w:r w:rsidRPr="000964D1">
        <w:rPr>
          <w:rFonts w:ascii="Arial" w:hAnsi="Arial" w:hint="eastAsia"/>
          <w:b/>
          <w:bCs/>
          <w:rtl/>
        </w:rPr>
        <w:t>בהליכים</w:t>
      </w:r>
      <w:r w:rsidRPr="000964D1">
        <w:rPr>
          <w:rFonts w:ascii="Arial" w:hAnsi="Arial"/>
          <w:b/>
          <w:bCs/>
          <w:rtl/>
        </w:rPr>
        <w:t xml:space="preserve"> </w:t>
      </w:r>
      <w:r w:rsidRPr="000964D1">
        <w:rPr>
          <w:rFonts w:ascii="Arial" w:hAnsi="Arial" w:hint="eastAsia"/>
          <w:b/>
          <w:bCs/>
          <w:rtl/>
        </w:rPr>
        <w:t>טיפוליים</w:t>
      </w:r>
      <w:r w:rsidRPr="000964D1">
        <w:rPr>
          <w:rFonts w:ascii="Arial" w:hAnsi="Arial"/>
          <w:b/>
          <w:bCs/>
          <w:rtl/>
        </w:rPr>
        <w:t xml:space="preserve"> </w:t>
      </w:r>
      <w:r w:rsidRPr="000964D1">
        <w:rPr>
          <w:rFonts w:ascii="Arial" w:hAnsi="Arial" w:hint="eastAsia"/>
          <w:b/>
          <w:bCs/>
          <w:rtl/>
        </w:rPr>
        <w:t>שונים</w:t>
      </w:r>
      <w:r w:rsidRPr="000964D1">
        <w:rPr>
          <w:rFonts w:ascii="Arial" w:hAnsi="Arial"/>
          <w:b/>
          <w:bCs/>
          <w:rtl/>
        </w:rPr>
        <w:t xml:space="preserve">; </w:t>
      </w:r>
      <w:r w:rsidRPr="000964D1">
        <w:rPr>
          <w:rFonts w:ascii="Arial" w:hAnsi="Arial" w:hint="eastAsia"/>
          <w:b/>
          <w:bCs/>
          <w:rtl/>
        </w:rPr>
        <w:t>אינדיקציות</w:t>
      </w:r>
      <w:r w:rsidRPr="000964D1">
        <w:rPr>
          <w:rFonts w:ascii="Arial" w:hAnsi="Arial"/>
          <w:b/>
          <w:bCs/>
          <w:rtl/>
        </w:rPr>
        <w:t xml:space="preserve"> </w:t>
      </w:r>
      <w:r w:rsidRPr="000964D1">
        <w:rPr>
          <w:rFonts w:ascii="Arial" w:hAnsi="Arial" w:hint="eastAsia"/>
          <w:b/>
          <w:bCs/>
          <w:rtl/>
        </w:rPr>
        <w:t>לשינוי</w:t>
      </w:r>
      <w:r w:rsidRPr="000964D1">
        <w:rPr>
          <w:rFonts w:ascii="Arial" w:hAnsi="Arial"/>
          <w:b/>
          <w:bCs/>
          <w:rtl/>
        </w:rPr>
        <w:t xml:space="preserve"> </w:t>
      </w:r>
      <w:r w:rsidRPr="000964D1">
        <w:rPr>
          <w:rFonts w:ascii="Arial" w:hAnsi="Arial" w:hint="eastAsia"/>
          <w:b/>
          <w:bCs/>
          <w:rtl/>
        </w:rPr>
        <w:t>עמוק</w:t>
      </w:r>
      <w:r w:rsidRPr="000964D1">
        <w:rPr>
          <w:rFonts w:ascii="Arial" w:hAnsi="Arial"/>
          <w:b/>
          <w:bCs/>
          <w:rtl/>
        </w:rPr>
        <w:t xml:space="preserve"> </w:t>
      </w:r>
      <w:r w:rsidRPr="000964D1">
        <w:rPr>
          <w:rFonts w:ascii="Arial" w:hAnsi="Arial" w:hint="eastAsia"/>
          <w:b/>
          <w:bCs/>
          <w:rtl/>
        </w:rPr>
        <w:t>בהתנהגות</w:t>
      </w:r>
      <w:r w:rsidRPr="000964D1">
        <w:rPr>
          <w:rFonts w:ascii="Arial" w:hAnsi="Arial"/>
          <w:b/>
          <w:bCs/>
          <w:rtl/>
        </w:rPr>
        <w:t xml:space="preserve"> </w:t>
      </w:r>
      <w:r w:rsidRPr="000964D1">
        <w:rPr>
          <w:rFonts w:ascii="Arial" w:hAnsi="Arial" w:hint="eastAsia"/>
          <w:b/>
          <w:bCs/>
          <w:rtl/>
        </w:rPr>
        <w:t>ובדרך</w:t>
      </w:r>
      <w:r w:rsidRPr="000964D1">
        <w:rPr>
          <w:rFonts w:ascii="Arial" w:hAnsi="Arial"/>
          <w:b/>
          <w:bCs/>
          <w:rtl/>
        </w:rPr>
        <w:t xml:space="preserve"> </w:t>
      </w:r>
      <w:r w:rsidRPr="000964D1">
        <w:rPr>
          <w:rFonts w:ascii="Arial" w:hAnsi="Arial" w:hint="eastAsia"/>
          <w:b/>
          <w:bCs/>
          <w:rtl/>
        </w:rPr>
        <w:t>החשיבה</w:t>
      </w:r>
      <w:r w:rsidRPr="000964D1">
        <w:rPr>
          <w:rFonts w:ascii="Arial" w:hAnsi="Arial"/>
          <w:b/>
          <w:bCs/>
          <w:rtl/>
        </w:rPr>
        <w:t xml:space="preserve">; הבעת חרטה כנה על המעשים </w:t>
      </w:r>
      <w:r>
        <w:rPr>
          <w:rFonts w:ascii="Arial" w:hAnsi="Arial"/>
          <w:b/>
          <w:bCs/>
          <w:rtl/>
        </w:rPr>
        <w:t>והפגנת אמפתיה כלפי נפגעי העבירה</w:t>
      </w:r>
      <w:r>
        <w:rPr>
          <w:rFonts w:ascii="Arial" w:hAnsi="Arial" w:hint="cs"/>
          <w:b/>
          <w:bCs/>
          <w:rtl/>
        </w:rPr>
        <w:t>...</w:t>
      </w:r>
      <w:r w:rsidRPr="000964D1">
        <w:rPr>
          <w:rFonts w:ascii="Arial" w:hAnsi="Arial"/>
          <w:b/>
          <w:bCs/>
          <w:rtl/>
        </w:rPr>
        <w:t xml:space="preserve"> ניתן לציין ששילוב בין </w:t>
      </w:r>
      <w:r w:rsidRPr="000964D1">
        <w:rPr>
          <w:rFonts w:ascii="Arial" w:hAnsi="Arial" w:hint="eastAsia"/>
          <w:b/>
          <w:bCs/>
          <w:rtl/>
        </w:rPr>
        <w:t>שינוי</w:t>
      </w:r>
      <w:r w:rsidRPr="000964D1">
        <w:rPr>
          <w:rFonts w:ascii="Arial" w:hAnsi="Arial"/>
          <w:b/>
          <w:bCs/>
          <w:rtl/>
        </w:rPr>
        <w:t xml:space="preserve"> </w:t>
      </w:r>
      <w:r w:rsidRPr="000964D1">
        <w:rPr>
          <w:rFonts w:ascii="Arial" w:hAnsi="Arial" w:hint="eastAsia"/>
          <w:b/>
          <w:bCs/>
          <w:rtl/>
        </w:rPr>
        <w:t>מהותי</w:t>
      </w:r>
      <w:r w:rsidRPr="000964D1">
        <w:rPr>
          <w:rFonts w:ascii="Arial" w:hAnsi="Arial"/>
          <w:b/>
          <w:bCs/>
          <w:rtl/>
        </w:rPr>
        <w:t xml:space="preserve"> </w:t>
      </w:r>
      <w:r w:rsidRPr="000964D1">
        <w:rPr>
          <w:rFonts w:ascii="Arial" w:hAnsi="Arial" w:hint="eastAsia"/>
          <w:b/>
          <w:bCs/>
          <w:rtl/>
        </w:rPr>
        <w:t>בהתייחסות</w:t>
      </w:r>
      <w:r w:rsidRPr="000964D1">
        <w:rPr>
          <w:rFonts w:ascii="Arial" w:hAnsi="Arial"/>
          <w:b/>
          <w:bCs/>
          <w:rtl/>
        </w:rPr>
        <w:t xml:space="preserve"> </w:t>
      </w:r>
      <w:r w:rsidRPr="000964D1">
        <w:rPr>
          <w:rFonts w:ascii="Arial" w:hAnsi="Arial" w:hint="eastAsia"/>
          <w:b/>
          <w:bCs/>
          <w:rtl/>
        </w:rPr>
        <w:t>הרגשית</w:t>
      </w:r>
      <w:r w:rsidRPr="000964D1">
        <w:rPr>
          <w:rFonts w:ascii="Arial" w:hAnsi="Arial"/>
          <w:b/>
          <w:bCs/>
          <w:rtl/>
        </w:rPr>
        <w:t xml:space="preserve"> לאירוע העבירה המתבטא בנטילת אחריות, כפרה והבעת אמפתיה לנפגעי העבירה לבין </w:t>
      </w:r>
      <w:r w:rsidRPr="000964D1">
        <w:rPr>
          <w:rFonts w:ascii="Arial" w:hAnsi="Arial" w:hint="eastAsia"/>
          <w:b/>
          <w:bCs/>
          <w:rtl/>
        </w:rPr>
        <w:t>אינדיקציות</w:t>
      </w:r>
      <w:r w:rsidRPr="000964D1">
        <w:rPr>
          <w:rFonts w:ascii="Arial" w:hAnsi="Arial"/>
          <w:b/>
          <w:bCs/>
          <w:rtl/>
        </w:rPr>
        <w:t xml:space="preserve"> </w:t>
      </w:r>
      <w:r w:rsidRPr="000964D1">
        <w:rPr>
          <w:rFonts w:ascii="Arial" w:hAnsi="Arial" w:hint="eastAsia"/>
          <w:b/>
          <w:bCs/>
          <w:rtl/>
        </w:rPr>
        <w:t>אובייקטיביות</w:t>
      </w:r>
      <w:r w:rsidRPr="000964D1">
        <w:rPr>
          <w:rFonts w:ascii="Arial" w:hAnsi="Arial"/>
          <w:b/>
          <w:bCs/>
          <w:rtl/>
        </w:rPr>
        <w:t xml:space="preserve"> </w:t>
      </w:r>
      <w:r w:rsidRPr="000964D1">
        <w:rPr>
          <w:rFonts w:ascii="Arial" w:hAnsi="Arial" w:hint="eastAsia"/>
          <w:b/>
          <w:bCs/>
          <w:rtl/>
        </w:rPr>
        <w:t>לקיומו</w:t>
      </w:r>
      <w:r w:rsidRPr="000964D1">
        <w:rPr>
          <w:rFonts w:ascii="Arial" w:hAnsi="Arial"/>
          <w:b/>
          <w:bCs/>
          <w:rtl/>
        </w:rPr>
        <w:t xml:space="preserve"> </w:t>
      </w:r>
      <w:r w:rsidRPr="000964D1">
        <w:rPr>
          <w:rFonts w:ascii="Arial" w:hAnsi="Arial" w:hint="eastAsia"/>
          <w:b/>
          <w:bCs/>
          <w:rtl/>
        </w:rPr>
        <w:t>של</w:t>
      </w:r>
      <w:r w:rsidRPr="000964D1">
        <w:rPr>
          <w:rFonts w:ascii="Arial" w:hAnsi="Arial"/>
          <w:b/>
          <w:bCs/>
          <w:rtl/>
        </w:rPr>
        <w:t xml:space="preserve"> </w:t>
      </w:r>
      <w:r w:rsidRPr="000964D1">
        <w:rPr>
          <w:rFonts w:ascii="Arial" w:hAnsi="Arial" w:hint="eastAsia"/>
          <w:b/>
          <w:bCs/>
          <w:rtl/>
        </w:rPr>
        <w:t>תהליך</w:t>
      </w:r>
      <w:r w:rsidRPr="000964D1">
        <w:rPr>
          <w:rFonts w:ascii="Arial" w:hAnsi="Arial"/>
          <w:b/>
          <w:bCs/>
          <w:rtl/>
        </w:rPr>
        <w:t xml:space="preserve"> </w:t>
      </w:r>
      <w:r w:rsidRPr="000964D1">
        <w:rPr>
          <w:rFonts w:ascii="Arial" w:hAnsi="Arial" w:hint="eastAsia"/>
          <w:b/>
          <w:bCs/>
          <w:rtl/>
        </w:rPr>
        <w:t>שיקומי</w:t>
      </w:r>
      <w:r w:rsidRPr="000964D1">
        <w:rPr>
          <w:rFonts w:ascii="Arial" w:hAnsi="Arial"/>
          <w:b/>
          <w:bCs/>
          <w:rtl/>
        </w:rPr>
        <w:t>-</w:t>
      </w:r>
      <w:r w:rsidRPr="000964D1">
        <w:rPr>
          <w:rFonts w:ascii="Arial" w:hAnsi="Arial" w:hint="eastAsia"/>
          <w:b/>
          <w:bCs/>
          <w:rtl/>
        </w:rPr>
        <w:t>טיפולי</w:t>
      </w:r>
      <w:r w:rsidRPr="000964D1">
        <w:rPr>
          <w:rFonts w:ascii="Arial" w:hAnsi="Arial"/>
          <w:b/>
          <w:bCs/>
          <w:rtl/>
        </w:rPr>
        <w:t xml:space="preserve"> </w:t>
      </w:r>
      <w:r w:rsidRPr="000964D1">
        <w:rPr>
          <w:rFonts w:ascii="Arial" w:hAnsi="Arial" w:hint="eastAsia"/>
          <w:b/>
          <w:bCs/>
          <w:rtl/>
        </w:rPr>
        <w:t>מוצלח</w:t>
      </w:r>
      <w:r w:rsidRPr="000964D1">
        <w:rPr>
          <w:rFonts w:ascii="Arial" w:hAnsi="Arial"/>
          <w:b/>
          <w:bCs/>
          <w:rtl/>
        </w:rPr>
        <w:t xml:space="preserve"> וחזרה לדרך הישר, עשוי להצביע על "סיכוי של ממש לשיקום"</w:t>
      </w:r>
      <w:r>
        <w:rPr>
          <w:rFonts w:ascii="Arial" w:hAnsi="Arial" w:hint="cs"/>
          <w:b/>
          <w:bCs/>
          <w:rtl/>
        </w:rPr>
        <w:t xml:space="preserve"> כלשונו של סעיף 40ד(א)" </w:t>
      </w:r>
      <w:r w:rsidRPr="00F02602">
        <w:rPr>
          <w:rFonts w:ascii="Arial" w:hAnsi="Arial" w:hint="cs"/>
          <w:rtl/>
        </w:rPr>
        <w:t>(</w:t>
      </w:r>
      <w:r w:rsidRPr="000964D1">
        <w:rPr>
          <w:rFonts w:ascii="Arial" w:hAnsi="Arial" w:hint="cs"/>
          <w:rtl/>
        </w:rPr>
        <w:t>פסקאות 24-25 לפסק דינה של כב' השופטת ד' ברק-ארז</w:t>
      </w:r>
      <w:r>
        <w:rPr>
          <w:rFonts w:ascii="Arial" w:hAnsi="Arial" w:hint="cs"/>
          <w:rtl/>
        </w:rPr>
        <w:t>)</w:t>
      </w:r>
      <w:r w:rsidRPr="000964D1">
        <w:rPr>
          <w:rFonts w:ascii="Arial" w:hAnsi="Arial" w:hint="cs"/>
          <w:rtl/>
        </w:rPr>
        <w:t>.</w:t>
      </w:r>
    </w:p>
    <w:p w14:paraId="4FBBFC31" w14:textId="77777777" w:rsidR="00E17123" w:rsidRDefault="00E17123" w:rsidP="00E17123">
      <w:pPr>
        <w:spacing w:line="360" w:lineRule="auto"/>
        <w:ind w:left="652" w:hanging="709"/>
        <w:jc w:val="both"/>
        <w:rPr>
          <w:rFonts w:ascii="Arial" w:hAnsi="Arial"/>
          <w:rtl/>
        </w:rPr>
      </w:pPr>
    </w:p>
    <w:p w14:paraId="79C6D28B"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בענייננו כעולה מתסקיר שירות המבחן, לא ניתן לומר שיש שינוי </w:t>
      </w:r>
      <w:r w:rsidRPr="000964D1">
        <w:rPr>
          <w:rFonts w:ascii="Arial" w:hAnsi="Arial" w:hint="cs"/>
          <w:b/>
          <w:bCs/>
          <w:rtl/>
        </w:rPr>
        <w:t xml:space="preserve">מהותי </w:t>
      </w:r>
      <w:r>
        <w:rPr>
          <w:rFonts w:ascii="Arial" w:hAnsi="Arial" w:hint="cs"/>
          <w:rtl/>
        </w:rPr>
        <w:t xml:space="preserve">בהתייחסות הנאשם לאירוע העבירה, לרבות בעניין אופן נטילת האחריות, ויותר מכך, לא ניתן לומר שיש אינדקציות לקיומו של </w:t>
      </w:r>
      <w:r w:rsidRPr="000639B6">
        <w:rPr>
          <w:rFonts w:ascii="Arial" w:hAnsi="Arial" w:hint="cs"/>
          <w:b/>
          <w:bCs/>
          <w:rtl/>
        </w:rPr>
        <w:t>תהליך שיקומי-טיפולי מוצלח</w:t>
      </w:r>
      <w:r>
        <w:rPr>
          <w:rFonts w:ascii="Arial" w:hAnsi="Arial" w:hint="cs"/>
          <w:rtl/>
        </w:rPr>
        <w:t>. כאמור הנאשם עד עתה השתלב בקבוצה טיפולית אחת, במסגרת צו פיקוח מעצרים, והדיווחים מהשתלבותו לא היו חיוביים. כל שיש בידנו עתה, לאחר קבלת ההמלצה הראשונית של שירות המבחן להטיל על הנאשם ענישה מוחשית, זה רצון ראשוני של הנאשם להשתלב בעתיד בטיפול.</w:t>
      </w:r>
    </w:p>
    <w:p w14:paraId="5B880A2B"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לעניין דחיית העדפת מסלול שיקומי כאשר מדובר בהליך שיקום ראשוני ראו בין היתר </w:t>
      </w:r>
      <w:hyperlink r:id="rId44" w:history="1">
        <w:r w:rsidR="00FD7BFD" w:rsidRPr="00FD7BFD">
          <w:rPr>
            <w:rFonts w:ascii="Arial" w:hAnsi="Arial"/>
            <w:color w:val="0000FF"/>
            <w:u w:val="single"/>
            <w:rtl/>
          </w:rPr>
          <w:t xml:space="preserve">ע"פ 2933/14 </w:t>
        </w:r>
      </w:hyperlink>
      <w:r>
        <w:rPr>
          <w:rFonts w:ascii="Arial" w:hAnsi="Arial" w:hint="cs"/>
          <w:rtl/>
        </w:rPr>
        <w:t xml:space="preserve"> </w:t>
      </w:r>
      <w:r w:rsidRPr="0080617E">
        <w:rPr>
          <w:rFonts w:ascii="Arial" w:hAnsi="Arial" w:hint="cs"/>
          <w:b/>
          <w:bCs/>
          <w:rtl/>
        </w:rPr>
        <w:t>אהרון צדיק נ' מדינת ישראל</w:t>
      </w:r>
      <w:r>
        <w:rPr>
          <w:rFonts w:ascii="Arial" w:hAnsi="Arial" w:hint="cs"/>
          <w:rtl/>
        </w:rPr>
        <w:t xml:space="preserve"> (פורסם בנבו, 21.09.2019), פסקה 10; עניין </w:t>
      </w:r>
      <w:r w:rsidRPr="00186D9D">
        <w:rPr>
          <w:rFonts w:ascii="Arial" w:hAnsi="Arial" w:hint="cs"/>
          <w:b/>
          <w:bCs/>
          <w:rtl/>
        </w:rPr>
        <w:t xml:space="preserve">אזברגה </w:t>
      </w:r>
      <w:r>
        <w:rPr>
          <w:rFonts w:ascii="Arial" w:hAnsi="Arial" w:hint="cs"/>
          <w:rtl/>
        </w:rPr>
        <w:t>הנ"ל, פסקה 9.</w:t>
      </w:r>
    </w:p>
    <w:p w14:paraId="0CFAEE36" w14:textId="77777777" w:rsidR="00E17123" w:rsidRDefault="00E17123" w:rsidP="00E17123">
      <w:pPr>
        <w:spacing w:line="360" w:lineRule="auto"/>
        <w:ind w:left="652" w:hanging="709"/>
        <w:jc w:val="both"/>
        <w:rPr>
          <w:rFonts w:ascii="Arial" w:hAnsi="Arial"/>
          <w:rtl/>
        </w:rPr>
      </w:pPr>
    </w:p>
    <w:p w14:paraId="11915840" w14:textId="77777777" w:rsidR="00E17123" w:rsidRPr="006D5409" w:rsidRDefault="00E17123" w:rsidP="00E17123">
      <w:pPr>
        <w:spacing w:line="360" w:lineRule="auto"/>
        <w:ind w:left="652" w:hanging="709"/>
        <w:jc w:val="both"/>
        <w:rPr>
          <w:rFonts w:ascii="Arial" w:hAnsi="Arial"/>
          <w:rtl/>
        </w:rPr>
      </w:pPr>
      <w:r>
        <w:rPr>
          <w:rFonts w:ascii="Arial" w:hAnsi="Arial"/>
          <w:rtl/>
        </w:rPr>
        <w:tab/>
      </w:r>
      <w:r w:rsidRPr="006D5409">
        <w:rPr>
          <w:rFonts w:ascii="Arial" w:hAnsi="Arial" w:hint="cs"/>
          <w:rtl/>
        </w:rPr>
        <w:t xml:space="preserve">נוכח האמור לא התרשמתי שיש מקום לחרוג ממתחם העונש ההולם בעניינו של הנאשם. </w:t>
      </w:r>
    </w:p>
    <w:p w14:paraId="0FF33F6F" w14:textId="77777777" w:rsidR="00E17123" w:rsidRDefault="00E17123" w:rsidP="00E17123">
      <w:pPr>
        <w:spacing w:line="360" w:lineRule="auto"/>
        <w:ind w:left="652" w:hanging="709"/>
        <w:jc w:val="both"/>
        <w:rPr>
          <w:rFonts w:ascii="Arial" w:hAnsi="Arial"/>
          <w:rtl/>
        </w:rPr>
      </w:pPr>
      <w:r>
        <w:rPr>
          <w:rFonts w:ascii="Arial" w:hAnsi="Arial"/>
          <w:rtl/>
        </w:rPr>
        <w:tab/>
      </w:r>
    </w:p>
    <w:p w14:paraId="01D530F0" w14:textId="77777777" w:rsidR="00E17123" w:rsidRDefault="00E17123" w:rsidP="00E17123">
      <w:pPr>
        <w:spacing w:line="360" w:lineRule="auto"/>
        <w:ind w:left="652" w:hanging="709"/>
        <w:jc w:val="both"/>
        <w:rPr>
          <w:rFonts w:ascii="Arial" w:hAnsi="Arial"/>
          <w:rtl/>
        </w:rPr>
      </w:pPr>
      <w:r>
        <w:rPr>
          <w:rFonts w:ascii="Arial" w:hAnsi="Arial"/>
          <w:rtl/>
        </w:rPr>
        <w:tab/>
      </w:r>
    </w:p>
    <w:p w14:paraId="6AC30FB9"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לצד זאת, והגם שדחיתי המלצתו העונשית של שירות המבחן, סבורני כי אכן יש לתת משקל מסוים גם לשיקולי השיקום בעניינו של הנאשם וזאת נוכח גילו הצעיר, העדר עבר פלילי, החרטה שהביע ומאפייני אישיותו כמפורט בתסקיר. משקל זה יבוא לידי ביטוי בהעמדת עונשו של הנאשם בחלק התחתון של המתחם שנקבע, כאשר מובהר כי אלמלא מתן משקל זה לשיקומו של הנאשם עונשו צפוי היה להיות חמור יותר. </w:t>
      </w:r>
    </w:p>
    <w:p w14:paraId="583F1050" w14:textId="77777777" w:rsidR="00E17123" w:rsidRDefault="00E17123" w:rsidP="00E17123">
      <w:pPr>
        <w:spacing w:line="360" w:lineRule="auto"/>
        <w:ind w:left="652" w:hanging="709"/>
        <w:jc w:val="both"/>
        <w:rPr>
          <w:rFonts w:ascii="Arial" w:hAnsi="Arial"/>
          <w:rtl/>
        </w:rPr>
      </w:pPr>
      <w:r>
        <w:rPr>
          <w:rFonts w:ascii="Arial" w:hAnsi="Arial" w:hint="cs"/>
          <w:rtl/>
        </w:rPr>
        <w:tab/>
        <w:t>לעניין שימוש בשיקול השיקום בתוך מתחם העונש ההולם, להבדיל משימוש בשיקול זה לצורך חריגה ממתחם העונש ההולם, ראו בין היתר פסקאות 11-16 ב</w:t>
      </w:r>
      <w:hyperlink r:id="rId45" w:history="1">
        <w:r w:rsidR="00431D40" w:rsidRPr="00431D40">
          <w:rPr>
            <w:rFonts w:ascii="Arial" w:hAnsi="Arial"/>
            <w:color w:val="0000FF"/>
            <w:u w:val="single"/>
            <w:rtl/>
          </w:rPr>
          <w:t>ע"פ 5634/16</w:t>
        </w:r>
      </w:hyperlink>
      <w:r>
        <w:rPr>
          <w:rFonts w:ascii="Arial" w:hAnsi="Arial" w:hint="cs"/>
          <w:rtl/>
        </w:rPr>
        <w:t xml:space="preserve"> </w:t>
      </w:r>
      <w:r>
        <w:rPr>
          <w:rFonts w:ascii="Arial" w:hAnsi="Arial" w:hint="cs"/>
          <w:b/>
          <w:bCs/>
          <w:rtl/>
        </w:rPr>
        <w:t xml:space="preserve">דוד אור שחר נ' מדינת ישראל </w:t>
      </w:r>
      <w:r>
        <w:rPr>
          <w:rFonts w:ascii="Arial" w:hAnsi="Arial" w:hint="cs"/>
          <w:rtl/>
        </w:rPr>
        <w:t xml:space="preserve">(פורסם בנבו, 27.10.2016); </w:t>
      </w:r>
      <w:hyperlink r:id="rId46" w:history="1">
        <w:r w:rsidR="00431D40" w:rsidRPr="00431D40">
          <w:rPr>
            <w:rFonts w:ascii="Arial" w:hAnsi="Arial"/>
            <w:color w:val="0000FF"/>
            <w:u w:val="single"/>
            <w:rtl/>
          </w:rPr>
          <w:t>ע"פ (מחוזי-נצרת) 17061-12-17</w:t>
        </w:r>
      </w:hyperlink>
      <w:r>
        <w:rPr>
          <w:rFonts w:ascii="Arial" w:hAnsi="Arial" w:hint="cs"/>
          <w:rtl/>
        </w:rPr>
        <w:t xml:space="preserve"> מדינת ישראל נ' אזולאי (פורסם בנבו, 26.10.2017), פסקאות 41 ו-42.</w:t>
      </w:r>
    </w:p>
    <w:p w14:paraId="0661B152" w14:textId="77777777" w:rsidR="00E17123" w:rsidRDefault="00E17123" w:rsidP="00E17123">
      <w:pPr>
        <w:spacing w:line="360" w:lineRule="auto"/>
        <w:ind w:left="652" w:hanging="709"/>
        <w:jc w:val="both"/>
        <w:rPr>
          <w:rFonts w:ascii="Arial" w:hAnsi="Arial"/>
          <w:rtl/>
        </w:rPr>
      </w:pPr>
    </w:p>
    <w:p w14:paraId="6CDC4B9C" w14:textId="77777777" w:rsidR="00E17123" w:rsidRPr="00B91700" w:rsidRDefault="00E17123" w:rsidP="00E17123">
      <w:pPr>
        <w:spacing w:line="360" w:lineRule="auto"/>
        <w:ind w:left="652" w:hanging="709"/>
        <w:jc w:val="both"/>
        <w:rPr>
          <w:rFonts w:ascii="Arial" w:hAnsi="Arial"/>
          <w:b/>
          <w:bCs/>
          <w:u w:val="single"/>
          <w:rtl/>
        </w:rPr>
      </w:pPr>
      <w:r>
        <w:rPr>
          <w:rFonts w:ascii="Arial" w:hAnsi="Arial"/>
          <w:rtl/>
        </w:rPr>
        <w:tab/>
      </w:r>
      <w:r w:rsidRPr="00B91700">
        <w:rPr>
          <w:rFonts w:ascii="Arial" w:hAnsi="Arial" w:hint="cs"/>
          <w:b/>
          <w:bCs/>
          <w:u w:val="single"/>
          <w:rtl/>
        </w:rPr>
        <w:t>עקרון האחידות בענישה</w:t>
      </w:r>
    </w:p>
    <w:p w14:paraId="5A4DA20C" w14:textId="77777777" w:rsidR="00E17123" w:rsidRDefault="00E17123" w:rsidP="00E17123">
      <w:pPr>
        <w:spacing w:line="360" w:lineRule="auto"/>
        <w:ind w:left="652" w:hanging="709"/>
        <w:jc w:val="both"/>
        <w:rPr>
          <w:rFonts w:ascii="Arial" w:hAnsi="Arial"/>
          <w:rtl/>
        </w:rPr>
      </w:pPr>
      <w:r>
        <w:rPr>
          <w:rFonts w:ascii="Arial" w:hAnsi="Arial" w:hint="cs"/>
          <w:rtl/>
        </w:rPr>
        <w:t>16.</w:t>
      </w:r>
      <w:r>
        <w:rPr>
          <w:rFonts w:ascii="Arial" w:hAnsi="Arial" w:hint="cs"/>
          <w:rtl/>
        </w:rPr>
        <w:tab/>
        <w:t>ב"כ הנאשם הפנתה לעקרון האחידות בענישה ולעונשים שהושתו על השותפים וטענה כי נוכח העובדה שהנאשם לא היה מעורב בליבת המעשים ובקשר עם הסוכן יש להשית עליו עונש נמוך יותר מהשותפים שמעורבתם הייתה גבוהה מזו של הנאשם.</w:t>
      </w:r>
    </w:p>
    <w:p w14:paraId="6F4E824B" w14:textId="77777777" w:rsidR="00E17123" w:rsidRDefault="00E17123" w:rsidP="00E17123">
      <w:pPr>
        <w:spacing w:line="360" w:lineRule="auto"/>
        <w:ind w:left="652" w:hanging="709"/>
        <w:jc w:val="both"/>
        <w:rPr>
          <w:rFonts w:ascii="Arial" w:hAnsi="Arial"/>
          <w:rtl/>
        </w:rPr>
      </w:pPr>
      <w:r>
        <w:rPr>
          <w:rFonts w:ascii="Arial" w:hAnsi="Arial" w:hint="cs"/>
          <w:rtl/>
        </w:rPr>
        <w:t xml:space="preserve"> </w:t>
      </w:r>
    </w:p>
    <w:p w14:paraId="31E97294"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סבורני כי ככלל דינה של טענה זו להידחות.</w:t>
      </w:r>
    </w:p>
    <w:p w14:paraId="63DD7101"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בענייננו, כאמור בטיעוני המאשימה, הורשע ואיל בעבירה של מתן אמצעים לפשע ונדון על-פי הסדר "סגור" ל-9 חודשי מאסר לריצוי בעבודות שירות; יחיא  הורשע בעבירה של קשירת קשר לביצוע פשע ונידון </w:t>
      </w:r>
      <w:r w:rsidRPr="00AF77D6">
        <w:rPr>
          <w:rFonts w:ascii="Arial" w:hAnsi="Arial" w:hint="cs"/>
          <w:rtl/>
        </w:rPr>
        <w:t>על-פי הסדר "סגור"</w:t>
      </w:r>
      <w:r>
        <w:rPr>
          <w:rFonts w:ascii="Arial" w:hAnsi="Arial" w:hint="cs"/>
          <w:rtl/>
        </w:rPr>
        <w:t xml:space="preserve"> ל- 17 חודשי מאסר ואילו בעניינו של אדיב הגיעו הצדדים להסדר טיעון לפי המאשימה תטען לעונש הולם של 18 חודשי מאסר. יצוין כי לא נמסר לבית המשפט באילו עבירות הורשע אדיב.</w:t>
      </w:r>
    </w:p>
    <w:p w14:paraId="41451A04"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מן האמור עולה כי ואיל ויחיא הורשעו בעבירות קלות באופן משמעותי מהעבירות בהן הורשע הנאשם.</w:t>
      </w:r>
    </w:p>
    <w:p w14:paraId="1303DF73" w14:textId="77777777" w:rsidR="00E17123" w:rsidRDefault="00E17123" w:rsidP="00E17123">
      <w:pPr>
        <w:spacing w:line="360" w:lineRule="auto"/>
        <w:ind w:left="652" w:hanging="709"/>
        <w:jc w:val="both"/>
        <w:rPr>
          <w:rFonts w:ascii="Arial" w:hAnsi="Arial"/>
          <w:rtl/>
        </w:rPr>
      </w:pPr>
    </w:p>
    <w:p w14:paraId="16A00A02" w14:textId="77777777" w:rsidR="00E17123" w:rsidRPr="00D868DB" w:rsidRDefault="00E17123" w:rsidP="00E17123">
      <w:pPr>
        <w:spacing w:line="360" w:lineRule="auto"/>
        <w:ind w:left="652" w:hanging="709"/>
        <w:jc w:val="both"/>
        <w:rPr>
          <w:rFonts w:ascii="Arial" w:hAnsi="Arial"/>
          <w:rtl/>
        </w:rPr>
      </w:pPr>
      <w:r>
        <w:rPr>
          <w:rFonts w:ascii="Arial" w:hAnsi="Arial"/>
          <w:rtl/>
        </w:rPr>
        <w:tab/>
      </w:r>
      <w:r w:rsidRPr="00D868DB">
        <w:rPr>
          <w:rFonts w:ascii="Arial" w:hAnsi="Arial" w:hint="cs"/>
          <w:rtl/>
        </w:rPr>
        <w:t>ב</w:t>
      </w:r>
      <w:hyperlink r:id="rId47" w:history="1">
        <w:r w:rsidR="00431D40" w:rsidRPr="00431D40">
          <w:rPr>
            <w:rFonts w:ascii="Arial" w:hAnsi="Arial"/>
            <w:color w:val="0000FF"/>
            <w:u w:val="single"/>
            <w:rtl/>
          </w:rPr>
          <w:t>ע"פ 9545/09</w:t>
        </w:r>
      </w:hyperlink>
      <w:r w:rsidRPr="00D868DB">
        <w:rPr>
          <w:rFonts w:ascii="Arial" w:hAnsi="Arial" w:hint="cs"/>
          <w:rtl/>
        </w:rPr>
        <w:t xml:space="preserve"> </w:t>
      </w:r>
      <w:r w:rsidRPr="00D868DB">
        <w:rPr>
          <w:rFonts w:ascii="Arial" w:hAnsi="Arial" w:hint="cs"/>
          <w:b/>
          <w:bCs/>
          <w:rtl/>
        </w:rPr>
        <w:t>אלדין נ' מדינת ישראל</w:t>
      </w:r>
      <w:r w:rsidRPr="00D868DB">
        <w:rPr>
          <w:rFonts w:ascii="Arial" w:hAnsi="Arial" w:hint="cs"/>
          <w:rtl/>
        </w:rPr>
        <w:t xml:space="preserve"> (פורסם בנבו, 24.03.2010) נקבע כי עקרון אחידות </w:t>
      </w:r>
      <w:r w:rsidRPr="00D868DB">
        <w:rPr>
          <w:rFonts w:ascii="Arial" w:hAnsi="Arial" w:hint="cs"/>
          <w:rtl/>
        </w:rPr>
        <w:tab/>
        <w:t>הענישה מתייחס לשוויון בין נאשמים שאופי העבירות והנסיבות האישיות שלהם דומים:</w:t>
      </w:r>
    </w:p>
    <w:p w14:paraId="14ACB04B" w14:textId="77777777" w:rsidR="00E17123" w:rsidRPr="00D868DB" w:rsidRDefault="00E17123" w:rsidP="00E17123">
      <w:pPr>
        <w:spacing w:line="360" w:lineRule="auto"/>
        <w:ind w:left="1503" w:right="567"/>
        <w:jc w:val="both"/>
        <w:rPr>
          <w:rFonts w:ascii="Arial" w:hAnsi="Arial"/>
          <w:rtl/>
        </w:rPr>
      </w:pPr>
      <w:r w:rsidRPr="00D868DB">
        <w:rPr>
          <w:rFonts w:ascii="Arial" w:hAnsi="Arial" w:hint="cs"/>
          <w:rtl/>
        </w:rPr>
        <w:t>"</w:t>
      </w:r>
      <w:r w:rsidRPr="00D868DB">
        <w:rPr>
          <w:rFonts w:ascii="Arial" w:hAnsi="Arial" w:hint="cs"/>
          <w:b/>
          <w:bCs/>
          <w:rtl/>
        </w:rPr>
        <w:t xml:space="preserve">עקרון חשוב – אך לא יחיד – </w:t>
      </w:r>
      <w:r w:rsidR="00431D40">
        <w:rPr>
          <w:rFonts w:ascii="Arial" w:hAnsi="Arial" w:hint="cs"/>
          <w:b/>
          <w:bCs/>
          <w:rtl/>
        </w:rPr>
        <w:t xml:space="preserve">  </w:t>
      </w:r>
      <w:r w:rsidRPr="00D868DB">
        <w:rPr>
          <w:rFonts w:ascii="Arial" w:hAnsi="Arial" w:hint="cs"/>
          <w:b/>
          <w:bCs/>
          <w:rtl/>
        </w:rPr>
        <w:t xml:space="preserve">שעלינו לקחת בחשבון הינו עקרון אחידות הענישה. עקרון זה נגזר מעקרון שיוויון הנאשמים בפני החוק, ומורה כי </w:t>
      </w:r>
      <w:r w:rsidRPr="00D868DB">
        <w:rPr>
          <w:rFonts w:ascii="Arial" w:hAnsi="Arial" w:hint="cs"/>
          <w:b/>
          <w:bCs/>
          <w:u w:val="single"/>
          <w:rtl/>
        </w:rPr>
        <w:t>על מצבים דומים מבחינת אופי העבירות</w:t>
      </w:r>
      <w:r w:rsidRPr="00D868DB">
        <w:rPr>
          <w:rFonts w:ascii="Arial" w:hAnsi="Arial" w:hint="cs"/>
          <w:b/>
          <w:bCs/>
          <w:rtl/>
        </w:rPr>
        <w:t xml:space="preserve"> והנסיבות האישיות של הנאשמים ראוי להחיל, במידת האפשר, שיקולי ענישה דומים... משמעות הכלל היא שמקום בו מורשעים מספר נאשמים באותה פרשה, </w:t>
      </w:r>
      <w:r w:rsidRPr="00D868DB">
        <w:rPr>
          <w:rFonts w:ascii="Arial" w:hAnsi="Arial" w:hint="cs"/>
          <w:b/>
          <w:bCs/>
          <w:u w:val="single"/>
          <w:rtl/>
        </w:rPr>
        <w:t>ומעשיהם דומים</w:t>
      </w:r>
      <w:r w:rsidRPr="00D868DB">
        <w:rPr>
          <w:rFonts w:ascii="Arial" w:hAnsi="Arial" w:hint="cs"/>
          <w:b/>
          <w:bCs/>
          <w:rtl/>
        </w:rPr>
        <w:t xml:space="preserve">, אחריותם המשותפת תבוא בעיקרון לידי ביטוי בעונש דומה שיוטל </w:t>
      </w:r>
      <w:r w:rsidRPr="006D5409">
        <w:rPr>
          <w:rFonts w:ascii="Arial" w:hAnsi="Arial" w:hint="cs"/>
          <w:b/>
          <w:bCs/>
          <w:rtl/>
        </w:rPr>
        <w:t>עליהם</w:t>
      </w:r>
      <w:r w:rsidR="00431D40">
        <w:rPr>
          <w:rFonts w:ascii="Arial" w:hAnsi="Arial" w:hint="cs"/>
          <w:b/>
          <w:bCs/>
          <w:rtl/>
        </w:rPr>
        <w:t xml:space="preserve"> </w:t>
      </w:r>
      <w:r w:rsidRPr="006D5409">
        <w:rPr>
          <w:rFonts w:ascii="Arial" w:hAnsi="Arial" w:hint="cs"/>
          <w:b/>
          <w:bCs/>
          <w:rtl/>
        </w:rPr>
        <w:t>(</w:t>
      </w:r>
      <w:hyperlink r:id="rId48" w:history="1">
        <w:r w:rsidR="00431D40" w:rsidRPr="00431D40">
          <w:rPr>
            <w:rFonts w:ascii="Arial" w:hAnsi="Arial"/>
            <w:b/>
            <w:bCs/>
            <w:color w:val="0000FF"/>
            <w:u w:val="single"/>
            <w:rtl/>
          </w:rPr>
          <w:t>ע"פ 9937/01 חורב נ' מדינת ישראל, פ"ד נח</w:t>
        </w:r>
      </w:hyperlink>
      <w:r w:rsidRPr="006D5409">
        <w:rPr>
          <w:rFonts w:ascii="Arial" w:hAnsi="Arial"/>
          <w:b/>
          <w:bCs/>
          <w:rtl/>
        </w:rPr>
        <w:t xml:space="preserve"> </w:t>
      </w:r>
      <w:r w:rsidRPr="006D5409">
        <w:rPr>
          <w:rFonts w:ascii="Arial" w:hAnsi="Arial" w:hint="cs"/>
          <w:b/>
          <w:bCs/>
          <w:rtl/>
        </w:rPr>
        <w:t>(6), 738, 752 (2004))"</w:t>
      </w:r>
      <w:r w:rsidRPr="00D868DB">
        <w:rPr>
          <w:rFonts w:ascii="Arial" w:hAnsi="Arial" w:hint="cs"/>
          <w:b/>
          <w:bCs/>
          <w:rtl/>
        </w:rPr>
        <w:t xml:space="preserve"> </w:t>
      </w:r>
      <w:r w:rsidRPr="00D868DB">
        <w:rPr>
          <w:rFonts w:ascii="Arial" w:hAnsi="Arial" w:hint="cs"/>
          <w:rtl/>
        </w:rPr>
        <w:t xml:space="preserve">(דגש לא במקור י' ל'). </w:t>
      </w:r>
    </w:p>
    <w:p w14:paraId="3FF3DE40" w14:textId="77777777" w:rsidR="00E17123" w:rsidRDefault="00E17123" w:rsidP="00E17123">
      <w:pPr>
        <w:spacing w:line="360" w:lineRule="auto"/>
        <w:ind w:left="652" w:hanging="709"/>
        <w:jc w:val="both"/>
        <w:rPr>
          <w:color w:val="000000"/>
          <w:rtl/>
        </w:rPr>
      </w:pPr>
      <w:r>
        <w:rPr>
          <w:rFonts w:hint="cs"/>
          <w:color w:val="000000"/>
          <w:rtl/>
        </w:rPr>
        <w:t xml:space="preserve"> </w:t>
      </w:r>
    </w:p>
    <w:p w14:paraId="09A20F26" w14:textId="77777777" w:rsidR="00E17123" w:rsidRDefault="00E17123" w:rsidP="00E17123">
      <w:pPr>
        <w:spacing w:line="360" w:lineRule="auto"/>
        <w:ind w:left="652" w:hanging="709"/>
        <w:jc w:val="both"/>
        <w:rPr>
          <w:rFonts w:ascii="Arial" w:hAnsi="Arial"/>
          <w:rtl/>
        </w:rPr>
      </w:pPr>
      <w:r>
        <w:rPr>
          <w:color w:val="000000"/>
          <w:rtl/>
        </w:rPr>
        <w:tab/>
      </w:r>
      <w:r w:rsidRPr="00225025">
        <w:rPr>
          <w:rFonts w:ascii="Arial" w:hAnsi="Arial" w:hint="cs"/>
          <w:rtl/>
        </w:rPr>
        <w:t>אכן,</w:t>
      </w:r>
      <w:r>
        <w:rPr>
          <w:rFonts w:ascii="Arial" w:hAnsi="Arial" w:hint="cs"/>
          <w:rtl/>
        </w:rPr>
        <w:t xml:space="preserve"> לא ניתן להתעלם מכך שהנאשם הצטרף</w:t>
      </w:r>
      <w:r w:rsidRPr="00225025">
        <w:rPr>
          <w:rFonts w:ascii="Arial" w:hAnsi="Arial" w:hint="cs"/>
          <w:rtl/>
        </w:rPr>
        <w:t xml:space="preserve"> לעסקת </w:t>
      </w:r>
      <w:r>
        <w:rPr>
          <w:rFonts w:ascii="Arial" w:hAnsi="Arial" w:hint="cs"/>
          <w:rtl/>
        </w:rPr>
        <w:t>הנשק רק בשלב מאוחר,</w:t>
      </w:r>
      <w:r w:rsidRPr="00225025">
        <w:rPr>
          <w:rFonts w:ascii="Arial" w:hAnsi="Arial" w:hint="cs"/>
          <w:rtl/>
        </w:rPr>
        <w:t xml:space="preserve"> וזאת לאחר ש</w:t>
      </w:r>
      <w:r>
        <w:rPr>
          <w:rFonts w:ascii="Arial" w:hAnsi="Arial" w:hint="cs"/>
          <w:rtl/>
        </w:rPr>
        <w:t>יחיא</w:t>
      </w:r>
      <w:r w:rsidRPr="00225025">
        <w:rPr>
          <w:rFonts w:ascii="Arial" w:hAnsi="Arial" w:hint="cs"/>
          <w:rtl/>
        </w:rPr>
        <w:t xml:space="preserve"> שהיה אמור לספק את הנשק לא סיפק אותו </w:t>
      </w:r>
      <w:r>
        <w:rPr>
          <w:rFonts w:ascii="Arial" w:hAnsi="Arial" w:hint="cs"/>
          <w:rtl/>
        </w:rPr>
        <w:t>ואף לא מכך שלנאשם</w:t>
      </w:r>
      <w:r w:rsidRPr="00225025">
        <w:rPr>
          <w:rFonts w:ascii="Arial" w:hAnsi="Arial" w:hint="cs"/>
          <w:rtl/>
        </w:rPr>
        <w:t xml:space="preserve"> </w:t>
      </w:r>
      <w:r>
        <w:rPr>
          <w:rFonts w:ascii="Arial" w:hAnsi="Arial" w:hint="cs"/>
          <w:rtl/>
        </w:rPr>
        <w:t>לא היה קשר</w:t>
      </w:r>
      <w:r w:rsidRPr="00225025">
        <w:rPr>
          <w:rFonts w:ascii="Arial" w:hAnsi="Arial" w:hint="cs"/>
          <w:rtl/>
        </w:rPr>
        <w:t xml:space="preserve"> ע</w:t>
      </w:r>
      <w:r>
        <w:rPr>
          <w:rFonts w:ascii="Arial" w:hAnsi="Arial" w:hint="cs"/>
          <w:rtl/>
        </w:rPr>
        <w:t>ם הסוכן ולא היווה יעד מודיעיני (על- פי טענת ב"כ הנאשם שלא נסתרה על- ידי ב"כ המאשימה בדיון), ואולם אין בנתונים אלה כדי לעמוד בסתירה למה שיוחס לנאשם במישור העובדתי בכתב האישום ואף לא לעבירות שיוחסו לו. כזכור, הנאשם</w:t>
      </w:r>
      <w:r>
        <w:rPr>
          <w:rFonts w:ascii="Arial" w:hAnsi="Arial" w:hint="cs"/>
        </w:rPr>
        <w:t xml:space="preserve"> </w:t>
      </w:r>
      <w:r>
        <w:rPr>
          <w:rFonts w:ascii="Arial" w:hAnsi="Arial" w:hint="cs"/>
          <w:rtl/>
        </w:rPr>
        <w:t xml:space="preserve">הוא זה שהחזיק בתת המקלע, הוא זה שהוביל אותו למקום המפגש על מנת להשלים את העסקה והכל, לדבריו (בפני שירות המבחן); על מנת להפיק מהעסקה רווח כלכלי מהיר. </w:t>
      </w:r>
      <w:r w:rsidRPr="00225025">
        <w:rPr>
          <w:rFonts w:ascii="Arial" w:hAnsi="Arial" w:hint="cs"/>
          <w:rtl/>
        </w:rPr>
        <w:t xml:space="preserve"> </w:t>
      </w:r>
    </w:p>
    <w:p w14:paraId="292BECBD"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יודגש, כעולה מעובדה 20 לכתב האישום המתוקן, שהנאשם הוביל את הנשק למקום המפגש כשהוא מודע ומסכים לכך שהנשק ימכר לאדם אחר. </w:t>
      </w:r>
    </w:p>
    <w:p w14:paraId="1525D086"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הנאשם כאמור לא הורשע בעבירה של סחר בנשק ואף לא בעבירה של ניסיון לסחור בנשק או בסיוע לסחר בנשק. הנאשם הורשע בעבירות המשקפות את מעשיו.</w:t>
      </w:r>
    </w:p>
    <w:p w14:paraId="66BD718E"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העונשים שהוטלו על המעורבים האחרים ו</w:t>
      </w:r>
      <w:r w:rsidRPr="00F40BE8">
        <w:rPr>
          <w:rFonts w:ascii="Arial" w:hAnsi="Arial" w:hint="cs"/>
          <w:rtl/>
        </w:rPr>
        <w:t>העבירות</w:t>
      </w:r>
      <w:r>
        <w:rPr>
          <w:rFonts w:ascii="Arial" w:hAnsi="Arial" w:hint="cs"/>
          <w:rtl/>
        </w:rPr>
        <w:t xml:space="preserve"> השונות שיוחסו להם גובשו לאחר משא ומתן</w:t>
      </w:r>
      <w:r w:rsidRPr="00F40BE8">
        <w:rPr>
          <w:rFonts w:ascii="Arial" w:hAnsi="Arial" w:hint="cs"/>
          <w:rtl/>
        </w:rPr>
        <w:t xml:space="preserve"> בין הצדדים </w:t>
      </w:r>
      <w:r>
        <w:rPr>
          <w:rFonts w:ascii="Arial" w:hAnsi="Arial" w:hint="cs"/>
          <w:rtl/>
        </w:rPr>
        <w:t>ו</w:t>
      </w:r>
      <w:r w:rsidRPr="00F40BE8">
        <w:rPr>
          <w:rFonts w:ascii="Arial" w:hAnsi="Arial" w:hint="cs"/>
          <w:rtl/>
        </w:rPr>
        <w:t xml:space="preserve">הן תוצאה של המערכת הראייתית לרבות הקשיים הראייתיים שהיו קיימים ביחס לכל אחד מן המעורבים וכוח המיקוח של כל מעורב ומעורב במשא ומתן כנגזר מכך. </w:t>
      </w:r>
      <w:r>
        <w:rPr>
          <w:rFonts w:ascii="Arial" w:hAnsi="Arial" w:hint="cs"/>
          <w:rtl/>
        </w:rPr>
        <w:t xml:space="preserve">דברים אלו אף נלמדים מהצהרת ב"כ המאשימה בדיון הטיעונים לעונש שהתנהל לפני. ב"כ הנאשם לא הציגה כל ראיה שיש בה לסתור הצהרה זו של ב"כ המאשימה ומכאן שחזקת תקינות המנהל ממנה זכאית המאשימה להנות לא נסתרה. </w:t>
      </w:r>
    </w:p>
    <w:p w14:paraId="0CBA3C5D" w14:textId="77777777" w:rsidR="00E17123" w:rsidRDefault="00E17123" w:rsidP="00E17123">
      <w:pPr>
        <w:spacing w:line="360" w:lineRule="auto"/>
        <w:ind w:left="652" w:hanging="709"/>
        <w:jc w:val="both"/>
        <w:rPr>
          <w:rFonts w:ascii="Arial" w:hAnsi="Arial"/>
          <w:rtl/>
        </w:rPr>
      </w:pPr>
    </w:p>
    <w:p w14:paraId="5FAA8537"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לא זו אף זו. העונשים שהוטלו על יחיא וואיל הם כאמור עונשים שניתנו במסגרת אימוץ הסדר טיעון "סגור", עונשים שמוטלים לאחר בחינת שיקולים שונים של בית המשפט ביחס לשיקולים הנשקלים בגזירת עונש שלא במסגרת הסדר טיעון "סגור".</w:t>
      </w:r>
    </w:p>
    <w:p w14:paraId="2BC5691F" w14:textId="77777777" w:rsidR="00E17123" w:rsidRPr="00F40BE8" w:rsidRDefault="00E17123" w:rsidP="00E17123">
      <w:pPr>
        <w:spacing w:line="360" w:lineRule="auto"/>
        <w:ind w:left="652" w:hanging="709"/>
        <w:jc w:val="both"/>
        <w:rPr>
          <w:rFonts w:ascii="Arial" w:hAnsi="Arial"/>
          <w:rtl/>
        </w:rPr>
      </w:pPr>
    </w:p>
    <w:p w14:paraId="4F5E9171" w14:textId="77777777" w:rsidR="00E17123" w:rsidRPr="00F40BE8" w:rsidRDefault="00E17123" w:rsidP="00E17123">
      <w:pPr>
        <w:spacing w:line="360" w:lineRule="auto"/>
        <w:ind w:left="652" w:hanging="709"/>
        <w:jc w:val="both"/>
        <w:rPr>
          <w:rFonts w:ascii="Arial" w:hAnsi="Arial"/>
          <w:rtl/>
        </w:rPr>
      </w:pPr>
      <w:r>
        <w:rPr>
          <w:rFonts w:ascii="Arial" w:hAnsi="Arial"/>
          <w:rtl/>
        </w:rPr>
        <w:tab/>
      </w:r>
      <w:r w:rsidRPr="00F40BE8">
        <w:rPr>
          <w:rFonts w:ascii="Arial" w:hAnsi="Arial" w:hint="cs"/>
          <w:rtl/>
        </w:rPr>
        <w:t xml:space="preserve">מעבר לכל האמור, הלכה פסוקה היא כי עקרון אחידות הענישה מכוון עצמו לא רק אל המעורבים הנוספים במסגרת אותה פרשה כי אם גם אל אלה שהורשעו בעבירות ומעשים דומים בפרשות ובתיקים אחרים, ואין הכרח להעדיף את השוויון ה"פנימי" בין הנאשמים באותה פרשה על-פני השוויון ה"חיצוני" בין נאשם בתיק מסוים לנאשם בתיק אחר שהורשע בעבירות ובנסיבות דומות. בעניין זה ראו למשל </w:t>
      </w:r>
      <w:hyperlink r:id="rId49" w:history="1">
        <w:r w:rsidR="00431D40" w:rsidRPr="00431D40">
          <w:rPr>
            <w:rFonts w:ascii="Arial" w:hAnsi="Arial"/>
            <w:color w:val="0000FF"/>
            <w:u w:val="single"/>
            <w:rtl/>
          </w:rPr>
          <w:t>ע"פ 6544/16</w:t>
        </w:r>
      </w:hyperlink>
      <w:r w:rsidRPr="00F40BE8">
        <w:rPr>
          <w:rFonts w:ascii="Arial" w:hAnsi="Arial" w:hint="cs"/>
          <w:rtl/>
        </w:rPr>
        <w:t xml:space="preserve"> </w:t>
      </w:r>
      <w:r w:rsidRPr="00F40BE8">
        <w:rPr>
          <w:rFonts w:ascii="Arial" w:hAnsi="Arial" w:hint="cs"/>
          <w:b/>
          <w:bCs/>
          <w:rtl/>
        </w:rPr>
        <w:t>ניסנצויג נ' מדינת ישראל</w:t>
      </w:r>
      <w:r w:rsidRPr="00F40BE8">
        <w:rPr>
          <w:rFonts w:ascii="Arial" w:hAnsi="Arial" w:hint="cs"/>
          <w:rtl/>
        </w:rPr>
        <w:t xml:space="preserve"> (פורסם בנבו, 21.02.2017) פסקה 9: </w:t>
      </w:r>
    </w:p>
    <w:p w14:paraId="79FE8B51" w14:textId="77777777" w:rsidR="00E17123" w:rsidRDefault="00E17123" w:rsidP="00E17123">
      <w:pPr>
        <w:spacing w:line="360" w:lineRule="auto"/>
        <w:ind w:left="1503" w:right="567"/>
        <w:jc w:val="both"/>
        <w:rPr>
          <w:rFonts w:ascii="Arial" w:hAnsi="Arial"/>
          <w:rtl/>
        </w:rPr>
      </w:pPr>
      <w:r w:rsidRPr="00F40BE8">
        <w:rPr>
          <w:rFonts w:ascii="Arial" w:hAnsi="Arial" w:hint="cs"/>
          <w:rtl/>
        </w:rPr>
        <w:t>"</w:t>
      </w:r>
      <w:r w:rsidRPr="00F40BE8">
        <w:rPr>
          <w:rFonts w:ascii="Arial" w:hAnsi="Arial" w:hint="cs"/>
          <w:b/>
          <w:bCs/>
          <w:rtl/>
        </w:rPr>
        <w:t>דא עקא, עקרון אחידות הענישה אינו מתמצה ביחסיהם של שני נאשמים באותה הפרשה; עיקרון זה מחייב גם את בחינת עניינו של נאשם ביחס לנאשמים אחרים בעבירות ובנסיבות דומות...לעתים מתעורר מתח בין שני פנים אלו. כך, כאשר על נאשם אחד הוטל עונש מקל יחסית, אולי מקל מדי, ועל נאשם אחר באותו אירוע הוטל עונש הולם וסביר...האם יש לבכר את השוויון שבין שני הנאשמים, אף שבכך יפגע השוויון שבין המערער לנאשמים דומים? אין, ולא ראוי שתהיה, תשובה חד-משמעית לשאלה הזו. בכל מקרה לגופו נדרש בית המשפט לאזן בין מתחים אלו, תוך שיש לזכור, ראשית, כי "עקרון אחידות הענישה אינו חזות הכל. 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p>
    <w:p w14:paraId="35339884" w14:textId="77777777" w:rsidR="00E17123" w:rsidRDefault="00E17123" w:rsidP="00E17123">
      <w:pPr>
        <w:spacing w:line="360" w:lineRule="auto"/>
        <w:ind w:left="652" w:hanging="709"/>
        <w:jc w:val="both"/>
        <w:rPr>
          <w:rFonts w:ascii="Arial" w:hAnsi="Arial"/>
          <w:rtl/>
        </w:rPr>
      </w:pPr>
      <w:r>
        <w:rPr>
          <w:rFonts w:ascii="Arial" w:hAnsi="Arial"/>
          <w:rtl/>
        </w:rPr>
        <w:tab/>
      </w:r>
    </w:p>
    <w:p w14:paraId="176EBD9F" w14:textId="77777777" w:rsidR="00E17123" w:rsidRDefault="00E17123" w:rsidP="00E17123">
      <w:pPr>
        <w:spacing w:line="360" w:lineRule="auto"/>
        <w:ind w:left="652"/>
        <w:jc w:val="both"/>
        <w:rPr>
          <w:rFonts w:ascii="Arial" w:hAnsi="Arial"/>
          <w:rtl/>
        </w:rPr>
      </w:pPr>
      <w:r>
        <w:rPr>
          <w:rFonts w:ascii="Arial" w:hAnsi="Arial" w:hint="cs"/>
          <w:rtl/>
        </w:rPr>
        <w:t>ולאחר שאמרנו את הדברים וחרף הקושי שתואר להלום את טענות ב"כ הנאשם בעניין זה,  יהא זה מן הצדק לתת משקל גם לעניין זה. תחושת הצדק בסיטואציה זו אינה נוחה וסבורני כי יש מקום להתחשב גם בכך במסגרת גזירת דינו של הנאשם, כאשר מובהר כי אלמלא מצב חריג זה שנוצר ביחס לפער הגדול שבין הנאשם לחלק מהמעורבים, עונשו של הנאשם היה חמור יותר.</w:t>
      </w:r>
    </w:p>
    <w:p w14:paraId="0E6D430C" w14:textId="77777777" w:rsidR="00E17123" w:rsidRPr="00225025" w:rsidRDefault="00E17123" w:rsidP="00E17123">
      <w:pPr>
        <w:spacing w:line="360" w:lineRule="auto"/>
        <w:ind w:left="652" w:hanging="709"/>
        <w:jc w:val="both"/>
        <w:rPr>
          <w:rFonts w:ascii="Arial" w:hAnsi="Arial"/>
          <w:rtl/>
        </w:rPr>
      </w:pPr>
      <w:r>
        <w:rPr>
          <w:rFonts w:ascii="Arial" w:hAnsi="Arial"/>
          <w:rtl/>
        </w:rPr>
        <w:tab/>
        <w:t xml:space="preserve">בעניין זה, של תחושת "חוסר נוחות" עקב פער שנוצר בענישה אף כאשר אין שוויון ממשי בין הנאשמים, ראו בין היתר </w:t>
      </w:r>
      <w:hyperlink r:id="rId50" w:history="1">
        <w:r w:rsidR="00431D40" w:rsidRPr="00431D40">
          <w:rPr>
            <w:rFonts w:ascii="Arial" w:hAnsi="Arial"/>
            <w:color w:val="0000FF"/>
            <w:u w:val="single"/>
            <w:rtl/>
          </w:rPr>
          <w:t>ע"פ 6080/16</w:t>
        </w:r>
      </w:hyperlink>
      <w:r>
        <w:rPr>
          <w:rFonts w:ascii="Arial" w:hAnsi="Arial"/>
          <w:rtl/>
        </w:rPr>
        <w:t xml:space="preserve"> </w:t>
      </w:r>
      <w:r>
        <w:rPr>
          <w:rFonts w:ascii="Arial" w:hAnsi="Arial"/>
          <w:b/>
          <w:bCs/>
          <w:rtl/>
        </w:rPr>
        <w:t>פלונים נ' מדינת ישראל</w:t>
      </w:r>
      <w:r>
        <w:rPr>
          <w:rFonts w:ascii="Arial" w:hAnsi="Arial"/>
          <w:rtl/>
        </w:rPr>
        <w:t xml:space="preserve"> (פורסם בנבו, 06.12.2016) פסקאות 18-20;</w:t>
      </w:r>
      <w:r>
        <w:rPr>
          <w:rFonts w:ascii="Arial" w:hAnsi="Arial" w:hint="cs"/>
          <w:rtl/>
        </w:rPr>
        <w:t xml:space="preserve"> </w:t>
      </w:r>
      <w:hyperlink r:id="rId51" w:history="1">
        <w:r w:rsidR="00431D40" w:rsidRPr="00431D40">
          <w:rPr>
            <w:rFonts w:ascii="Arial" w:hAnsi="Arial"/>
            <w:color w:val="0000FF"/>
            <w:u w:val="single"/>
            <w:rtl/>
          </w:rPr>
          <w:t>ע"פ 2447/13</w:t>
        </w:r>
      </w:hyperlink>
      <w:r>
        <w:rPr>
          <w:rFonts w:ascii="Arial" w:hAnsi="Arial"/>
          <w:rtl/>
        </w:rPr>
        <w:t xml:space="preserve"> </w:t>
      </w:r>
      <w:r>
        <w:rPr>
          <w:rFonts w:ascii="Arial" w:hAnsi="Arial"/>
          <w:b/>
          <w:bCs/>
          <w:rtl/>
        </w:rPr>
        <w:t>קליין נ' מדינת ישראל</w:t>
      </w:r>
      <w:r>
        <w:rPr>
          <w:rFonts w:ascii="Arial" w:hAnsi="Arial"/>
          <w:rtl/>
        </w:rPr>
        <w:t xml:space="preserve"> (פורסם בנבו, 08.04.2014) פסקה 20.</w:t>
      </w:r>
    </w:p>
    <w:p w14:paraId="10B1E560" w14:textId="77777777" w:rsidR="00E17123" w:rsidRDefault="00E17123" w:rsidP="00E17123">
      <w:pPr>
        <w:spacing w:line="360" w:lineRule="auto"/>
        <w:ind w:left="652" w:hanging="709"/>
        <w:jc w:val="both"/>
        <w:rPr>
          <w:rtl/>
        </w:rPr>
      </w:pPr>
    </w:p>
    <w:p w14:paraId="13B94854" w14:textId="77777777" w:rsidR="00E17123" w:rsidRDefault="00E17123" w:rsidP="00E17123">
      <w:pPr>
        <w:spacing w:line="360" w:lineRule="auto"/>
        <w:rPr>
          <w:rFonts w:ascii="David" w:hAnsi="David"/>
          <w:rtl/>
        </w:rPr>
      </w:pPr>
      <w:r>
        <w:rPr>
          <w:rFonts w:hint="cs"/>
          <w:rtl/>
        </w:rPr>
        <w:t>17.</w:t>
      </w:r>
      <w:r>
        <w:rPr>
          <w:rFonts w:hint="cs"/>
          <w:rtl/>
        </w:rPr>
        <w:tab/>
        <w:t>לאור כל האמור לעיל אני גוזר על הנאשם את העונשים הבאים:</w:t>
      </w:r>
    </w:p>
    <w:p w14:paraId="461877B0" w14:textId="77777777" w:rsidR="00E17123" w:rsidRDefault="00E17123" w:rsidP="00E17123">
      <w:pPr>
        <w:spacing w:line="360" w:lineRule="auto"/>
        <w:ind w:firstLine="720"/>
        <w:rPr>
          <w:noProof w:val="0"/>
          <w:rtl/>
        </w:rPr>
      </w:pPr>
      <w:r>
        <w:rPr>
          <w:rFonts w:hint="cs"/>
          <w:rtl/>
        </w:rPr>
        <w:t>א.</w:t>
      </w:r>
      <w:r>
        <w:rPr>
          <w:rFonts w:hint="cs"/>
          <w:rtl/>
        </w:rPr>
        <w:tab/>
        <w:t>18 חודשי מאסר בפועל בניכוי ימי המעצר.</w:t>
      </w:r>
    </w:p>
    <w:p w14:paraId="33B4651E" w14:textId="77777777" w:rsidR="00E17123" w:rsidRDefault="00E17123" w:rsidP="00E17123">
      <w:pPr>
        <w:spacing w:line="360" w:lineRule="auto"/>
        <w:ind w:left="1440" w:hanging="720"/>
      </w:pPr>
      <w:r>
        <w:rPr>
          <w:rFonts w:hint="cs"/>
          <w:rtl/>
        </w:rPr>
        <w:t>ב.</w:t>
      </w:r>
      <w:r>
        <w:rPr>
          <w:rFonts w:hint="cs"/>
          <w:rtl/>
        </w:rPr>
        <w:tab/>
        <w:t>12  חודשי מאסר על תנאי, לתקופה של 3 שנים מיום שחרור הנאשם ממאסרו, שהנאשם לא יעבור עבירת נשק.</w:t>
      </w:r>
    </w:p>
    <w:p w14:paraId="2A9802FF" w14:textId="77777777" w:rsidR="00E17123" w:rsidRDefault="00431D40" w:rsidP="00E17123">
      <w:pPr>
        <w:spacing w:line="360" w:lineRule="auto"/>
        <w:ind w:left="1440" w:hanging="720"/>
        <w:rPr>
          <w:rtl/>
        </w:rPr>
      </w:pPr>
      <w:r w:rsidRPr="00431D40">
        <w:rPr>
          <w:color w:val="FFFFFF"/>
          <w:sz w:val="2"/>
          <w:szCs w:val="2"/>
          <w:rtl/>
        </w:rPr>
        <w:t>5129371</w:t>
      </w:r>
      <w:r w:rsidR="00E17123">
        <w:rPr>
          <w:rFonts w:hint="cs"/>
          <w:rtl/>
        </w:rPr>
        <w:t>ג.</w:t>
      </w:r>
      <w:r w:rsidR="00E17123">
        <w:rPr>
          <w:rFonts w:hint="cs"/>
          <w:rtl/>
        </w:rPr>
        <w:tab/>
        <w:t>קנס בסך 7,500  ₪ או 60 ימי מאסר תמורתו. הקנס ישולם ב-3  שיעורים חודשיים שווים ורצופים, החל מיום 1.2.2021.</w:t>
      </w:r>
    </w:p>
    <w:p w14:paraId="24B7B4F9" w14:textId="77777777" w:rsidR="00E17123" w:rsidRPr="00431D40" w:rsidRDefault="00431D40" w:rsidP="00E17123">
      <w:pPr>
        <w:spacing w:line="360" w:lineRule="auto"/>
        <w:jc w:val="both"/>
        <w:rPr>
          <w:rFonts w:ascii="Arial" w:hAnsi="Arial"/>
          <w:b/>
          <w:bCs/>
          <w:noProof w:val="0"/>
          <w:color w:val="FFFFFF"/>
          <w:sz w:val="2"/>
          <w:szCs w:val="2"/>
          <w:rtl/>
        </w:rPr>
      </w:pPr>
      <w:r w:rsidRPr="00431D40">
        <w:rPr>
          <w:rFonts w:ascii="Arial" w:hAnsi="Arial"/>
          <w:b/>
          <w:bCs/>
          <w:noProof w:val="0"/>
          <w:color w:val="FFFFFF"/>
          <w:sz w:val="2"/>
          <w:szCs w:val="2"/>
          <w:rtl/>
        </w:rPr>
        <w:t>54678313</w:t>
      </w:r>
    </w:p>
    <w:p w14:paraId="36A6811C" w14:textId="77777777" w:rsidR="00E17123" w:rsidRPr="004966E2" w:rsidRDefault="00E17123" w:rsidP="00E17123">
      <w:pPr>
        <w:spacing w:line="360" w:lineRule="auto"/>
        <w:jc w:val="both"/>
        <w:rPr>
          <w:rFonts w:ascii="Arial" w:hAnsi="Arial"/>
          <w:b/>
          <w:bCs/>
          <w:noProof w:val="0"/>
          <w:rtl/>
        </w:rPr>
      </w:pPr>
      <w:r>
        <w:rPr>
          <w:rFonts w:ascii="Arial" w:hAnsi="Arial" w:hint="cs"/>
          <w:b/>
          <w:bCs/>
          <w:noProof w:val="0"/>
          <w:rtl/>
        </w:rPr>
        <w:t>זכות ערעור לבית המשפט העליון בתוך 45 יום.</w:t>
      </w:r>
    </w:p>
    <w:p w14:paraId="2CB3E20B" w14:textId="77777777" w:rsidR="00E17123" w:rsidRDefault="00431D40" w:rsidP="00E17123">
      <w:pPr>
        <w:tabs>
          <w:tab w:val="left" w:pos="2553"/>
        </w:tabs>
        <w:ind w:left="5040"/>
        <w:rPr>
          <w:rtl/>
        </w:rPr>
      </w:pPr>
      <w:bookmarkStart w:id="9" w:name="Nitan"/>
      <w:r>
        <w:rPr>
          <w:rFonts w:ascii="Arial" w:hAnsi="Arial"/>
          <w:noProof w:val="0"/>
          <w:rtl/>
        </w:rPr>
        <w:t xml:space="preserve">ניתן היום, כ"ז אלול תש"פ, 16/09/2020, במעמד הנוכחים. </w:t>
      </w:r>
      <w:bookmarkEnd w:id="9"/>
      <w:r w:rsidR="00E17123">
        <w:rPr>
          <w:rFonts w:hint="cs"/>
          <w:rtl/>
        </w:rPr>
        <w:t xml:space="preserve">     </w:t>
      </w:r>
    </w:p>
    <w:p w14:paraId="0BF395CB" w14:textId="77777777" w:rsidR="00E17123" w:rsidRDefault="00E17123" w:rsidP="00431D40">
      <w:pPr>
        <w:tabs>
          <w:tab w:val="left" w:pos="2553"/>
        </w:tabs>
      </w:pPr>
      <w:r>
        <w:rPr>
          <w:rFonts w:hint="cs"/>
          <w:rtl/>
        </w:rPr>
        <w:tab/>
      </w:r>
      <w:r>
        <w:rPr>
          <w:rFonts w:hint="cs"/>
          <w:rtl/>
        </w:rPr>
        <w:tab/>
      </w:r>
      <w:r>
        <w:rPr>
          <w:rFonts w:hint="cs"/>
          <w:rtl/>
        </w:rPr>
        <w:tab/>
        <w:t xml:space="preserve">        </w:t>
      </w:r>
    </w:p>
    <w:p w14:paraId="1AC63F66" w14:textId="77777777" w:rsidR="00E17123" w:rsidRPr="0060724D" w:rsidRDefault="0060724D" w:rsidP="00E17123">
      <w:pPr>
        <w:tabs>
          <w:tab w:val="left" w:pos="2553"/>
        </w:tabs>
        <w:rPr>
          <w:rFonts w:ascii="Arial" w:hAnsi="Arial"/>
          <w:noProof w:val="0"/>
          <w:color w:val="FFFFFF"/>
          <w:sz w:val="2"/>
          <w:szCs w:val="2"/>
          <w:rtl/>
        </w:rPr>
      </w:pPr>
      <w:r w:rsidRPr="0060724D">
        <w:rPr>
          <w:rFonts w:ascii="Arial" w:hAnsi="Arial"/>
          <w:noProof w:val="0"/>
          <w:color w:val="FFFFFF"/>
          <w:sz w:val="2"/>
          <w:szCs w:val="2"/>
          <w:rtl/>
        </w:rPr>
        <w:t>5129371</w:t>
      </w:r>
    </w:p>
    <w:p w14:paraId="427AFDCD" w14:textId="77777777" w:rsidR="00BE1168" w:rsidRPr="0060724D" w:rsidRDefault="0060724D" w:rsidP="00431D40">
      <w:pPr>
        <w:keepNext/>
        <w:rPr>
          <w:rFonts w:ascii="David" w:hAnsi="David" w:hint="cs"/>
          <w:color w:val="FFFFFF"/>
          <w:sz w:val="2"/>
          <w:szCs w:val="2"/>
          <w:rtl/>
        </w:rPr>
      </w:pPr>
      <w:r w:rsidRPr="0060724D">
        <w:rPr>
          <w:rFonts w:ascii="David" w:hAnsi="David"/>
          <w:color w:val="FFFFFF"/>
          <w:sz w:val="2"/>
          <w:szCs w:val="2"/>
          <w:rtl/>
        </w:rPr>
        <w:t>54678313</w:t>
      </w:r>
    </w:p>
    <w:p w14:paraId="036781D6" w14:textId="77777777" w:rsidR="00431D40" w:rsidRDefault="00431D40" w:rsidP="00431D40">
      <w:pPr>
        <w:rPr>
          <w:rtl/>
        </w:rPr>
      </w:pPr>
    </w:p>
    <w:p w14:paraId="34EC927C" w14:textId="77777777" w:rsidR="00431D40" w:rsidRDefault="00431D40" w:rsidP="00431D40">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2BC6B2C" w14:textId="77777777" w:rsidR="0060724D" w:rsidRPr="0060724D" w:rsidRDefault="0060724D" w:rsidP="0060724D">
      <w:pPr>
        <w:keepNext/>
        <w:rPr>
          <w:rFonts w:ascii="David" w:hAnsi="David" w:hint="cs"/>
          <w:color w:val="000000"/>
          <w:sz w:val="22"/>
          <w:szCs w:val="22"/>
          <w:rtl/>
        </w:rPr>
      </w:pPr>
    </w:p>
    <w:p w14:paraId="416865CE" w14:textId="77777777" w:rsidR="0060724D" w:rsidRPr="0060724D" w:rsidRDefault="0060724D" w:rsidP="0060724D">
      <w:pPr>
        <w:keepNext/>
        <w:rPr>
          <w:rFonts w:ascii="David" w:hAnsi="David"/>
          <w:color w:val="000000"/>
          <w:sz w:val="22"/>
          <w:szCs w:val="22"/>
          <w:rtl/>
        </w:rPr>
      </w:pPr>
      <w:r w:rsidRPr="0060724D">
        <w:rPr>
          <w:rFonts w:ascii="David" w:hAnsi="David"/>
          <w:color w:val="000000"/>
          <w:sz w:val="22"/>
          <w:szCs w:val="22"/>
          <w:rtl/>
        </w:rPr>
        <w:t>יובל ליבדרו 54678313-/</w:t>
      </w:r>
    </w:p>
    <w:p w14:paraId="5D165C30" w14:textId="77777777" w:rsidR="00431D40" w:rsidRPr="00431D40" w:rsidRDefault="0060724D" w:rsidP="0060724D">
      <w:pPr>
        <w:rPr>
          <w:rFonts w:hint="cs"/>
          <w:color w:val="0000FF"/>
          <w:u w:val="single"/>
        </w:rPr>
      </w:pPr>
      <w:r w:rsidRPr="0060724D">
        <w:rPr>
          <w:color w:val="000000"/>
          <w:u w:val="single"/>
          <w:rtl/>
        </w:rPr>
        <w:t>נוסח מסמך זה כפוף לשינויי ניסוח ועריכה</w:t>
      </w:r>
      <w:r w:rsidR="00FD7BFD">
        <w:rPr>
          <w:rFonts w:hint="cs"/>
          <w:color w:val="0000FF"/>
          <w:u w:val="single"/>
          <w:rtl/>
        </w:rPr>
        <w:t xml:space="preserve"> </w:t>
      </w:r>
    </w:p>
    <w:sectPr w:rsidR="00431D40" w:rsidRPr="00431D40" w:rsidSect="0060724D">
      <w:headerReference w:type="even" r:id="rId53"/>
      <w:headerReference w:type="default" r:id="rId54"/>
      <w:footerReference w:type="even" r:id="rId55"/>
      <w:footerReference w:type="default" r:id="rId5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9CE57" w14:textId="77777777" w:rsidR="00FF3884" w:rsidRDefault="00FF3884" w:rsidP="005148BF">
      <w:r>
        <w:separator/>
      </w:r>
    </w:p>
  </w:endnote>
  <w:endnote w:type="continuationSeparator" w:id="0">
    <w:p w14:paraId="71209E9D" w14:textId="77777777" w:rsidR="00FF3884" w:rsidRDefault="00FF3884" w:rsidP="0051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2E607" w14:textId="77777777" w:rsidR="0060724D" w:rsidRDefault="0060724D" w:rsidP="006072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77F6EFE" w14:textId="77777777" w:rsidR="00431D40" w:rsidRPr="0060724D" w:rsidRDefault="0060724D" w:rsidP="0060724D">
    <w:pPr>
      <w:pStyle w:val="a5"/>
      <w:pBdr>
        <w:top w:val="single" w:sz="4" w:space="1" w:color="auto"/>
        <w:between w:val="single" w:sz="4" w:space="0" w:color="auto"/>
      </w:pBdr>
      <w:spacing w:after="60"/>
      <w:jc w:val="center"/>
      <w:rPr>
        <w:rFonts w:ascii="FrankRuehl" w:hAnsi="FrankRuehl" w:cs="FrankRuehl"/>
        <w:color w:val="000000"/>
      </w:rPr>
    </w:pPr>
    <w:r w:rsidRPr="006072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7FB2" w14:textId="77777777" w:rsidR="0060724D" w:rsidRDefault="0060724D" w:rsidP="0060724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209C9">
      <w:rPr>
        <w:rStyle w:val="a8"/>
        <w:rFonts w:ascii="FrankRuehl" w:hAnsi="FrankRuehl" w:cs="FrankRuehl"/>
        <w:rtl/>
      </w:rPr>
      <w:t>1</w:t>
    </w:r>
    <w:r>
      <w:rPr>
        <w:rStyle w:val="a8"/>
        <w:rFonts w:ascii="FrankRuehl" w:hAnsi="FrankRuehl" w:cs="FrankRuehl"/>
        <w:rtl/>
      </w:rPr>
      <w:fldChar w:fldCharType="end"/>
    </w:r>
  </w:p>
  <w:p w14:paraId="25E682EB" w14:textId="77777777" w:rsidR="004C4140" w:rsidRPr="0060724D" w:rsidRDefault="0060724D" w:rsidP="0060724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0724D">
      <w:rPr>
        <w:rStyle w:val="a8"/>
        <w:rFonts w:ascii="FrankRuehl" w:hAnsi="FrankRuehl" w:cs="FrankRuehl" w:hint="cs"/>
        <w:color w:val="000000"/>
      </w:rPr>
      <w:pict w14:anchorId="66E8F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2CA63" w14:textId="77777777" w:rsidR="00FF3884" w:rsidRDefault="00FF3884" w:rsidP="005148BF">
      <w:r>
        <w:separator/>
      </w:r>
    </w:p>
  </w:footnote>
  <w:footnote w:type="continuationSeparator" w:id="0">
    <w:p w14:paraId="3F2DC184" w14:textId="77777777" w:rsidR="00FF3884" w:rsidRDefault="00FF3884" w:rsidP="0051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144D7" w14:textId="77777777" w:rsidR="00431D40" w:rsidRPr="0060724D" w:rsidRDefault="0060724D" w:rsidP="006072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23872-02-19</w:t>
    </w:r>
    <w:r>
      <w:rPr>
        <w:rFonts w:ascii="David" w:hAnsi="David"/>
        <w:color w:val="000000"/>
        <w:sz w:val="22"/>
        <w:szCs w:val="22"/>
        <w:rtl/>
      </w:rPr>
      <w:tab/>
      <w:t xml:space="preserve"> מדינת ישראל נ' מוחמד אלנמר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674F" w14:textId="77777777" w:rsidR="00431D40" w:rsidRPr="0060724D" w:rsidRDefault="0060724D" w:rsidP="006072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23872-02-19</w:t>
    </w:r>
    <w:r>
      <w:rPr>
        <w:rFonts w:ascii="David" w:hAnsi="David"/>
        <w:color w:val="000000"/>
        <w:sz w:val="22"/>
        <w:szCs w:val="22"/>
        <w:rtl/>
      </w:rPr>
      <w:tab/>
      <w:t xml:space="preserve"> מדינת ישראל נ' מוחמד אלנמר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7123"/>
    <w:rsid w:val="002209C9"/>
    <w:rsid w:val="002B2633"/>
    <w:rsid w:val="00314FA0"/>
    <w:rsid w:val="00431D40"/>
    <w:rsid w:val="004C4140"/>
    <w:rsid w:val="005148BF"/>
    <w:rsid w:val="0060724D"/>
    <w:rsid w:val="009F309A"/>
    <w:rsid w:val="00A75B1B"/>
    <w:rsid w:val="00AC231B"/>
    <w:rsid w:val="00BE1168"/>
    <w:rsid w:val="00C501AB"/>
    <w:rsid w:val="00D4788B"/>
    <w:rsid w:val="00E17123"/>
    <w:rsid w:val="00F26F91"/>
    <w:rsid w:val="00FD7BFD"/>
    <w:rsid w:val="00FF38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57049D"/>
  <w15:chartTrackingRefBased/>
  <w15:docId w15:val="{59C88E64-E271-4D6F-91A6-1D833FA7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712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7123"/>
    <w:pPr>
      <w:tabs>
        <w:tab w:val="center" w:pos="4153"/>
        <w:tab w:val="right" w:pos="8306"/>
      </w:tabs>
    </w:pPr>
  </w:style>
  <w:style w:type="character" w:customStyle="1" w:styleId="a4">
    <w:name w:val="כותרת עליונה תו"/>
    <w:link w:val="a3"/>
    <w:rsid w:val="00E17123"/>
    <w:rPr>
      <w:rFonts w:ascii="Times New Roman" w:eastAsia="Times New Roman" w:hAnsi="Times New Roman" w:cs="David"/>
      <w:noProof/>
      <w:sz w:val="24"/>
      <w:szCs w:val="24"/>
    </w:rPr>
  </w:style>
  <w:style w:type="paragraph" w:styleId="a5">
    <w:name w:val="footer"/>
    <w:basedOn w:val="a"/>
    <w:link w:val="a6"/>
    <w:rsid w:val="00E17123"/>
    <w:pPr>
      <w:tabs>
        <w:tab w:val="center" w:pos="4153"/>
        <w:tab w:val="right" w:pos="8306"/>
      </w:tabs>
    </w:pPr>
  </w:style>
  <w:style w:type="character" w:customStyle="1" w:styleId="a6">
    <w:name w:val="כותרת תחתונה תו"/>
    <w:link w:val="a5"/>
    <w:rsid w:val="00E17123"/>
    <w:rPr>
      <w:rFonts w:ascii="Times New Roman" w:eastAsia="Times New Roman" w:hAnsi="Times New Roman" w:cs="David"/>
      <w:noProof/>
      <w:sz w:val="24"/>
      <w:szCs w:val="24"/>
    </w:rPr>
  </w:style>
  <w:style w:type="table" w:styleId="a7">
    <w:name w:val="Table Grid"/>
    <w:basedOn w:val="a1"/>
    <w:rsid w:val="00E171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7123"/>
  </w:style>
  <w:style w:type="character" w:styleId="Hyperlink">
    <w:name w:val="Hyperlink"/>
    <w:rsid w:val="00E17123"/>
    <w:rPr>
      <w:color w:val="0000FF"/>
      <w:u w:val="single"/>
    </w:rPr>
  </w:style>
  <w:style w:type="character" w:styleId="a9">
    <w:name w:val="line number"/>
    <w:rsid w:val="00E17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3055183" TargetMode="External"/><Relationship Id="rId18" Type="http://schemas.openxmlformats.org/officeDocument/2006/relationships/hyperlink" Target="http://www.nevo.co.il/case/6473037" TargetMode="External"/><Relationship Id="rId26" Type="http://schemas.openxmlformats.org/officeDocument/2006/relationships/hyperlink" Target="http://www.nevo.co.il/case/5703734" TargetMode="External"/><Relationship Id="rId39" Type="http://schemas.openxmlformats.org/officeDocument/2006/relationships/hyperlink" Target="http://www.nevo.co.il/case/6018516" TargetMode="External"/><Relationship Id="rId21" Type="http://schemas.openxmlformats.org/officeDocument/2006/relationships/hyperlink" Target="http://www.nevo.co.il/case/5852404" TargetMode="External"/><Relationship Id="rId34" Type="http://schemas.openxmlformats.org/officeDocument/2006/relationships/hyperlink" Target="http://www.nevo.co.il/case/25612982"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case/6155180" TargetMode="External"/><Relationship Id="rId50" Type="http://schemas.openxmlformats.org/officeDocument/2006/relationships/hyperlink" Target="http://www.nevo.co.il/case/21729943" TargetMode="External"/><Relationship Id="rId55" Type="http://schemas.openxmlformats.org/officeDocument/2006/relationships/footer" Target="footer1.xml"/><Relationship Id="rId7" Type="http://schemas.openxmlformats.org/officeDocument/2006/relationships/hyperlink" Target="http://www.nevo.co.il/law/70301/40d.a" TargetMode="External"/><Relationship Id="rId2" Type="http://schemas.openxmlformats.org/officeDocument/2006/relationships/settings" Target="settings.xml"/><Relationship Id="rId16" Type="http://schemas.openxmlformats.org/officeDocument/2006/relationships/hyperlink" Target="http://www.nevo.co.il/case/5821327" TargetMode="External"/><Relationship Id="rId29" Type="http://schemas.openxmlformats.org/officeDocument/2006/relationships/hyperlink" Target="http://www.nevo.co.il/case/21474168"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5430243" TargetMode="External"/><Relationship Id="rId32" Type="http://schemas.openxmlformats.org/officeDocument/2006/relationships/hyperlink" Target="http://www.nevo.co.il/case/5950172" TargetMode="External"/><Relationship Id="rId37" Type="http://schemas.openxmlformats.org/officeDocument/2006/relationships/hyperlink" Target="http://www.nevo.co.il/case/13042005"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case/2147640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case/25612982"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5808567"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6101449"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701742" TargetMode="External"/><Relationship Id="rId56" Type="http://schemas.openxmlformats.org/officeDocument/2006/relationships/footer" Target="footer2.xml"/><Relationship Id="rId8" Type="http://schemas.openxmlformats.org/officeDocument/2006/relationships/hyperlink" Target="http://www.nevo.co.il/law/70301/144.a" TargetMode="External"/><Relationship Id="rId51" Type="http://schemas.openxmlformats.org/officeDocument/2006/relationships/hyperlink" Target="http://www.nevo.co.il/case/6870218"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5594385" TargetMode="External"/><Relationship Id="rId25" Type="http://schemas.openxmlformats.org/officeDocument/2006/relationships/hyperlink" Target="http://www.nevo.co.il/case/25528737" TargetMode="External"/><Relationship Id="rId33" Type="http://schemas.openxmlformats.org/officeDocument/2006/relationships/hyperlink" Target="http://www.nevo.co.il/case/22006503" TargetMode="External"/><Relationship Id="rId38" Type="http://schemas.openxmlformats.org/officeDocument/2006/relationships/hyperlink" Target="http://www.nevo.co.il/case/22733878" TargetMode="External"/><Relationship Id="rId46" Type="http://schemas.openxmlformats.org/officeDocument/2006/relationships/hyperlink" Target="http://www.nevo.co.il/case/23380602" TargetMode="External"/><Relationship Id="rId20" Type="http://schemas.openxmlformats.org/officeDocument/2006/relationships/hyperlink" Target="http://www.nevo.co.il/case/8291683"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7791493" TargetMode="External"/><Relationship Id="rId23" Type="http://schemas.openxmlformats.org/officeDocument/2006/relationships/hyperlink" Target="http://www.nevo.co.il/case/23835446"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25637379" TargetMode="External"/><Relationship Id="rId49" Type="http://schemas.openxmlformats.org/officeDocument/2006/relationships/hyperlink" Target="http://www.nevo.co.il/case/21479956"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case/6949290" TargetMode="External"/><Relationship Id="rId44" Type="http://schemas.openxmlformats.org/officeDocument/2006/relationships/hyperlink" Target="http://www.nevo.co.il/case/2565183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4642</Words>
  <Characters>23211</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27798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3866749</vt:i4>
      </vt:variant>
      <vt:variant>
        <vt:i4>135</vt:i4>
      </vt:variant>
      <vt:variant>
        <vt:i4>0</vt:i4>
      </vt:variant>
      <vt:variant>
        <vt:i4>5</vt:i4>
      </vt:variant>
      <vt:variant>
        <vt:lpwstr>http://www.nevo.co.il/case/6870218</vt:lpwstr>
      </vt:variant>
      <vt:variant>
        <vt:lpwstr/>
      </vt:variant>
      <vt:variant>
        <vt:i4>3670142</vt:i4>
      </vt:variant>
      <vt:variant>
        <vt:i4>132</vt:i4>
      </vt:variant>
      <vt:variant>
        <vt:i4>0</vt:i4>
      </vt:variant>
      <vt:variant>
        <vt:i4>5</vt:i4>
      </vt:variant>
      <vt:variant>
        <vt:lpwstr>http://www.nevo.co.il/case/21729943</vt:lpwstr>
      </vt:variant>
      <vt:variant>
        <vt:lpwstr/>
      </vt:variant>
      <vt:variant>
        <vt:i4>3801211</vt:i4>
      </vt:variant>
      <vt:variant>
        <vt:i4>129</vt:i4>
      </vt:variant>
      <vt:variant>
        <vt:i4>0</vt:i4>
      </vt:variant>
      <vt:variant>
        <vt:i4>5</vt:i4>
      </vt:variant>
      <vt:variant>
        <vt:lpwstr>http://www.nevo.co.il/case/21479956</vt:lpwstr>
      </vt:variant>
      <vt:variant>
        <vt:lpwstr/>
      </vt:variant>
      <vt:variant>
        <vt:i4>3145846</vt:i4>
      </vt:variant>
      <vt:variant>
        <vt:i4>126</vt:i4>
      </vt:variant>
      <vt:variant>
        <vt:i4>0</vt:i4>
      </vt:variant>
      <vt:variant>
        <vt:i4>5</vt:i4>
      </vt:variant>
      <vt:variant>
        <vt:lpwstr>http://www.nevo.co.il/case/5701742</vt:lpwstr>
      </vt:variant>
      <vt:variant>
        <vt:lpwstr/>
      </vt:variant>
      <vt:variant>
        <vt:i4>3276920</vt:i4>
      </vt:variant>
      <vt:variant>
        <vt:i4>123</vt:i4>
      </vt:variant>
      <vt:variant>
        <vt:i4>0</vt:i4>
      </vt:variant>
      <vt:variant>
        <vt:i4>5</vt:i4>
      </vt:variant>
      <vt:variant>
        <vt:lpwstr>http://www.nevo.co.il/case/6155180</vt:lpwstr>
      </vt:variant>
      <vt:variant>
        <vt:lpwstr/>
      </vt:variant>
      <vt:variant>
        <vt:i4>3211385</vt:i4>
      </vt:variant>
      <vt:variant>
        <vt:i4>120</vt:i4>
      </vt:variant>
      <vt:variant>
        <vt:i4>0</vt:i4>
      </vt:variant>
      <vt:variant>
        <vt:i4>5</vt:i4>
      </vt:variant>
      <vt:variant>
        <vt:lpwstr>http://www.nevo.co.il/case/23380602</vt:lpwstr>
      </vt:variant>
      <vt:variant>
        <vt:lpwstr/>
      </vt:variant>
      <vt:variant>
        <vt:i4>3145846</vt:i4>
      </vt:variant>
      <vt:variant>
        <vt:i4>117</vt:i4>
      </vt:variant>
      <vt:variant>
        <vt:i4>0</vt:i4>
      </vt:variant>
      <vt:variant>
        <vt:i4>5</vt:i4>
      </vt:variant>
      <vt:variant>
        <vt:lpwstr>http://www.nevo.co.il/case/21476409</vt:lpwstr>
      </vt:variant>
      <vt:variant>
        <vt:lpwstr/>
      </vt:variant>
      <vt:variant>
        <vt:i4>3539068</vt:i4>
      </vt:variant>
      <vt:variant>
        <vt:i4>114</vt:i4>
      </vt:variant>
      <vt:variant>
        <vt:i4>0</vt:i4>
      </vt:variant>
      <vt:variant>
        <vt:i4>5</vt:i4>
      </vt:variant>
      <vt:variant>
        <vt:lpwstr>http://www.nevo.co.il/case/25651836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3342448</vt:i4>
      </vt:variant>
      <vt:variant>
        <vt:i4>108</vt:i4>
      </vt:variant>
      <vt:variant>
        <vt:i4>0</vt:i4>
      </vt:variant>
      <vt:variant>
        <vt:i4>5</vt:i4>
      </vt:variant>
      <vt:variant>
        <vt:lpwstr>http://www.nevo.co.il/case/22938500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3407997</vt:i4>
      </vt:variant>
      <vt:variant>
        <vt:i4>99</vt:i4>
      </vt:variant>
      <vt:variant>
        <vt:i4>0</vt:i4>
      </vt:variant>
      <vt:variant>
        <vt:i4>5</vt:i4>
      </vt:variant>
      <vt:variant>
        <vt:lpwstr>http://www.nevo.co.il/case/6018516</vt:lpwstr>
      </vt:variant>
      <vt:variant>
        <vt:lpwstr/>
      </vt:variant>
      <vt:variant>
        <vt:i4>3211389</vt:i4>
      </vt:variant>
      <vt:variant>
        <vt:i4>96</vt:i4>
      </vt:variant>
      <vt:variant>
        <vt:i4>0</vt:i4>
      </vt:variant>
      <vt:variant>
        <vt:i4>5</vt:i4>
      </vt:variant>
      <vt:variant>
        <vt:lpwstr>http://www.nevo.co.il/case/22733878</vt:lpwstr>
      </vt:variant>
      <vt:variant>
        <vt:lpwstr/>
      </vt:variant>
      <vt:variant>
        <vt:i4>3342451</vt:i4>
      </vt:variant>
      <vt:variant>
        <vt:i4>93</vt:i4>
      </vt:variant>
      <vt:variant>
        <vt:i4>0</vt:i4>
      </vt:variant>
      <vt:variant>
        <vt:i4>5</vt:i4>
      </vt:variant>
      <vt:variant>
        <vt:lpwstr>http://www.nevo.co.il/case/13042005</vt:lpwstr>
      </vt:variant>
      <vt:variant>
        <vt:lpwstr/>
      </vt:variant>
      <vt:variant>
        <vt:i4>3407985</vt:i4>
      </vt:variant>
      <vt:variant>
        <vt:i4>90</vt:i4>
      </vt:variant>
      <vt:variant>
        <vt:i4>0</vt:i4>
      </vt:variant>
      <vt:variant>
        <vt:i4>5</vt:i4>
      </vt:variant>
      <vt:variant>
        <vt:lpwstr>http://www.nevo.co.il/case/25637379</vt:lpwstr>
      </vt:variant>
      <vt:variant>
        <vt:lpwstr/>
      </vt:variant>
      <vt:variant>
        <vt:i4>3539062</vt:i4>
      </vt:variant>
      <vt:variant>
        <vt:i4>87</vt:i4>
      </vt:variant>
      <vt:variant>
        <vt:i4>0</vt:i4>
      </vt:variant>
      <vt:variant>
        <vt:i4>5</vt:i4>
      </vt:variant>
      <vt:variant>
        <vt:lpwstr>http://www.nevo.co.il/case/26101449</vt:lpwstr>
      </vt:variant>
      <vt:variant>
        <vt:lpwstr/>
      </vt:variant>
      <vt:variant>
        <vt:i4>4063353</vt:i4>
      </vt:variant>
      <vt:variant>
        <vt:i4>84</vt:i4>
      </vt:variant>
      <vt:variant>
        <vt:i4>0</vt:i4>
      </vt:variant>
      <vt:variant>
        <vt:i4>5</vt:i4>
      </vt:variant>
      <vt:variant>
        <vt:lpwstr>http://www.nevo.co.il/case/25612982</vt:lpwstr>
      </vt:variant>
      <vt:variant>
        <vt:lpwstr/>
      </vt:variant>
      <vt:variant>
        <vt:i4>3407987</vt:i4>
      </vt:variant>
      <vt:variant>
        <vt:i4>81</vt:i4>
      </vt:variant>
      <vt:variant>
        <vt:i4>0</vt:i4>
      </vt:variant>
      <vt:variant>
        <vt:i4>5</vt:i4>
      </vt:variant>
      <vt:variant>
        <vt:lpwstr>http://www.nevo.co.il/case/22006503</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3145853</vt:i4>
      </vt:variant>
      <vt:variant>
        <vt:i4>75</vt:i4>
      </vt:variant>
      <vt:variant>
        <vt:i4>0</vt:i4>
      </vt:variant>
      <vt:variant>
        <vt:i4>5</vt:i4>
      </vt:variant>
      <vt:variant>
        <vt:lpwstr>http://www.nevo.co.il/case/6949290</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3407987</vt:i4>
      </vt:variant>
      <vt:variant>
        <vt:i4>69</vt:i4>
      </vt:variant>
      <vt:variant>
        <vt:i4>0</vt:i4>
      </vt:variant>
      <vt:variant>
        <vt:i4>5</vt:i4>
      </vt:variant>
      <vt:variant>
        <vt:lpwstr>http://www.nevo.co.il/case/21474168</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3604594</vt:i4>
      </vt:variant>
      <vt:variant>
        <vt:i4>63</vt:i4>
      </vt:variant>
      <vt:variant>
        <vt:i4>0</vt:i4>
      </vt:variant>
      <vt:variant>
        <vt:i4>5</vt:i4>
      </vt:variant>
      <vt:variant>
        <vt:lpwstr>http://www.nevo.co.il/case/5808567</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3932276</vt:i4>
      </vt:variant>
      <vt:variant>
        <vt:i4>57</vt:i4>
      </vt:variant>
      <vt:variant>
        <vt:i4>0</vt:i4>
      </vt:variant>
      <vt:variant>
        <vt:i4>5</vt:i4>
      </vt:variant>
      <vt:variant>
        <vt:lpwstr>http://www.nevo.co.il/case/25528737</vt:lpwstr>
      </vt:variant>
      <vt:variant>
        <vt:lpwstr/>
      </vt:variant>
      <vt:variant>
        <vt:i4>3276912</vt:i4>
      </vt:variant>
      <vt:variant>
        <vt:i4>54</vt:i4>
      </vt:variant>
      <vt:variant>
        <vt:i4>0</vt:i4>
      </vt:variant>
      <vt:variant>
        <vt:i4>5</vt:i4>
      </vt:variant>
      <vt:variant>
        <vt:lpwstr>http://www.nevo.co.il/case/25430243</vt:lpwstr>
      </vt:variant>
      <vt:variant>
        <vt:lpwstr/>
      </vt:variant>
      <vt:variant>
        <vt:i4>3866736</vt:i4>
      </vt:variant>
      <vt:variant>
        <vt:i4>51</vt:i4>
      </vt:variant>
      <vt:variant>
        <vt:i4>0</vt:i4>
      </vt:variant>
      <vt:variant>
        <vt:i4>5</vt:i4>
      </vt:variant>
      <vt:variant>
        <vt:lpwstr>http://www.nevo.co.il/case/23835446</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3407999</vt:i4>
      </vt:variant>
      <vt:variant>
        <vt:i4>42</vt:i4>
      </vt:variant>
      <vt:variant>
        <vt:i4>0</vt:i4>
      </vt:variant>
      <vt:variant>
        <vt:i4>5</vt:i4>
      </vt:variant>
      <vt:variant>
        <vt:lpwstr>http://www.nevo.co.il/case/8291683</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3801213</vt:i4>
      </vt:variant>
      <vt:variant>
        <vt:i4>33</vt:i4>
      </vt:variant>
      <vt:variant>
        <vt:i4>0</vt:i4>
      </vt:variant>
      <vt:variant>
        <vt:i4>5</vt:i4>
      </vt:variant>
      <vt:variant>
        <vt:lpwstr>http://www.nevo.co.il/case/5594385</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3932275</vt:i4>
      </vt:variant>
      <vt:variant>
        <vt:i4>21</vt:i4>
      </vt:variant>
      <vt:variant>
        <vt:i4>0</vt:i4>
      </vt:variant>
      <vt:variant>
        <vt:i4>5</vt:i4>
      </vt:variant>
      <vt:variant>
        <vt:lpwstr>http://www.nevo.co.il/case/13055183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23872</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אלנמר</vt:lpwstr>
  </property>
  <property fmtid="{D5CDD505-2E9C-101B-9397-08002B2CF9AE}" pid="10" name="LAWYER">
    <vt:lpwstr>רמי אלמכאוי;אסתר בר ציון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20200916</vt:lpwstr>
  </property>
  <property fmtid="{D5CDD505-2E9C-101B-9397-08002B2CF9AE}" pid="14" name="TYPE_N_DATE">
    <vt:lpwstr>39020200916</vt:lpwstr>
  </property>
  <property fmtid="{D5CDD505-2E9C-101B-9397-08002B2CF9AE}" pid="15" name="WORDNUMPAGES">
    <vt:lpwstr>12</vt:lpwstr>
  </property>
  <property fmtid="{D5CDD505-2E9C-101B-9397-08002B2CF9AE}" pid="16" name="TYPE_ABS_DATE">
    <vt:lpwstr>390020200916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13055183;21771409;7791493;5821327;5594385;6473037:2;25612982:2;8291683;5852404;6000182;23835446;25430243;25528737;5703734;5808567;21474168;5878682;6949290;5950172;22006503;26101449;25637379;13042005;22733878;6018516;22938500;25651836;21476409;23380602</vt:lpwstr>
  </property>
  <property fmtid="{D5CDD505-2E9C-101B-9397-08002B2CF9AE}" pid="36" name="CASESLISTTMP2">
    <vt:lpwstr>6155180;5701742;21479956;21729943;6870218</vt:lpwstr>
  </property>
  <property fmtid="{D5CDD505-2E9C-101B-9397-08002B2CF9AE}" pid="37" name="LAWLISTTMP1">
    <vt:lpwstr>70301/144.a;144.b;040d.a</vt:lpwstr>
  </property>
</Properties>
</file>