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632"/>
        <w:gridCol w:w="3670"/>
        <w:gridCol w:w="3676"/>
        <w:gridCol w:w="99"/>
      </w:tblGrid>
      <w:tr w:rsidR="00212B9A" w:rsidRPr="004968A2" w14:paraId="1EBF2F4B" w14:textId="77777777" w:rsidTr="00AC552B">
        <w:trPr>
          <w:gridAfter w:val="1"/>
          <w:wAfter w:w="99" w:type="dxa"/>
          <w:trHeight w:hRule="exact" w:val="418"/>
          <w:jc w:val="center"/>
        </w:trPr>
        <w:tc>
          <w:tcPr>
            <w:tcW w:w="8721" w:type="dxa"/>
            <w:gridSpan w:val="4"/>
          </w:tcPr>
          <w:p w14:paraId="56629371" w14:textId="77777777" w:rsidR="00212B9A" w:rsidRPr="004968A2" w:rsidRDefault="00212B9A" w:rsidP="00D37C20">
            <w:pPr>
              <w:pStyle w:val="a3"/>
              <w:jc w:val="center"/>
              <w:rPr>
                <w:rFonts w:ascii="Tahoma" w:hAnsi="Tahoma" w:cs="Tahoma"/>
                <w:color w:val="000080"/>
                <w:rtl/>
              </w:rPr>
            </w:pPr>
            <w:r w:rsidRPr="004968A2">
              <w:rPr>
                <w:rFonts w:ascii="Tahoma" w:hAnsi="Tahoma" w:cs="Tahoma"/>
                <w:b/>
                <w:bCs/>
                <w:color w:val="000080"/>
                <w:rtl/>
              </w:rPr>
              <w:t>בית המשפט המחוזי בבאר שבע</w:t>
            </w:r>
          </w:p>
        </w:tc>
      </w:tr>
      <w:tr w:rsidR="00212B9A" w:rsidRPr="004968A2" w14:paraId="402868E3" w14:textId="77777777" w:rsidTr="00AC552B">
        <w:trPr>
          <w:gridAfter w:val="1"/>
          <w:wAfter w:w="99" w:type="dxa"/>
          <w:trHeight w:val="337"/>
          <w:jc w:val="center"/>
        </w:trPr>
        <w:tc>
          <w:tcPr>
            <w:tcW w:w="5045" w:type="dxa"/>
            <w:gridSpan w:val="3"/>
          </w:tcPr>
          <w:p w14:paraId="27861089" w14:textId="77777777" w:rsidR="00212B9A" w:rsidRPr="004968A2" w:rsidRDefault="00212B9A" w:rsidP="00D37C20">
            <w:pPr>
              <w:rPr>
                <w:rFonts w:ascii="David" w:hAnsi="David"/>
                <w:b/>
                <w:bCs/>
                <w:sz w:val="26"/>
                <w:szCs w:val="26"/>
                <w:rtl/>
              </w:rPr>
            </w:pPr>
            <w:r w:rsidRPr="004968A2">
              <w:rPr>
                <w:rFonts w:ascii="David" w:hAnsi="David"/>
                <w:b/>
                <w:bCs/>
                <w:sz w:val="26"/>
                <w:szCs w:val="26"/>
                <w:rtl/>
              </w:rPr>
              <w:t>תפ"ח 24704-02-19 מדינת ישראל נ' זגורי</w:t>
            </w:r>
          </w:p>
          <w:p w14:paraId="5D352BC3" w14:textId="77777777" w:rsidR="00212B9A" w:rsidRPr="004968A2" w:rsidRDefault="00212B9A" w:rsidP="00D37C20">
            <w:pPr>
              <w:pStyle w:val="a3"/>
              <w:rPr>
                <w:rFonts w:cs="FrankRuehl"/>
                <w:sz w:val="28"/>
                <w:szCs w:val="28"/>
                <w:rtl/>
              </w:rPr>
            </w:pPr>
          </w:p>
        </w:tc>
        <w:tc>
          <w:tcPr>
            <w:tcW w:w="3676" w:type="dxa"/>
          </w:tcPr>
          <w:p w14:paraId="5BDCC96E" w14:textId="77777777" w:rsidR="00212B9A" w:rsidRPr="004968A2" w:rsidRDefault="00212B9A" w:rsidP="00D37C20">
            <w:pPr>
              <w:pStyle w:val="a3"/>
              <w:jc w:val="right"/>
              <w:rPr>
                <w:rFonts w:ascii="David" w:hAnsi="David"/>
                <w:b/>
                <w:bCs/>
                <w:sz w:val="26"/>
                <w:szCs w:val="26"/>
                <w:rtl/>
              </w:rPr>
            </w:pPr>
            <w:r w:rsidRPr="004968A2">
              <w:rPr>
                <w:rFonts w:ascii="David" w:hAnsi="David" w:hint="cs"/>
                <w:b/>
                <w:bCs/>
                <w:sz w:val="26"/>
                <w:szCs w:val="26"/>
                <w:rtl/>
              </w:rPr>
              <w:t>29 ספטמבר 2022</w:t>
            </w:r>
          </w:p>
        </w:tc>
      </w:tr>
      <w:tr w:rsidR="00212B9A" w:rsidRPr="004968A2" w14:paraId="254B732D" w14:textId="77777777" w:rsidTr="00AC5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743" w:type="dxa"/>
            <w:tcBorders>
              <w:top w:val="nil"/>
              <w:left w:val="nil"/>
              <w:bottom w:val="nil"/>
              <w:right w:val="nil"/>
            </w:tcBorders>
            <w:shd w:val="clear" w:color="auto" w:fill="auto"/>
          </w:tcPr>
          <w:p w14:paraId="694CA3D4" w14:textId="77777777" w:rsidR="00212B9A" w:rsidRPr="004968A2" w:rsidRDefault="00212B9A" w:rsidP="00212B9A">
            <w:pPr>
              <w:spacing w:line="360" w:lineRule="auto"/>
              <w:jc w:val="both"/>
              <w:rPr>
                <w:rFonts w:ascii="David" w:hAnsi="David"/>
                <w:b/>
                <w:bCs/>
                <w:sz w:val="26"/>
                <w:szCs w:val="26"/>
              </w:rPr>
            </w:pPr>
            <w:r w:rsidRPr="004968A2">
              <w:rPr>
                <w:rFonts w:hint="cs"/>
                <w:rtl/>
              </w:rPr>
              <w:t xml:space="preserve"> </w:t>
            </w:r>
            <w:r w:rsidRPr="004968A2">
              <w:rPr>
                <w:rFonts w:ascii="David" w:hAnsi="David" w:hint="cs"/>
                <w:b/>
                <w:bCs/>
                <w:sz w:val="26"/>
                <w:szCs w:val="26"/>
                <w:rtl/>
              </w:rPr>
              <w:t>לפני:</w:t>
            </w:r>
          </w:p>
        </w:tc>
        <w:tc>
          <w:tcPr>
            <w:tcW w:w="8077" w:type="dxa"/>
            <w:gridSpan w:val="4"/>
            <w:tcBorders>
              <w:top w:val="nil"/>
              <w:left w:val="nil"/>
              <w:bottom w:val="nil"/>
              <w:right w:val="nil"/>
            </w:tcBorders>
            <w:shd w:val="clear" w:color="auto" w:fill="auto"/>
          </w:tcPr>
          <w:p w14:paraId="3C35F447" w14:textId="77777777" w:rsidR="00212B9A" w:rsidRPr="004968A2" w:rsidRDefault="00212B9A" w:rsidP="00212B9A">
            <w:pPr>
              <w:spacing w:line="360" w:lineRule="auto"/>
              <w:rPr>
                <w:rFonts w:ascii="David" w:hAnsi="David"/>
                <w:b/>
                <w:bCs/>
                <w:sz w:val="26"/>
                <w:szCs w:val="26"/>
                <w:rtl/>
              </w:rPr>
            </w:pPr>
            <w:r w:rsidRPr="004968A2">
              <w:rPr>
                <w:rFonts w:ascii="David" w:hAnsi="David"/>
                <w:b/>
                <w:bCs/>
                <w:sz w:val="26"/>
                <w:szCs w:val="26"/>
                <w:rtl/>
              </w:rPr>
              <w:t>כב</w:t>
            </w:r>
            <w:r w:rsidRPr="004968A2">
              <w:rPr>
                <w:rFonts w:ascii="David" w:hAnsi="David" w:hint="cs"/>
                <w:b/>
                <w:bCs/>
                <w:sz w:val="26"/>
                <w:szCs w:val="26"/>
                <w:rtl/>
              </w:rPr>
              <w:t>'</w:t>
            </w:r>
            <w:r w:rsidRPr="004968A2">
              <w:rPr>
                <w:rFonts w:ascii="David" w:hAnsi="David"/>
                <w:b/>
                <w:bCs/>
                <w:sz w:val="26"/>
                <w:szCs w:val="26"/>
                <w:rtl/>
              </w:rPr>
              <w:t xml:space="preserve"> סגן </w:t>
            </w:r>
            <w:r w:rsidRPr="004968A2">
              <w:rPr>
                <w:rFonts w:ascii="David" w:hAnsi="David" w:hint="cs"/>
                <w:b/>
                <w:bCs/>
                <w:sz w:val="26"/>
                <w:szCs w:val="26"/>
                <w:rtl/>
              </w:rPr>
              <w:t>ה</w:t>
            </w:r>
            <w:r w:rsidRPr="004968A2">
              <w:rPr>
                <w:rFonts w:ascii="David" w:hAnsi="David"/>
                <w:b/>
                <w:bCs/>
                <w:sz w:val="26"/>
                <w:szCs w:val="26"/>
                <w:rtl/>
              </w:rPr>
              <w:t>נשיאה</w:t>
            </w:r>
            <w:r w:rsidRPr="004968A2">
              <w:rPr>
                <w:rFonts w:ascii="David" w:hAnsi="David" w:hint="cs"/>
                <w:b/>
                <w:bCs/>
                <w:sz w:val="26"/>
                <w:szCs w:val="26"/>
                <w:rtl/>
              </w:rPr>
              <w:t>, השופט נתן</w:t>
            </w:r>
            <w:r w:rsidRPr="004968A2">
              <w:rPr>
                <w:rFonts w:ascii="David" w:hAnsi="David"/>
                <w:b/>
                <w:bCs/>
                <w:sz w:val="26"/>
                <w:szCs w:val="26"/>
                <w:rtl/>
              </w:rPr>
              <w:t xml:space="preserve"> זלוצ'ובר – אב"</w:t>
            </w:r>
            <w:r w:rsidRPr="004968A2">
              <w:rPr>
                <w:rFonts w:ascii="David" w:hAnsi="David" w:hint="cs"/>
                <w:b/>
                <w:bCs/>
                <w:sz w:val="26"/>
                <w:szCs w:val="26"/>
                <w:rtl/>
              </w:rPr>
              <w:t>ד</w:t>
            </w:r>
          </w:p>
          <w:p w14:paraId="7CE90FB9" w14:textId="77777777" w:rsidR="00212B9A" w:rsidRPr="004968A2" w:rsidRDefault="00212B9A" w:rsidP="00212B9A">
            <w:pPr>
              <w:spacing w:line="360" w:lineRule="auto"/>
              <w:rPr>
                <w:rFonts w:ascii="David" w:hAnsi="David"/>
                <w:b/>
                <w:bCs/>
                <w:sz w:val="26"/>
                <w:szCs w:val="26"/>
                <w:rtl/>
              </w:rPr>
            </w:pPr>
            <w:r w:rsidRPr="004968A2">
              <w:rPr>
                <w:rFonts w:ascii="David" w:hAnsi="David"/>
                <w:b/>
                <w:bCs/>
                <w:sz w:val="26"/>
                <w:szCs w:val="26"/>
                <w:rtl/>
              </w:rPr>
              <w:t>כ</w:t>
            </w:r>
            <w:r w:rsidRPr="004968A2">
              <w:rPr>
                <w:rFonts w:ascii="David" w:hAnsi="David" w:hint="cs"/>
                <w:b/>
                <w:bCs/>
                <w:sz w:val="26"/>
                <w:szCs w:val="26"/>
                <w:rtl/>
              </w:rPr>
              <w:t>ב'</w:t>
            </w:r>
            <w:r w:rsidRPr="004968A2">
              <w:rPr>
                <w:rFonts w:ascii="David" w:hAnsi="David"/>
                <w:b/>
                <w:bCs/>
                <w:sz w:val="26"/>
                <w:szCs w:val="26"/>
                <w:rtl/>
              </w:rPr>
              <w:t xml:space="preserve"> השופטת </w:t>
            </w:r>
            <w:r w:rsidRPr="004968A2">
              <w:rPr>
                <w:rFonts w:ascii="David" w:hAnsi="David" w:hint="cs"/>
                <w:b/>
                <w:bCs/>
                <w:sz w:val="26"/>
                <w:szCs w:val="26"/>
                <w:rtl/>
              </w:rPr>
              <w:t xml:space="preserve">דינה </w:t>
            </w:r>
            <w:r w:rsidRPr="004968A2">
              <w:rPr>
                <w:rFonts w:ascii="David" w:hAnsi="David"/>
                <w:b/>
                <w:bCs/>
                <w:sz w:val="26"/>
                <w:szCs w:val="26"/>
                <w:rtl/>
              </w:rPr>
              <w:t>כהן</w:t>
            </w:r>
          </w:p>
          <w:p w14:paraId="140D146F" w14:textId="77777777" w:rsidR="00212B9A" w:rsidRPr="004968A2" w:rsidRDefault="00212B9A" w:rsidP="00212B9A">
            <w:pPr>
              <w:spacing w:line="360" w:lineRule="auto"/>
              <w:rPr>
                <w:rFonts w:ascii="David" w:hAnsi="David"/>
                <w:b/>
                <w:bCs/>
                <w:sz w:val="26"/>
                <w:szCs w:val="26"/>
                <w:rtl/>
              </w:rPr>
            </w:pPr>
            <w:r w:rsidRPr="004968A2">
              <w:rPr>
                <w:rFonts w:ascii="David" w:hAnsi="David"/>
                <w:b/>
                <w:bCs/>
                <w:sz w:val="26"/>
                <w:szCs w:val="26"/>
                <w:rtl/>
              </w:rPr>
              <w:t>כב</w:t>
            </w:r>
            <w:r w:rsidRPr="004968A2">
              <w:rPr>
                <w:rFonts w:ascii="David" w:hAnsi="David" w:hint="cs"/>
                <w:b/>
                <w:bCs/>
                <w:sz w:val="26"/>
                <w:szCs w:val="26"/>
                <w:rtl/>
              </w:rPr>
              <w:t>'</w:t>
            </w:r>
            <w:r w:rsidRPr="004968A2">
              <w:rPr>
                <w:rFonts w:ascii="David" w:hAnsi="David"/>
                <w:b/>
                <w:bCs/>
                <w:sz w:val="26"/>
                <w:szCs w:val="26"/>
                <w:rtl/>
              </w:rPr>
              <w:t xml:space="preserve"> השופט</w:t>
            </w:r>
            <w:r w:rsidRPr="004968A2">
              <w:rPr>
                <w:rFonts w:ascii="David" w:hAnsi="David" w:hint="cs"/>
                <w:b/>
                <w:bCs/>
                <w:sz w:val="26"/>
                <w:szCs w:val="26"/>
                <w:rtl/>
              </w:rPr>
              <w:t xml:space="preserve"> דניאל</w:t>
            </w:r>
            <w:r w:rsidRPr="004968A2">
              <w:rPr>
                <w:rFonts w:ascii="David" w:hAnsi="David"/>
                <w:b/>
                <w:bCs/>
                <w:sz w:val="26"/>
                <w:szCs w:val="26"/>
                <w:rtl/>
              </w:rPr>
              <w:t xml:space="preserve">  בן טולילה</w:t>
            </w:r>
          </w:p>
          <w:p w14:paraId="54D5B346" w14:textId="77777777" w:rsidR="00212B9A" w:rsidRPr="004968A2" w:rsidRDefault="00212B9A" w:rsidP="00212B9A">
            <w:pPr>
              <w:spacing w:line="360" w:lineRule="auto"/>
              <w:rPr>
                <w:rFonts w:ascii="David" w:hAnsi="David"/>
                <w:b/>
                <w:bCs/>
                <w:sz w:val="26"/>
                <w:szCs w:val="26"/>
                <w:rtl/>
              </w:rPr>
            </w:pPr>
          </w:p>
        </w:tc>
      </w:tr>
      <w:tr w:rsidR="00212B9A" w:rsidRPr="004968A2" w14:paraId="0234BFFC" w14:textId="77777777" w:rsidTr="00AC5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75" w:type="dxa"/>
            <w:gridSpan w:val="2"/>
            <w:tcBorders>
              <w:top w:val="nil"/>
              <w:left w:val="nil"/>
              <w:bottom w:val="nil"/>
              <w:right w:val="nil"/>
            </w:tcBorders>
            <w:shd w:val="clear" w:color="auto" w:fill="auto"/>
          </w:tcPr>
          <w:p w14:paraId="5A8E4AA8" w14:textId="77777777" w:rsidR="00212B9A" w:rsidRPr="004968A2" w:rsidRDefault="00212B9A" w:rsidP="00212B9A">
            <w:pPr>
              <w:spacing w:line="360" w:lineRule="auto"/>
              <w:jc w:val="both"/>
              <w:rPr>
                <w:rFonts w:ascii="David" w:hAnsi="David"/>
                <w:b/>
                <w:bCs/>
                <w:sz w:val="26"/>
                <w:szCs w:val="26"/>
              </w:rPr>
            </w:pPr>
            <w:bookmarkStart w:id="0" w:name="FirstAppellant"/>
            <w:bookmarkStart w:id="1" w:name="FirstLawyer"/>
            <w:bookmarkStart w:id="2" w:name="LastJudge"/>
            <w:bookmarkEnd w:id="2"/>
            <w:r w:rsidRPr="004968A2">
              <w:rPr>
                <w:rFonts w:ascii="David" w:hAnsi="David" w:hint="cs"/>
                <w:b/>
                <w:bCs/>
                <w:sz w:val="26"/>
                <w:szCs w:val="26"/>
                <w:rtl/>
              </w:rPr>
              <w:t>המאשימה:</w:t>
            </w:r>
          </w:p>
        </w:tc>
        <w:tc>
          <w:tcPr>
            <w:tcW w:w="7445" w:type="dxa"/>
            <w:gridSpan w:val="3"/>
            <w:tcBorders>
              <w:top w:val="nil"/>
              <w:left w:val="nil"/>
              <w:bottom w:val="nil"/>
              <w:right w:val="nil"/>
            </w:tcBorders>
            <w:shd w:val="clear" w:color="auto" w:fill="auto"/>
          </w:tcPr>
          <w:p w14:paraId="1FD2E98C" w14:textId="77777777" w:rsidR="00212B9A" w:rsidRPr="004968A2" w:rsidRDefault="00212B9A" w:rsidP="00212B9A">
            <w:pPr>
              <w:suppressLineNumbers/>
              <w:spacing w:line="360" w:lineRule="auto"/>
              <w:rPr>
                <w:b/>
                <w:bCs/>
                <w:sz w:val="26"/>
                <w:szCs w:val="26"/>
              </w:rPr>
            </w:pPr>
            <w:r w:rsidRPr="004968A2">
              <w:rPr>
                <w:rFonts w:ascii="Arial" w:hAnsi="Arial" w:hint="cs"/>
                <w:b/>
                <w:bCs/>
                <w:sz w:val="26"/>
                <w:szCs w:val="26"/>
                <w:rtl/>
              </w:rPr>
              <w:t>מדינת ישראל</w:t>
            </w:r>
          </w:p>
          <w:p w14:paraId="79566384" w14:textId="77777777" w:rsidR="00212B9A" w:rsidRPr="004968A2" w:rsidRDefault="00212B9A" w:rsidP="00212B9A">
            <w:pPr>
              <w:suppressLineNumbers/>
              <w:spacing w:line="360" w:lineRule="auto"/>
              <w:rPr>
                <w:rFonts w:ascii="David" w:hAnsi="David"/>
                <w:b/>
                <w:bCs/>
                <w:sz w:val="26"/>
                <w:szCs w:val="26"/>
              </w:rPr>
            </w:pPr>
            <w:r w:rsidRPr="004968A2">
              <w:rPr>
                <w:rFonts w:ascii="David" w:hAnsi="David" w:hint="cs"/>
                <w:b/>
                <w:bCs/>
                <w:sz w:val="26"/>
                <w:szCs w:val="26"/>
                <w:rtl/>
              </w:rPr>
              <w:t xml:space="preserve">על ידי ב"כ </w:t>
            </w:r>
            <w:r w:rsidRPr="004968A2">
              <w:rPr>
                <w:rFonts w:ascii="David" w:hAnsi="David"/>
                <w:b/>
                <w:bCs/>
                <w:sz w:val="26"/>
                <w:szCs w:val="26"/>
                <w:rtl/>
              </w:rPr>
              <w:t>–</w:t>
            </w:r>
            <w:r w:rsidRPr="004968A2">
              <w:rPr>
                <w:rFonts w:ascii="David" w:hAnsi="David" w:hint="cs"/>
                <w:b/>
                <w:bCs/>
                <w:sz w:val="26"/>
                <w:szCs w:val="26"/>
                <w:rtl/>
              </w:rPr>
              <w:t xml:space="preserve"> עו"ד רותם יוחנני-הר ציון</w:t>
            </w:r>
          </w:p>
        </w:tc>
      </w:tr>
      <w:bookmarkEnd w:id="0"/>
      <w:bookmarkEnd w:id="1"/>
      <w:tr w:rsidR="00212B9A" w:rsidRPr="004968A2" w14:paraId="21D9D82E" w14:textId="77777777" w:rsidTr="00AC5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75" w:type="dxa"/>
            <w:gridSpan w:val="2"/>
            <w:tcBorders>
              <w:top w:val="nil"/>
              <w:left w:val="nil"/>
              <w:bottom w:val="nil"/>
              <w:right w:val="nil"/>
            </w:tcBorders>
            <w:shd w:val="clear" w:color="auto" w:fill="auto"/>
          </w:tcPr>
          <w:p w14:paraId="3CB5D1EE" w14:textId="77777777" w:rsidR="00212B9A" w:rsidRPr="004968A2" w:rsidRDefault="00212B9A" w:rsidP="00212B9A">
            <w:pPr>
              <w:spacing w:line="360" w:lineRule="auto"/>
              <w:jc w:val="both"/>
              <w:rPr>
                <w:rFonts w:ascii="David" w:hAnsi="David"/>
                <w:b/>
                <w:bCs/>
                <w:sz w:val="26"/>
                <w:szCs w:val="26"/>
                <w:rtl/>
              </w:rPr>
            </w:pPr>
          </w:p>
        </w:tc>
        <w:tc>
          <w:tcPr>
            <w:tcW w:w="7445" w:type="dxa"/>
            <w:gridSpan w:val="3"/>
            <w:tcBorders>
              <w:top w:val="nil"/>
              <w:left w:val="nil"/>
              <w:bottom w:val="nil"/>
              <w:right w:val="nil"/>
            </w:tcBorders>
            <w:shd w:val="clear" w:color="auto" w:fill="auto"/>
          </w:tcPr>
          <w:p w14:paraId="264377D3" w14:textId="77777777" w:rsidR="00212B9A" w:rsidRPr="004968A2" w:rsidRDefault="00212B9A" w:rsidP="00212B9A">
            <w:pPr>
              <w:spacing w:line="360" w:lineRule="auto"/>
              <w:jc w:val="center"/>
              <w:rPr>
                <w:rFonts w:ascii="David" w:hAnsi="David"/>
                <w:b/>
                <w:bCs/>
                <w:sz w:val="26"/>
                <w:szCs w:val="26"/>
                <w:rtl/>
              </w:rPr>
            </w:pPr>
          </w:p>
          <w:p w14:paraId="05589466" w14:textId="77777777" w:rsidR="00212B9A" w:rsidRPr="004968A2" w:rsidRDefault="00212B9A" w:rsidP="00212B9A">
            <w:pPr>
              <w:spacing w:line="360" w:lineRule="auto"/>
              <w:rPr>
                <w:rFonts w:ascii="David" w:hAnsi="David"/>
                <w:b/>
                <w:bCs/>
                <w:sz w:val="26"/>
                <w:szCs w:val="26"/>
                <w:rtl/>
              </w:rPr>
            </w:pPr>
            <w:r w:rsidRPr="004968A2">
              <w:rPr>
                <w:rFonts w:ascii="David" w:hAnsi="David" w:hint="cs"/>
                <w:b/>
                <w:bCs/>
                <w:sz w:val="26"/>
                <w:szCs w:val="26"/>
                <w:rtl/>
              </w:rPr>
              <w:t xml:space="preserve">                        </w:t>
            </w:r>
            <w:r w:rsidRPr="004968A2">
              <w:rPr>
                <w:rFonts w:ascii="David" w:hAnsi="David"/>
                <w:b/>
                <w:bCs/>
                <w:sz w:val="26"/>
                <w:szCs w:val="26"/>
                <w:rtl/>
              </w:rPr>
              <w:t>נ</w:t>
            </w:r>
            <w:r w:rsidRPr="004968A2">
              <w:rPr>
                <w:rFonts w:ascii="David" w:hAnsi="David" w:hint="cs"/>
                <w:b/>
                <w:bCs/>
                <w:sz w:val="26"/>
                <w:szCs w:val="26"/>
                <w:rtl/>
              </w:rPr>
              <w:t xml:space="preserve"> </w:t>
            </w:r>
            <w:r w:rsidRPr="004968A2">
              <w:rPr>
                <w:rFonts w:ascii="David" w:hAnsi="David"/>
                <w:b/>
                <w:bCs/>
                <w:sz w:val="26"/>
                <w:szCs w:val="26"/>
                <w:rtl/>
              </w:rPr>
              <w:t>ג</w:t>
            </w:r>
            <w:r w:rsidRPr="004968A2">
              <w:rPr>
                <w:rFonts w:ascii="David" w:hAnsi="David" w:hint="cs"/>
                <w:b/>
                <w:bCs/>
                <w:sz w:val="26"/>
                <w:szCs w:val="26"/>
                <w:rtl/>
              </w:rPr>
              <w:t xml:space="preserve"> </w:t>
            </w:r>
            <w:r w:rsidRPr="004968A2">
              <w:rPr>
                <w:rFonts w:ascii="David" w:hAnsi="David"/>
                <w:b/>
                <w:bCs/>
                <w:sz w:val="26"/>
                <w:szCs w:val="26"/>
                <w:rtl/>
              </w:rPr>
              <w:t>ד</w:t>
            </w:r>
          </w:p>
          <w:p w14:paraId="3241D01E" w14:textId="77777777" w:rsidR="00212B9A" w:rsidRPr="004968A2" w:rsidRDefault="00212B9A" w:rsidP="00212B9A">
            <w:pPr>
              <w:spacing w:line="360" w:lineRule="auto"/>
              <w:jc w:val="both"/>
              <w:rPr>
                <w:rFonts w:ascii="David" w:hAnsi="David"/>
                <w:b/>
                <w:bCs/>
                <w:sz w:val="26"/>
                <w:szCs w:val="26"/>
              </w:rPr>
            </w:pPr>
          </w:p>
        </w:tc>
      </w:tr>
      <w:tr w:rsidR="00212B9A" w:rsidRPr="004968A2" w14:paraId="65256F86" w14:textId="77777777" w:rsidTr="00AC5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75" w:type="dxa"/>
            <w:gridSpan w:val="2"/>
            <w:tcBorders>
              <w:top w:val="nil"/>
              <w:left w:val="nil"/>
              <w:bottom w:val="nil"/>
              <w:right w:val="nil"/>
            </w:tcBorders>
            <w:shd w:val="clear" w:color="auto" w:fill="auto"/>
          </w:tcPr>
          <w:p w14:paraId="3D4728EA" w14:textId="77777777" w:rsidR="00212B9A" w:rsidRPr="004968A2" w:rsidRDefault="00212B9A" w:rsidP="00212B9A">
            <w:pPr>
              <w:spacing w:line="360" w:lineRule="auto"/>
              <w:rPr>
                <w:rFonts w:ascii="David" w:hAnsi="David"/>
                <w:b/>
                <w:bCs/>
                <w:sz w:val="26"/>
                <w:szCs w:val="26"/>
                <w:rtl/>
              </w:rPr>
            </w:pPr>
            <w:r w:rsidRPr="004968A2">
              <w:rPr>
                <w:rFonts w:ascii="David" w:hAnsi="David" w:hint="cs"/>
                <w:b/>
                <w:bCs/>
                <w:sz w:val="26"/>
                <w:szCs w:val="26"/>
                <w:rtl/>
              </w:rPr>
              <w:t>הנאשם:</w:t>
            </w:r>
          </w:p>
        </w:tc>
        <w:tc>
          <w:tcPr>
            <w:tcW w:w="7445" w:type="dxa"/>
            <w:gridSpan w:val="3"/>
            <w:tcBorders>
              <w:top w:val="nil"/>
              <w:left w:val="nil"/>
              <w:bottom w:val="nil"/>
              <w:right w:val="nil"/>
            </w:tcBorders>
            <w:shd w:val="clear" w:color="auto" w:fill="auto"/>
          </w:tcPr>
          <w:p w14:paraId="6DF9686E" w14:textId="77777777" w:rsidR="00212B9A" w:rsidRPr="004968A2" w:rsidRDefault="00212B9A" w:rsidP="00212B9A">
            <w:pPr>
              <w:spacing w:line="360" w:lineRule="auto"/>
              <w:rPr>
                <w:rFonts w:ascii="Arial" w:hAnsi="Arial"/>
                <w:b/>
                <w:bCs/>
                <w:sz w:val="26"/>
                <w:szCs w:val="26"/>
                <w:rtl/>
              </w:rPr>
            </w:pPr>
            <w:r w:rsidRPr="004968A2">
              <w:rPr>
                <w:rFonts w:ascii="Arial" w:hAnsi="Arial" w:hint="cs"/>
                <w:b/>
                <w:bCs/>
                <w:sz w:val="26"/>
                <w:szCs w:val="26"/>
                <w:rtl/>
              </w:rPr>
              <w:t>אבירם זגורי (עצור)</w:t>
            </w:r>
          </w:p>
          <w:p w14:paraId="1428327C" w14:textId="77777777" w:rsidR="00212B9A" w:rsidRPr="004968A2" w:rsidRDefault="00212B9A" w:rsidP="00212B9A">
            <w:pPr>
              <w:suppressLineNumbers/>
              <w:spacing w:line="360" w:lineRule="auto"/>
              <w:rPr>
                <w:rFonts w:ascii="David" w:hAnsi="David"/>
                <w:b/>
                <w:bCs/>
                <w:sz w:val="26"/>
                <w:szCs w:val="26"/>
              </w:rPr>
            </w:pPr>
            <w:r w:rsidRPr="004968A2">
              <w:rPr>
                <w:rFonts w:ascii="Arial" w:hAnsi="Arial" w:hint="cs"/>
                <w:b/>
                <w:bCs/>
                <w:sz w:val="26"/>
                <w:szCs w:val="26"/>
                <w:rtl/>
              </w:rPr>
              <w:t xml:space="preserve">על ידי ב"כ </w:t>
            </w:r>
            <w:r w:rsidRPr="004968A2">
              <w:rPr>
                <w:rFonts w:ascii="Arial" w:hAnsi="Arial"/>
                <w:b/>
                <w:bCs/>
                <w:sz w:val="26"/>
                <w:szCs w:val="26"/>
                <w:rtl/>
              </w:rPr>
              <w:t>–</w:t>
            </w:r>
            <w:r w:rsidRPr="004968A2">
              <w:rPr>
                <w:rFonts w:ascii="Arial" w:hAnsi="Arial" w:hint="cs"/>
                <w:b/>
                <w:bCs/>
                <w:sz w:val="26"/>
                <w:szCs w:val="26"/>
                <w:rtl/>
              </w:rPr>
              <w:t xml:space="preserve"> עו"ד בועז קניג ועו"ד מור עטיה </w:t>
            </w:r>
          </w:p>
        </w:tc>
      </w:tr>
    </w:tbl>
    <w:p w14:paraId="68345586" w14:textId="77777777" w:rsidR="00AC552B" w:rsidRDefault="00AC552B" w:rsidP="00212B9A">
      <w:pPr>
        <w:rPr>
          <w:sz w:val="26"/>
          <w:szCs w:val="26"/>
          <w:rtl/>
        </w:rPr>
      </w:pPr>
    </w:p>
    <w:p w14:paraId="3AC1DA75" w14:textId="77777777" w:rsidR="00AC552B" w:rsidRPr="00AC552B" w:rsidRDefault="00AC552B" w:rsidP="00AC552B">
      <w:pPr>
        <w:spacing w:after="120" w:line="240" w:lineRule="exact"/>
        <w:ind w:left="283" w:hanging="283"/>
        <w:jc w:val="both"/>
        <w:rPr>
          <w:rFonts w:ascii="FrankRuehl" w:hAnsi="FrankRuehl" w:cs="FrankRuehl"/>
          <w:rtl/>
        </w:rPr>
      </w:pPr>
    </w:p>
    <w:p w14:paraId="39E6A01B" w14:textId="77777777" w:rsidR="0074446E" w:rsidRDefault="0074446E" w:rsidP="0074446E">
      <w:pPr>
        <w:rPr>
          <w:rFonts w:ascii="Arial" w:hAnsi="Arial"/>
          <w:sz w:val="26"/>
          <w:szCs w:val="26"/>
          <w:rtl/>
        </w:rPr>
      </w:pPr>
      <w:bookmarkStart w:id="3" w:name="LawTable"/>
      <w:bookmarkEnd w:id="3"/>
    </w:p>
    <w:p w14:paraId="5F991156" w14:textId="77777777" w:rsidR="0074446E" w:rsidRPr="0074446E" w:rsidRDefault="0074446E" w:rsidP="0074446E">
      <w:pPr>
        <w:spacing w:before="120" w:after="120" w:line="240" w:lineRule="exact"/>
        <w:ind w:left="283" w:hanging="283"/>
        <w:jc w:val="both"/>
        <w:rPr>
          <w:rFonts w:ascii="FrankRuehl" w:hAnsi="FrankRuehl" w:cs="FrankRuehl"/>
          <w:rtl/>
        </w:rPr>
      </w:pPr>
    </w:p>
    <w:p w14:paraId="0E3AEECE" w14:textId="77777777" w:rsidR="0074446E" w:rsidRPr="0074446E" w:rsidRDefault="0074446E" w:rsidP="0074446E">
      <w:pPr>
        <w:spacing w:before="120" w:after="120" w:line="240" w:lineRule="exact"/>
        <w:ind w:left="283" w:hanging="283"/>
        <w:jc w:val="both"/>
        <w:rPr>
          <w:rFonts w:ascii="FrankRuehl" w:hAnsi="FrankRuehl" w:cs="FrankRuehl"/>
          <w:rtl/>
        </w:rPr>
      </w:pPr>
    </w:p>
    <w:p w14:paraId="05E81128" w14:textId="77777777" w:rsidR="0074446E" w:rsidRPr="0074446E" w:rsidRDefault="0074446E" w:rsidP="0074446E">
      <w:pPr>
        <w:spacing w:before="120" w:after="120" w:line="240" w:lineRule="exact"/>
        <w:ind w:left="283" w:hanging="283"/>
        <w:jc w:val="both"/>
        <w:rPr>
          <w:rFonts w:ascii="FrankRuehl" w:hAnsi="FrankRuehl" w:cs="FrankRuehl"/>
          <w:rtl/>
        </w:rPr>
      </w:pPr>
      <w:r w:rsidRPr="0074446E">
        <w:rPr>
          <w:rFonts w:ascii="FrankRuehl" w:hAnsi="FrankRuehl" w:cs="FrankRuehl"/>
          <w:rtl/>
        </w:rPr>
        <w:t xml:space="preserve">חקיקה שאוזכרה: </w:t>
      </w:r>
    </w:p>
    <w:p w14:paraId="32E6E77A" w14:textId="77777777" w:rsidR="0074446E" w:rsidRPr="0074446E" w:rsidRDefault="0074446E" w:rsidP="0074446E">
      <w:pPr>
        <w:spacing w:before="120" w:after="120" w:line="240" w:lineRule="exact"/>
        <w:ind w:left="283" w:hanging="283"/>
        <w:jc w:val="both"/>
        <w:rPr>
          <w:rFonts w:ascii="FrankRuehl" w:hAnsi="FrankRuehl" w:cs="FrankRuehl"/>
          <w:rtl/>
        </w:rPr>
      </w:pPr>
      <w:hyperlink r:id="rId7" w:history="1">
        <w:r w:rsidRPr="0074446E">
          <w:rPr>
            <w:rFonts w:ascii="FrankRuehl" w:hAnsi="FrankRuehl" w:cs="FrankRuehl"/>
            <w:color w:val="0000FF"/>
            <w:rtl/>
          </w:rPr>
          <w:t>חוק העונשין, תשל"ז-1977</w:t>
        </w:r>
      </w:hyperlink>
      <w:r w:rsidRPr="0074446E">
        <w:rPr>
          <w:rFonts w:ascii="FrankRuehl" w:hAnsi="FrankRuehl" w:cs="FrankRuehl"/>
          <w:rtl/>
        </w:rPr>
        <w:t xml:space="preserve">: סע'  </w:t>
      </w:r>
      <w:hyperlink r:id="rId8" w:history="1">
        <w:r w:rsidRPr="0074446E">
          <w:rPr>
            <w:rFonts w:ascii="FrankRuehl" w:hAnsi="FrankRuehl" w:cs="FrankRuehl"/>
            <w:color w:val="0000FF"/>
            <w:rtl/>
          </w:rPr>
          <w:t>34א</w:t>
        </w:r>
      </w:hyperlink>
      <w:r w:rsidRPr="0074446E">
        <w:rPr>
          <w:rFonts w:ascii="FrankRuehl" w:hAnsi="FrankRuehl" w:cs="FrankRuehl"/>
          <w:rtl/>
        </w:rPr>
        <w:t xml:space="preserve">, </w:t>
      </w:r>
      <w:hyperlink r:id="rId9" w:history="1">
        <w:r w:rsidRPr="0074446E">
          <w:rPr>
            <w:rFonts w:ascii="FrankRuehl" w:hAnsi="FrankRuehl" w:cs="FrankRuehl"/>
            <w:color w:val="0000FF"/>
            <w:rtl/>
          </w:rPr>
          <w:t>34ט</w:t>
        </w:r>
      </w:hyperlink>
      <w:r w:rsidRPr="0074446E">
        <w:rPr>
          <w:rFonts w:ascii="FrankRuehl" w:hAnsi="FrankRuehl" w:cs="FrankRuehl"/>
          <w:rtl/>
        </w:rPr>
        <w:t xml:space="preserve">, </w:t>
      </w:r>
      <w:hyperlink r:id="rId10" w:history="1">
        <w:r w:rsidRPr="0074446E">
          <w:rPr>
            <w:rFonts w:ascii="FrankRuehl" w:hAnsi="FrankRuehl" w:cs="FrankRuehl"/>
            <w:color w:val="0000FF"/>
            <w:rtl/>
          </w:rPr>
          <w:t>58</w:t>
        </w:r>
      </w:hyperlink>
      <w:r w:rsidRPr="0074446E">
        <w:rPr>
          <w:rFonts w:ascii="FrankRuehl" w:hAnsi="FrankRuehl" w:cs="FrankRuehl"/>
          <w:rtl/>
        </w:rPr>
        <w:t xml:space="preserve">, </w:t>
      </w:r>
      <w:hyperlink r:id="rId11" w:history="1">
        <w:r w:rsidRPr="0074446E">
          <w:rPr>
            <w:rFonts w:ascii="FrankRuehl" w:hAnsi="FrankRuehl" w:cs="FrankRuehl"/>
            <w:color w:val="0000FF"/>
            <w:rtl/>
          </w:rPr>
          <w:t>77</w:t>
        </w:r>
      </w:hyperlink>
      <w:r w:rsidRPr="0074446E">
        <w:rPr>
          <w:rFonts w:ascii="FrankRuehl" w:hAnsi="FrankRuehl" w:cs="FrankRuehl"/>
          <w:rtl/>
        </w:rPr>
        <w:t xml:space="preserve">, </w:t>
      </w:r>
      <w:hyperlink r:id="rId12" w:history="1">
        <w:r w:rsidRPr="0074446E">
          <w:rPr>
            <w:rFonts w:ascii="FrankRuehl" w:hAnsi="FrankRuehl" w:cs="FrankRuehl"/>
            <w:color w:val="0000FF"/>
            <w:rtl/>
          </w:rPr>
          <w:t>144(ב)</w:t>
        </w:r>
      </w:hyperlink>
      <w:r w:rsidRPr="0074446E">
        <w:rPr>
          <w:rFonts w:ascii="FrankRuehl" w:hAnsi="FrankRuehl" w:cs="FrankRuehl"/>
          <w:rtl/>
        </w:rPr>
        <w:t xml:space="preserve">, </w:t>
      </w:r>
      <w:hyperlink r:id="rId13" w:history="1">
        <w:r w:rsidRPr="0074446E">
          <w:rPr>
            <w:rFonts w:ascii="FrankRuehl" w:hAnsi="FrankRuehl" w:cs="FrankRuehl"/>
            <w:color w:val="0000FF"/>
            <w:rtl/>
          </w:rPr>
          <w:t>300(א)(4)</w:t>
        </w:r>
      </w:hyperlink>
      <w:r w:rsidRPr="0074446E">
        <w:rPr>
          <w:rFonts w:ascii="FrankRuehl" w:hAnsi="FrankRuehl" w:cs="FrankRuehl"/>
          <w:rtl/>
        </w:rPr>
        <w:t xml:space="preserve">, </w:t>
      </w:r>
      <w:hyperlink r:id="rId14" w:history="1">
        <w:r w:rsidRPr="0074446E">
          <w:rPr>
            <w:rFonts w:ascii="FrankRuehl" w:hAnsi="FrankRuehl" w:cs="FrankRuehl"/>
            <w:color w:val="0000FF"/>
            <w:rtl/>
          </w:rPr>
          <w:t>305</w:t>
        </w:r>
      </w:hyperlink>
      <w:r w:rsidRPr="0074446E">
        <w:rPr>
          <w:rFonts w:ascii="FrankRuehl" w:hAnsi="FrankRuehl" w:cs="FrankRuehl"/>
          <w:rtl/>
        </w:rPr>
        <w:t xml:space="preserve">, </w:t>
      </w:r>
      <w:hyperlink r:id="rId15" w:history="1">
        <w:r w:rsidRPr="0074446E">
          <w:rPr>
            <w:rFonts w:ascii="FrankRuehl" w:hAnsi="FrankRuehl" w:cs="FrankRuehl"/>
            <w:color w:val="0000FF"/>
            <w:rtl/>
          </w:rPr>
          <w:t>305(1).</w:t>
        </w:r>
      </w:hyperlink>
      <w:r w:rsidRPr="0074446E">
        <w:rPr>
          <w:rFonts w:ascii="FrankRuehl" w:hAnsi="FrankRuehl" w:cs="FrankRuehl"/>
          <w:rtl/>
        </w:rPr>
        <w:t xml:space="preserve">, </w:t>
      </w:r>
      <w:hyperlink r:id="rId16" w:history="1">
        <w:r w:rsidRPr="0074446E">
          <w:rPr>
            <w:rFonts w:ascii="FrankRuehl" w:hAnsi="FrankRuehl" w:cs="FrankRuehl"/>
            <w:color w:val="0000FF"/>
            <w:rtl/>
          </w:rPr>
          <w:t>329(א)(1)</w:t>
        </w:r>
      </w:hyperlink>
      <w:r w:rsidRPr="0074446E">
        <w:rPr>
          <w:rFonts w:ascii="FrankRuehl" w:hAnsi="FrankRuehl" w:cs="FrankRuehl"/>
          <w:rtl/>
        </w:rPr>
        <w:t xml:space="preserve">, </w:t>
      </w:r>
      <w:hyperlink r:id="rId17" w:history="1">
        <w:r w:rsidRPr="0074446E">
          <w:rPr>
            <w:rFonts w:ascii="FrankRuehl" w:hAnsi="FrankRuehl" w:cs="FrankRuehl"/>
            <w:color w:val="0000FF"/>
            <w:rtl/>
          </w:rPr>
          <w:t>379</w:t>
        </w:r>
      </w:hyperlink>
      <w:r w:rsidRPr="0074446E">
        <w:rPr>
          <w:rFonts w:ascii="FrankRuehl" w:hAnsi="FrankRuehl" w:cs="FrankRuehl"/>
          <w:rtl/>
        </w:rPr>
        <w:t xml:space="preserve">, </w:t>
      </w:r>
      <w:hyperlink r:id="rId18" w:history="1">
        <w:r w:rsidRPr="0074446E">
          <w:rPr>
            <w:rFonts w:ascii="FrankRuehl" w:hAnsi="FrankRuehl" w:cs="FrankRuehl"/>
            <w:color w:val="0000FF"/>
            <w:rtl/>
          </w:rPr>
          <w:t>40יא(6)</w:t>
        </w:r>
      </w:hyperlink>
    </w:p>
    <w:p w14:paraId="5F4AF2C8" w14:textId="77777777" w:rsidR="0074446E" w:rsidRPr="0074446E" w:rsidRDefault="0074446E" w:rsidP="0074446E">
      <w:pPr>
        <w:spacing w:before="120" w:after="120" w:line="240" w:lineRule="exact"/>
        <w:ind w:left="283" w:hanging="283"/>
        <w:jc w:val="both"/>
        <w:rPr>
          <w:rFonts w:ascii="FrankRuehl" w:hAnsi="FrankRuehl" w:cs="FrankRuehl"/>
          <w:rtl/>
        </w:rPr>
      </w:pPr>
      <w:hyperlink r:id="rId19" w:history="1">
        <w:r w:rsidRPr="0074446E">
          <w:rPr>
            <w:rFonts w:ascii="FrankRuehl" w:hAnsi="FrankRuehl" w:cs="FrankRuehl"/>
            <w:color w:val="0000FF"/>
            <w:rtl/>
          </w:rPr>
          <w:t>חוק שחרור על-תנאי ממאסר, תשס"א-2001</w:t>
        </w:r>
      </w:hyperlink>
      <w:r w:rsidRPr="0074446E">
        <w:rPr>
          <w:rFonts w:ascii="FrankRuehl" w:hAnsi="FrankRuehl" w:cs="FrankRuehl"/>
          <w:rtl/>
        </w:rPr>
        <w:t xml:space="preserve">: סע'  </w:t>
      </w:r>
      <w:hyperlink r:id="rId20" w:history="1">
        <w:r w:rsidRPr="0074446E">
          <w:rPr>
            <w:rFonts w:ascii="FrankRuehl" w:hAnsi="FrankRuehl" w:cs="FrankRuehl"/>
            <w:color w:val="0000FF"/>
            <w:rtl/>
          </w:rPr>
          <w:t>30ב</w:t>
        </w:r>
      </w:hyperlink>
    </w:p>
    <w:p w14:paraId="5950DD16" w14:textId="77777777" w:rsidR="0074446E" w:rsidRPr="0074446E" w:rsidRDefault="0074446E" w:rsidP="0074446E">
      <w:pPr>
        <w:rPr>
          <w:rFonts w:ascii="Arial" w:hAnsi="Arial"/>
          <w:sz w:val="26"/>
          <w:szCs w:val="26"/>
          <w:rtl/>
        </w:rPr>
      </w:pPr>
      <w:bookmarkStart w:id="4" w:name="LawTable_End"/>
      <w:bookmarkEnd w:id="4"/>
    </w:p>
    <w:p w14:paraId="0E3E8D8E" w14:textId="77777777" w:rsidR="00212B9A" w:rsidRPr="004968A2" w:rsidRDefault="00212B9A" w:rsidP="00212B9A">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2B9A" w14:paraId="01C340E6" w14:textId="77777777" w:rsidTr="00212B9A">
        <w:trPr>
          <w:trHeight w:val="355"/>
          <w:jc w:val="center"/>
        </w:trPr>
        <w:tc>
          <w:tcPr>
            <w:tcW w:w="8820" w:type="dxa"/>
            <w:tcBorders>
              <w:top w:val="nil"/>
              <w:left w:val="nil"/>
              <w:bottom w:val="nil"/>
              <w:right w:val="nil"/>
            </w:tcBorders>
            <w:shd w:val="clear" w:color="auto" w:fill="auto"/>
          </w:tcPr>
          <w:p w14:paraId="10C93E08" w14:textId="77777777" w:rsidR="004968A2" w:rsidRPr="004968A2" w:rsidRDefault="004968A2" w:rsidP="004968A2">
            <w:pPr>
              <w:jc w:val="center"/>
              <w:rPr>
                <w:rFonts w:ascii="David" w:hAnsi="David"/>
                <w:b/>
                <w:bCs/>
                <w:sz w:val="32"/>
                <w:szCs w:val="32"/>
                <w:u w:val="single"/>
                <w:rtl/>
              </w:rPr>
            </w:pPr>
            <w:bookmarkStart w:id="5" w:name="PsakDin" w:colFirst="0" w:colLast="0"/>
            <w:r w:rsidRPr="004968A2">
              <w:rPr>
                <w:rFonts w:ascii="David" w:hAnsi="David"/>
                <w:b/>
                <w:bCs/>
                <w:sz w:val="32"/>
                <w:szCs w:val="32"/>
                <w:u w:val="single"/>
                <w:rtl/>
              </w:rPr>
              <w:t>גזר דין</w:t>
            </w:r>
          </w:p>
          <w:p w14:paraId="135D6A49" w14:textId="77777777" w:rsidR="00212B9A" w:rsidRPr="004968A2" w:rsidRDefault="00212B9A" w:rsidP="004968A2">
            <w:pPr>
              <w:jc w:val="center"/>
              <w:rPr>
                <w:rFonts w:ascii="David" w:hAnsi="David"/>
                <w:bCs/>
                <w:sz w:val="32"/>
                <w:szCs w:val="32"/>
                <w:u w:val="single"/>
                <w:rtl/>
              </w:rPr>
            </w:pPr>
          </w:p>
        </w:tc>
      </w:tr>
      <w:bookmarkEnd w:id="5"/>
    </w:tbl>
    <w:p w14:paraId="3A9D6AE2" w14:textId="77777777" w:rsidR="00212B9A" w:rsidRDefault="00212B9A" w:rsidP="00212B9A">
      <w:pPr>
        <w:rPr>
          <w:rFonts w:ascii="Arial" w:hAnsi="Arial"/>
          <w:b/>
          <w:bCs/>
          <w:sz w:val="26"/>
          <w:szCs w:val="26"/>
          <w:rtl/>
        </w:rPr>
      </w:pPr>
    </w:p>
    <w:p w14:paraId="441A23D7" w14:textId="77777777" w:rsidR="00212B9A" w:rsidRDefault="00212B9A" w:rsidP="00212B9A">
      <w:pPr>
        <w:suppressLineNumbers/>
        <w:jc w:val="center"/>
        <w:rPr>
          <w:rtl/>
        </w:rPr>
      </w:pPr>
    </w:p>
    <w:p w14:paraId="39DDC161" w14:textId="77777777" w:rsidR="00212B9A" w:rsidRPr="0055382B" w:rsidRDefault="00212B9A" w:rsidP="00212B9A">
      <w:pPr>
        <w:pStyle w:val="a9"/>
        <w:spacing w:line="360" w:lineRule="auto"/>
        <w:jc w:val="both"/>
        <w:rPr>
          <w:rFonts w:cs="David"/>
          <w:b/>
          <w:bCs/>
          <w:sz w:val="24"/>
          <w:szCs w:val="24"/>
        </w:rPr>
      </w:pPr>
      <w:r w:rsidRPr="0055382B">
        <w:rPr>
          <w:rFonts w:cs="David" w:hint="cs"/>
          <w:sz w:val="24"/>
          <w:szCs w:val="24"/>
          <w:u w:val="single"/>
          <w:rtl/>
        </w:rPr>
        <w:t>כב' השופטת דינה כהן</w:t>
      </w:r>
      <w:r>
        <w:rPr>
          <w:rFonts w:cs="David" w:hint="cs"/>
          <w:sz w:val="24"/>
          <w:szCs w:val="24"/>
          <w:rtl/>
        </w:rPr>
        <w:t>:</w:t>
      </w:r>
    </w:p>
    <w:p w14:paraId="0B506AA7" w14:textId="77777777" w:rsidR="00212B9A" w:rsidRDefault="00212B9A" w:rsidP="00212B9A">
      <w:pPr>
        <w:pStyle w:val="a9"/>
        <w:numPr>
          <w:ilvl w:val="0"/>
          <w:numId w:val="1"/>
        </w:numPr>
        <w:spacing w:line="360" w:lineRule="auto"/>
        <w:jc w:val="both"/>
        <w:rPr>
          <w:rFonts w:cs="David"/>
          <w:b/>
          <w:bCs/>
          <w:sz w:val="24"/>
          <w:szCs w:val="24"/>
        </w:rPr>
      </w:pPr>
      <w:bookmarkStart w:id="6" w:name="ABSTRACT_START"/>
      <w:bookmarkEnd w:id="6"/>
      <w:r>
        <w:rPr>
          <w:rFonts w:cs="David" w:hint="cs"/>
          <w:sz w:val="24"/>
          <w:szCs w:val="24"/>
          <w:rtl/>
        </w:rPr>
        <w:t xml:space="preserve">ביום 15.11.18 </w:t>
      </w:r>
      <w:r w:rsidRPr="00A46B19">
        <w:rPr>
          <w:rFonts w:cs="David" w:hint="cs"/>
          <w:sz w:val="24"/>
          <w:szCs w:val="24"/>
          <w:rtl/>
        </w:rPr>
        <w:t>במ</w:t>
      </w:r>
      <w:r>
        <w:rPr>
          <w:rFonts w:cs="David" w:hint="cs"/>
          <w:sz w:val="24"/>
          <w:szCs w:val="24"/>
          <w:rtl/>
        </w:rPr>
        <w:t xml:space="preserve">הלך מסיבת הפתעה לכבוד יום הולדתו ה-21, נורה המנוח רותם הרוש ז"ל למוות, בסמטה הסמוכה לביתו. אמו של המנוח, שולה הרוש, וחברו, אדם מסרוגה, נפצעו מירי נוסף לעברם באותו אירוע. </w:t>
      </w:r>
    </w:p>
    <w:p w14:paraId="271835ED" w14:textId="77777777" w:rsidR="00212B9A" w:rsidRPr="00A46B19" w:rsidRDefault="00212B9A" w:rsidP="00212B9A">
      <w:pPr>
        <w:pStyle w:val="a9"/>
        <w:spacing w:line="360" w:lineRule="auto"/>
        <w:jc w:val="both"/>
        <w:rPr>
          <w:rFonts w:cs="David"/>
          <w:b/>
          <w:bCs/>
          <w:sz w:val="24"/>
          <w:szCs w:val="24"/>
        </w:rPr>
      </w:pPr>
    </w:p>
    <w:p w14:paraId="66D993D8" w14:textId="77777777" w:rsidR="00212B9A" w:rsidRDefault="00212B9A" w:rsidP="00212B9A">
      <w:pPr>
        <w:pStyle w:val="a9"/>
        <w:spacing w:line="360" w:lineRule="auto"/>
        <w:jc w:val="both"/>
        <w:rPr>
          <w:rFonts w:cs="David"/>
          <w:sz w:val="24"/>
          <w:szCs w:val="24"/>
          <w:rtl/>
        </w:rPr>
      </w:pPr>
      <w:bookmarkStart w:id="7" w:name="ABSTRACT_END"/>
      <w:bookmarkEnd w:id="7"/>
      <w:r>
        <w:rPr>
          <w:rFonts w:cs="David" w:hint="cs"/>
          <w:sz w:val="24"/>
          <w:szCs w:val="24"/>
          <w:rtl/>
        </w:rPr>
        <w:t xml:space="preserve">בהכרעת הדין מיום 26.5.22, לאחר שמיעת ראיות, הורשע הנאשם, יליד 1990, ברציחתו של המנוח, בניסיון לרצח של אדם מסרוגה ובחבלה בכוונה מחמירה של שולה הרוש והכל תוך נשיאה והובלת נשק. העבירות בהן הורשע הנאשם הן: </w:t>
      </w:r>
      <w:r w:rsidRPr="009A72DC">
        <w:rPr>
          <w:rFonts w:cs="David" w:hint="cs"/>
          <w:b/>
          <w:bCs/>
          <w:sz w:val="24"/>
          <w:szCs w:val="24"/>
          <w:rtl/>
        </w:rPr>
        <w:t>רצח</w:t>
      </w:r>
      <w:r w:rsidRPr="00E60EE5">
        <w:rPr>
          <w:rFonts w:cs="David" w:hint="cs"/>
          <w:sz w:val="24"/>
          <w:szCs w:val="24"/>
          <w:rtl/>
        </w:rPr>
        <w:t xml:space="preserve"> לפי </w:t>
      </w:r>
      <w:hyperlink r:id="rId21"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300(</w:t>
        </w:r>
        <w:r w:rsidR="00AC552B" w:rsidRPr="00AC552B">
          <w:rPr>
            <w:rStyle w:val="Hyperlink"/>
            <w:rFonts w:cs="David" w:hint="cs"/>
            <w:sz w:val="24"/>
            <w:szCs w:val="24"/>
            <w:rtl/>
          </w:rPr>
          <w:t>א</w:t>
        </w:r>
        <w:r w:rsidR="00AC552B" w:rsidRPr="00AC552B">
          <w:rPr>
            <w:rStyle w:val="Hyperlink"/>
            <w:rFonts w:cs="David"/>
            <w:sz w:val="24"/>
            <w:szCs w:val="24"/>
            <w:rtl/>
          </w:rPr>
          <w:t>)(4)</w:t>
        </w:r>
      </w:hyperlink>
      <w:r w:rsidRPr="00E60EE5">
        <w:rPr>
          <w:rFonts w:cs="David" w:hint="cs"/>
          <w:sz w:val="24"/>
          <w:szCs w:val="24"/>
          <w:rtl/>
        </w:rPr>
        <w:t xml:space="preserve"> ל</w:t>
      </w:r>
      <w:hyperlink r:id="rId22"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lastRenderedPageBreak/>
          <w:t>העונשין</w:t>
        </w:r>
      </w:hyperlink>
      <w:r w:rsidRPr="00E60EE5">
        <w:rPr>
          <w:rFonts w:cs="David" w:hint="cs"/>
          <w:sz w:val="24"/>
          <w:szCs w:val="24"/>
          <w:rtl/>
        </w:rPr>
        <w:t>,</w:t>
      </w:r>
      <w:r>
        <w:rPr>
          <w:rFonts w:cs="David" w:hint="cs"/>
          <w:sz w:val="24"/>
          <w:szCs w:val="24"/>
          <w:rtl/>
        </w:rPr>
        <w:t xml:space="preserve"> התשל"ז-1977 בנוסחו </w:t>
      </w:r>
      <w:r w:rsidRPr="00E60EE5">
        <w:rPr>
          <w:rFonts w:cs="David" w:hint="cs"/>
          <w:sz w:val="24"/>
          <w:szCs w:val="24"/>
          <w:rtl/>
        </w:rPr>
        <w:t xml:space="preserve">לפני תיקון 137 </w:t>
      </w:r>
      <w:r>
        <w:rPr>
          <w:rFonts w:cs="David" w:hint="cs"/>
          <w:sz w:val="24"/>
          <w:szCs w:val="24"/>
          <w:rtl/>
        </w:rPr>
        <w:t xml:space="preserve">לחוק העונשין </w:t>
      </w:r>
      <w:r w:rsidRPr="00E60EE5">
        <w:rPr>
          <w:rFonts w:cs="David" w:hint="cs"/>
          <w:sz w:val="24"/>
          <w:szCs w:val="24"/>
          <w:rtl/>
        </w:rPr>
        <w:t>שנכנס לתקפו</w:t>
      </w:r>
      <w:r>
        <w:rPr>
          <w:rFonts w:cs="David" w:hint="cs"/>
          <w:sz w:val="24"/>
          <w:szCs w:val="24"/>
          <w:rtl/>
        </w:rPr>
        <w:t xml:space="preserve"> לאחר האירוע,</w:t>
      </w:r>
      <w:r>
        <w:rPr>
          <w:rFonts w:cs="David" w:hint="cs"/>
          <w:b/>
          <w:bCs/>
          <w:sz w:val="24"/>
          <w:szCs w:val="24"/>
          <w:rtl/>
        </w:rPr>
        <w:t xml:space="preserve"> </w:t>
      </w:r>
      <w:r w:rsidRPr="009A72DC">
        <w:rPr>
          <w:rFonts w:cs="David" w:hint="cs"/>
          <w:b/>
          <w:bCs/>
          <w:sz w:val="24"/>
          <w:szCs w:val="24"/>
          <w:rtl/>
        </w:rPr>
        <w:t>ניסיון רצח,</w:t>
      </w:r>
      <w:r>
        <w:rPr>
          <w:rFonts w:cs="David" w:hint="cs"/>
          <w:sz w:val="24"/>
          <w:szCs w:val="24"/>
          <w:rtl/>
        </w:rPr>
        <w:t xml:space="preserve"> לפי </w:t>
      </w:r>
      <w:hyperlink r:id="rId23"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305</w:t>
        </w:r>
      </w:hyperlink>
      <w:r>
        <w:rPr>
          <w:rFonts w:cs="David" w:hint="cs"/>
          <w:sz w:val="24"/>
          <w:szCs w:val="24"/>
          <w:rtl/>
        </w:rPr>
        <w:t xml:space="preserve"> לחוק העונשין,</w:t>
      </w:r>
      <w:r>
        <w:rPr>
          <w:rFonts w:cs="David" w:hint="cs"/>
          <w:b/>
          <w:bCs/>
          <w:sz w:val="24"/>
          <w:szCs w:val="24"/>
          <w:rtl/>
        </w:rPr>
        <w:t xml:space="preserve"> </w:t>
      </w:r>
      <w:r w:rsidRPr="009A72DC">
        <w:rPr>
          <w:rFonts w:cs="David" w:hint="cs"/>
          <w:b/>
          <w:bCs/>
          <w:sz w:val="24"/>
          <w:szCs w:val="24"/>
          <w:rtl/>
        </w:rPr>
        <w:t>חבלה בכוונה מחמירה</w:t>
      </w:r>
      <w:r w:rsidRPr="00E60EE5">
        <w:rPr>
          <w:rFonts w:cs="David" w:hint="cs"/>
          <w:sz w:val="24"/>
          <w:szCs w:val="24"/>
          <w:rtl/>
        </w:rPr>
        <w:t xml:space="preserve"> לפי </w:t>
      </w:r>
      <w:hyperlink r:id="rId24"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329(</w:t>
        </w:r>
        <w:r w:rsidR="00AC552B" w:rsidRPr="00AC552B">
          <w:rPr>
            <w:rStyle w:val="Hyperlink"/>
            <w:rFonts w:cs="David" w:hint="cs"/>
            <w:sz w:val="24"/>
            <w:szCs w:val="24"/>
            <w:rtl/>
          </w:rPr>
          <w:t>א</w:t>
        </w:r>
        <w:r w:rsidR="00AC552B" w:rsidRPr="00AC552B">
          <w:rPr>
            <w:rStyle w:val="Hyperlink"/>
            <w:rFonts w:cs="David"/>
            <w:sz w:val="24"/>
            <w:szCs w:val="24"/>
            <w:rtl/>
          </w:rPr>
          <w:t>)(1)</w:t>
        </w:r>
      </w:hyperlink>
      <w:r w:rsidRPr="00E60EE5">
        <w:rPr>
          <w:rFonts w:cs="David" w:hint="cs"/>
          <w:sz w:val="24"/>
          <w:szCs w:val="24"/>
          <w:rtl/>
        </w:rPr>
        <w:t xml:space="preserve"> לחוק העונשין</w:t>
      </w:r>
      <w:r>
        <w:rPr>
          <w:rFonts w:cs="David" w:hint="cs"/>
          <w:sz w:val="24"/>
          <w:szCs w:val="24"/>
          <w:rtl/>
        </w:rPr>
        <w:t xml:space="preserve"> ו</w:t>
      </w:r>
      <w:r w:rsidRPr="009A72DC">
        <w:rPr>
          <w:rFonts w:cs="David" w:hint="cs"/>
          <w:b/>
          <w:bCs/>
          <w:sz w:val="24"/>
          <w:szCs w:val="24"/>
          <w:rtl/>
        </w:rPr>
        <w:t>נשיאת והובלת נשק</w:t>
      </w:r>
      <w:r w:rsidRPr="00E60EE5">
        <w:rPr>
          <w:rFonts w:cs="David" w:hint="cs"/>
          <w:sz w:val="24"/>
          <w:szCs w:val="24"/>
          <w:rtl/>
        </w:rPr>
        <w:t xml:space="preserve"> לפי </w:t>
      </w:r>
      <w:hyperlink r:id="rId25"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144(</w:t>
        </w:r>
        <w:r w:rsidR="00AC552B" w:rsidRPr="00AC552B">
          <w:rPr>
            <w:rStyle w:val="Hyperlink"/>
            <w:rFonts w:cs="David" w:hint="cs"/>
            <w:sz w:val="24"/>
            <w:szCs w:val="24"/>
            <w:rtl/>
          </w:rPr>
          <w:t>ב</w:t>
        </w:r>
        <w:r w:rsidR="00AC552B" w:rsidRPr="00AC552B">
          <w:rPr>
            <w:rStyle w:val="Hyperlink"/>
            <w:rFonts w:cs="David"/>
            <w:sz w:val="24"/>
            <w:szCs w:val="24"/>
            <w:rtl/>
          </w:rPr>
          <w:t>)</w:t>
        </w:r>
      </w:hyperlink>
      <w:r w:rsidRPr="00E60EE5">
        <w:rPr>
          <w:rFonts w:cs="David" w:hint="cs"/>
          <w:sz w:val="24"/>
          <w:szCs w:val="24"/>
          <w:rtl/>
        </w:rPr>
        <w:t xml:space="preserve"> רישא לחוק העונשין.</w:t>
      </w:r>
    </w:p>
    <w:p w14:paraId="4409C200" w14:textId="77777777" w:rsidR="00212B9A" w:rsidRDefault="00212B9A" w:rsidP="00212B9A">
      <w:pPr>
        <w:pStyle w:val="a9"/>
        <w:spacing w:line="360" w:lineRule="auto"/>
        <w:jc w:val="both"/>
        <w:rPr>
          <w:rFonts w:cs="David"/>
          <w:sz w:val="24"/>
          <w:szCs w:val="24"/>
          <w:rtl/>
        </w:rPr>
      </w:pPr>
    </w:p>
    <w:p w14:paraId="45644F7E" w14:textId="77777777" w:rsidR="00212B9A" w:rsidRPr="00F51674" w:rsidRDefault="00212B9A" w:rsidP="00212B9A">
      <w:pPr>
        <w:pStyle w:val="a9"/>
        <w:spacing w:line="360" w:lineRule="auto"/>
        <w:jc w:val="both"/>
        <w:rPr>
          <w:rFonts w:cs="David"/>
          <w:sz w:val="24"/>
          <w:szCs w:val="24"/>
        </w:rPr>
      </w:pPr>
      <w:bookmarkStart w:id="8" w:name="_Ref103705216"/>
      <w:r>
        <w:rPr>
          <w:rFonts w:cs="David" w:hint="cs"/>
          <w:sz w:val="24"/>
          <w:szCs w:val="24"/>
          <w:rtl/>
        </w:rPr>
        <w:t xml:space="preserve">בהכרעת הדין קבענו, שהנאשם </w:t>
      </w:r>
      <w:r w:rsidRPr="00F51674">
        <w:rPr>
          <w:rFonts w:cs="David"/>
          <w:sz w:val="24"/>
          <w:szCs w:val="24"/>
          <w:rtl/>
        </w:rPr>
        <w:t>הסתכסך והתעמת בתחילת האירוע עם אדם</w:t>
      </w:r>
      <w:r>
        <w:rPr>
          <w:rFonts w:cs="David" w:hint="cs"/>
          <w:sz w:val="24"/>
          <w:szCs w:val="24"/>
          <w:rtl/>
        </w:rPr>
        <w:t xml:space="preserve"> מסרוגה</w:t>
      </w:r>
      <w:r w:rsidRPr="00F51674">
        <w:rPr>
          <w:rFonts w:cs="David"/>
          <w:sz w:val="24"/>
          <w:szCs w:val="24"/>
          <w:rtl/>
        </w:rPr>
        <w:t xml:space="preserve">, עזב את האירוע, התחמש בנשק חם, חזר לאירוע עם </w:t>
      </w:r>
      <w:r>
        <w:rPr>
          <w:rFonts w:cs="David" w:hint="cs"/>
          <w:sz w:val="24"/>
          <w:szCs w:val="24"/>
          <w:rtl/>
        </w:rPr>
        <w:t xml:space="preserve">אחד מאורחי המסיבה </w:t>
      </w:r>
      <w:r w:rsidRPr="00F51674">
        <w:rPr>
          <w:rFonts w:cs="David"/>
          <w:sz w:val="24"/>
          <w:szCs w:val="24"/>
          <w:rtl/>
        </w:rPr>
        <w:t>נאור</w:t>
      </w:r>
      <w:r w:rsidRPr="00F51674">
        <w:rPr>
          <w:rFonts w:cs="David" w:hint="cs"/>
          <w:sz w:val="24"/>
          <w:szCs w:val="24"/>
          <w:rtl/>
        </w:rPr>
        <w:t xml:space="preserve"> מירילשוילי</w:t>
      </w:r>
      <w:r>
        <w:rPr>
          <w:rFonts w:cs="David" w:hint="cs"/>
          <w:sz w:val="24"/>
          <w:szCs w:val="24"/>
          <w:rtl/>
        </w:rPr>
        <w:t>, שקרא לאדם לצאת לסמטה</w:t>
      </w:r>
      <w:r w:rsidRPr="00F51674">
        <w:rPr>
          <w:rFonts w:cs="David"/>
          <w:sz w:val="24"/>
          <w:szCs w:val="24"/>
          <w:rtl/>
        </w:rPr>
        <w:t xml:space="preserve">, </w:t>
      </w:r>
      <w:r>
        <w:rPr>
          <w:rFonts w:cs="David" w:hint="cs"/>
          <w:sz w:val="24"/>
          <w:szCs w:val="24"/>
          <w:rtl/>
        </w:rPr>
        <w:t>הנאשם ש</w:t>
      </w:r>
      <w:r w:rsidRPr="00F51674">
        <w:rPr>
          <w:rFonts w:cs="David"/>
          <w:sz w:val="24"/>
          <w:szCs w:val="24"/>
          <w:rtl/>
        </w:rPr>
        <w:t>ארב לאדם, ירה במרכז גופו מספר יריות</w:t>
      </w:r>
      <w:r>
        <w:rPr>
          <w:rFonts w:cs="David" w:hint="cs"/>
          <w:sz w:val="24"/>
          <w:szCs w:val="24"/>
          <w:rtl/>
        </w:rPr>
        <w:t xml:space="preserve"> ופצע אותו באופן חמור</w:t>
      </w:r>
      <w:r w:rsidRPr="00F51674">
        <w:rPr>
          <w:rFonts w:cs="David"/>
          <w:sz w:val="24"/>
          <w:szCs w:val="24"/>
          <w:rtl/>
        </w:rPr>
        <w:t xml:space="preserve">, ירה בירכה של שולה </w:t>
      </w:r>
      <w:r>
        <w:rPr>
          <w:rFonts w:cs="David" w:hint="cs"/>
          <w:sz w:val="24"/>
          <w:szCs w:val="24"/>
          <w:rtl/>
        </w:rPr>
        <w:t xml:space="preserve">הרוש </w:t>
      </w:r>
      <w:r w:rsidRPr="00F51674">
        <w:rPr>
          <w:rFonts w:cs="David"/>
          <w:sz w:val="24"/>
          <w:szCs w:val="24"/>
          <w:rtl/>
        </w:rPr>
        <w:t xml:space="preserve">שאחזה בו, החל להימלט מן הזירה בעקבות נאור בעוד </w:t>
      </w:r>
      <w:r w:rsidRPr="00F51674">
        <w:rPr>
          <w:rFonts w:cs="David" w:hint="cs"/>
          <w:sz w:val="24"/>
          <w:szCs w:val="24"/>
          <w:rtl/>
        </w:rPr>
        <w:t>המנוח</w:t>
      </w:r>
      <w:r w:rsidRPr="00F51674">
        <w:rPr>
          <w:rFonts w:cs="David"/>
          <w:sz w:val="24"/>
          <w:szCs w:val="24"/>
          <w:rtl/>
        </w:rPr>
        <w:t xml:space="preserve"> רודף אחריו, </w:t>
      </w:r>
      <w:r>
        <w:rPr>
          <w:rFonts w:cs="David" w:hint="cs"/>
          <w:sz w:val="24"/>
          <w:szCs w:val="24"/>
          <w:rtl/>
        </w:rPr>
        <w:t xml:space="preserve">הנאשם </w:t>
      </w:r>
      <w:r w:rsidRPr="00F51674">
        <w:rPr>
          <w:rFonts w:cs="David"/>
          <w:sz w:val="24"/>
          <w:szCs w:val="24"/>
          <w:rtl/>
        </w:rPr>
        <w:t xml:space="preserve">עצר, הסתובב לעבר </w:t>
      </w:r>
      <w:r w:rsidRPr="00F51674">
        <w:rPr>
          <w:rFonts w:cs="David" w:hint="cs"/>
          <w:sz w:val="24"/>
          <w:szCs w:val="24"/>
          <w:rtl/>
        </w:rPr>
        <w:t>המנוח</w:t>
      </w:r>
      <w:r w:rsidRPr="00F51674">
        <w:rPr>
          <w:rFonts w:cs="David"/>
          <w:sz w:val="24"/>
          <w:szCs w:val="24"/>
          <w:rtl/>
        </w:rPr>
        <w:t>, ירה בראשו והרגו</w:t>
      </w:r>
      <w:bookmarkEnd w:id="8"/>
      <w:r>
        <w:rPr>
          <w:rFonts w:cs="David" w:hint="cs"/>
          <w:sz w:val="24"/>
          <w:szCs w:val="24"/>
          <w:rtl/>
        </w:rPr>
        <w:t>.</w:t>
      </w:r>
    </w:p>
    <w:p w14:paraId="344A7847" w14:textId="77777777" w:rsidR="00212B9A" w:rsidRDefault="00212B9A" w:rsidP="00212B9A">
      <w:pPr>
        <w:pStyle w:val="a9"/>
        <w:widowControl w:val="0"/>
        <w:spacing w:after="240" w:line="360" w:lineRule="auto"/>
        <w:jc w:val="both"/>
        <w:rPr>
          <w:rFonts w:cs="David"/>
          <w:sz w:val="24"/>
          <w:szCs w:val="24"/>
        </w:rPr>
      </w:pPr>
      <w:r w:rsidRPr="00F51674">
        <w:rPr>
          <w:rFonts w:cs="David" w:hint="cs"/>
          <w:sz w:val="24"/>
          <w:szCs w:val="24"/>
          <w:rtl/>
        </w:rPr>
        <w:t>נקדים ונציין ש</w:t>
      </w:r>
      <w:r w:rsidRPr="00F51674">
        <w:rPr>
          <w:rFonts w:cs="David"/>
          <w:sz w:val="24"/>
          <w:szCs w:val="24"/>
          <w:rtl/>
        </w:rPr>
        <w:t xml:space="preserve">נאור </w:t>
      </w:r>
      <w:r w:rsidRPr="00F51674">
        <w:rPr>
          <w:rFonts w:cs="David" w:hint="cs"/>
          <w:sz w:val="24"/>
          <w:szCs w:val="24"/>
          <w:rtl/>
        </w:rPr>
        <w:t xml:space="preserve">מירילשוילי הואשם </w:t>
      </w:r>
      <w:r>
        <w:rPr>
          <w:rFonts w:cs="David" w:hint="cs"/>
          <w:sz w:val="24"/>
          <w:szCs w:val="24"/>
          <w:rtl/>
        </w:rPr>
        <w:t xml:space="preserve">בכתב אישום שהוגש נגדו בתאריך 5.6.20, </w:t>
      </w:r>
      <w:r w:rsidRPr="00F51674">
        <w:rPr>
          <w:rFonts w:cs="David" w:hint="cs"/>
          <w:sz w:val="24"/>
          <w:szCs w:val="24"/>
          <w:rtl/>
        </w:rPr>
        <w:t>תחילה כ</w:t>
      </w:r>
      <w:r w:rsidRPr="00F51674">
        <w:rPr>
          <w:rFonts w:cs="David"/>
          <w:sz w:val="24"/>
          <w:szCs w:val="24"/>
          <w:rtl/>
        </w:rPr>
        <w:t>שותפו של הנאשם לעבירות המנויות בכתב האישום</w:t>
      </w:r>
      <w:r w:rsidRPr="00F51674">
        <w:rPr>
          <w:rFonts w:cs="David" w:hint="cs"/>
          <w:sz w:val="24"/>
          <w:szCs w:val="24"/>
          <w:rtl/>
        </w:rPr>
        <w:t xml:space="preserve"> כנאשם </w:t>
      </w:r>
      <w:r w:rsidRPr="00F51674">
        <w:rPr>
          <w:rFonts w:cs="David"/>
          <w:sz w:val="24"/>
          <w:szCs w:val="24"/>
          <w:rtl/>
        </w:rPr>
        <w:t>בתיק שהתנהל בנפרד לפני הרכב אחר של בית משפט זה</w:t>
      </w:r>
      <w:r>
        <w:rPr>
          <w:rFonts w:cs="David" w:hint="cs"/>
          <w:sz w:val="24"/>
          <w:szCs w:val="24"/>
          <w:rtl/>
        </w:rPr>
        <w:t>.</w:t>
      </w:r>
      <w:r w:rsidRPr="00F51674">
        <w:rPr>
          <w:rFonts w:cs="David" w:hint="cs"/>
          <w:sz w:val="24"/>
          <w:szCs w:val="24"/>
          <w:rtl/>
        </w:rPr>
        <w:t xml:space="preserve"> </w:t>
      </w:r>
      <w:r>
        <w:rPr>
          <w:rFonts w:cs="David" w:hint="cs"/>
          <w:sz w:val="24"/>
          <w:szCs w:val="24"/>
          <w:rtl/>
        </w:rPr>
        <w:t xml:space="preserve">בהמשך, </w:t>
      </w:r>
      <w:r w:rsidRPr="00F51674">
        <w:rPr>
          <w:rFonts w:cs="David"/>
          <w:sz w:val="24"/>
          <w:szCs w:val="24"/>
          <w:rtl/>
        </w:rPr>
        <w:t xml:space="preserve">במקביל להגשת הסיכומים בתיק דנן, הורשע נאור, </w:t>
      </w:r>
      <w:r w:rsidRPr="00DF7E54">
        <w:rPr>
          <w:rFonts w:cs="David" w:hint="cs"/>
          <w:sz w:val="24"/>
          <w:szCs w:val="24"/>
          <w:rtl/>
        </w:rPr>
        <w:t>בתאריך 16.11.21</w:t>
      </w:r>
      <w:r>
        <w:rPr>
          <w:rFonts w:cs="David" w:hint="cs"/>
          <w:sz w:val="24"/>
          <w:szCs w:val="24"/>
          <w:rtl/>
        </w:rPr>
        <w:t xml:space="preserve"> </w:t>
      </w:r>
      <w:r w:rsidRPr="00F51674">
        <w:rPr>
          <w:rFonts w:cs="David" w:hint="cs"/>
          <w:sz w:val="24"/>
          <w:szCs w:val="24"/>
          <w:rtl/>
        </w:rPr>
        <w:t>על פי</w:t>
      </w:r>
      <w:r w:rsidRPr="00F51674">
        <w:rPr>
          <w:rFonts w:cs="David"/>
          <w:sz w:val="24"/>
          <w:szCs w:val="24"/>
          <w:rtl/>
        </w:rPr>
        <w:t xml:space="preserve"> הודאתו </w:t>
      </w:r>
      <w:r w:rsidRPr="00F51674">
        <w:rPr>
          <w:rFonts w:cs="David" w:hint="cs"/>
          <w:sz w:val="24"/>
          <w:szCs w:val="24"/>
          <w:rtl/>
        </w:rPr>
        <w:t xml:space="preserve">לאחר שכתב האישום בעניינו תוקן במסגרת </w:t>
      </w:r>
      <w:r w:rsidRPr="00F51674">
        <w:rPr>
          <w:rFonts w:cs="David"/>
          <w:sz w:val="24"/>
          <w:szCs w:val="24"/>
          <w:rtl/>
        </w:rPr>
        <w:t xml:space="preserve">הסדר טיעון, </w:t>
      </w:r>
      <w:r w:rsidRPr="00F51674">
        <w:rPr>
          <w:rFonts w:cs="David" w:hint="cs"/>
          <w:sz w:val="24"/>
          <w:szCs w:val="24"/>
          <w:rtl/>
        </w:rPr>
        <w:t>בעבירות של הריגה, ניסיון לרצח, חבלה חמורה בנסיבות מחמירות ונשיאה והובלת נשק (</w:t>
      </w:r>
      <w:hyperlink r:id="rId26" w:history="1">
        <w:r w:rsidR="004968A2" w:rsidRPr="004968A2">
          <w:rPr>
            <w:rFonts w:cs="David" w:hint="cs"/>
            <w:color w:val="0000FF"/>
            <w:sz w:val="24"/>
            <w:szCs w:val="24"/>
            <w:u w:val="single"/>
            <w:rtl/>
          </w:rPr>
          <w:t>תפ</w:t>
        </w:r>
        <w:r w:rsidR="004968A2" w:rsidRPr="004968A2">
          <w:rPr>
            <w:rFonts w:cs="David"/>
            <w:color w:val="0000FF"/>
            <w:sz w:val="24"/>
            <w:szCs w:val="24"/>
            <w:u w:val="single"/>
            <w:rtl/>
          </w:rPr>
          <w:t>"</w:t>
        </w:r>
        <w:r w:rsidR="004968A2" w:rsidRPr="004968A2">
          <w:rPr>
            <w:rFonts w:cs="David" w:hint="cs"/>
            <w:color w:val="0000FF"/>
            <w:sz w:val="24"/>
            <w:szCs w:val="24"/>
            <w:u w:val="single"/>
            <w:rtl/>
          </w:rPr>
          <w:t>ח</w:t>
        </w:r>
        <w:r w:rsidR="004968A2" w:rsidRPr="004968A2">
          <w:rPr>
            <w:rFonts w:cs="David"/>
            <w:color w:val="0000FF"/>
            <w:sz w:val="24"/>
            <w:szCs w:val="24"/>
            <w:u w:val="single"/>
            <w:rtl/>
          </w:rPr>
          <w:t xml:space="preserve"> 13225-06-20</w:t>
        </w:r>
      </w:hyperlink>
      <w:r w:rsidRPr="00F51674">
        <w:rPr>
          <w:rFonts w:cs="David" w:hint="cs"/>
          <w:sz w:val="24"/>
          <w:szCs w:val="24"/>
          <w:rtl/>
        </w:rPr>
        <w:t>)</w:t>
      </w:r>
      <w:r w:rsidRPr="00F51674">
        <w:rPr>
          <w:rFonts w:cs="David"/>
          <w:sz w:val="24"/>
          <w:szCs w:val="24"/>
          <w:rtl/>
        </w:rPr>
        <w:t>.</w:t>
      </w:r>
    </w:p>
    <w:p w14:paraId="27F51E07" w14:textId="77777777" w:rsidR="00212B9A" w:rsidRDefault="00212B9A" w:rsidP="00212B9A">
      <w:pPr>
        <w:pStyle w:val="a9"/>
        <w:spacing w:line="360" w:lineRule="auto"/>
        <w:jc w:val="both"/>
        <w:rPr>
          <w:rFonts w:cs="David"/>
          <w:sz w:val="24"/>
          <w:szCs w:val="24"/>
          <w:rtl/>
        </w:rPr>
      </w:pPr>
    </w:p>
    <w:p w14:paraId="018DAB0B" w14:textId="77777777" w:rsidR="00212B9A" w:rsidRDefault="00212B9A" w:rsidP="00212B9A">
      <w:pPr>
        <w:pStyle w:val="a9"/>
        <w:numPr>
          <w:ilvl w:val="0"/>
          <w:numId w:val="1"/>
        </w:numPr>
        <w:spacing w:line="360" w:lineRule="auto"/>
        <w:jc w:val="both"/>
        <w:rPr>
          <w:rFonts w:cs="David"/>
          <w:sz w:val="24"/>
          <w:szCs w:val="24"/>
        </w:rPr>
      </w:pPr>
      <w:r>
        <w:rPr>
          <w:rFonts w:cs="David" w:hint="cs"/>
          <w:sz w:val="24"/>
          <w:szCs w:val="24"/>
          <w:rtl/>
        </w:rPr>
        <w:t>ואלה עיקרי ממצאי העובדות שנקבעו בהכרעת הדין:</w:t>
      </w:r>
    </w:p>
    <w:p w14:paraId="32E776D3" w14:textId="77777777" w:rsidR="00212B9A" w:rsidRDefault="00212B9A" w:rsidP="00212B9A">
      <w:pPr>
        <w:pStyle w:val="a9"/>
        <w:spacing w:line="360" w:lineRule="auto"/>
        <w:jc w:val="both"/>
        <w:rPr>
          <w:rFonts w:cs="David"/>
          <w:sz w:val="24"/>
          <w:szCs w:val="24"/>
          <w:rtl/>
        </w:rPr>
      </w:pPr>
    </w:p>
    <w:p w14:paraId="74C64E79"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עובר למסיבה, ביום 15.11.18 בשעה 17:38 פתח אחיו של המנוח קבוצת "ווטסאפ" בשם "יומולדת", וצירף 11 חברים וביניהם הנאשם. בהודעה הראשונה של הקבוצה, בשעה 17:39, האח הקליט הודעה קולית:  "תגידו לי מי רוצה לבוא, אנחנו עושים פה סתם ישיבה פה בגינה, רק אנחנו, צפוף כזה חברים וזהו, קיצור תבואו היום בערב, אני אשלח לכם תיכף באיזה שעה לבוא. עושה מסיבת הפתעה לרותם, לרותם הכושי". </w:t>
      </w:r>
    </w:p>
    <w:p w14:paraId="76BD6AC8" w14:textId="77777777" w:rsidR="00212B9A" w:rsidRPr="00080514" w:rsidRDefault="00212B9A" w:rsidP="00212B9A">
      <w:pPr>
        <w:pStyle w:val="a9"/>
        <w:spacing w:line="360" w:lineRule="auto"/>
        <w:jc w:val="both"/>
        <w:rPr>
          <w:rFonts w:cs="David"/>
          <w:b/>
          <w:bCs/>
          <w:sz w:val="24"/>
          <w:szCs w:val="24"/>
          <w:rtl/>
        </w:rPr>
      </w:pPr>
      <w:r>
        <w:rPr>
          <w:rFonts w:cs="David" w:hint="cs"/>
          <w:sz w:val="24"/>
          <w:szCs w:val="24"/>
          <w:rtl/>
        </w:rPr>
        <w:t xml:space="preserve">בתגובה להודעה זו הקליט הנאשם הודעה קולית בשעה 17:45 </w:t>
      </w:r>
      <w:r w:rsidRPr="00080514">
        <w:rPr>
          <w:rFonts w:cs="David"/>
          <w:b/>
          <w:bCs/>
          <w:sz w:val="24"/>
          <w:szCs w:val="24"/>
          <w:rtl/>
        </w:rPr>
        <w:t xml:space="preserve">"אני היום בא, עושה שם </w:t>
      </w:r>
      <w:r w:rsidRPr="00080514">
        <w:rPr>
          <w:rFonts w:cs="David" w:hint="eastAsia"/>
          <w:b/>
          <w:bCs/>
          <w:sz w:val="24"/>
          <w:szCs w:val="24"/>
          <w:rtl/>
        </w:rPr>
        <w:t>בלאגן</w:t>
      </w:r>
      <w:r w:rsidRPr="00080514">
        <w:rPr>
          <w:rFonts w:cs="David"/>
          <w:b/>
          <w:bCs/>
          <w:sz w:val="24"/>
          <w:szCs w:val="24"/>
          <w:rtl/>
        </w:rPr>
        <w:t xml:space="preserve"> </w:t>
      </w:r>
      <w:r w:rsidRPr="00080514">
        <w:rPr>
          <w:rFonts w:cs="David" w:hint="eastAsia"/>
          <w:b/>
          <w:bCs/>
          <w:sz w:val="24"/>
          <w:szCs w:val="24"/>
          <w:rtl/>
        </w:rPr>
        <w:t>אחושרמוטה</w:t>
      </w:r>
      <w:r w:rsidRPr="00080514">
        <w:rPr>
          <w:rFonts w:cs="David"/>
          <w:b/>
          <w:bCs/>
          <w:sz w:val="24"/>
          <w:szCs w:val="24"/>
          <w:rtl/>
        </w:rPr>
        <w:t xml:space="preserve">, שותה, מרביץ לכולם יא מניאק". </w:t>
      </w:r>
    </w:p>
    <w:p w14:paraId="5BB675C3"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בתגובה לכך הקליט האח הודעה קולית בשעה 17:46 "אבירם אח שלי, אתה לא יכול להרביץ פה לאף אחד אחי, אני על השמירה, אתה עושה בעיה אתה מקבל קיפול, אני קושר אותך בחדר אחי, אני עושה לך קשירת בננה של הימ"ר, תהיה רגוע אח שלי". </w:t>
      </w:r>
    </w:p>
    <w:p w14:paraId="01D0A478" w14:textId="77777777" w:rsidR="00212B9A" w:rsidRPr="00080514" w:rsidRDefault="00212B9A" w:rsidP="00212B9A">
      <w:pPr>
        <w:pStyle w:val="a9"/>
        <w:spacing w:line="360" w:lineRule="auto"/>
        <w:jc w:val="both"/>
        <w:rPr>
          <w:rFonts w:cs="David"/>
          <w:b/>
          <w:bCs/>
          <w:sz w:val="24"/>
          <w:szCs w:val="24"/>
          <w:rtl/>
        </w:rPr>
      </w:pPr>
      <w:r>
        <w:rPr>
          <w:rFonts w:cs="David" w:hint="cs"/>
          <w:sz w:val="24"/>
          <w:szCs w:val="24"/>
          <w:rtl/>
        </w:rPr>
        <w:t xml:space="preserve">בתגובה לכך הקליט הנאשם הודעה קולית בשעה 17:54 </w:t>
      </w:r>
      <w:r w:rsidRPr="00080514">
        <w:rPr>
          <w:rFonts w:cs="David"/>
          <w:b/>
          <w:bCs/>
          <w:sz w:val="24"/>
          <w:szCs w:val="24"/>
          <w:rtl/>
        </w:rPr>
        <w:t xml:space="preserve">"דבר ראשון ידעתי שאתה </w:t>
      </w:r>
      <w:r w:rsidRPr="00080514">
        <w:rPr>
          <w:rFonts w:cs="David" w:hint="eastAsia"/>
          <w:b/>
          <w:bCs/>
          <w:sz w:val="24"/>
          <w:szCs w:val="24"/>
          <w:rtl/>
        </w:rPr>
        <w:t>ימ</w:t>
      </w:r>
      <w:r w:rsidRPr="00080514">
        <w:rPr>
          <w:rFonts w:cs="David"/>
          <w:b/>
          <w:bCs/>
          <w:sz w:val="24"/>
          <w:szCs w:val="24"/>
          <w:rtl/>
        </w:rPr>
        <w:t xml:space="preserve">"רניק כמו שאתה מדבר על </w:t>
      </w:r>
      <w:r w:rsidRPr="00080514">
        <w:rPr>
          <w:rFonts w:cs="David" w:hint="eastAsia"/>
          <w:b/>
          <w:bCs/>
          <w:sz w:val="24"/>
          <w:szCs w:val="24"/>
          <w:rtl/>
        </w:rPr>
        <w:t>הימ</w:t>
      </w:r>
      <w:r w:rsidRPr="00080514">
        <w:rPr>
          <w:rFonts w:cs="David"/>
          <w:b/>
          <w:bCs/>
          <w:sz w:val="24"/>
          <w:szCs w:val="24"/>
          <w:rtl/>
        </w:rPr>
        <w:t xml:space="preserve">"ר, דבר שני יא חתיכת זין, אתה לא יכול לקפל אותי למה אני אזיין את כל מי שיושב שמה ואתה תראה מה אני יעשה שמה היום אחי, אני בא אחי רעול יא חתיכת מניאק". </w:t>
      </w:r>
    </w:p>
    <w:p w14:paraId="3C422EEA" w14:textId="77777777" w:rsidR="00212B9A" w:rsidRDefault="00212B9A" w:rsidP="00212B9A">
      <w:pPr>
        <w:spacing w:line="360" w:lineRule="auto"/>
        <w:ind w:left="720"/>
        <w:jc w:val="both"/>
        <w:rPr>
          <w:rtl/>
        </w:rPr>
      </w:pPr>
      <w:r>
        <w:rPr>
          <w:rFonts w:hint="cs"/>
          <w:rtl/>
        </w:rPr>
        <w:t xml:space="preserve">בתאריך 15.11.18 בסביבות השעה 21:00 המסיבה החלה. </w:t>
      </w:r>
    </w:p>
    <w:p w14:paraId="520E9E00" w14:textId="77777777" w:rsidR="00212B9A" w:rsidRDefault="00212B9A" w:rsidP="00212B9A">
      <w:pPr>
        <w:spacing w:line="360" w:lineRule="auto"/>
        <w:ind w:left="720"/>
        <w:jc w:val="both"/>
        <w:rPr>
          <w:rtl/>
        </w:rPr>
      </w:pPr>
      <w:r>
        <w:rPr>
          <w:rFonts w:hint="cs"/>
          <w:rtl/>
        </w:rPr>
        <w:lastRenderedPageBreak/>
        <w:t xml:space="preserve">הנאשם הגיע למסיבה ובשלב כלשהו הגיע גם נאור. לאחר מכן, במהלך המסיבה ומחוץ לבית, עובר לשעה 01:09 בתאריך 16.11.18 או בסמוך לכך נתגלע ויכוח בין הנאשם לבין אדם מסרוגה. במהלך הוויכוח סטר הנאשם לאדם. </w:t>
      </w:r>
    </w:p>
    <w:p w14:paraId="15D0526D" w14:textId="77777777" w:rsidR="00212B9A" w:rsidRDefault="00212B9A" w:rsidP="00212B9A">
      <w:pPr>
        <w:spacing w:line="360" w:lineRule="auto"/>
        <w:ind w:left="720"/>
        <w:jc w:val="both"/>
        <w:rPr>
          <w:rtl/>
        </w:rPr>
      </w:pPr>
      <w:r>
        <w:rPr>
          <w:rFonts w:hint="cs"/>
          <w:rtl/>
        </w:rPr>
        <w:t>בשלב כלשהו, לאחר האמור לעיל, עזב הנאשם את המסיבה ומאוחר יותר הגיע לביתו של מיכה אדרי בבאר שבע, שם שהה זמן מה. בהמשך, גם נאור הגיע לביתו של מיכה אדרי. בשלב כלשהו השניים שוחחו ביחידות ולאחר זמן מה עזבו את ביתו של מיכה.</w:t>
      </w:r>
    </w:p>
    <w:p w14:paraId="73F6CCB4" w14:textId="77777777" w:rsidR="00212B9A" w:rsidRDefault="00212B9A" w:rsidP="00212B9A">
      <w:pPr>
        <w:spacing w:line="360" w:lineRule="auto"/>
        <w:ind w:left="720"/>
        <w:jc w:val="both"/>
        <w:rPr>
          <w:rtl/>
        </w:rPr>
      </w:pPr>
      <w:r>
        <w:rPr>
          <w:rFonts w:hint="cs"/>
          <w:rtl/>
        </w:rPr>
        <w:t xml:space="preserve">עובר לשעה 03:45 הנאשם הצטייד ברובה מאולתר מסוג "קרלו" ויחד עם נאור הם צעדו לסמטה הנמצאת סמוך לביתו של המנוח, שם התקיימה מסיבת יום ההולדת. </w:t>
      </w:r>
    </w:p>
    <w:p w14:paraId="5E17FC91" w14:textId="77777777" w:rsidR="00212B9A" w:rsidRDefault="00212B9A" w:rsidP="00212B9A">
      <w:pPr>
        <w:spacing w:line="360" w:lineRule="auto"/>
        <w:ind w:left="720"/>
        <w:jc w:val="both"/>
        <w:rPr>
          <w:rtl/>
        </w:rPr>
      </w:pPr>
      <w:r>
        <w:rPr>
          <w:rFonts w:hint="cs"/>
          <w:rtl/>
        </w:rPr>
        <w:t>נאור</w:t>
      </w:r>
      <w:r w:rsidRPr="00CF79DB">
        <w:rPr>
          <w:rFonts w:hint="cs"/>
          <w:rtl/>
        </w:rPr>
        <w:t xml:space="preserve"> הלך לקרוא לאדם לצאת לסמטה ו</w:t>
      </w:r>
      <w:r>
        <w:rPr>
          <w:rFonts w:hint="cs"/>
          <w:rtl/>
        </w:rPr>
        <w:t>הנאשם ארב לו בצל השיחים בפינה חשוכה של הסמטה. המנוח יצא ראשון מהבית ואחריו יצאו אחיו של המנוח ואדם, שצפו עימות והצטיידו בסכינים.</w:t>
      </w:r>
    </w:p>
    <w:p w14:paraId="59412529" w14:textId="77777777" w:rsidR="00212B9A" w:rsidRDefault="00212B9A" w:rsidP="00212B9A">
      <w:pPr>
        <w:spacing w:line="360" w:lineRule="auto"/>
        <w:ind w:left="720"/>
        <w:jc w:val="both"/>
        <w:rPr>
          <w:rtl/>
        </w:rPr>
      </w:pPr>
      <w:r>
        <w:rPr>
          <w:rFonts w:hint="cs"/>
          <w:rtl/>
        </w:rPr>
        <w:t>בזמן</w:t>
      </w:r>
      <w:r w:rsidRPr="00093AF4">
        <w:rPr>
          <w:rFonts w:hint="cs"/>
          <w:rtl/>
        </w:rPr>
        <w:t xml:space="preserve"> </w:t>
      </w:r>
      <w:r>
        <w:rPr>
          <w:rFonts w:hint="cs"/>
          <w:rtl/>
        </w:rPr>
        <w:t>ש</w:t>
      </w:r>
      <w:r w:rsidRPr="00093AF4">
        <w:rPr>
          <w:rFonts w:hint="cs"/>
          <w:rtl/>
        </w:rPr>
        <w:t xml:space="preserve">הנאשם ארב לאדם </w:t>
      </w:r>
      <w:r>
        <w:rPr>
          <w:rFonts w:hint="cs"/>
          <w:rtl/>
        </w:rPr>
        <w:t xml:space="preserve">בשיחים, נאור הוביל את אדם, המנוח ואחיו של המנוח לפנים הסמטה. הנאשם </w:t>
      </w:r>
      <w:r w:rsidRPr="00093AF4">
        <w:rPr>
          <w:rFonts w:hint="cs"/>
          <w:rtl/>
        </w:rPr>
        <w:t xml:space="preserve">ירה במרכז גופו של אדם מספר יריות. אמו של המנוח, שחזרה באותה עת הביתה, </w:t>
      </w:r>
      <w:r>
        <w:rPr>
          <w:rFonts w:hint="cs"/>
          <w:rtl/>
        </w:rPr>
        <w:t xml:space="preserve">וחששה לשלום בנה אחרי שאדם כבר נורה ושכב בסמטה וביקשה לגונן עליו, קפצה על הנאשם וניסתה לעכבו מלפגוע במנוח. כדי להשתחרר מאחיזתה ולאחר שהיא לא הרפתה מהנאשם גם כשהוא היכה אותה, ולקול קריאותיו של נאור "תדפוק בו, תדפוק בה", הנאשם ירה ברגלה של האם. </w:t>
      </w:r>
    </w:p>
    <w:p w14:paraId="333B719C" w14:textId="77777777" w:rsidR="00212B9A" w:rsidRDefault="00212B9A" w:rsidP="00212B9A">
      <w:pPr>
        <w:spacing w:line="360" w:lineRule="auto"/>
        <w:ind w:left="720"/>
        <w:jc w:val="both"/>
        <w:rPr>
          <w:rtl/>
        </w:rPr>
      </w:pPr>
    </w:p>
    <w:p w14:paraId="0A822DBD" w14:textId="77777777" w:rsidR="00212B9A" w:rsidRDefault="00212B9A" w:rsidP="00212B9A">
      <w:pPr>
        <w:spacing w:line="360" w:lineRule="auto"/>
        <w:ind w:left="720"/>
        <w:jc w:val="both"/>
        <w:rPr>
          <w:rtl/>
        </w:rPr>
      </w:pPr>
      <w:r w:rsidRPr="00093AF4">
        <w:rPr>
          <w:rFonts w:hint="cs"/>
          <w:rtl/>
        </w:rPr>
        <w:t>קול סירנות מתקרבות אותת לנאשם ול</w:t>
      </w:r>
      <w:r>
        <w:rPr>
          <w:rFonts w:hint="cs"/>
          <w:rtl/>
        </w:rPr>
        <w:t>נאור</w:t>
      </w:r>
      <w:r w:rsidRPr="00093AF4">
        <w:rPr>
          <w:rFonts w:hint="cs"/>
          <w:rtl/>
        </w:rPr>
        <w:t xml:space="preserve"> שהם עלולים להיתפס אם יתעכבו בבריחתם והשניים החלו להימלט מהמקום. המנוח, שראה את הנאשם פוגע באמו, החל לרדוף אחריו. תוך כדי בריחתו מהמקום, הנאשם עצר, הסתובב לעבר המנוח, ירה בראשו והרגו. </w:t>
      </w:r>
    </w:p>
    <w:p w14:paraId="3F216AC0" w14:textId="77777777" w:rsidR="00212B9A" w:rsidRDefault="00212B9A" w:rsidP="00212B9A">
      <w:pPr>
        <w:pStyle w:val="a9"/>
        <w:spacing w:line="360" w:lineRule="auto"/>
        <w:jc w:val="both"/>
        <w:rPr>
          <w:rFonts w:cs="David"/>
          <w:sz w:val="24"/>
          <w:szCs w:val="24"/>
          <w:rtl/>
        </w:rPr>
      </w:pPr>
    </w:p>
    <w:p w14:paraId="00091F58" w14:textId="77777777" w:rsidR="00212B9A" w:rsidRDefault="00212B9A" w:rsidP="00212B9A">
      <w:pPr>
        <w:pStyle w:val="a9"/>
        <w:spacing w:line="360" w:lineRule="auto"/>
        <w:jc w:val="both"/>
        <w:rPr>
          <w:rFonts w:cs="David"/>
          <w:sz w:val="24"/>
          <w:szCs w:val="24"/>
          <w:rtl/>
        </w:rPr>
      </w:pPr>
      <w:r w:rsidRPr="00C01420">
        <w:rPr>
          <w:rFonts w:cs="David"/>
          <w:sz w:val="24"/>
          <w:szCs w:val="24"/>
          <w:rtl/>
        </w:rPr>
        <w:t xml:space="preserve">כתוצאה מהירי, נפגע אדם ממספר פצעי ירי בבטן התחתונה ובירך הימנית. אדם הובהל לבית החולים סורוקה, שם הורדם, הונשם ונותח באופן דחוף. במהלך הניתוח קיבל אדם 6 מנות דם וכן בוצעה כריתה במעי בשל ריבוי חורים במעי הדק ובמעי הגס. לאחר הניתוח חלה התדרדרות במצבו של אדם והוא הורדם והונשם במשך כחודש ימים, </w:t>
      </w:r>
      <w:r>
        <w:rPr>
          <w:rFonts w:cs="David" w:hint="cs"/>
          <w:sz w:val="24"/>
          <w:szCs w:val="24"/>
          <w:rtl/>
        </w:rPr>
        <w:t>בהמשך הוא</w:t>
      </w:r>
      <w:r w:rsidRPr="00C01420">
        <w:rPr>
          <w:rFonts w:cs="David"/>
          <w:sz w:val="24"/>
          <w:szCs w:val="24"/>
          <w:rtl/>
        </w:rPr>
        <w:t xml:space="preserve"> נותח מספר פעמים נוספות באופן דחוף עקב הרעות חוזרות ונשנות במצבו הרפואי. ביום 3.1.19 שוחרר אדם מבית החולים</w:t>
      </w:r>
      <w:r>
        <w:rPr>
          <w:rFonts w:cs="David" w:hint="cs"/>
          <w:sz w:val="24"/>
          <w:szCs w:val="24"/>
          <w:rtl/>
        </w:rPr>
        <w:t>.</w:t>
      </w:r>
    </w:p>
    <w:p w14:paraId="79043367" w14:textId="77777777" w:rsidR="00212B9A" w:rsidRPr="00C01420" w:rsidRDefault="00212B9A" w:rsidP="00212B9A">
      <w:pPr>
        <w:pStyle w:val="a9"/>
        <w:spacing w:line="360" w:lineRule="auto"/>
        <w:jc w:val="both"/>
        <w:rPr>
          <w:rFonts w:cs="David"/>
          <w:sz w:val="24"/>
          <w:szCs w:val="24"/>
        </w:rPr>
      </w:pPr>
    </w:p>
    <w:p w14:paraId="3134FEB7" w14:textId="77777777" w:rsidR="00212B9A" w:rsidRDefault="00212B9A" w:rsidP="00212B9A">
      <w:pPr>
        <w:pStyle w:val="a9"/>
        <w:spacing w:line="360" w:lineRule="auto"/>
        <w:jc w:val="both"/>
        <w:rPr>
          <w:rFonts w:cs="David"/>
          <w:sz w:val="24"/>
          <w:szCs w:val="24"/>
          <w:rtl/>
        </w:rPr>
      </w:pPr>
      <w:r w:rsidRPr="00C01420">
        <w:rPr>
          <w:rFonts w:cs="David"/>
          <w:sz w:val="24"/>
          <w:szCs w:val="24"/>
          <w:rtl/>
        </w:rPr>
        <w:t xml:space="preserve">כתוצאה מהירי, נפגעה </w:t>
      </w:r>
      <w:r>
        <w:rPr>
          <w:rFonts w:cs="David" w:hint="cs"/>
          <w:sz w:val="24"/>
          <w:szCs w:val="24"/>
          <w:rtl/>
        </w:rPr>
        <w:t xml:space="preserve">גם </w:t>
      </w:r>
      <w:r w:rsidRPr="00C01420">
        <w:rPr>
          <w:rFonts w:cs="David"/>
          <w:sz w:val="24"/>
          <w:szCs w:val="24"/>
          <w:rtl/>
        </w:rPr>
        <w:t>שולה בירך ימין והובהלה לבית החולים "סורוקה", שם אושפזה עד יום 18.11.18.</w:t>
      </w:r>
    </w:p>
    <w:p w14:paraId="591C832D" w14:textId="77777777" w:rsidR="00212B9A" w:rsidRPr="00C01420" w:rsidRDefault="00212B9A" w:rsidP="00212B9A">
      <w:pPr>
        <w:pStyle w:val="a9"/>
        <w:spacing w:line="360" w:lineRule="auto"/>
        <w:jc w:val="both"/>
        <w:rPr>
          <w:rFonts w:cs="David"/>
          <w:sz w:val="24"/>
          <w:szCs w:val="24"/>
          <w:rtl/>
        </w:rPr>
      </w:pPr>
    </w:p>
    <w:p w14:paraId="35E1473D" w14:textId="77777777" w:rsidR="00212B9A" w:rsidRPr="00DF73E7" w:rsidRDefault="00212B9A" w:rsidP="00212B9A">
      <w:pPr>
        <w:spacing w:line="360" w:lineRule="auto"/>
        <w:ind w:left="720"/>
        <w:jc w:val="both"/>
        <w:rPr>
          <w:b/>
          <w:bCs/>
          <w:rtl/>
        </w:rPr>
      </w:pPr>
      <w:r w:rsidRPr="00DF73E7">
        <w:rPr>
          <w:rFonts w:hint="cs"/>
          <w:b/>
          <w:bCs/>
          <w:u w:val="single"/>
          <w:rtl/>
        </w:rPr>
        <w:t>הראיות לעונש</w:t>
      </w:r>
      <w:r w:rsidRPr="00DF73E7">
        <w:rPr>
          <w:rFonts w:hint="cs"/>
          <w:b/>
          <w:bCs/>
          <w:rtl/>
        </w:rPr>
        <w:t>:</w:t>
      </w:r>
    </w:p>
    <w:p w14:paraId="1E76CC99" w14:textId="77777777" w:rsidR="00212B9A" w:rsidRPr="004C77F0" w:rsidRDefault="00212B9A" w:rsidP="00212B9A">
      <w:pPr>
        <w:pStyle w:val="a9"/>
        <w:numPr>
          <w:ilvl w:val="0"/>
          <w:numId w:val="1"/>
        </w:numPr>
        <w:spacing w:line="360" w:lineRule="auto"/>
        <w:jc w:val="both"/>
        <w:rPr>
          <w:rFonts w:cs="David"/>
          <w:sz w:val="24"/>
          <w:szCs w:val="24"/>
        </w:rPr>
      </w:pPr>
      <w:r w:rsidRPr="004C77F0">
        <w:rPr>
          <w:rFonts w:ascii="David" w:eastAsia="Times New Roman" w:hAnsi="David" w:cs="David"/>
          <w:sz w:val="24"/>
          <w:szCs w:val="24"/>
          <w:rtl/>
        </w:rPr>
        <w:t>לנאשם עבר פלילי. לחובתו 13 הרשעות קודמות</w:t>
      </w:r>
      <w:r>
        <w:rPr>
          <w:rFonts w:ascii="David" w:eastAsia="Times New Roman" w:hAnsi="David" w:cs="David" w:hint="cs"/>
          <w:sz w:val="24"/>
          <w:szCs w:val="24"/>
          <w:rtl/>
        </w:rPr>
        <w:t>,</w:t>
      </w:r>
      <w:r w:rsidRPr="004C77F0">
        <w:rPr>
          <w:rFonts w:ascii="David" w:eastAsia="Times New Roman" w:hAnsi="David" w:cs="David"/>
          <w:sz w:val="24"/>
          <w:szCs w:val="24"/>
          <w:rtl/>
        </w:rPr>
        <w:t xml:space="preserve"> בעיקר בעבירות אלימות, אך גם הרשעות</w:t>
      </w:r>
      <w:r>
        <w:rPr>
          <w:rFonts w:ascii="David" w:eastAsia="Times New Roman" w:hAnsi="David" w:cs="David"/>
          <w:sz w:val="24"/>
          <w:szCs w:val="24"/>
          <w:rtl/>
        </w:rPr>
        <w:t xml:space="preserve">  </w:t>
      </w:r>
      <w:r w:rsidRPr="004C77F0">
        <w:rPr>
          <w:rFonts w:ascii="David" w:eastAsia="Times New Roman" w:hAnsi="David" w:cs="David"/>
          <w:sz w:val="24"/>
          <w:szCs w:val="24"/>
          <w:rtl/>
        </w:rPr>
        <w:t>בעבירות סמים הפרת הוראה ח</w:t>
      </w:r>
      <w:r>
        <w:rPr>
          <w:rFonts w:ascii="David" w:eastAsia="Times New Roman" w:hAnsi="David" w:cs="David"/>
          <w:sz w:val="24"/>
          <w:szCs w:val="24"/>
          <w:rtl/>
        </w:rPr>
        <w:t>וקית ועוד</w:t>
      </w:r>
      <w:r>
        <w:rPr>
          <w:rFonts w:ascii="David" w:eastAsia="Times New Roman" w:hAnsi="David" w:cs="David" w:hint="cs"/>
          <w:sz w:val="24"/>
          <w:szCs w:val="24"/>
          <w:rtl/>
        </w:rPr>
        <w:t>,</w:t>
      </w:r>
      <w:r>
        <w:rPr>
          <w:rFonts w:ascii="David" w:eastAsia="Times New Roman" w:hAnsi="David" w:cs="David"/>
          <w:sz w:val="24"/>
          <w:szCs w:val="24"/>
          <w:rtl/>
        </w:rPr>
        <w:t xml:space="preserve"> לרבות מבית משפט לנוער</w:t>
      </w:r>
      <w:r>
        <w:rPr>
          <w:rFonts w:ascii="David" w:eastAsia="Times New Roman" w:hAnsi="David" w:cs="David" w:hint="cs"/>
          <w:sz w:val="24"/>
          <w:szCs w:val="24"/>
          <w:rtl/>
        </w:rPr>
        <w:t xml:space="preserve">. לחובתו </w:t>
      </w:r>
      <w:r>
        <w:rPr>
          <w:rFonts w:cs="David" w:hint="cs"/>
          <w:sz w:val="24"/>
          <w:szCs w:val="24"/>
          <w:rtl/>
        </w:rPr>
        <w:t>מאסר מותנה בר הפעלה בן 12 חודשים מ</w:t>
      </w:r>
      <w:hyperlink r:id="rId27" w:history="1">
        <w:r w:rsidR="004968A2" w:rsidRPr="004968A2">
          <w:rPr>
            <w:rFonts w:cs="David" w:hint="cs"/>
            <w:color w:val="0000FF"/>
            <w:sz w:val="24"/>
            <w:szCs w:val="24"/>
            <w:u w:val="single"/>
            <w:rtl/>
          </w:rPr>
          <w:t>ת</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34544-05-15</w:t>
        </w:r>
      </w:hyperlink>
      <w:r>
        <w:rPr>
          <w:rFonts w:cs="David" w:hint="cs"/>
          <w:sz w:val="24"/>
          <w:szCs w:val="24"/>
          <w:rtl/>
        </w:rPr>
        <w:t xml:space="preserve"> של בית המשפט המחוזי בבאר שבע מיום 6.1.16.</w:t>
      </w:r>
    </w:p>
    <w:p w14:paraId="4E93D077" w14:textId="77777777" w:rsidR="00212B9A" w:rsidRPr="004C77F0" w:rsidRDefault="00212B9A" w:rsidP="00212B9A">
      <w:pPr>
        <w:rPr>
          <w:rFonts w:ascii="Arial" w:hAnsi="Arial" w:cs="Arial"/>
          <w:color w:val="1F497D"/>
          <w:rtl/>
        </w:rPr>
      </w:pPr>
    </w:p>
    <w:p w14:paraId="17B138A1" w14:textId="77777777" w:rsidR="00212B9A" w:rsidRDefault="00212B9A" w:rsidP="00212B9A">
      <w:pPr>
        <w:pStyle w:val="a9"/>
        <w:numPr>
          <w:ilvl w:val="0"/>
          <w:numId w:val="1"/>
        </w:numPr>
        <w:spacing w:line="360" w:lineRule="auto"/>
        <w:jc w:val="both"/>
        <w:rPr>
          <w:rFonts w:cs="David"/>
          <w:sz w:val="24"/>
          <w:szCs w:val="24"/>
        </w:rPr>
      </w:pPr>
      <w:r w:rsidRPr="006F7D86">
        <w:rPr>
          <w:rFonts w:cs="David" w:hint="cs"/>
          <w:sz w:val="24"/>
          <w:szCs w:val="24"/>
          <w:rtl/>
        </w:rPr>
        <w:t xml:space="preserve">שולה הרוש העידה מטעם המאשימה לעניין העונש. זאת, בנוסף, לתסקיר </w:t>
      </w:r>
      <w:r>
        <w:rPr>
          <w:rFonts w:cs="David" w:hint="cs"/>
          <w:sz w:val="24"/>
          <w:szCs w:val="24"/>
          <w:rtl/>
        </w:rPr>
        <w:t>נפגעת עבירה</w:t>
      </w:r>
      <w:r w:rsidRPr="006F7D86">
        <w:rPr>
          <w:rFonts w:cs="David" w:hint="cs"/>
          <w:sz w:val="24"/>
          <w:szCs w:val="24"/>
          <w:rtl/>
        </w:rPr>
        <w:t xml:space="preserve"> שהוגש בעניינה. </w:t>
      </w:r>
    </w:p>
    <w:p w14:paraId="04D63256" w14:textId="77777777" w:rsidR="00212B9A" w:rsidRDefault="00212B9A" w:rsidP="00212B9A">
      <w:pPr>
        <w:pStyle w:val="a9"/>
        <w:spacing w:line="360" w:lineRule="auto"/>
        <w:jc w:val="both"/>
        <w:rPr>
          <w:rFonts w:cs="David"/>
          <w:sz w:val="24"/>
          <w:szCs w:val="24"/>
          <w:rtl/>
        </w:rPr>
      </w:pPr>
    </w:p>
    <w:p w14:paraId="2855C969"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מעדותה של שולה הרוש, הן לעניין הכרעת הדין והן עובר לגזר הדין, </w:t>
      </w:r>
      <w:r w:rsidRPr="00A46B19">
        <w:rPr>
          <w:rFonts w:cs="David" w:hint="cs"/>
          <w:sz w:val="24"/>
          <w:szCs w:val="24"/>
          <w:rtl/>
        </w:rPr>
        <w:t xml:space="preserve">ניכר </w:t>
      </w:r>
      <w:r>
        <w:rPr>
          <w:rFonts w:cs="David" w:hint="cs"/>
          <w:sz w:val="24"/>
          <w:szCs w:val="24"/>
          <w:rtl/>
        </w:rPr>
        <w:t xml:space="preserve">שהיא מוצפת רגשית נוכח הטרגדיה שפקדה אותה ואת משפחתה ונוכח השפעת חסרונו של בנה המנוח בחייה. </w:t>
      </w:r>
    </w:p>
    <w:p w14:paraId="7E1C9583"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בדבריה לפנינו, סיפרה שולה הרוש אודות בנה ז"ל. צוין שהמנוח היה ילד מיוחד וטוב, עם  שאיפות לחיים, תמיד רצה להתקדם ולהצליח. הוא היה המשענת, הגב שלה ועזר לה רבות. הוא עזב את הצבא אחרי 11 חודשים בשל המצב הכלכלי הקשה בבית והתחיל לעבוד באינטל. בשנת 2015 היא חלתה והיה זה בנה המנוח שליווה אותה לכל הטיפולים והבדיקות ותמך בה. כיום אחרי האירוע המשפחה שלהם מפורקת. היא גרה לבד, ישנה רק בסלון כי אינה יכולה לישון בחדרה המקביל לחדרו של המנוח, אותו השאירה כפי שהיה עם בגדי המנוח וחפציו. לדבריה, בטרם מת במילותיו האחרונות הוא אמר למי שהיה לידו "תשמור על אמא". האם הוסיפה שהיא חיה עם ייסורי מצפון שאולי הייתה יכולה לעשות יותר וכך שאם לא הייתה אוחזת בנאשם, ייתכן שהמנוח לא היה מגיע לזירה כלל. העדה שיתפה שהיא חייה בחוסר תפקוד מוחלט. </w:t>
      </w:r>
    </w:p>
    <w:p w14:paraId="29A0B0A9" w14:textId="77777777" w:rsidR="00212B9A" w:rsidRPr="00DF73E7" w:rsidRDefault="00212B9A" w:rsidP="00212B9A">
      <w:pPr>
        <w:pStyle w:val="a9"/>
        <w:spacing w:line="360" w:lineRule="auto"/>
        <w:jc w:val="both"/>
        <w:rPr>
          <w:rFonts w:cs="David"/>
          <w:sz w:val="24"/>
          <w:szCs w:val="24"/>
          <w:rtl/>
        </w:rPr>
      </w:pPr>
    </w:p>
    <w:p w14:paraId="14A616CB" w14:textId="77777777" w:rsidR="00212B9A" w:rsidRPr="00DF73E7" w:rsidRDefault="00212B9A" w:rsidP="00212B9A">
      <w:pPr>
        <w:pStyle w:val="a9"/>
        <w:spacing w:line="360" w:lineRule="auto"/>
        <w:jc w:val="both"/>
        <w:rPr>
          <w:rFonts w:cs="David"/>
          <w:sz w:val="24"/>
          <w:szCs w:val="24"/>
          <w:rtl/>
        </w:rPr>
      </w:pPr>
      <w:r w:rsidRPr="00DF73E7">
        <w:rPr>
          <w:rFonts w:cs="David" w:hint="cs"/>
          <w:sz w:val="24"/>
          <w:szCs w:val="24"/>
          <w:u w:val="single"/>
          <w:rtl/>
        </w:rPr>
        <w:t xml:space="preserve">תסקיר </w:t>
      </w:r>
      <w:r>
        <w:rPr>
          <w:rFonts w:cs="David" w:hint="cs"/>
          <w:sz w:val="24"/>
          <w:szCs w:val="24"/>
          <w:u w:val="single"/>
          <w:rtl/>
        </w:rPr>
        <w:t xml:space="preserve">נפגעת העבירה </w:t>
      </w:r>
      <w:r w:rsidRPr="00DF73E7">
        <w:rPr>
          <w:rFonts w:cs="David" w:hint="cs"/>
          <w:sz w:val="24"/>
          <w:szCs w:val="24"/>
          <w:u w:val="single"/>
          <w:rtl/>
        </w:rPr>
        <w:t>בעניינה של שולה הרוש</w:t>
      </w:r>
      <w:r w:rsidRPr="00DF73E7">
        <w:rPr>
          <w:rFonts w:cs="David" w:hint="cs"/>
          <w:sz w:val="24"/>
          <w:szCs w:val="24"/>
          <w:rtl/>
        </w:rPr>
        <w:t xml:space="preserve"> </w:t>
      </w:r>
      <w:r w:rsidRPr="00DF73E7">
        <w:rPr>
          <w:rFonts w:cs="David"/>
          <w:sz w:val="24"/>
          <w:szCs w:val="24"/>
          <w:rtl/>
        </w:rPr>
        <w:t>–</w:t>
      </w:r>
      <w:r w:rsidRPr="00DF73E7">
        <w:rPr>
          <w:rFonts w:cs="David" w:hint="cs"/>
          <w:sz w:val="24"/>
          <w:szCs w:val="24"/>
          <w:rtl/>
        </w:rPr>
        <w:t xml:space="preserve"> </w:t>
      </w:r>
    </w:p>
    <w:p w14:paraId="42C52397" w14:textId="77777777" w:rsidR="00212B9A" w:rsidRPr="00925FD3" w:rsidRDefault="00212B9A" w:rsidP="00212B9A">
      <w:pPr>
        <w:pStyle w:val="a9"/>
        <w:numPr>
          <w:ilvl w:val="0"/>
          <w:numId w:val="1"/>
        </w:numPr>
        <w:spacing w:line="360" w:lineRule="auto"/>
        <w:jc w:val="both"/>
        <w:rPr>
          <w:rFonts w:cs="David"/>
          <w:sz w:val="24"/>
          <w:szCs w:val="24"/>
        </w:rPr>
      </w:pPr>
      <w:r>
        <w:rPr>
          <w:rFonts w:cs="David" w:hint="cs"/>
          <w:sz w:val="24"/>
          <w:szCs w:val="24"/>
          <w:rtl/>
        </w:rPr>
        <w:t>צוין שעורכת התסקיר התרשמה מכך שאמו של המנוח, שולה הרוש, מצויה במצוקה קשה שבאה לידי ביטוי, בין היתר, בפרצי בכי מרובים ומדבריה של האם עלה ש</w:t>
      </w:r>
      <w:r w:rsidRPr="00925FD3">
        <w:rPr>
          <w:rFonts w:cs="David" w:hint="cs"/>
          <w:sz w:val="24"/>
          <w:szCs w:val="24"/>
          <w:rtl/>
        </w:rPr>
        <w:t xml:space="preserve">בני המשפחה שרויים באבל עמוק, אשר לא מרפה ולא נעשה קל יותר. עוד צוין, שנסיבות מותו הטראגיות והאכזריות של רותם ז"ל מחמירות ומחריפות את הגעגועים לבן ולאח. </w:t>
      </w:r>
    </w:p>
    <w:p w14:paraId="1FF33A63" w14:textId="77777777" w:rsidR="00212B9A" w:rsidRDefault="00212B9A" w:rsidP="00212B9A">
      <w:pPr>
        <w:pStyle w:val="a9"/>
        <w:spacing w:line="360" w:lineRule="auto"/>
        <w:jc w:val="both"/>
        <w:rPr>
          <w:rFonts w:cs="David"/>
          <w:sz w:val="24"/>
          <w:szCs w:val="24"/>
          <w:rtl/>
        </w:rPr>
      </w:pPr>
    </w:p>
    <w:p w14:paraId="5113BC55"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אביו של המנוח ואחיו ביקשו שלא להיפגש עם עורכת התסקיר בשל הקושי לבא במגע עם החוויות הטראומטיות ולכן האמור בתסקיר בעניינם נלמד מתיאוריה של האם.  </w:t>
      </w:r>
    </w:p>
    <w:p w14:paraId="7D2CF6F2" w14:textId="77777777" w:rsidR="00212B9A" w:rsidRDefault="00212B9A" w:rsidP="00212B9A">
      <w:pPr>
        <w:pStyle w:val="a9"/>
        <w:spacing w:line="360" w:lineRule="auto"/>
        <w:jc w:val="both"/>
        <w:rPr>
          <w:rFonts w:cs="David"/>
          <w:sz w:val="24"/>
          <w:szCs w:val="24"/>
          <w:rtl/>
        </w:rPr>
      </w:pPr>
    </w:p>
    <w:p w14:paraId="410A9B99" w14:textId="77777777" w:rsidR="00212B9A" w:rsidRDefault="00212B9A" w:rsidP="00212B9A">
      <w:pPr>
        <w:pStyle w:val="a9"/>
        <w:spacing w:line="360" w:lineRule="auto"/>
        <w:jc w:val="both"/>
        <w:rPr>
          <w:rFonts w:cs="David"/>
          <w:sz w:val="24"/>
          <w:szCs w:val="24"/>
          <w:rtl/>
        </w:rPr>
      </w:pPr>
      <w:r>
        <w:rPr>
          <w:rFonts w:cs="David" w:hint="cs"/>
          <w:sz w:val="24"/>
          <w:szCs w:val="24"/>
          <w:rtl/>
        </w:rPr>
        <w:t>עוד צוין, שהאם נפגעה פעמיים במקרה זה, כנפגעת ירי וכאם שאיבדה את בנה, כשהיא הייתה עדה לפגיעה האנושה בו.</w:t>
      </w:r>
    </w:p>
    <w:p w14:paraId="4F0015D2"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הוריו של המנוח התגרשו בשנת 2006, וכיום האם מתגוררת בגפה בדירת עמידר והאב מתגורר בשכירות בקרבתה. למנוח שני אחים. </w:t>
      </w:r>
    </w:p>
    <w:p w14:paraId="5151FFF1" w14:textId="77777777" w:rsidR="00212B9A" w:rsidRPr="00915E39" w:rsidRDefault="00212B9A" w:rsidP="00212B9A">
      <w:pPr>
        <w:pStyle w:val="a9"/>
        <w:spacing w:line="360" w:lineRule="auto"/>
        <w:jc w:val="both"/>
        <w:rPr>
          <w:rFonts w:cs="David"/>
          <w:sz w:val="24"/>
          <w:szCs w:val="24"/>
          <w:rtl/>
        </w:rPr>
      </w:pPr>
    </w:p>
    <w:p w14:paraId="51D4948B" w14:textId="77777777" w:rsidR="00212B9A" w:rsidRDefault="00212B9A" w:rsidP="00212B9A">
      <w:pPr>
        <w:pStyle w:val="a9"/>
        <w:spacing w:line="360" w:lineRule="auto"/>
        <w:jc w:val="both"/>
        <w:rPr>
          <w:rFonts w:cs="David"/>
          <w:sz w:val="24"/>
          <w:szCs w:val="24"/>
          <w:rtl/>
        </w:rPr>
      </w:pPr>
      <w:r>
        <w:rPr>
          <w:rFonts w:cs="David" w:hint="cs"/>
          <w:sz w:val="24"/>
          <w:szCs w:val="24"/>
          <w:rtl/>
        </w:rPr>
        <w:t>עורכת התסקיר פירטה אודות מגוון הנזקים שנגרמו לאם כתוצאה ממעשי הנאשם, בין היתר, המעבר החד והבלתי נתפס מחגיגת יום הולדתו של הבן ליום מותו, היא מרגישה גם תחושות קשות על כך שהיא לא הצליחה להציל את בנה ולהגן עליו.</w:t>
      </w:r>
    </w:p>
    <w:p w14:paraId="63538A16" w14:textId="77777777" w:rsidR="00212B9A" w:rsidRDefault="00212B9A" w:rsidP="00212B9A">
      <w:pPr>
        <w:pStyle w:val="a9"/>
        <w:spacing w:line="360" w:lineRule="auto"/>
        <w:jc w:val="both"/>
        <w:rPr>
          <w:rFonts w:cs="David"/>
          <w:sz w:val="24"/>
          <w:szCs w:val="24"/>
          <w:rtl/>
        </w:rPr>
      </w:pPr>
    </w:p>
    <w:p w14:paraId="16E555EC" w14:textId="77777777" w:rsidR="00212B9A" w:rsidRDefault="00212B9A" w:rsidP="00212B9A">
      <w:pPr>
        <w:pStyle w:val="a9"/>
        <w:spacing w:line="360" w:lineRule="auto"/>
        <w:jc w:val="both"/>
        <w:rPr>
          <w:rFonts w:cs="David"/>
          <w:sz w:val="24"/>
          <w:szCs w:val="24"/>
          <w:rtl/>
        </w:rPr>
      </w:pPr>
      <w:r>
        <w:rPr>
          <w:rFonts w:cs="David" w:hint="cs"/>
          <w:sz w:val="24"/>
          <w:szCs w:val="24"/>
          <w:rtl/>
        </w:rPr>
        <w:t>עורכת התסקיר ציינה שהרשעתו של הנאשם ברצח המנוח מהווה עבור האם הכרה בכאב שלה. מאז הרצח, האם מתמודדת עם הפרעה פוסט טראומטית ומטופלת מזה כשנה וחצי בעקבות מצבה הנפשי המורכב.</w:t>
      </w:r>
    </w:p>
    <w:p w14:paraId="771DEFBC" w14:textId="77777777" w:rsidR="00212B9A" w:rsidRDefault="00212B9A" w:rsidP="00212B9A">
      <w:pPr>
        <w:pStyle w:val="a9"/>
        <w:spacing w:line="360" w:lineRule="auto"/>
        <w:jc w:val="both"/>
        <w:rPr>
          <w:rFonts w:cs="David"/>
          <w:sz w:val="24"/>
          <w:szCs w:val="24"/>
          <w:rtl/>
        </w:rPr>
      </w:pPr>
    </w:p>
    <w:p w14:paraId="5282F78E"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אשר לנזקים שנגרמו ליתר בני המשפחה, האם תיארה שכל אחד מבני המשפחה ממוקד באבל האישי שלו וכואב אותו בדרכו. בני המשפחה נמנעים משיחות או העלאת רגשות, בעיקר כאלה שקשורים למנוח, מתוך הדאגה והחרדה זה לשלומו של זה. </w:t>
      </w:r>
    </w:p>
    <w:p w14:paraId="055FF0F6" w14:textId="77777777" w:rsidR="00212B9A" w:rsidRDefault="00212B9A" w:rsidP="00212B9A">
      <w:pPr>
        <w:pStyle w:val="a9"/>
        <w:spacing w:line="360" w:lineRule="auto"/>
        <w:jc w:val="both"/>
        <w:rPr>
          <w:rFonts w:cs="David"/>
          <w:sz w:val="24"/>
          <w:szCs w:val="24"/>
          <w:rtl/>
        </w:rPr>
      </w:pPr>
    </w:p>
    <w:p w14:paraId="4CABAFD5" w14:textId="77777777" w:rsidR="00212B9A" w:rsidRDefault="00212B9A" w:rsidP="00212B9A">
      <w:pPr>
        <w:pStyle w:val="a9"/>
        <w:spacing w:line="360" w:lineRule="auto"/>
        <w:jc w:val="both"/>
        <w:rPr>
          <w:rFonts w:cs="David"/>
          <w:sz w:val="24"/>
          <w:szCs w:val="24"/>
          <w:rtl/>
        </w:rPr>
      </w:pPr>
      <w:r>
        <w:rPr>
          <w:rFonts w:cs="David" w:hint="cs"/>
          <w:sz w:val="24"/>
          <w:szCs w:val="24"/>
          <w:rtl/>
        </w:rPr>
        <w:t>סופו של דבר, עורכת התסקיר ציינה שיש חשיבות להשית על הנאשם פיצוי כספי משמעותי לבני משפחתו של המנוח, כחלק מהכרה בפגיעה בו ובהשלכות הפגיעה על חייהם ועל מנת לאפשר להם להיעזר בפניה לטיפול ושיקום, בדרך שיבחרו.</w:t>
      </w:r>
    </w:p>
    <w:p w14:paraId="71856D7F" w14:textId="77777777" w:rsidR="00212B9A" w:rsidRDefault="00212B9A" w:rsidP="00212B9A">
      <w:pPr>
        <w:pStyle w:val="a9"/>
        <w:spacing w:line="360" w:lineRule="auto"/>
        <w:jc w:val="both"/>
        <w:rPr>
          <w:rFonts w:cs="David"/>
          <w:sz w:val="24"/>
          <w:szCs w:val="24"/>
          <w:rtl/>
        </w:rPr>
      </w:pPr>
    </w:p>
    <w:p w14:paraId="26C6894A" w14:textId="77777777" w:rsidR="00212B9A" w:rsidRPr="00DF73E7" w:rsidRDefault="00212B9A" w:rsidP="00212B9A">
      <w:pPr>
        <w:pStyle w:val="a9"/>
        <w:numPr>
          <w:ilvl w:val="0"/>
          <w:numId w:val="1"/>
        </w:numPr>
        <w:spacing w:line="360" w:lineRule="auto"/>
        <w:jc w:val="both"/>
        <w:rPr>
          <w:rFonts w:cs="David"/>
          <w:sz w:val="24"/>
          <w:szCs w:val="24"/>
        </w:rPr>
      </w:pPr>
      <w:r w:rsidRPr="00DF73E7">
        <w:rPr>
          <w:rFonts w:cs="David" w:hint="cs"/>
          <w:sz w:val="24"/>
          <w:szCs w:val="24"/>
          <w:u w:val="single"/>
          <w:rtl/>
        </w:rPr>
        <w:t xml:space="preserve">תסקיר </w:t>
      </w:r>
      <w:r>
        <w:rPr>
          <w:rFonts w:cs="David" w:hint="cs"/>
          <w:sz w:val="24"/>
          <w:szCs w:val="24"/>
          <w:u w:val="single"/>
          <w:rtl/>
        </w:rPr>
        <w:t xml:space="preserve">נפגע העבירה </w:t>
      </w:r>
      <w:r w:rsidRPr="00DF73E7">
        <w:rPr>
          <w:rFonts w:cs="David" w:hint="cs"/>
          <w:sz w:val="24"/>
          <w:szCs w:val="24"/>
          <w:u w:val="single"/>
          <w:rtl/>
        </w:rPr>
        <w:t>בעניינו של אדם</w:t>
      </w:r>
      <w:r w:rsidRPr="00DF73E7">
        <w:rPr>
          <w:rFonts w:cs="David" w:hint="cs"/>
          <w:sz w:val="24"/>
          <w:szCs w:val="24"/>
          <w:rtl/>
        </w:rPr>
        <w:t xml:space="preserve"> </w:t>
      </w:r>
      <w:r w:rsidRPr="00DF73E7">
        <w:rPr>
          <w:rFonts w:cs="David"/>
          <w:sz w:val="24"/>
          <w:szCs w:val="24"/>
          <w:rtl/>
        </w:rPr>
        <w:t>–</w:t>
      </w:r>
      <w:r w:rsidRPr="00DF73E7">
        <w:rPr>
          <w:rFonts w:cs="David" w:hint="cs"/>
          <w:sz w:val="24"/>
          <w:szCs w:val="24"/>
          <w:rtl/>
        </w:rPr>
        <w:t xml:space="preserve"> </w:t>
      </w:r>
    </w:p>
    <w:p w14:paraId="298DA1F1" w14:textId="77777777" w:rsidR="00212B9A" w:rsidRDefault="00212B9A" w:rsidP="00212B9A">
      <w:pPr>
        <w:pStyle w:val="a9"/>
        <w:spacing w:line="360" w:lineRule="auto"/>
        <w:jc w:val="both"/>
        <w:rPr>
          <w:rFonts w:cs="David"/>
          <w:sz w:val="24"/>
          <w:szCs w:val="24"/>
        </w:rPr>
      </w:pPr>
      <w:r w:rsidRPr="00A46B19">
        <w:rPr>
          <w:rFonts w:cs="David" w:hint="cs"/>
          <w:sz w:val="24"/>
          <w:szCs w:val="24"/>
          <w:rtl/>
        </w:rPr>
        <w:t>לבקש</w:t>
      </w:r>
      <w:r>
        <w:rPr>
          <w:rFonts w:cs="David" w:hint="cs"/>
          <w:sz w:val="24"/>
          <w:szCs w:val="24"/>
          <w:rtl/>
        </w:rPr>
        <w:t>ה מנומקת של עורכת התסקיר</w:t>
      </w:r>
      <w:r w:rsidRPr="00A46B19">
        <w:rPr>
          <w:rFonts w:cs="David" w:hint="cs"/>
          <w:sz w:val="24"/>
          <w:szCs w:val="24"/>
          <w:rtl/>
        </w:rPr>
        <w:t>, נקבע בהחלטה מיום 27.6.22 שתסקיר נפגע העבירה בעניינו ותוכנו לא יימסרו לנאשם.</w:t>
      </w:r>
      <w:r>
        <w:rPr>
          <w:rFonts w:cs="David" w:hint="cs"/>
          <w:sz w:val="24"/>
          <w:szCs w:val="24"/>
          <w:rtl/>
        </w:rPr>
        <w:t xml:space="preserve"> </w:t>
      </w:r>
      <w:r w:rsidRPr="00A46B19">
        <w:rPr>
          <w:rFonts w:cs="David" w:hint="cs"/>
          <w:sz w:val="24"/>
          <w:szCs w:val="24"/>
          <w:rtl/>
        </w:rPr>
        <w:t>מט</w:t>
      </w:r>
      <w:r>
        <w:rPr>
          <w:rFonts w:cs="David" w:hint="cs"/>
          <w:sz w:val="24"/>
          <w:szCs w:val="24"/>
          <w:rtl/>
        </w:rPr>
        <w:t xml:space="preserve">עמים אלה לא יפורט האמור בתסקיר מיום 30.6.22, הגם שתוכנו כמובן יובא בחשבון במסגרת השיקולים הרלוונטיים לגזר הדין. </w:t>
      </w:r>
    </w:p>
    <w:p w14:paraId="398A6E06" w14:textId="77777777" w:rsidR="00212B9A" w:rsidRDefault="00212B9A" w:rsidP="00212B9A">
      <w:pPr>
        <w:pStyle w:val="a9"/>
        <w:spacing w:line="360" w:lineRule="auto"/>
        <w:jc w:val="both"/>
        <w:rPr>
          <w:rFonts w:cs="David"/>
          <w:sz w:val="24"/>
          <w:szCs w:val="24"/>
          <w:rtl/>
        </w:rPr>
      </w:pPr>
    </w:p>
    <w:p w14:paraId="0EAB9CFF"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בתמצית וכפוף למגבלת החשיפה של תוכן התסקיר, נציין שאדם נפגע ממספר פצעי ירי בבטן התחתונה ובירך הימנית. תמונת הנזק הפיזי העולה מן התסקיר היא קשה. אדם הורדם והונשם במשך כחודש במסגרת הטיפול הרפואי. אדם נפצע באופן קשה במרכז גופו, נותח וצפוי לניתוח נוסף (נכון למועד עריכת התסקיר). צוין שאדם הוכר לדבריו כנכה בשיעור של 100%. </w:t>
      </w:r>
    </w:p>
    <w:p w14:paraId="68B29AAE" w14:textId="77777777" w:rsidR="00212B9A" w:rsidRDefault="00212B9A" w:rsidP="00212B9A">
      <w:pPr>
        <w:pStyle w:val="a9"/>
        <w:spacing w:line="360" w:lineRule="auto"/>
        <w:jc w:val="both"/>
        <w:rPr>
          <w:rFonts w:cs="David"/>
          <w:sz w:val="24"/>
          <w:szCs w:val="24"/>
          <w:rtl/>
        </w:rPr>
      </w:pPr>
      <w:r w:rsidRPr="00A46B19">
        <w:rPr>
          <w:rFonts w:cs="David" w:hint="cs"/>
          <w:sz w:val="24"/>
          <w:szCs w:val="24"/>
          <w:rtl/>
        </w:rPr>
        <w:t xml:space="preserve">התסקיר </w:t>
      </w:r>
      <w:r>
        <w:rPr>
          <w:rFonts w:cs="David" w:hint="cs"/>
          <w:sz w:val="24"/>
          <w:szCs w:val="24"/>
          <w:rtl/>
        </w:rPr>
        <w:t xml:space="preserve">התייחס לנסיבותיו האישיות של אדם טרם שנפגע ואת השפעת פציעתו על מישורי חייו השונים, לדרכי התמודדותו של אדם עם השלכות הפגיעה בו לרבות מהלך חייו ותכניותיו לעתיד לו ולמשפחתו שנגדעו בעקבות האירוע. </w:t>
      </w:r>
    </w:p>
    <w:p w14:paraId="26E50052" w14:textId="77777777" w:rsidR="00212B9A" w:rsidRPr="00A46B19" w:rsidRDefault="00212B9A" w:rsidP="00212B9A">
      <w:pPr>
        <w:pStyle w:val="a9"/>
        <w:spacing w:line="360" w:lineRule="auto"/>
        <w:jc w:val="both"/>
        <w:rPr>
          <w:rFonts w:cs="David"/>
          <w:sz w:val="24"/>
          <w:szCs w:val="24"/>
          <w:rtl/>
        </w:rPr>
      </w:pPr>
    </w:p>
    <w:p w14:paraId="3A4A0DF9" w14:textId="77777777" w:rsidR="00212B9A" w:rsidRDefault="00212B9A" w:rsidP="00212B9A">
      <w:pPr>
        <w:pStyle w:val="a9"/>
        <w:spacing w:line="360" w:lineRule="auto"/>
        <w:jc w:val="both"/>
        <w:rPr>
          <w:rFonts w:cs="David"/>
          <w:sz w:val="24"/>
          <w:szCs w:val="24"/>
          <w:rtl/>
        </w:rPr>
      </w:pPr>
      <w:r w:rsidRPr="00A46B19">
        <w:rPr>
          <w:rFonts w:cs="David" w:hint="cs"/>
          <w:sz w:val="24"/>
          <w:szCs w:val="24"/>
          <w:rtl/>
        </w:rPr>
        <w:t>נציין</w:t>
      </w:r>
      <w:r>
        <w:rPr>
          <w:rFonts w:cs="David" w:hint="cs"/>
          <w:sz w:val="24"/>
          <w:szCs w:val="24"/>
          <w:rtl/>
        </w:rPr>
        <w:t>,</w:t>
      </w:r>
      <w:r w:rsidRPr="00A46B19">
        <w:rPr>
          <w:rFonts w:cs="David" w:hint="cs"/>
          <w:sz w:val="24"/>
          <w:szCs w:val="24"/>
          <w:rtl/>
        </w:rPr>
        <w:t xml:space="preserve"> כי </w:t>
      </w:r>
      <w:r>
        <w:rPr>
          <w:rFonts w:cs="David" w:hint="cs"/>
          <w:sz w:val="24"/>
          <w:szCs w:val="24"/>
          <w:rtl/>
        </w:rPr>
        <w:t>המלצת</w:t>
      </w:r>
      <w:r w:rsidRPr="00A46B19">
        <w:rPr>
          <w:rFonts w:cs="David" w:hint="cs"/>
          <w:sz w:val="24"/>
          <w:szCs w:val="24"/>
          <w:rtl/>
        </w:rPr>
        <w:t xml:space="preserve"> עורכת התסקיר הייתה שיש חשיבות להשית על הנאשם פיצוי כספי משמעותי לאדם כחלק מהכרה בפגיעה בו ובהשלכות הפגיעה על חייו ועל מנת לאפשר לו להיעזר בפנייה לטיפול ושיקום, בדרך שיבחר. </w:t>
      </w:r>
    </w:p>
    <w:p w14:paraId="4606EE89" w14:textId="77777777" w:rsidR="00212B9A" w:rsidRDefault="00212B9A" w:rsidP="00212B9A">
      <w:pPr>
        <w:pStyle w:val="a9"/>
        <w:spacing w:line="360" w:lineRule="auto"/>
        <w:jc w:val="both"/>
        <w:rPr>
          <w:rFonts w:cs="David"/>
          <w:sz w:val="24"/>
          <w:szCs w:val="24"/>
          <w:rtl/>
        </w:rPr>
      </w:pPr>
    </w:p>
    <w:p w14:paraId="12F9D8E3" w14:textId="77777777" w:rsidR="00212B9A" w:rsidRPr="00ED5572" w:rsidRDefault="00212B9A" w:rsidP="00212B9A">
      <w:pPr>
        <w:spacing w:line="360" w:lineRule="auto"/>
        <w:ind w:firstLine="720"/>
        <w:jc w:val="both"/>
        <w:rPr>
          <w:b/>
          <w:bCs/>
          <w:u w:val="single"/>
          <w:rtl/>
        </w:rPr>
      </w:pPr>
      <w:r>
        <w:rPr>
          <w:rFonts w:hint="cs"/>
          <w:b/>
          <w:bCs/>
          <w:u w:val="single"/>
          <w:rtl/>
        </w:rPr>
        <w:t>הטיעונים לעונש</w:t>
      </w:r>
    </w:p>
    <w:p w14:paraId="16022B26" w14:textId="77777777" w:rsidR="00212B9A" w:rsidRPr="008F1962" w:rsidRDefault="00212B9A" w:rsidP="00212B9A">
      <w:pPr>
        <w:pStyle w:val="a9"/>
        <w:numPr>
          <w:ilvl w:val="0"/>
          <w:numId w:val="1"/>
        </w:numPr>
        <w:spacing w:line="360" w:lineRule="auto"/>
        <w:jc w:val="both"/>
        <w:rPr>
          <w:rFonts w:cs="David"/>
          <w:sz w:val="24"/>
          <w:szCs w:val="24"/>
        </w:rPr>
      </w:pPr>
      <w:r w:rsidRPr="008F1962">
        <w:rPr>
          <w:rFonts w:cs="David" w:hint="cs"/>
          <w:sz w:val="24"/>
          <w:szCs w:val="24"/>
          <w:rtl/>
        </w:rPr>
        <w:t xml:space="preserve">עמדת המאשימה </w:t>
      </w:r>
      <w:r>
        <w:rPr>
          <w:rFonts w:cs="David" w:hint="cs"/>
          <w:sz w:val="24"/>
          <w:szCs w:val="24"/>
          <w:rtl/>
        </w:rPr>
        <w:t xml:space="preserve">בטיעוניה לעונש </w:t>
      </w:r>
      <w:r w:rsidRPr="008F1962">
        <w:rPr>
          <w:rFonts w:cs="David" w:hint="cs"/>
          <w:sz w:val="24"/>
          <w:szCs w:val="24"/>
          <w:rtl/>
        </w:rPr>
        <w:t xml:space="preserve">הייתה שיש להשית על הנאשם בגין עבירת הרצח עונש </w:t>
      </w:r>
      <w:r w:rsidRPr="007E4627">
        <w:rPr>
          <w:rFonts w:cs="David" w:hint="cs"/>
          <w:sz w:val="24"/>
          <w:szCs w:val="24"/>
          <w:rtl/>
        </w:rPr>
        <w:t>מאסר עולם</w:t>
      </w:r>
      <w:r w:rsidRPr="008F1962">
        <w:rPr>
          <w:rFonts w:cs="David" w:hint="cs"/>
          <w:sz w:val="24"/>
          <w:szCs w:val="24"/>
          <w:rtl/>
        </w:rPr>
        <w:t xml:space="preserve">. בנוסף, עתרה המאשימה לקבוע מספר מתחמי ענישה כדלקמן: </w:t>
      </w:r>
    </w:p>
    <w:p w14:paraId="6C3E0A7F" w14:textId="77777777" w:rsidR="00212B9A" w:rsidRDefault="00212B9A" w:rsidP="00212B9A">
      <w:pPr>
        <w:spacing w:line="360" w:lineRule="auto"/>
        <w:ind w:firstLine="720"/>
        <w:jc w:val="both"/>
        <w:rPr>
          <w:rtl/>
        </w:rPr>
      </w:pPr>
      <w:r>
        <w:rPr>
          <w:rFonts w:hint="cs"/>
          <w:rtl/>
        </w:rPr>
        <w:t xml:space="preserve">בגין עבירת הניסיון לרצח של אדם </w:t>
      </w:r>
      <w:r>
        <w:rPr>
          <w:rtl/>
        </w:rPr>
        <w:t>–</w:t>
      </w:r>
      <w:r>
        <w:rPr>
          <w:rFonts w:hint="cs"/>
          <w:rtl/>
        </w:rPr>
        <w:t xml:space="preserve"> לקבוע מתחם ענישה בין 16 ל-19 שנות מאסר. </w:t>
      </w:r>
    </w:p>
    <w:p w14:paraId="2325A519" w14:textId="77777777" w:rsidR="00212B9A" w:rsidRDefault="00212B9A" w:rsidP="00212B9A">
      <w:pPr>
        <w:spacing w:line="360" w:lineRule="auto"/>
        <w:ind w:left="720"/>
        <w:jc w:val="both"/>
        <w:rPr>
          <w:rtl/>
        </w:rPr>
      </w:pPr>
      <w:r>
        <w:rPr>
          <w:rFonts w:hint="cs"/>
          <w:rtl/>
        </w:rPr>
        <w:t xml:space="preserve">בגין עבירת החבלה החמורה של שולה הרוש </w:t>
      </w:r>
      <w:r>
        <w:rPr>
          <w:rtl/>
        </w:rPr>
        <w:t>–</w:t>
      </w:r>
      <w:r>
        <w:rPr>
          <w:rFonts w:hint="cs"/>
          <w:rtl/>
        </w:rPr>
        <w:t xml:space="preserve"> לקבוע מתחם ענישה בין 12 ל-15 שנות מאסר, הכל, בנוסף למאסר מותנה ופיצויים. </w:t>
      </w:r>
    </w:p>
    <w:p w14:paraId="763B6667" w14:textId="77777777" w:rsidR="00212B9A" w:rsidRDefault="00212B9A" w:rsidP="00212B9A">
      <w:pPr>
        <w:spacing w:line="360" w:lineRule="auto"/>
        <w:ind w:firstLine="720"/>
        <w:jc w:val="both"/>
        <w:rPr>
          <w:rtl/>
        </w:rPr>
      </w:pPr>
      <w:r>
        <w:rPr>
          <w:rFonts w:hint="cs"/>
          <w:rtl/>
        </w:rPr>
        <w:t xml:space="preserve">ב"כ המאשימה עתרה למקם את עונשו של הנאשם ברף העליון של כל מתחם ומתחם. </w:t>
      </w:r>
    </w:p>
    <w:p w14:paraId="5FD471B4" w14:textId="77777777" w:rsidR="00212B9A" w:rsidRDefault="00212B9A" w:rsidP="00212B9A">
      <w:pPr>
        <w:spacing w:line="360" w:lineRule="auto"/>
        <w:ind w:left="720"/>
        <w:jc w:val="both"/>
        <w:rPr>
          <w:rtl/>
        </w:rPr>
      </w:pPr>
      <w:r>
        <w:rPr>
          <w:rFonts w:hint="cs"/>
          <w:rtl/>
        </w:rPr>
        <w:t>ב"כ המאשימה הדגישה שהעבירות בוצעו בשכונת מגורים בנוכחות אנשים אחרים, ושלאחר הירי הנאשם נמלט עם הנשק שלוף ברחובות העיר.</w:t>
      </w:r>
    </w:p>
    <w:p w14:paraId="741B02FE" w14:textId="77777777" w:rsidR="00212B9A" w:rsidRDefault="00212B9A" w:rsidP="00212B9A">
      <w:pPr>
        <w:spacing w:line="360" w:lineRule="auto"/>
        <w:ind w:left="720"/>
        <w:jc w:val="both"/>
        <w:rPr>
          <w:rtl/>
        </w:rPr>
      </w:pPr>
      <w:r>
        <w:rPr>
          <w:rFonts w:hint="cs"/>
          <w:rtl/>
        </w:rPr>
        <w:t>ב"כ המאשימה הפנתה לכך שלא דובר באירוע מתגלגל ולחייו של הנאשם לא נשקפה סכנה. הנאשם עזב את המקום וחזר מאוחר יותר כשהוא נושא נשק חם לא חוקי, מסוג קרלו מאולתר. הנאשם יזם את המתקפה והשליטה על האירוע והסלמתו הייתה בידיו.</w:t>
      </w:r>
    </w:p>
    <w:p w14:paraId="4B4ECD19" w14:textId="77777777" w:rsidR="00212B9A" w:rsidRDefault="00212B9A" w:rsidP="00212B9A">
      <w:pPr>
        <w:spacing w:line="360" w:lineRule="auto"/>
        <w:ind w:left="720"/>
        <w:jc w:val="both"/>
        <w:rPr>
          <w:rtl/>
        </w:rPr>
      </w:pPr>
      <w:r>
        <w:rPr>
          <w:rFonts w:hint="cs"/>
          <w:rtl/>
        </w:rPr>
        <w:t xml:space="preserve">הוטעם שאם הנאשם רק רצה להימלט מרותם שרדף אחריו, הוא יכל לכוון ולירות באוויר או לירות לרותם ברגל ולא היה צריך לירות לרותם ברקה ולהרוג אותו. יש פער בלתי נתפס בין הסתמיות וחוסר הערך של מה שהוביל למעשה לבין התוצאות המחרידות. </w:t>
      </w:r>
    </w:p>
    <w:p w14:paraId="291F179E" w14:textId="77777777" w:rsidR="00212B9A" w:rsidRDefault="00212B9A" w:rsidP="00212B9A">
      <w:pPr>
        <w:spacing w:line="360" w:lineRule="auto"/>
        <w:ind w:left="720"/>
        <w:jc w:val="both"/>
        <w:rPr>
          <w:rtl/>
        </w:rPr>
      </w:pPr>
    </w:p>
    <w:p w14:paraId="28D9D294" w14:textId="77777777" w:rsidR="00212B9A" w:rsidRPr="00F51674" w:rsidRDefault="00212B9A" w:rsidP="00212B9A">
      <w:pPr>
        <w:pStyle w:val="a9"/>
        <w:numPr>
          <w:ilvl w:val="0"/>
          <w:numId w:val="1"/>
        </w:numPr>
        <w:spacing w:line="360" w:lineRule="auto"/>
        <w:jc w:val="both"/>
        <w:rPr>
          <w:rFonts w:cs="David"/>
          <w:sz w:val="24"/>
          <w:szCs w:val="24"/>
          <w:rtl/>
        </w:rPr>
      </w:pPr>
      <w:r w:rsidRPr="00F51674">
        <w:rPr>
          <w:rFonts w:cs="David" w:hint="cs"/>
          <w:sz w:val="24"/>
          <w:szCs w:val="24"/>
          <w:rtl/>
        </w:rPr>
        <w:t xml:space="preserve">בעניין עבירת ניסיון הרצח שעניינה ירי של הנאשם לכיוון אדם, ציינה ב"כ המאשימה שהנאשם קיבל הקלה בכך שלא ייחסו לו גם עבירה של גרימת חבלה מעבר לעבירת ניסיון הרצח. בעניין נסיבות אירוע זה ציינה ב"כ המאשימה שהנאשם תכנן לפגוע באדם, הצטייד בנשק והגיע לבית של המנוח, </w:t>
      </w:r>
      <w:r>
        <w:rPr>
          <w:rFonts w:cs="David" w:hint="cs"/>
          <w:sz w:val="24"/>
          <w:szCs w:val="24"/>
          <w:rtl/>
        </w:rPr>
        <w:t>נאור</w:t>
      </w:r>
      <w:r w:rsidRPr="00F51674">
        <w:rPr>
          <w:rFonts w:cs="David" w:hint="cs"/>
          <w:sz w:val="24"/>
          <w:szCs w:val="24"/>
          <w:rtl/>
        </w:rPr>
        <w:t xml:space="preserve"> קרא לאדם והנאשם ירה בו מספר יריות מבלי שהי</w:t>
      </w:r>
      <w:r>
        <w:rPr>
          <w:rFonts w:cs="David" w:hint="cs"/>
          <w:sz w:val="24"/>
          <w:szCs w:val="24"/>
          <w:rtl/>
        </w:rPr>
        <w:t>י</w:t>
      </w:r>
      <w:r w:rsidRPr="00F51674">
        <w:rPr>
          <w:rFonts w:cs="David" w:hint="cs"/>
          <w:sz w:val="24"/>
          <w:szCs w:val="24"/>
          <w:rtl/>
        </w:rPr>
        <w:t xml:space="preserve">תה לאדם אפשרות להימלט. הנאשם הותיר את אדם מתבוסס בדמו. אדם נותר בחיים רק בנס. </w:t>
      </w:r>
    </w:p>
    <w:p w14:paraId="47704ADC" w14:textId="77777777" w:rsidR="00212B9A" w:rsidRDefault="00212B9A" w:rsidP="00212B9A">
      <w:pPr>
        <w:spacing w:line="360" w:lineRule="auto"/>
        <w:ind w:left="720"/>
        <w:jc w:val="both"/>
        <w:rPr>
          <w:rtl/>
        </w:rPr>
      </w:pPr>
      <w:r>
        <w:rPr>
          <w:rFonts w:hint="cs"/>
          <w:rtl/>
        </w:rPr>
        <w:t xml:space="preserve">כתוצאה מהפגיעה, מסלול חייו של אדם השתנה והוא חי מאז בכאב פיזי ונפשי. בהקשר זה הפנתה ב"כ המאשימה לתסקיר נפגע העבירה החסוי. </w:t>
      </w:r>
    </w:p>
    <w:p w14:paraId="39F4C49F" w14:textId="77777777" w:rsidR="00212B9A" w:rsidRDefault="00212B9A" w:rsidP="00212B9A">
      <w:pPr>
        <w:spacing w:line="360" w:lineRule="auto"/>
        <w:ind w:left="720"/>
        <w:jc w:val="both"/>
        <w:rPr>
          <w:rtl/>
        </w:rPr>
      </w:pPr>
      <w:r>
        <w:rPr>
          <w:rFonts w:hint="cs"/>
          <w:rtl/>
        </w:rPr>
        <w:t xml:space="preserve">ב"כ המאשימה הפנתה לכך שרמת הענישה בעבירת ניסיון הרצח משתנה ונגזרת מרכיבים שונים כגון הסיבות, התכנון, הביצוע, הפגיעה ונסיבות אחרות. </w:t>
      </w:r>
    </w:p>
    <w:p w14:paraId="7E27D469" w14:textId="77777777" w:rsidR="00212B9A" w:rsidRDefault="00212B9A" w:rsidP="00212B9A">
      <w:pPr>
        <w:spacing w:line="360" w:lineRule="auto"/>
        <w:ind w:left="720"/>
        <w:jc w:val="both"/>
        <w:rPr>
          <w:rtl/>
        </w:rPr>
      </w:pPr>
      <w:r>
        <w:rPr>
          <w:rFonts w:hint="cs"/>
          <w:rtl/>
        </w:rPr>
        <w:t>לשיטת המאשימה, עניינו של הנאשם שניסה לרצוח את אדם מתקרב לנסיבות החמורות ביותר של העבירה הזאת.</w:t>
      </w:r>
    </w:p>
    <w:p w14:paraId="590CB961" w14:textId="77777777" w:rsidR="00212B9A" w:rsidRDefault="00212B9A" w:rsidP="00212B9A">
      <w:pPr>
        <w:spacing w:line="360" w:lineRule="auto"/>
        <w:ind w:left="720"/>
        <w:jc w:val="both"/>
        <w:rPr>
          <w:rtl/>
        </w:rPr>
      </w:pPr>
      <w:r>
        <w:rPr>
          <w:rFonts w:hint="cs"/>
          <w:rtl/>
        </w:rPr>
        <w:t xml:space="preserve">ב"כ המאשימה הדגישה שהמעשה לא הושלם רק בשל כך שהנאשם הופרע בביצוע המעשה. עד שאדם לא נפל על הרצפה ועד שלא התנפלו על הנאשם הוא לא חדל ממעשיו. בסופו של דבר, הנאשם הפסיק רק כי הוא היה צריך לברוח. </w:t>
      </w:r>
    </w:p>
    <w:p w14:paraId="5830942E" w14:textId="77777777" w:rsidR="00212B9A" w:rsidRDefault="00212B9A" w:rsidP="00212B9A">
      <w:pPr>
        <w:spacing w:line="360" w:lineRule="auto"/>
        <w:ind w:left="720"/>
        <w:jc w:val="both"/>
        <w:rPr>
          <w:rtl/>
        </w:rPr>
      </w:pPr>
    </w:p>
    <w:p w14:paraId="5AB18FA9" w14:textId="77777777" w:rsidR="00212B9A" w:rsidRPr="00F51674" w:rsidRDefault="00212B9A" w:rsidP="00212B9A">
      <w:pPr>
        <w:pStyle w:val="a9"/>
        <w:numPr>
          <w:ilvl w:val="0"/>
          <w:numId w:val="1"/>
        </w:numPr>
        <w:spacing w:line="360" w:lineRule="auto"/>
        <w:jc w:val="both"/>
        <w:rPr>
          <w:rFonts w:cs="David"/>
          <w:sz w:val="24"/>
          <w:szCs w:val="24"/>
          <w:rtl/>
        </w:rPr>
      </w:pPr>
      <w:r w:rsidRPr="00F51674">
        <w:rPr>
          <w:rFonts w:cs="David" w:hint="cs"/>
          <w:sz w:val="24"/>
          <w:szCs w:val="24"/>
          <w:rtl/>
        </w:rPr>
        <w:t>בעניין עבירת החבלה החמורה</w:t>
      </w:r>
      <w:r>
        <w:rPr>
          <w:rFonts w:cs="David" w:hint="cs"/>
          <w:sz w:val="24"/>
          <w:szCs w:val="24"/>
          <w:rtl/>
        </w:rPr>
        <w:t xml:space="preserve"> </w:t>
      </w:r>
      <w:r w:rsidRPr="00F51674">
        <w:rPr>
          <w:rFonts w:cs="David"/>
          <w:sz w:val="24"/>
          <w:szCs w:val="24"/>
          <w:rtl/>
        </w:rPr>
        <w:t>–</w:t>
      </w:r>
      <w:r w:rsidRPr="00F51674">
        <w:rPr>
          <w:rFonts w:cs="David" w:hint="cs"/>
          <w:sz w:val="24"/>
          <w:szCs w:val="24"/>
          <w:rtl/>
        </w:rPr>
        <w:t xml:space="preserve"> ב"כ המאשימה ציינה שכל חטאה של האם היה ניסיונה לעזור לבנה המנוח לעצור את הנאשם מלהרוג את אדם. האם נורתה בירך ואושפזה. </w:t>
      </w:r>
    </w:p>
    <w:p w14:paraId="68E13643" w14:textId="77777777" w:rsidR="00212B9A" w:rsidRDefault="00212B9A" w:rsidP="00212B9A">
      <w:pPr>
        <w:spacing w:line="360" w:lineRule="auto"/>
        <w:ind w:left="720"/>
        <w:jc w:val="both"/>
        <w:rPr>
          <w:rtl/>
        </w:rPr>
      </w:pPr>
      <w:r>
        <w:rPr>
          <w:rFonts w:hint="cs"/>
          <w:rtl/>
        </w:rPr>
        <w:t>המאשימה עתרה לצבור את העונשים שיוטלו על הנאשם בגין העבירות שביצע כלפי אדם ושולה למאסר העולם החובה שיוטל עליו בגין רציחת המנוח והדגישה למרות סמיכות הזמנים, כי מדובר בנפגעים שונים.</w:t>
      </w:r>
    </w:p>
    <w:p w14:paraId="22EB8973" w14:textId="77777777" w:rsidR="00212B9A" w:rsidRDefault="00212B9A" w:rsidP="00212B9A">
      <w:pPr>
        <w:spacing w:line="360" w:lineRule="auto"/>
        <w:ind w:left="720"/>
        <w:jc w:val="both"/>
        <w:rPr>
          <w:rtl/>
        </w:rPr>
      </w:pPr>
    </w:p>
    <w:p w14:paraId="4104C3D7" w14:textId="77777777" w:rsidR="00212B9A" w:rsidRDefault="00212B9A" w:rsidP="00212B9A">
      <w:pPr>
        <w:pStyle w:val="a9"/>
        <w:numPr>
          <w:ilvl w:val="0"/>
          <w:numId w:val="1"/>
        </w:numPr>
        <w:spacing w:line="360" w:lineRule="auto"/>
        <w:jc w:val="both"/>
        <w:rPr>
          <w:rFonts w:cs="David"/>
          <w:sz w:val="24"/>
          <w:szCs w:val="24"/>
        </w:rPr>
      </w:pPr>
      <w:r w:rsidRPr="008F1962">
        <w:rPr>
          <w:rFonts w:cs="David" w:hint="cs"/>
          <w:sz w:val="24"/>
          <w:szCs w:val="24"/>
          <w:rtl/>
        </w:rPr>
        <w:t>לגבי עבירות הנשק שבהן הורשע הנאשם, המאשימה סברה שהן נבלעות בשאר העבירות והמתחמים ולכן לא טענו למתחם ענישה נפרד בגין עבירות אלה. השימוש בנשק חם מהווה נסיבה מחמירה.</w:t>
      </w:r>
    </w:p>
    <w:p w14:paraId="6ED9D862" w14:textId="77777777" w:rsidR="00212B9A" w:rsidRPr="008F1962" w:rsidRDefault="00212B9A" w:rsidP="00212B9A">
      <w:pPr>
        <w:pStyle w:val="a9"/>
        <w:spacing w:line="360" w:lineRule="auto"/>
        <w:jc w:val="both"/>
        <w:rPr>
          <w:rFonts w:cs="David"/>
          <w:sz w:val="24"/>
          <w:szCs w:val="24"/>
          <w:rtl/>
        </w:rPr>
      </w:pPr>
    </w:p>
    <w:p w14:paraId="364F1A2B" w14:textId="77777777" w:rsidR="00212B9A" w:rsidRPr="008F1962" w:rsidRDefault="00212B9A" w:rsidP="00212B9A">
      <w:pPr>
        <w:pStyle w:val="a9"/>
        <w:numPr>
          <w:ilvl w:val="0"/>
          <w:numId w:val="1"/>
        </w:numPr>
        <w:spacing w:line="360" w:lineRule="auto"/>
        <w:jc w:val="both"/>
        <w:rPr>
          <w:rFonts w:cs="David"/>
          <w:sz w:val="24"/>
          <w:szCs w:val="24"/>
          <w:rtl/>
        </w:rPr>
      </w:pPr>
      <w:r w:rsidRPr="008F1962">
        <w:rPr>
          <w:rFonts w:cs="David" w:hint="cs"/>
          <w:sz w:val="24"/>
          <w:szCs w:val="24"/>
          <w:rtl/>
        </w:rPr>
        <w:t>המאשימה הפנתה לעברו הפלילי העשיר של הנאשם גם בעבירות אלימות כשרף העבירות שבהן הורשע כל הזמן הולך ועולה.</w:t>
      </w:r>
      <w:r>
        <w:rPr>
          <w:rFonts w:cs="David" w:hint="cs"/>
          <w:sz w:val="24"/>
          <w:szCs w:val="24"/>
          <w:rtl/>
        </w:rPr>
        <w:t xml:space="preserve"> </w:t>
      </w:r>
      <w:r w:rsidRPr="008F1962">
        <w:rPr>
          <w:rFonts w:cs="David" w:hint="cs"/>
          <w:sz w:val="24"/>
          <w:szCs w:val="24"/>
          <w:rtl/>
        </w:rPr>
        <w:t xml:space="preserve">העבירות שביצע הנאשם מצביעות על יחס אנטי סוציאלי לחברה. מדובר בנאשם אלים ומסוכן, הנוטה להתפרצויות זעם. </w:t>
      </w:r>
    </w:p>
    <w:p w14:paraId="13ABB31F" w14:textId="77777777" w:rsidR="00212B9A" w:rsidRDefault="00212B9A" w:rsidP="00212B9A">
      <w:pPr>
        <w:spacing w:line="360" w:lineRule="auto"/>
        <w:ind w:left="720"/>
        <w:jc w:val="both"/>
        <w:rPr>
          <w:rtl/>
        </w:rPr>
      </w:pPr>
      <w:r>
        <w:rPr>
          <w:rFonts w:hint="cs"/>
          <w:rtl/>
        </w:rPr>
        <w:t>המאשימה הוסיפה שהנאשם לא נטל אחריות ולא הביע חרטה. אין מדובר בנסיבה שיש להביא לחובת הנאשם אך הוא אינו זכאי להקלה לה זכאים מי שמודים בביצוע עבירות, נוטלים אחריות על מעשיהם וחוסכים את העדת נפגעי העבירה.</w:t>
      </w:r>
    </w:p>
    <w:p w14:paraId="3D037B63" w14:textId="77777777" w:rsidR="00212B9A" w:rsidRDefault="00212B9A" w:rsidP="00212B9A">
      <w:pPr>
        <w:spacing w:line="360" w:lineRule="auto"/>
        <w:ind w:left="720"/>
        <w:jc w:val="both"/>
        <w:rPr>
          <w:rtl/>
        </w:rPr>
      </w:pPr>
      <w:r>
        <w:rPr>
          <w:rFonts w:hint="cs"/>
          <w:rtl/>
        </w:rPr>
        <w:t xml:space="preserve">הנאשם השתחרר מהכלא לאחר ריצוי מאסר בן 27 חודשים, כחצי שנה לפני שביצע את העבירות מושא הליך זה כשמאסר מותנה תלוי ועומד נגדו ולכן גם מטעם זה יש להפעילו במצטבר. </w:t>
      </w:r>
    </w:p>
    <w:p w14:paraId="49A1579C" w14:textId="77777777" w:rsidR="00212B9A" w:rsidRDefault="00212B9A" w:rsidP="00212B9A">
      <w:pPr>
        <w:spacing w:line="360" w:lineRule="auto"/>
        <w:ind w:left="720"/>
        <w:jc w:val="both"/>
        <w:rPr>
          <w:rtl/>
        </w:rPr>
      </w:pPr>
      <w:r>
        <w:rPr>
          <w:rFonts w:hint="cs"/>
          <w:rtl/>
        </w:rPr>
        <w:t xml:space="preserve">המאשימה עתרה להשית על הנאשם פיצוי מקסימלי לכל אחד מנפגעי העבירות. בהקשר זה הפנתה המאשימה לתסקירי נפגעי העבירות. </w:t>
      </w:r>
    </w:p>
    <w:p w14:paraId="4DAAE2EC" w14:textId="77777777" w:rsidR="00212B9A" w:rsidRDefault="00212B9A" w:rsidP="00212B9A">
      <w:pPr>
        <w:spacing w:line="360" w:lineRule="auto"/>
        <w:ind w:left="720"/>
        <w:jc w:val="both"/>
        <w:rPr>
          <w:rtl/>
        </w:rPr>
      </w:pPr>
    </w:p>
    <w:p w14:paraId="2FD05D1D" w14:textId="77777777" w:rsidR="00212B9A" w:rsidRDefault="00212B9A" w:rsidP="00212B9A">
      <w:pPr>
        <w:pStyle w:val="a9"/>
        <w:numPr>
          <w:ilvl w:val="0"/>
          <w:numId w:val="1"/>
        </w:numPr>
        <w:spacing w:line="360" w:lineRule="auto"/>
        <w:jc w:val="both"/>
        <w:rPr>
          <w:rFonts w:cs="David"/>
          <w:sz w:val="24"/>
          <w:szCs w:val="24"/>
        </w:rPr>
      </w:pPr>
      <w:r w:rsidRPr="005C3F75">
        <w:rPr>
          <w:rFonts w:cs="David" w:hint="cs"/>
          <w:sz w:val="24"/>
          <w:szCs w:val="24"/>
          <w:rtl/>
        </w:rPr>
        <w:t>ההגנה, בטיעוניה לעונש, עתרה לענישה מינימלית וקרובה ככל הניתן לענישה שהוטלה</w:t>
      </w:r>
      <w:r>
        <w:rPr>
          <w:rFonts w:cs="David" w:hint="cs"/>
          <w:sz w:val="24"/>
          <w:szCs w:val="24"/>
          <w:rtl/>
        </w:rPr>
        <w:t xml:space="preserve"> על האחר- נאור מירילשוילי</w:t>
      </w:r>
      <w:r w:rsidRPr="005C3F75">
        <w:rPr>
          <w:rFonts w:cs="David" w:hint="cs"/>
          <w:sz w:val="24"/>
          <w:szCs w:val="24"/>
          <w:rtl/>
        </w:rPr>
        <w:t>.</w:t>
      </w:r>
      <w:r>
        <w:rPr>
          <w:rFonts w:cs="David" w:hint="cs"/>
          <w:sz w:val="24"/>
          <w:szCs w:val="24"/>
          <w:rtl/>
        </w:rPr>
        <w:t xml:space="preserve">  </w:t>
      </w:r>
    </w:p>
    <w:p w14:paraId="6790F228" w14:textId="77777777" w:rsidR="00212B9A" w:rsidRPr="00C55AA2" w:rsidRDefault="00212B9A" w:rsidP="00212B9A">
      <w:pPr>
        <w:pStyle w:val="a9"/>
        <w:spacing w:line="360" w:lineRule="auto"/>
        <w:jc w:val="both"/>
        <w:rPr>
          <w:rFonts w:cs="David"/>
          <w:sz w:val="24"/>
          <w:szCs w:val="24"/>
          <w:rtl/>
        </w:rPr>
      </w:pPr>
    </w:p>
    <w:p w14:paraId="3EA6D374" w14:textId="77777777" w:rsidR="00212B9A" w:rsidRPr="005C3F75" w:rsidRDefault="00212B9A" w:rsidP="00212B9A">
      <w:pPr>
        <w:pStyle w:val="a9"/>
        <w:spacing w:line="360" w:lineRule="auto"/>
        <w:jc w:val="both"/>
        <w:rPr>
          <w:rFonts w:cs="David"/>
          <w:sz w:val="24"/>
          <w:szCs w:val="24"/>
          <w:rtl/>
        </w:rPr>
      </w:pPr>
      <w:r>
        <w:rPr>
          <w:rFonts w:cs="David" w:hint="cs"/>
          <w:sz w:val="24"/>
          <w:szCs w:val="24"/>
          <w:rtl/>
        </w:rPr>
        <w:t>אשר לעבירת הרצח, נוכח הוראת המחוקק שקבע עונש חובה לעבירה בה הורשע הנאשם, התמקדו באי כוחו בטיעוניהם במידת העונש שנכון לגזור על הנאשם בהקשר לעבירות האחרות בהן הורשע ובאופן הטלתו, האם באופן מצטבר למאסר העולם או באופן חופף וכן בהקשר למאסר המותנה התלוי ועומד נגד הנאשם שיש להפעילו.</w:t>
      </w:r>
    </w:p>
    <w:p w14:paraId="210AEAB3" w14:textId="77777777" w:rsidR="00212B9A" w:rsidRDefault="00212B9A" w:rsidP="00212B9A">
      <w:pPr>
        <w:spacing w:line="360" w:lineRule="auto"/>
        <w:ind w:left="720"/>
        <w:jc w:val="both"/>
        <w:rPr>
          <w:rtl/>
        </w:rPr>
      </w:pPr>
      <w:r>
        <w:rPr>
          <w:rFonts w:hint="cs"/>
          <w:rtl/>
        </w:rPr>
        <w:t xml:space="preserve">בטיעוניהם, התייחסו באי כוח הנאשם לעניינו של נאור והדגישו את עקרון אחידות הענישה. נטען שהמדובר בפרשה אחת והמאשימה באופן מלאכותי הפרידה בין ענייניהם. נטען שיש חשיבות לעובדות שנקבעו ולא רק לעבירות שבהן הורשעו הנאשם ונאור שכן  עניינם של הנאשם ונאור זהה למעט העובדה שנקבע שהנאשם הוא זה שלחץ על ההדק. </w:t>
      </w:r>
    </w:p>
    <w:p w14:paraId="3ADA9B89" w14:textId="77777777" w:rsidR="00212B9A" w:rsidRDefault="00212B9A" w:rsidP="00212B9A">
      <w:pPr>
        <w:spacing w:line="360" w:lineRule="auto"/>
        <w:ind w:left="720"/>
        <w:jc w:val="both"/>
        <w:rPr>
          <w:rtl/>
        </w:rPr>
      </w:pPr>
    </w:p>
    <w:p w14:paraId="6F8DADAF" w14:textId="77777777" w:rsidR="00212B9A" w:rsidRDefault="00212B9A" w:rsidP="00212B9A">
      <w:pPr>
        <w:spacing w:line="360" w:lineRule="auto"/>
        <w:ind w:left="720"/>
        <w:jc w:val="both"/>
        <w:rPr>
          <w:rtl/>
        </w:rPr>
      </w:pPr>
      <w:r>
        <w:rPr>
          <w:rFonts w:hint="cs"/>
          <w:rtl/>
        </w:rPr>
        <w:t>ההחלטה להמית את אדם גמלה בליבם של השניים, יחד. נאור היה זה שקרא לאדם לצאת לסמטה. בנוסף, לנאור היה חלק פעיל בירי של הנאשם כלפי שולה בכך שצעק לנאשם "דפוק בו, דפוק בה". ב"כ הנאשם ציינו שהמאשימה אינה יכולה "לדבר בשני קולות". מצד אחד להשאיר את חלקו של נאור כפי שפורט בכתב האישום בעניינו של הנאשם ומצד שני לנסות "לנקות" את נאור תוך תיקון כתב האישום לעבירה חמורה פחות בעניינו. נטען שמעבר לכך, לאחר שנאור הודה והורשע, אין משמעות לקשיים הראייתיים הנטענים בעניינו.</w:t>
      </w:r>
    </w:p>
    <w:p w14:paraId="294D0764" w14:textId="77777777" w:rsidR="00212B9A" w:rsidRDefault="00212B9A" w:rsidP="00212B9A">
      <w:pPr>
        <w:spacing w:line="360" w:lineRule="auto"/>
        <w:ind w:left="720"/>
        <w:jc w:val="both"/>
        <w:rPr>
          <w:rtl/>
        </w:rPr>
      </w:pPr>
    </w:p>
    <w:p w14:paraId="0B2141B3" w14:textId="77777777" w:rsidR="00212B9A" w:rsidRDefault="00212B9A" w:rsidP="00212B9A">
      <w:pPr>
        <w:spacing w:line="360" w:lineRule="auto"/>
        <w:ind w:left="720"/>
        <w:jc w:val="both"/>
        <w:rPr>
          <w:rtl/>
        </w:rPr>
      </w:pPr>
      <w:r>
        <w:rPr>
          <w:rFonts w:hint="cs"/>
          <w:rtl/>
        </w:rPr>
        <w:t xml:space="preserve">לעניין הפער בעונש בין הנאשם ונאור, ב"כ הנאשם טענו שנוכח הפער המשמעותי הקיים ממילא בין עניינו של הנאשם לעניינו של נאור נוכח סעיף עבירת ההמתה השונה,  ראוי שלא להנציח את הפער עוד יותר בענישה מצטברת אלא ההיפך, לצמצמו כמה שיותר. לאור זאת, עתרה ההגנה להטיל את העונש שיוטל על הנאשם בגין עבירות ניסיון הרצח והחבלה בחופף לעונש שיוטל עליו בגין עבירת הרצח (מאסר עולם). </w:t>
      </w:r>
    </w:p>
    <w:p w14:paraId="15E2369D" w14:textId="77777777" w:rsidR="00212B9A" w:rsidRDefault="00212B9A" w:rsidP="00212B9A">
      <w:pPr>
        <w:spacing w:line="360" w:lineRule="auto"/>
        <w:ind w:left="720"/>
        <w:jc w:val="both"/>
        <w:rPr>
          <w:rtl/>
        </w:rPr>
      </w:pPr>
    </w:p>
    <w:p w14:paraId="2255DC8F" w14:textId="77777777" w:rsidR="00212B9A" w:rsidRDefault="00212B9A" w:rsidP="00212B9A">
      <w:pPr>
        <w:spacing w:line="360" w:lineRule="auto"/>
        <w:ind w:left="720"/>
        <w:jc w:val="both"/>
        <w:rPr>
          <w:rtl/>
        </w:rPr>
      </w:pPr>
      <w:r>
        <w:rPr>
          <w:rFonts w:hint="cs"/>
          <w:rtl/>
        </w:rPr>
        <w:t xml:space="preserve">עוד נטען לקרבה לסייג האחריות הפלילית, של שכרות, לפי </w:t>
      </w:r>
      <w:hyperlink r:id="rId28" w:history="1">
        <w:r w:rsidR="00AC552B" w:rsidRPr="00AC552B">
          <w:rPr>
            <w:rStyle w:val="Hyperlink"/>
            <w:rFonts w:hint="eastAsia"/>
            <w:rtl/>
          </w:rPr>
          <w:t>סעיף</w:t>
        </w:r>
        <w:r w:rsidR="00AC552B" w:rsidRPr="00AC552B">
          <w:rPr>
            <w:rStyle w:val="Hyperlink"/>
            <w:rtl/>
          </w:rPr>
          <w:t xml:space="preserve"> 34ט</w:t>
        </w:r>
      </w:hyperlink>
      <w:r>
        <w:rPr>
          <w:rFonts w:hint="cs"/>
          <w:rtl/>
        </w:rPr>
        <w:t xml:space="preserve"> </w:t>
      </w:r>
      <w:r>
        <w:rPr>
          <w:rtl/>
        </w:rPr>
        <w:t>–</w:t>
      </w:r>
      <w:r>
        <w:rPr>
          <w:rFonts w:hint="cs"/>
          <w:rtl/>
        </w:rPr>
        <w:t xml:space="preserve"> ב"כ הנאשם הטעימו שהם אינם טוענים לכך שהנאשם חוסה תחת צלו של הסייג אלא שעניינו קרוב יותר לסייג מאשר לפיכחון מוחלט ושהעניין דרמטי במיוחד כאשר מדובר בעבירות שדורשות כוונה מיוחדת, מטרה וכו'. </w:t>
      </w:r>
    </w:p>
    <w:p w14:paraId="52FB2447" w14:textId="77777777" w:rsidR="00212B9A" w:rsidRDefault="00212B9A" w:rsidP="00212B9A">
      <w:pPr>
        <w:spacing w:line="360" w:lineRule="auto"/>
        <w:ind w:left="720"/>
        <w:jc w:val="both"/>
        <w:rPr>
          <w:rtl/>
        </w:rPr>
      </w:pPr>
      <w:r>
        <w:rPr>
          <w:rFonts w:hint="cs"/>
          <w:rtl/>
        </w:rPr>
        <w:t xml:space="preserve">ב"כ הנאשם הפנו להימצאותו של הנאשם במצב של שכרות בעת האירוע, הדבר עולה מההשתלשלות הטבעית של האירועים במסיבה בהשתתפות אורחים צעירים אשר נמשכה עד השעות הקטנות של הלילה. </w:t>
      </w:r>
    </w:p>
    <w:p w14:paraId="07AB98D4" w14:textId="77777777" w:rsidR="00212B9A" w:rsidRDefault="00212B9A" w:rsidP="00212B9A">
      <w:pPr>
        <w:spacing w:line="360" w:lineRule="auto"/>
        <w:ind w:left="720"/>
        <w:jc w:val="both"/>
        <w:rPr>
          <w:rtl/>
        </w:rPr>
      </w:pPr>
    </w:p>
    <w:p w14:paraId="5D12B91B" w14:textId="77777777" w:rsidR="00212B9A" w:rsidRDefault="00212B9A" w:rsidP="00212B9A">
      <w:pPr>
        <w:spacing w:line="360" w:lineRule="auto"/>
        <w:ind w:left="720"/>
        <w:jc w:val="both"/>
        <w:rPr>
          <w:rtl/>
        </w:rPr>
      </w:pPr>
      <w:r>
        <w:rPr>
          <w:rFonts w:hint="cs"/>
          <w:rtl/>
        </w:rPr>
        <w:t>בנוסף, הסנגור הפנה לעדויות עדי התביעה שעדותם נמצאה מהימנה לצורך הכרעת הדין. כך למשל, הסנגור הפנה לעדותה של שולה הרוש שלדבריה הנאשם אפילו לא החליף את בגדיו במהלך הערב ושאם הוא לא היה משתמש בסמים שיקול הדעת שלו היה אחר והוא היה טורח להחליף את בגדיו עובר לחזרתו לזירה.</w:t>
      </w:r>
    </w:p>
    <w:p w14:paraId="32543493" w14:textId="77777777" w:rsidR="00212B9A" w:rsidRDefault="00212B9A" w:rsidP="00212B9A">
      <w:pPr>
        <w:spacing w:line="360" w:lineRule="auto"/>
        <w:ind w:left="720"/>
        <w:jc w:val="both"/>
        <w:rPr>
          <w:rtl/>
        </w:rPr>
      </w:pPr>
    </w:p>
    <w:p w14:paraId="6371B73A" w14:textId="77777777" w:rsidR="00212B9A" w:rsidRDefault="00212B9A" w:rsidP="00212B9A">
      <w:pPr>
        <w:spacing w:line="360" w:lineRule="auto"/>
        <w:ind w:left="720"/>
        <w:jc w:val="both"/>
        <w:rPr>
          <w:rtl/>
        </w:rPr>
      </w:pPr>
      <w:r>
        <w:rPr>
          <w:rFonts w:hint="cs"/>
          <w:rtl/>
        </w:rPr>
        <w:t xml:space="preserve">ב"כ הנאשם לא התייחסו בטיעוניהם למתחם העונש אך בנוגע לקביעת העונש בתוך המתחם טענו להשפעת המאסר על הנאשם והפגיעה הצפויה מכך לנאשם בנתוני גילו -32 ועל כן הוא צפוי להשתחרר רק בגיל מבוגר מאוד. </w:t>
      </w:r>
    </w:p>
    <w:p w14:paraId="1C8F2562" w14:textId="77777777" w:rsidR="00212B9A" w:rsidRDefault="00212B9A" w:rsidP="00212B9A">
      <w:pPr>
        <w:spacing w:line="360" w:lineRule="auto"/>
        <w:ind w:left="720"/>
        <w:jc w:val="both"/>
        <w:rPr>
          <w:rtl/>
        </w:rPr>
      </w:pPr>
    </w:p>
    <w:p w14:paraId="3A99D700" w14:textId="77777777" w:rsidR="00212B9A" w:rsidRDefault="00212B9A" w:rsidP="00212B9A">
      <w:pPr>
        <w:spacing w:line="360" w:lineRule="auto"/>
        <w:ind w:left="720"/>
        <w:jc w:val="both"/>
        <w:rPr>
          <w:rtl/>
        </w:rPr>
      </w:pPr>
      <w:r>
        <w:rPr>
          <w:rFonts w:hint="cs"/>
          <w:rtl/>
        </w:rPr>
        <w:t xml:space="preserve">ההגנה עתרה להתחשב גם במצבו הרפואי של הנאשם ולנסיבות חייו הקשות כפי שעולה גם מהכרעת הדין. ב"כ הנאשם הפנו לכך שעניינו של הנאשם העלה סוגיות משפטיות מורכבות ואין המדובר בנאשם שניהל "משפט סרק". </w:t>
      </w:r>
    </w:p>
    <w:p w14:paraId="3AD9EFE5" w14:textId="77777777" w:rsidR="00212B9A" w:rsidRDefault="00212B9A" w:rsidP="00212B9A">
      <w:pPr>
        <w:spacing w:line="360" w:lineRule="auto"/>
        <w:ind w:left="720"/>
        <w:jc w:val="both"/>
        <w:rPr>
          <w:rtl/>
        </w:rPr>
      </w:pPr>
    </w:p>
    <w:p w14:paraId="55D4F650" w14:textId="77777777" w:rsidR="00212B9A" w:rsidRDefault="00212B9A" w:rsidP="00212B9A">
      <w:pPr>
        <w:spacing w:line="360" w:lineRule="auto"/>
        <w:ind w:left="720"/>
        <w:jc w:val="both"/>
        <w:rPr>
          <w:rtl/>
        </w:rPr>
      </w:pPr>
      <w:r>
        <w:rPr>
          <w:rFonts w:hint="cs"/>
          <w:rtl/>
        </w:rPr>
        <w:t>בנוסף, הפנו ב"כ הנאשם לחלוף הזמן מעת ביצוע העבירות, כ-4 שנים.</w:t>
      </w:r>
    </w:p>
    <w:p w14:paraId="65FA37E6" w14:textId="77777777" w:rsidR="00212B9A" w:rsidRDefault="00212B9A" w:rsidP="00212B9A">
      <w:pPr>
        <w:spacing w:line="360" w:lineRule="auto"/>
        <w:ind w:left="720"/>
        <w:jc w:val="both"/>
        <w:rPr>
          <w:rtl/>
        </w:rPr>
      </w:pPr>
    </w:p>
    <w:p w14:paraId="4B3F4E6B" w14:textId="77777777" w:rsidR="00212B9A" w:rsidRDefault="00212B9A" w:rsidP="00212B9A">
      <w:pPr>
        <w:spacing w:line="360" w:lineRule="auto"/>
        <w:ind w:left="720"/>
        <w:jc w:val="both"/>
        <w:rPr>
          <w:rtl/>
        </w:rPr>
      </w:pPr>
      <w:r>
        <w:rPr>
          <w:rFonts w:hint="cs"/>
          <w:rtl/>
        </w:rPr>
        <w:t>ב"כ הצדדים הפנו לפסיקה ענפה בתמיכה למכלול טענותיהם.</w:t>
      </w:r>
    </w:p>
    <w:p w14:paraId="56B02CDF" w14:textId="77777777" w:rsidR="00212B9A" w:rsidRDefault="00212B9A" w:rsidP="00212B9A">
      <w:pPr>
        <w:spacing w:line="360" w:lineRule="auto"/>
        <w:ind w:left="720"/>
        <w:jc w:val="both"/>
        <w:rPr>
          <w:rtl/>
        </w:rPr>
      </w:pPr>
    </w:p>
    <w:p w14:paraId="3FB64439" w14:textId="77777777" w:rsidR="00212B9A" w:rsidRDefault="00212B9A" w:rsidP="00212B9A">
      <w:pPr>
        <w:pStyle w:val="a9"/>
        <w:numPr>
          <w:ilvl w:val="0"/>
          <w:numId w:val="1"/>
        </w:numPr>
        <w:spacing w:line="360" w:lineRule="auto"/>
        <w:jc w:val="both"/>
        <w:rPr>
          <w:rFonts w:cs="David"/>
          <w:sz w:val="24"/>
          <w:szCs w:val="24"/>
        </w:rPr>
      </w:pPr>
      <w:r>
        <w:rPr>
          <w:rFonts w:cs="David" w:hint="cs"/>
          <w:sz w:val="24"/>
          <w:szCs w:val="24"/>
          <w:rtl/>
        </w:rPr>
        <w:t xml:space="preserve">הנאשם, בדברו האחרון, שב וטען לחפותו ולהתחשבות שכן מאסר עולם הוא עונש כבד מנשוא בפני עצמו. </w:t>
      </w:r>
    </w:p>
    <w:p w14:paraId="4E64170C" w14:textId="77777777" w:rsidR="00212B9A" w:rsidRDefault="00212B9A" w:rsidP="00212B9A">
      <w:pPr>
        <w:pStyle w:val="a9"/>
        <w:spacing w:line="360" w:lineRule="auto"/>
        <w:jc w:val="both"/>
        <w:rPr>
          <w:rFonts w:cs="David"/>
          <w:sz w:val="24"/>
          <w:szCs w:val="24"/>
          <w:rtl/>
        </w:rPr>
      </w:pPr>
    </w:p>
    <w:p w14:paraId="70D5071D" w14:textId="77777777" w:rsidR="00212B9A" w:rsidRDefault="00212B9A" w:rsidP="00212B9A">
      <w:pPr>
        <w:pStyle w:val="a9"/>
        <w:spacing w:line="360" w:lineRule="auto"/>
        <w:jc w:val="both"/>
        <w:rPr>
          <w:rFonts w:cs="David"/>
          <w:sz w:val="24"/>
          <w:szCs w:val="24"/>
          <w:rtl/>
        </w:rPr>
      </w:pPr>
    </w:p>
    <w:p w14:paraId="377EE8FC" w14:textId="77777777" w:rsidR="00212B9A" w:rsidRPr="0096329E" w:rsidRDefault="00212B9A" w:rsidP="00212B9A">
      <w:pPr>
        <w:spacing w:line="360" w:lineRule="auto"/>
        <w:ind w:firstLine="720"/>
        <w:jc w:val="both"/>
        <w:rPr>
          <w:b/>
          <w:bCs/>
          <w:u w:val="single"/>
          <w:rtl/>
        </w:rPr>
      </w:pPr>
      <w:r>
        <w:rPr>
          <w:rFonts w:hint="cs"/>
          <w:b/>
          <w:bCs/>
          <w:u w:val="single"/>
          <w:rtl/>
        </w:rPr>
        <w:t xml:space="preserve">מתחם הענישה </w:t>
      </w:r>
    </w:p>
    <w:p w14:paraId="1ABCD25B" w14:textId="77777777" w:rsidR="00212B9A" w:rsidRDefault="00212B9A" w:rsidP="00212B9A">
      <w:pPr>
        <w:pStyle w:val="a9"/>
        <w:numPr>
          <w:ilvl w:val="0"/>
          <w:numId w:val="1"/>
        </w:numPr>
        <w:spacing w:line="360" w:lineRule="auto"/>
        <w:jc w:val="both"/>
        <w:rPr>
          <w:rFonts w:cs="David"/>
          <w:sz w:val="24"/>
          <w:szCs w:val="24"/>
        </w:rPr>
      </w:pPr>
      <w:r>
        <w:rPr>
          <w:rFonts w:cs="David" w:hint="cs"/>
          <w:sz w:val="24"/>
          <w:szCs w:val="24"/>
          <w:rtl/>
        </w:rPr>
        <w:t>טרם שנידרש לקביעת מתחם הענישה לעבירות הרלוונטיות, הערה בעניין עבירת הרצח.</w:t>
      </w:r>
    </w:p>
    <w:p w14:paraId="58DEB97C" w14:textId="77777777" w:rsidR="00212B9A" w:rsidRDefault="00212B9A" w:rsidP="00212B9A">
      <w:pPr>
        <w:pStyle w:val="a9"/>
        <w:spacing w:line="360" w:lineRule="auto"/>
        <w:jc w:val="both"/>
        <w:rPr>
          <w:rFonts w:cs="David"/>
          <w:sz w:val="24"/>
          <w:szCs w:val="24"/>
          <w:rtl/>
        </w:rPr>
      </w:pPr>
    </w:p>
    <w:p w14:paraId="737EAE5F" w14:textId="77777777" w:rsidR="00212B9A" w:rsidRDefault="00212B9A" w:rsidP="00212B9A">
      <w:pPr>
        <w:pStyle w:val="a9"/>
        <w:spacing w:line="360" w:lineRule="auto"/>
        <w:jc w:val="both"/>
        <w:rPr>
          <w:rFonts w:cs="David"/>
          <w:sz w:val="24"/>
          <w:szCs w:val="24"/>
        </w:rPr>
      </w:pPr>
      <w:r>
        <w:rPr>
          <w:rFonts w:cs="David" w:hint="cs"/>
          <w:sz w:val="24"/>
          <w:szCs w:val="24"/>
          <w:rtl/>
        </w:rPr>
        <w:t>נזכיר ש</w:t>
      </w:r>
      <w:r w:rsidRPr="003646E3">
        <w:rPr>
          <w:rFonts w:cs="David"/>
          <w:sz w:val="24"/>
          <w:szCs w:val="24"/>
          <w:rtl/>
        </w:rPr>
        <w:t>בתאריך 10.07.19 במסגרת הרפורמה בעבירות ההמתה, נכנס לתוקפו תיקון 137 ל</w:t>
      </w:r>
      <w:hyperlink r:id="rId29"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sidRPr="003646E3">
        <w:rPr>
          <w:rFonts w:cs="David"/>
          <w:sz w:val="24"/>
          <w:szCs w:val="24"/>
          <w:rtl/>
        </w:rPr>
        <w:t xml:space="preserve"> (סע' 25(א) לתיקון לחוק, ס"ח תשע"ט 2779 מיום 10.01.2019, קובע תחולה - 6 חודשים מיום הפרסום).</w:t>
      </w:r>
    </w:p>
    <w:p w14:paraId="5DF47B08" w14:textId="77777777" w:rsidR="00212B9A" w:rsidRPr="00C01420" w:rsidRDefault="00212B9A" w:rsidP="00212B9A">
      <w:pPr>
        <w:pStyle w:val="a9"/>
        <w:spacing w:line="360" w:lineRule="auto"/>
        <w:jc w:val="both"/>
        <w:rPr>
          <w:rFonts w:cs="David"/>
          <w:sz w:val="24"/>
          <w:szCs w:val="24"/>
          <w:rtl/>
        </w:rPr>
      </w:pPr>
    </w:p>
    <w:p w14:paraId="0720B9F3" w14:textId="77777777" w:rsidR="00212B9A" w:rsidRDefault="00212B9A" w:rsidP="00212B9A">
      <w:pPr>
        <w:pStyle w:val="a9"/>
        <w:spacing w:line="360" w:lineRule="auto"/>
        <w:jc w:val="both"/>
        <w:rPr>
          <w:rFonts w:cs="David"/>
          <w:sz w:val="24"/>
          <w:szCs w:val="24"/>
          <w:rtl/>
        </w:rPr>
      </w:pPr>
      <w:r w:rsidRPr="00EF66E4">
        <w:rPr>
          <w:rFonts w:cs="David" w:hint="cs"/>
          <w:sz w:val="24"/>
          <w:szCs w:val="24"/>
          <w:rtl/>
        </w:rPr>
        <w:t>הנאשם הורשע בעבירת הרצח בנוסחה טרם כניסת תיקון 137 לחוק לתוקף, לפי סעיף</w:t>
      </w:r>
      <w:hyperlink r:id="rId30" w:history="1">
        <w:r w:rsidR="00AC552B" w:rsidRPr="00AC552B">
          <w:rPr>
            <w:rStyle w:val="Hyperlink"/>
            <w:rFonts w:cs="David"/>
            <w:sz w:val="24"/>
            <w:szCs w:val="24"/>
            <w:rtl/>
          </w:rPr>
          <w:t xml:space="preserve"> 300 (</w:t>
        </w:r>
        <w:r w:rsidR="00AC552B" w:rsidRPr="00AC552B">
          <w:rPr>
            <w:rStyle w:val="Hyperlink"/>
            <w:rFonts w:cs="David" w:hint="cs"/>
            <w:sz w:val="24"/>
            <w:szCs w:val="24"/>
            <w:rtl/>
          </w:rPr>
          <w:t>א</w:t>
        </w:r>
        <w:r w:rsidR="00AC552B" w:rsidRPr="00AC552B">
          <w:rPr>
            <w:rStyle w:val="Hyperlink"/>
            <w:rFonts w:cs="David"/>
            <w:sz w:val="24"/>
            <w:szCs w:val="24"/>
            <w:rtl/>
          </w:rPr>
          <w:t>)(4)</w:t>
        </w:r>
      </w:hyperlink>
      <w:r w:rsidRPr="00EF66E4">
        <w:rPr>
          <w:rFonts w:cs="David" w:hint="cs"/>
          <w:sz w:val="24"/>
          <w:szCs w:val="24"/>
          <w:rtl/>
        </w:rPr>
        <w:t xml:space="preserve"> ל</w:t>
      </w:r>
      <w:hyperlink r:id="rId31"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sidRPr="00EF66E4">
        <w:rPr>
          <w:rFonts w:cs="David" w:hint="cs"/>
          <w:sz w:val="24"/>
          <w:szCs w:val="24"/>
          <w:rtl/>
        </w:rPr>
        <w:t xml:space="preserve">, שקבע כדלקמן: </w:t>
      </w:r>
      <w:r w:rsidRPr="00EF66E4">
        <w:rPr>
          <w:rFonts w:cs="David" w:hint="cs"/>
          <w:b/>
          <w:bCs/>
          <w:sz w:val="24"/>
          <w:szCs w:val="24"/>
          <w:rtl/>
        </w:rPr>
        <w:t xml:space="preserve">"העושה אחת מאלה יאשם ברצח ודינו </w:t>
      </w:r>
      <w:r w:rsidRPr="00EF66E4">
        <w:rPr>
          <w:rFonts w:cs="David"/>
          <w:b/>
          <w:bCs/>
          <w:sz w:val="24"/>
          <w:szCs w:val="24"/>
          <w:rtl/>
        </w:rPr>
        <w:t>–</w:t>
      </w:r>
      <w:r w:rsidRPr="00EF66E4">
        <w:rPr>
          <w:rFonts w:cs="David" w:hint="cs"/>
          <w:b/>
          <w:bCs/>
          <w:sz w:val="24"/>
          <w:szCs w:val="24"/>
          <w:rtl/>
        </w:rPr>
        <w:t xml:space="preserve"> מאסר עולם ועונש זה בלבד...גורם למותו של אדם כשנעברה עבירה אחרת, כדי להבטיח לעצמו, או למי שהשתתף בביצוע אותה עבירה, בריחה או הימלטות מעונש"</w:t>
      </w:r>
      <w:r w:rsidRPr="00EF66E4">
        <w:rPr>
          <w:rFonts w:cs="David" w:hint="cs"/>
          <w:sz w:val="24"/>
          <w:szCs w:val="24"/>
          <w:rtl/>
        </w:rPr>
        <w:t xml:space="preserve"> (פסקה 871 להכרעת הדין). </w:t>
      </w:r>
    </w:p>
    <w:p w14:paraId="0D8A632A" w14:textId="77777777" w:rsidR="00212B9A" w:rsidRPr="00EF66E4" w:rsidRDefault="00212B9A" w:rsidP="00212B9A">
      <w:pPr>
        <w:pStyle w:val="a9"/>
        <w:spacing w:line="360" w:lineRule="auto"/>
        <w:jc w:val="both"/>
        <w:rPr>
          <w:rFonts w:cs="David"/>
          <w:sz w:val="24"/>
          <w:szCs w:val="24"/>
          <w:rtl/>
        </w:rPr>
      </w:pPr>
    </w:p>
    <w:p w14:paraId="110B0B77"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בהכרעת הדין התייחסנו להשפעת התיקון הנ"ל בענייננו ונקבע שאין בתיקון כדי להקל עם </w:t>
      </w:r>
      <w:r w:rsidRPr="0055382B">
        <w:rPr>
          <w:rFonts w:cs="David" w:hint="cs"/>
          <w:sz w:val="24"/>
          <w:szCs w:val="24"/>
          <w:rtl/>
        </w:rPr>
        <w:t>הנאשם (פסקאות 576 ו- 807 עד 812 להכרעת הדין).</w:t>
      </w:r>
    </w:p>
    <w:p w14:paraId="6FC39976" w14:textId="77777777" w:rsidR="00212B9A" w:rsidRDefault="00212B9A" w:rsidP="00212B9A">
      <w:pPr>
        <w:pStyle w:val="a9"/>
        <w:spacing w:line="360" w:lineRule="auto"/>
        <w:jc w:val="both"/>
        <w:rPr>
          <w:rFonts w:ascii="David" w:hAnsi="David" w:cs="David"/>
          <w:sz w:val="24"/>
          <w:szCs w:val="24"/>
          <w:rtl/>
        </w:rPr>
      </w:pPr>
    </w:p>
    <w:p w14:paraId="3DE33DC7" w14:textId="77777777" w:rsidR="00212B9A" w:rsidRPr="00EF66E4" w:rsidRDefault="00212B9A" w:rsidP="00212B9A">
      <w:pPr>
        <w:pStyle w:val="a9"/>
        <w:spacing w:line="360" w:lineRule="auto"/>
        <w:jc w:val="both"/>
        <w:rPr>
          <w:rFonts w:ascii="David" w:hAnsi="David" w:cs="David"/>
          <w:sz w:val="24"/>
          <w:szCs w:val="24"/>
          <w:rtl/>
        </w:rPr>
      </w:pPr>
      <w:r>
        <w:rPr>
          <w:rFonts w:ascii="David" w:hAnsi="David" w:cs="David" w:hint="cs"/>
          <w:sz w:val="24"/>
          <w:szCs w:val="24"/>
          <w:rtl/>
        </w:rPr>
        <w:t xml:space="preserve">קביעת עונש מאסר עולם חובה על ידי המחוקק בעבירת הרצח שבה הורשע הנאשם לפי </w:t>
      </w:r>
      <w:hyperlink r:id="rId32" w:history="1">
        <w:r w:rsidR="00AC552B" w:rsidRPr="00AC552B">
          <w:rPr>
            <w:rStyle w:val="Hyperlink"/>
            <w:rFonts w:ascii="David" w:hAnsi="David" w:cs="David" w:hint="cs"/>
            <w:sz w:val="24"/>
            <w:szCs w:val="24"/>
            <w:rtl/>
          </w:rPr>
          <w:t>סעיף</w:t>
        </w:r>
        <w:r w:rsidR="00AC552B" w:rsidRPr="00AC552B">
          <w:rPr>
            <w:rStyle w:val="Hyperlink"/>
            <w:rFonts w:ascii="David" w:hAnsi="David" w:cs="David"/>
            <w:sz w:val="24"/>
            <w:szCs w:val="24"/>
            <w:rtl/>
          </w:rPr>
          <w:t xml:space="preserve"> 300(א)(4)</w:t>
        </w:r>
      </w:hyperlink>
      <w:r>
        <w:rPr>
          <w:rFonts w:ascii="David" w:hAnsi="David" w:cs="David" w:hint="cs"/>
          <w:sz w:val="24"/>
          <w:szCs w:val="24"/>
          <w:rtl/>
        </w:rPr>
        <w:t xml:space="preserve"> ל</w:t>
      </w:r>
      <w:hyperlink r:id="rId33" w:history="1">
        <w:r w:rsidR="004968A2" w:rsidRPr="004968A2">
          <w:rPr>
            <w:rFonts w:ascii="David" w:hAnsi="David" w:cs="David"/>
            <w:color w:val="0000FF"/>
            <w:sz w:val="24"/>
            <w:szCs w:val="24"/>
            <w:u w:val="single"/>
            <w:rtl/>
          </w:rPr>
          <w:t>חוק העונשין</w:t>
        </w:r>
      </w:hyperlink>
      <w:r>
        <w:rPr>
          <w:rFonts w:ascii="David" w:hAnsi="David" w:cs="David" w:hint="cs"/>
          <w:sz w:val="24"/>
          <w:szCs w:val="24"/>
          <w:rtl/>
        </w:rPr>
        <w:t xml:space="preserve">, טרם תיקון 137 לחוק, למעשה הביאה לידי ביטוי את עצמת הערכים החברתיים בהם פגע הנאשם, חשיבותם ועליונותם, כך שאין לבית המשפט שיקול דעת בעניין קביעת מידת העונש למי שהורשע בעבירה זו. </w:t>
      </w:r>
      <w:r>
        <w:rPr>
          <w:rFonts w:cs="David" w:hint="cs"/>
          <w:sz w:val="24"/>
          <w:szCs w:val="24"/>
          <w:rtl/>
        </w:rPr>
        <w:t>רק נזכיר ש</w:t>
      </w:r>
      <w:r w:rsidRPr="009A37AA">
        <w:rPr>
          <w:rFonts w:ascii="David" w:hAnsi="David" w:cs="David"/>
          <w:sz w:val="24"/>
          <w:szCs w:val="24"/>
          <w:rtl/>
        </w:rPr>
        <w:t>לקדושת חיי האדם, מטבעה, שמור מקום בשורה הראשונה של ערכי כל חברה אנושית</w:t>
      </w:r>
      <w:r w:rsidRPr="00EF66E4">
        <w:rPr>
          <w:rFonts w:ascii="David" w:hAnsi="David" w:cs="David"/>
          <w:b/>
          <w:bCs/>
          <w:sz w:val="24"/>
          <w:szCs w:val="24"/>
          <w:rtl/>
        </w:rPr>
        <w:t xml:space="preserve"> </w:t>
      </w:r>
      <w:r w:rsidRPr="00EF66E4">
        <w:rPr>
          <w:rFonts w:ascii="David" w:hAnsi="David" w:cs="David"/>
          <w:sz w:val="24"/>
          <w:szCs w:val="24"/>
          <w:rtl/>
        </w:rPr>
        <w:t>(</w:t>
      </w:r>
      <w:hyperlink r:id="rId34" w:history="1">
        <w:r w:rsidR="004968A2" w:rsidRPr="004968A2">
          <w:rPr>
            <w:rFonts w:ascii="David" w:hAnsi="David" w:cs="David"/>
            <w:color w:val="0000FF"/>
            <w:sz w:val="24"/>
            <w:szCs w:val="24"/>
            <w:u w:val="single"/>
            <w:rtl/>
          </w:rPr>
          <w:t>ע"פ 7637/05</w:t>
        </w:r>
      </w:hyperlink>
      <w:r w:rsidRPr="00EF66E4">
        <w:rPr>
          <w:rFonts w:ascii="David" w:hAnsi="David" w:cs="David"/>
          <w:sz w:val="24"/>
          <w:szCs w:val="24"/>
          <w:rtl/>
        </w:rPr>
        <w:t xml:space="preserve"> </w:t>
      </w:r>
      <w:r w:rsidRPr="005C0AA9">
        <w:rPr>
          <w:rFonts w:ascii="David" w:hAnsi="David" w:cs="David"/>
          <w:b/>
          <w:bCs/>
          <w:sz w:val="24"/>
          <w:szCs w:val="24"/>
          <w:rtl/>
        </w:rPr>
        <w:t>יוסף נ' מדינת ישראל</w:t>
      </w:r>
      <w:r w:rsidRPr="00EF66E4">
        <w:rPr>
          <w:rFonts w:ascii="David" w:hAnsi="David" w:cs="David"/>
          <w:sz w:val="24"/>
          <w:szCs w:val="24"/>
          <w:rtl/>
        </w:rPr>
        <w:t xml:space="preserve"> (5.7.07)). </w:t>
      </w:r>
    </w:p>
    <w:p w14:paraId="51C5C326" w14:textId="77777777" w:rsidR="00212B9A" w:rsidRDefault="00212B9A" w:rsidP="00212B9A">
      <w:pPr>
        <w:pStyle w:val="a9"/>
        <w:spacing w:line="360" w:lineRule="auto"/>
        <w:jc w:val="both"/>
        <w:rPr>
          <w:rFonts w:cs="David"/>
          <w:sz w:val="24"/>
          <w:szCs w:val="24"/>
          <w:rtl/>
        </w:rPr>
      </w:pPr>
    </w:p>
    <w:p w14:paraId="2ADC6A10" w14:textId="77777777" w:rsidR="00212B9A" w:rsidRPr="00EF66E4" w:rsidRDefault="00212B9A" w:rsidP="00212B9A">
      <w:pPr>
        <w:pStyle w:val="a9"/>
        <w:spacing w:line="360" w:lineRule="auto"/>
        <w:jc w:val="both"/>
        <w:rPr>
          <w:rFonts w:ascii="David" w:hAnsi="David" w:cs="David"/>
          <w:sz w:val="24"/>
          <w:szCs w:val="24"/>
          <w:rtl/>
        </w:rPr>
      </w:pPr>
      <w:r>
        <w:rPr>
          <w:rFonts w:cs="David" w:hint="cs"/>
          <w:sz w:val="24"/>
          <w:szCs w:val="24"/>
          <w:rtl/>
        </w:rPr>
        <w:t xml:space="preserve">לאור זאת, אין מקום להידרש לשאלת מתחם הענישה. </w:t>
      </w:r>
    </w:p>
    <w:p w14:paraId="64DDB8CF" w14:textId="77777777" w:rsidR="00212B9A" w:rsidRPr="00EF66E4" w:rsidRDefault="00212B9A" w:rsidP="00212B9A">
      <w:pPr>
        <w:pStyle w:val="a9"/>
        <w:spacing w:line="360" w:lineRule="auto"/>
        <w:jc w:val="both"/>
        <w:rPr>
          <w:rFonts w:ascii="David" w:hAnsi="David" w:cs="David"/>
          <w:sz w:val="24"/>
          <w:szCs w:val="24"/>
          <w:rtl/>
        </w:rPr>
      </w:pPr>
    </w:p>
    <w:p w14:paraId="2907C49A" w14:textId="77777777" w:rsidR="00212B9A" w:rsidRDefault="00212B9A" w:rsidP="00212B9A">
      <w:pPr>
        <w:pStyle w:val="a9"/>
        <w:spacing w:line="360" w:lineRule="auto"/>
        <w:jc w:val="both"/>
        <w:rPr>
          <w:rFonts w:ascii="David" w:hAnsi="David" w:cs="David"/>
          <w:sz w:val="24"/>
          <w:szCs w:val="24"/>
          <w:rtl/>
        </w:rPr>
      </w:pPr>
      <w:r>
        <w:rPr>
          <w:rFonts w:ascii="David" w:hAnsi="David" w:cs="David" w:hint="cs"/>
          <w:sz w:val="24"/>
          <w:szCs w:val="24"/>
          <w:rtl/>
        </w:rPr>
        <w:t>אשר על כן, יש להשית על הנאשם עונש מאסר עולם בגין עבירת הרצח שבה הורשע.</w:t>
      </w:r>
    </w:p>
    <w:p w14:paraId="2A0E14E6" w14:textId="77777777" w:rsidR="00212B9A" w:rsidRDefault="00212B9A" w:rsidP="00212B9A">
      <w:pPr>
        <w:pStyle w:val="a9"/>
        <w:spacing w:line="360" w:lineRule="auto"/>
        <w:jc w:val="both"/>
        <w:rPr>
          <w:rFonts w:ascii="David" w:hAnsi="David" w:cs="David"/>
          <w:sz w:val="24"/>
          <w:szCs w:val="24"/>
          <w:rtl/>
        </w:rPr>
      </w:pPr>
    </w:p>
    <w:p w14:paraId="794483EF" w14:textId="77777777" w:rsidR="00212B9A" w:rsidRDefault="00212B9A" w:rsidP="00212B9A">
      <w:pPr>
        <w:pStyle w:val="a9"/>
        <w:numPr>
          <w:ilvl w:val="0"/>
          <w:numId w:val="1"/>
        </w:numPr>
        <w:spacing w:line="360" w:lineRule="auto"/>
        <w:jc w:val="both"/>
        <w:rPr>
          <w:rFonts w:cs="David"/>
          <w:sz w:val="24"/>
          <w:szCs w:val="24"/>
        </w:rPr>
      </w:pPr>
      <w:r w:rsidRPr="00C536C5">
        <w:rPr>
          <w:rFonts w:cs="David" w:hint="cs"/>
          <w:sz w:val="24"/>
          <w:szCs w:val="24"/>
          <w:rtl/>
        </w:rPr>
        <w:t xml:space="preserve">אשר לעבירות הנוספות שבהן הורשע הנאשם, </w:t>
      </w:r>
      <w:r>
        <w:rPr>
          <w:rFonts w:cs="David" w:hint="cs"/>
          <w:sz w:val="24"/>
          <w:szCs w:val="24"/>
          <w:rtl/>
        </w:rPr>
        <w:t>נאמר כך:</w:t>
      </w:r>
    </w:p>
    <w:p w14:paraId="5486537F" w14:textId="77777777" w:rsidR="00212B9A" w:rsidRDefault="00212B9A" w:rsidP="00212B9A">
      <w:pPr>
        <w:pStyle w:val="a9"/>
        <w:spacing w:line="360" w:lineRule="auto"/>
        <w:jc w:val="both"/>
        <w:rPr>
          <w:rFonts w:cs="David"/>
          <w:sz w:val="24"/>
          <w:szCs w:val="24"/>
          <w:rtl/>
        </w:rPr>
      </w:pPr>
    </w:p>
    <w:p w14:paraId="403E09BA" w14:textId="77777777" w:rsidR="00212B9A" w:rsidRDefault="00212B9A" w:rsidP="00212B9A">
      <w:pPr>
        <w:pStyle w:val="a9"/>
        <w:spacing w:line="360" w:lineRule="auto"/>
        <w:jc w:val="both"/>
        <w:rPr>
          <w:rFonts w:cs="David"/>
          <w:sz w:val="24"/>
          <w:szCs w:val="24"/>
          <w:rtl/>
        </w:rPr>
      </w:pPr>
      <w:r w:rsidRPr="00DF73E7">
        <w:rPr>
          <w:rFonts w:cs="David" w:hint="cs"/>
          <w:b/>
          <w:bCs/>
          <w:sz w:val="24"/>
          <w:szCs w:val="24"/>
          <w:rtl/>
        </w:rPr>
        <w:t>עבירת ניסיון הרצח</w:t>
      </w:r>
      <w:r>
        <w:rPr>
          <w:rFonts w:cs="David" w:hint="cs"/>
          <w:sz w:val="24"/>
          <w:szCs w:val="24"/>
          <w:rtl/>
        </w:rPr>
        <w:t xml:space="preserve"> </w:t>
      </w:r>
      <w:r>
        <w:rPr>
          <w:rFonts w:cs="David"/>
          <w:sz w:val="24"/>
          <w:szCs w:val="24"/>
          <w:rtl/>
        </w:rPr>
        <w:t>–</w:t>
      </w:r>
      <w:r>
        <w:rPr>
          <w:rFonts w:cs="David" w:hint="cs"/>
          <w:sz w:val="24"/>
          <w:szCs w:val="24"/>
          <w:rtl/>
        </w:rPr>
        <w:t xml:space="preserve"> סעיף 305(1), קובע עונש של 20 שנות מאסר למורשע בעבירה זו. </w:t>
      </w:r>
    </w:p>
    <w:p w14:paraId="2707EF33" w14:textId="77777777" w:rsidR="00212B9A" w:rsidRPr="003646E3" w:rsidRDefault="00212B9A" w:rsidP="00212B9A">
      <w:pPr>
        <w:pStyle w:val="a9"/>
        <w:spacing w:line="360" w:lineRule="auto"/>
        <w:jc w:val="both"/>
        <w:rPr>
          <w:rFonts w:cs="David"/>
          <w:sz w:val="24"/>
          <w:szCs w:val="24"/>
          <w:rtl/>
        </w:rPr>
      </w:pPr>
      <w:r>
        <w:rPr>
          <w:rFonts w:cs="David" w:hint="cs"/>
          <w:sz w:val="24"/>
          <w:szCs w:val="24"/>
          <w:rtl/>
        </w:rPr>
        <w:t>עבירה  זו לא שונתה בעקבות תיקון 137 ל</w:t>
      </w:r>
      <w:hyperlink r:id="rId35"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Pr>
          <w:rFonts w:cs="David" w:hint="cs"/>
          <w:sz w:val="24"/>
          <w:szCs w:val="24"/>
          <w:rtl/>
        </w:rPr>
        <w:t xml:space="preserve">; </w:t>
      </w:r>
      <w:r w:rsidRPr="003646E3">
        <w:rPr>
          <w:rFonts w:cs="David"/>
          <w:sz w:val="24"/>
          <w:szCs w:val="24"/>
          <w:rtl/>
        </w:rPr>
        <w:t>לו היה הנאשם מואשם בעבירה של ניסיון לרצח על פי הדין הקיים עתה, הוא היה מורשע באותה העב</w:t>
      </w:r>
      <w:r>
        <w:rPr>
          <w:rFonts w:cs="David"/>
          <w:sz w:val="24"/>
          <w:szCs w:val="24"/>
          <w:rtl/>
        </w:rPr>
        <w:t xml:space="preserve">ירה ניסיון לרצח לפי </w:t>
      </w:r>
      <w:hyperlink r:id="rId36"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305(1).</w:t>
        </w:r>
      </w:hyperlink>
      <w:r>
        <w:rPr>
          <w:rFonts w:cs="David" w:hint="cs"/>
          <w:sz w:val="24"/>
          <w:szCs w:val="24"/>
          <w:rtl/>
        </w:rPr>
        <w:t xml:space="preserve"> כלומר, </w:t>
      </w:r>
      <w:r w:rsidRPr="003646E3">
        <w:rPr>
          <w:rFonts w:cs="David"/>
          <w:sz w:val="24"/>
          <w:szCs w:val="24"/>
          <w:rtl/>
        </w:rPr>
        <w:t>לעבירת הנ</w:t>
      </w:r>
      <w:r>
        <w:rPr>
          <w:rFonts w:cs="David" w:hint="cs"/>
          <w:sz w:val="24"/>
          <w:szCs w:val="24"/>
          <w:rtl/>
        </w:rPr>
        <w:t>י</w:t>
      </w:r>
      <w:r w:rsidRPr="003646E3">
        <w:rPr>
          <w:rFonts w:cs="David"/>
          <w:sz w:val="24"/>
          <w:szCs w:val="24"/>
          <w:rtl/>
        </w:rPr>
        <w:t>סיון לרצח, מבחינת העונש המירבי הקבוע לצידה, ולתיקון החקיקתי בעבירות ההמתה, אי</w:t>
      </w:r>
      <w:r>
        <w:rPr>
          <w:rFonts w:cs="David"/>
          <w:sz w:val="24"/>
          <w:szCs w:val="24"/>
          <w:rtl/>
        </w:rPr>
        <w:t>ן השפעה מקלה על הנאשם</w:t>
      </w:r>
      <w:r>
        <w:rPr>
          <w:rFonts w:cs="David" w:hint="cs"/>
          <w:sz w:val="24"/>
          <w:szCs w:val="24"/>
          <w:rtl/>
        </w:rPr>
        <w:t>.</w:t>
      </w:r>
    </w:p>
    <w:p w14:paraId="76704E11" w14:textId="77777777" w:rsidR="00212B9A" w:rsidRDefault="00212B9A" w:rsidP="00212B9A">
      <w:pPr>
        <w:pStyle w:val="a9"/>
        <w:spacing w:line="360" w:lineRule="auto"/>
        <w:jc w:val="both"/>
        <w:rPr>
          <w:rFonts w:cs="David"/>
          <w:sz w:val="24"/>
          <w:szCs w:val="24"/>
          <w:rtl/>
        </w:rPr>
      </w:pPr>
    </w:p>
    <w:p w14:paraId="4D6FDA83" w14:textId="77777777" w:rsidR="00212B9A" w:rsidRDefault="00212B9A" w:rsidP="00212B9A">
      <w:pPr>
        <w:pStyle w:val="a9"/>
        <w:spacing w:line="360" w:lineRule="auto"/>
        <w:jc w:val="both"/>
        <w:rPr>
          <w:rFonts w:ascii="David" w:eastAsia="Times New Roman" w:hAnsi="David" w:cs="David"/>
          <w:noProof/>
          <w:sz w:val="24"/>
          <w:szCs w:val="24"/>
          <w:rtl/>
          <w:lang w:eastAsia="he-IL"/>
        </w:rPr>
      </w:pPr>
      <w:r w:rsidRPr="00DF73E7">
        <w:rPr>
          <w:rFonts w:cs="David" w:hint="cs"/>
          <w:b/>
          <w:bCs/>
          <w:sz w:val="24"/>
          <w:szCs w:val="24"/>
          <w:rtl/>
        </w:rPr>
        <w:t>עבירת החבלה בכוונה מחמירה</w:t>
      </w:r>
      <w:r>
        <w:rPr>
          <w:rFonts w:cs="David" w:hint="cs"/>
          <w:sz w:val="24"/>
          <w:szCs w:val="24"/>
          <w:rtl/>
        </w:rPr>
        <w:t xml:space="preserve"> </w:t>
      </w:r>
      <w:r>
        <w:rPr>
          <w:rFonts w:cs="David"/>
          <w:sz w:val="24"/>
          <w:szCs w:val="24"/>
          <w:rtl/>
        </w:rPr>
        <w:t>–</w:t>
      </w:r>
      <w:r>
        <w:rPr>
          <w:rFonts w:cs="David" w:hint="cs"/>
          <w:sz w:val="24"/>
          <w:szCs w:val="24"/>
          <w:rtl/>
        </w:rPr>
        <w:t xml:space="preserve"> </w:t>
      </w:r>
      <w:hyperlink r:id="rId37"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329(</w:t>
        </w:r>
        <w:r w:rsidR="00AC552B" w:rsidRPr="00AC552B">
          <w:rPr>
            <w:rStyle w:val="Hyperlink"/>
            <w:rFonts w:cs="David" w:hint="cs"/>
            <w:sz w:val="24"/>
            <w:szCs w:val="24"/>
            <w:rtl/>
          </w:rPr>
          <w:t>א</w:t>
        </w:r>
        <w:r w:rsidR="00AC552B" w:rsidRPr="00AC552B">
          <w:rPr>
            <w:rStyle w:val="Hyperlink"/>
            <w:rFonts w:cs="David"/>
            <w:sz w:val="24"/>
            <w:szCs w:val="24"/>
            <w:rtl/>
          </w:rPr>
          <w:t>)(1)</w:t>
        </w:r>
      </w:hyperlink>
      <w:r>
        <w:rPr>
          <w:rFonts w:cs="David" w:hint="cs"/>
          <w:sz w:val="24"/>
          <w:szCs w:val="24"/>
          <w:rtl/>
        </w:rPr>
        <w:t xml:space="preserve"> קובע עונש מירבי של 20 שנות מאסר.</w:t>
      </w:r>
      <w:r w:rsidRPr="00C536C5">
        <w:rPr>
          <w:rFonts w:ascii="David" w:eastAsia="Times New Roman" w:hAnsi="David" w:cs="David"/>
          <w:b/>
          <w:bCs/>
          <w:noProof/>
          <w:sz w:val="24"/>
          <w:szCs w:val="24"/>
          <w:rtl/>
          <w:lang w:eastAsia="he-IL"/>
        </w:rPr>
        <w:t xml:space="preserve"> </w:t>
      </w:r>
    </w:p>
    <w:p w14:paraId="571EA2A3" w14:textId="77777777" w:rsidR="00212B9A" w:rsidRDefault="00212B9A" w:rsidP="00212B9A">
      <w:pPr>
        <w:spacing w:line="360" w:lineRule="auto"/>
        <w:ind w:left="720"/>
        <w:jc w:val="both"/>
        <w:rPr>
          <w:rtl/>
        </w:rPr>
      </w:pPr>
      <w:r w:rsidRPr="00DF73E7">
        <w:rPr>
          <w:rFonts w:ascii="David" w:hAnsi="David" w:hint="cs"/>
          <w:b/>
          <w:bCs/>
          <w:noProof/>
          <w:rtl/>
          <w:lang w:eastAsia="he-IL"/>
        </w:rPr>
        <w:t>עבירת נשיאת והובלת נשק</w:t>
      </w:r>
      <w:r>
        <w:rPr>
          <w:rFonts w:ascii="David" w:hAnsi="David" w:hint="cs"/>
          <w:noProof/>
          <w:rtl/>
          <w:lang w:eastAsia="he-IL"/>
        </w:rPr>
        <w:t xml:space="preserve"> </w:t>
      </w:r>
      <w:r>
        <w:rPr>
          <w:rFonts w:ascii="David" w:hAnsi="David"/>
          <w:noProof/>
          <w:rtl/>
          <w:lang w:eastAsia="he-IL"/>
        </w:rPr>
        <w:t>–</w:t>
      </w:r>
      <w:r>
        <w:rPr>
          <w:rFonts w:ascii="David" w:hAnsi="David" w:hint="cs"/>
          <w:noProof/>
          <w:rtl/>
          <w:lang w:eastAsia="he-IL"/>
        </w:rPr>
        <w:t xml:space="preserve"> </w:t>
      </w:r>
      <w:hyperlink r:id="rId38" w:history="1">
        <w:r w:rsidR="00AC552B" w:rsidRPr="00AC552B">
          <w:rPr>
            <w:rStyle w:val="Hyperlink"/>
            <w:rFonts w:ascii="David" w:hAnsi="David" w:hint="eastAsia"/>
            <w:noProof/>
            <w:rtl/>
            <w:lang w:eastAsia="he-IL"/>
          </w:rPr>
          <w:t>סעיף</w:t>
        </w:r>
        <w:r w:rsidR="00AC552B" w:rsidRPr="00AC552B">
          <w:rPr>
            <w:rStyle w:val="Hyperlink"/>
            <w:rFonts w:ascii="David" w:hAnsi="David"/>
            <w:noProof/>
            <w:rtl/>
            <w:lang w:eastAsia="he-IL"/>
          </w:rPr>
          <w:t xml:space="preserve"> 144(ב)</w:t>
        </w:r>
      </w:hyperlink>
      <w:r>
        <w:rPr>
          <w:rFonts w:ascii="David" w:hAnsi="David" w:hint="cs"/>
          <w:noProof/>
          <w:rtl/>
          <w:lang w:eastAsia="he-IL"/>
        </w:rPr>
        <w:t xml:space="preserve"> רישא קובע 10 שנות מאסר כעונש מירבי. </w:t>
      </w:r>
    </w:p>
    <w:p w14:paraId="4D523941" w14:textId="77777777" w:rsidR="00212B9A" w:rsidRDefault="00212B9A" w:rsidP="00212B9A">
      <w:pPr>
        <w:pStyle w:val="a9"/>
        <w:spacing w:line="360" w:lineRule="auto"/>
        <w:jc w:val="both"/>
        <w:rPr>
          <w:rFonts w:cs="David"/>
          <w:sz w:val="24"/>
          <w:szCs w:val="24"/>
          <w:rtl/>
        </w:rPr>
      </w:pPr>
    </w:p>
    <w:p w14:paraId="666B5DFC" w14:textId="77777777" w:rsidR="00212B9A" w:rsidRDefault="00212B9A" w:rsidP="00212B9A">
      <w:pPr>
        <w:pStyle w:val="a9"/>
        <w:numPr>
          <w:ilvl w:val="0"/>
          <w:numId w:val="1"/>
        </w:numPr>
        <w:spacing w:line="360" w:lineRule="auto"/>
        <w:jc w:val="both"/>
        <w:rPr>
          <w:rFonts w:cs="David"/>
          <w:sz w:val="24"/>
          <w:szCs w:val="24"/>
        </w:rPr>
      </w:pPr>
      <w:r w:rsidRPr="00FE07B0">
        <w:rPr>
          <w:rFonts w:cs="David" w:hint="cs"/>
          <w:sz w:val="24"/>
          <w:szCs w:val="24"/>
          <w:rtl/>
        </w:rPr>
        <w:t xml:space="preserve">המאשימה עתרה להשית על הנאשם עונש מאסר עולם בגין עבירת הרצח של המנוח וכן עתרה לקביעת שני מתחמי ענישה </w:t>
      </w:r>
      <w:r>
        <w:rPr>
          <w:rFonts w:cs="David" w:hint="cs"/>
          <w:sz w:val="24"/>
          <w:szCs w:val="24"/>
          <w:rtl/>
        </w:rPr>
        <w:t xml:space="preserve">במובחן. </w:t>
      </w:r>
      <w:r w:rsidRPr="00FE07B0">
        <w:rPr>
          <w:rFonts w:cs="David" w:hint="cs"/>
          <w:sz w:val="24"/>
          <w:szCs w:val="24"/>
          <w:rtl/>
        </w:rPr>
        <w:t xml:space="preserve">האחד, בגין הפגיעה באדם - עבירת ניסיון הרצח, והשני בגין הפגיעה בשולה - עבירת גרימת החבלה. </w:t>
      </w:r>
    </w:p>
    <w:p w14:paraId="4001718D" w14:textId="77777777" w:rsidR="00212B9A" w:rsidRDefault="00212B9A" w:rsidP="00212B9A">
      <w:pPr>
        <w:pStyle w:val="a9"/>
        <w:spacing w:line="360" w:lineRule="auto"/>
        <w:jc w:val="both"/>
        <w:rPr>
          <w:rFonts w:cs="David"/>
          <w:sz w:val="24"/>
          <w:szCs w:val="24"/>
          <w:rtl/>
        </w:rPr>
      </w:pPr>
    </w:p>
    <w:p w14:paraId="126E025F" w14:textId="77777777" w:rsidR="00212B9A" w:rsidRPr="00FE07B0" w:rsidRDefault="00212B9A" w:rsidP="00212B9A">
      <w:pPr>
        <w:pStyle w:val="a9"/>
        <w:spacing w:line="360" w:lineRule="auto"/>
        <w:jc w:val="both"/>
        <w:rPr>
          <w:rFonts w:cs="David"/>
          <w:sz w:val="24"/>
          <w:szCs w:val="24"/>
          <w:rtl/>
        </w:rPr>
      </w:pPr>
      <w:r w:rsidRPr="00FE07B0">
        <w:rPr>
          <w:rFonts w:cs="David" w:hint="cs"/>
          <w:sz w:val="24"/>
          <w:szCs w:val="24"/>
          <w:rtl/>
        </w:rPr>
        <w:t xml:space="preserve">ב"כ הנאשם לא התייחס לשאלת מתחמי הענישה. </w:t>
      </w:r>
    </w:p>
    <w:p w14:paraId="215DA951" w14:textId="77777777" w:rsidR="00212B9A" w:rsidRDefault="00212B9A" w:rsidP="00212B9A">
      <w:pPr>
        <w:widowControl w:val="0"/>
        <w:tabs>
          <w:tab w:val="left" w:pos="510"/>
          <w:tab w:val="left" w:pos="1021"/>
        </w:tabs>
        <w:spacing w:after="240" w:line="360" w:lineRule="auto"/>
        <w:ind w:left="720"/>
        <w:jc w:val="both"/>
        <w:rPr>
          <w:rFonts w:ascii="David" w:hAnsi="David"/>
          <w:rtl/>
        </w:rPr>
      </w:pPr>
      <w:r w:rsidRPr="00230C6D">
        <w:rPr>
          <w:rFonts w:ascii="David" w:hAnsi="David"/>
          <w:rtl/>
        </w:rPr>
        <w:t>בהתאם לפסיקת בית המשפט העליון,</w:t>
      </w:r>
      <w:r>
        <w:rPr>
          <w:rFonts w:ascii="David" w:hAnsi="David" w:hint="cs"/>
          <w:rtl/>
        </w:rPr>
        <w:t xml:space="preserve"> נקבעו מספר מבחני עזר לבחינת השאלה האם מדובר באירוע אחד או במספר אירועים: </w:t>
      </w:r>
    </w:p>
    <w:p w14:paraId="213541C0" w14:textId="77777777" w:rsidR="00212B9A" w:rsidRPr="009C1A9C" w:rsidRDefault="00212B9A" w:rsidP="00212B9A">
      <w:pPr>
        <w:widowControl w:val="0"/>
        <w:tabs>
          <w:tab w:val="left" w:pos="510"/>
          <w:tab w:val="left" w:pos="1021"/>
        </w:tabs>
        <w:spacing w:after="240" w:line="360" w:lineRule="auto"/>
        <w:ind w:left="720"/>
        <w:jc w:val="both"/>
        <w:rPr>
          <w:rFonts w:ascii="David" w:hAnsi="David"/>
        </w:rPr>
      </w:pPr>
      <w:r w:rsidRPr="00230C6D">
        <w:rPr>
          <w:rFonts w:ascii="David" w:hAnsi="David"/>
          <w:b/>
          <w:bCs/>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Pr>
          <w:rFonts w:ascii="David" w:hAnsi="David" w:hint="cs"/>
          <w:rtl/>
        </w:rPr>
        <w:t xml:space="preserve"> </w:t>
      </w:r>
      <w:r w:rsidRPr="00D42A9C">
        <w:rPr>
          <w:rFonts w:ascii="David" w:hAnsi="David"/>
        </w:rPr>
        <w:t>)</w:t>
      </w:r>
      <w:hyperlink r:id="rId39" w:history="1">
        <w:r w:rsidR="00371492" w:rsidRPr="00371492">
          <w:rPr>
            <w:rFonts w:ascii="David" w:hAnsi="David"/>
            <w:color w:val="0000FF"/>
            <w:u w:val="single"/>
            <w:rtl/>
          </w:rPr>
          <w:t xml:space="preserve">ע"פ 1261/15 </w:t>
        </w:r>
      </w:hyperlink>
      <w:r w:rsidRPr="00D42A9C">
        <w:rPr>
          <w:rFonts w:ascii="David" w:hAnsi="David" w:hint="cs"/>
          <w:rtl/>
        </w:rPr>
        <w:t xml:space="preserve"> </w:t>
      </w:r>
      <w:r w:rsidRPr="00D42A9C">
        <w:rPr>
          <w:rFonts w:ascii="David" w:hAnsi="David"/>
          <w:b/>
          <w:bCs/>
          <w:spacing w:val="6"/>
          <w:rtl/>
        </w:rPr>
        <w:t>מדינת ישראל נ' יוסף דלאל</w:t>
      </w:r>
      <w:r w:rsidRPr="00D42A9C">
        <w:rPr>
          <w:rFonts w:ascii="David" w:hAnsi="David"/>
          <w:spacing w:val="6"/>
          <w:rtl/>
        </w:rPr>
        <w:t xml:space="preserve"> </w:t>
      </w:r>
      <w:r w:rsidRPr="00D42A9C">
        <w:rPr>
          <w:rFonts w:ascii="David" w:hAnsi="David"/>
          <w:rtl/>
        </w:rPr>
        <w:t xml:space="preserve">(3.9.2015) בפסקה 22 לפסק הדין; וכן ראו </w:t>
      </w:r>
      <w:hyperlink r:id="rId40" w:history="1">
        <w:r w:rsidR="004968A2" w:rsidRPr="004968A2">
          <w:rPr>
            <w:rFonts w:ascii="David" w:hAnsi="David"/>
            <w:color w:val="0000FF"/>
            <w:u w:val="single"/>
            <w:rtl/>
          </w:rPr>
          <w:t>ע"פ 4910/13</w:t>
        </w:r>
      </w:hyperlink>
      <w:r w:rsidRPr="00D42A9C">
        <w:rPr>
          <w:rFonts w:ascii="David" w:hAnsi="David" w:hint="cs"/>
          <w:rtl/>
        </w:rPr>
        <w:t xml:space="preserve"> </w:t>
      </w:r>
      <w:r w:rsidRPr="00D42A9C">
        <w:rPr>
          <w:rFonts w:ascii="David" w:hAnsi="David"/>
          <w:b/>
          <w:bCs/>
          <w:rtl/>
        </w:rPr>
        <w:t>ג'אבר נ' מדינת ישראל</w:t>
      </w:r>
      <w:r w:rsidRPr="00D42A9C">
        <w:rPr>
          <w:rFonts w:ascii="David" w:hAnsi="David"/>
          <w:rtl/>
        </w:rPr>
        <w:t xml:space="preserve"> (29.10.2014)).</w:t>
      </w:r>
      <w:r>
        <w:rPr>
          <w:rFonts w:ascii="David" w:hAnsi="David" w:hint="cs"/>
          <w:rtl/>
        </w:rPr>
        <w:t xml:space="preserve"> </w:t>
      </w:r>
    </w:p>
    <w:p w14:paraId="13281481"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בעניינו של הנאשם, הפגיעה במנוח, באמו ובאדם נעשתה בסמיכות זמן ומקום, וביצוע העבירות כלפי המנוח ואמו נועד לאפשר את ביצוע הפגיעה באדם וההימלטות לאחר ביצועה.  לאור האמור, נראה כי מדובר באירוע אחד. </w:t>
      </w:r>
    </w:p>
    <w:p w14:paraId="03A763B8" w14:textId="77777777" w:rsidR="00212B9A" w:rsidRDefault="00212B9A" w:rsidP="00212B9A">
      <w:pPr>
        <w:pStyle w:val="a9"/>
        <w:spacing w:line="360" w:lineRule="auto"/>
        <w:jc w:val="both"/>
        <w:rPr>
          <w:rFonts w:cs="David"/>
          <w:sz w:val="24"/>
          <w:szCs w:val="24"/>
          <w:rtl/>
        </w:rPr>
      </w:pPr>
    </w:p>
    <w:p w14:paraId="47A94EED"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נדגיש, אין בקביעה שמדובר באירוע אחד כדי להפחית ממשמעותה של כל עבירה וממשמעות הפגיעה בכל נפגע עבירה. לאור זאת, נקבע מתחם אחד לכל האירוע. </w:t>
      </w:r>
    </w:p>
    <w:p w14:paraId="4545C612" w14:textId="77777777" w:rsidR="00212B9A" w:rsidRDefault="00212B9A" w:rsidP="00212B9A">
      <w:pPr>
        <w:pStyle w:val="a9"/>
        <w:spacing w:line="360" w:lineRule="auto"/>
        <w:jc w:val="both"/>
        <w:rPr>
          <w:rFonts w:cs="David"/>
          <w:sz w:val="24"/>
          <w:szCs w:val="24"/>
          <w:rtl/>
        </w:rPr>
      </w:pPr>
    </w:p>
    <w:p w14:paraId="20CC7091" w14:textId="77777777" w:rsidR="00212B9A" w:rsidRPr="00DF73E7" w:rsidRDefault="00212B9A" w:rsidP="00212B9A">
      <w:pPr>
        <w:pStyle w:val="a9"/>
        <w:numPr>
          <w:ilvl w:val="0"/>
          <w:numId w:val="1"/>
        </w:numPr>
        <w:spacing w:line="360" w:lineRule="auto"/>
        <w:jc w:val="both"/>
        <w:rPr>
          <w:rFonts w:cs="David"/>
          <w:sz w:val="24"/>
          <w:szCs w:val="24"/>
          <w:rtl/>
        </w:rPr>
      </w:pPr>
      <w:r w:rsidRPr="00DF73E7">
        <w:rPr>
          <w:rFonts w:cs="David" w:hint="cs"/>
          <w:sz w:val="24"/>
          <w:szCs w:val="24"/>
          <w:rtl/>
        </w:rPr>
        <w:t>אשר לערכים החברתיים המוגנים שנפגעו כתוצאה ממעשי הנאשם, בעבירות בגינן הורשע לבד מעבירת הרצח, כפי שציינה המאשימה בטיעוניה, הנאשם פגע בערך קדושת החיים, שלמות הגוף והגנה על שלומו ובטחונו של כל אדם. על חומרת העבירות שבהן הורשע הנאשם ניתן ללמוד גם מהעונש הקבוע לצדן, עונש של 20 שנות מאסר לצד עבירת ניסיון הרצח ולצד עבירת החבלה בכוונה מחמירה.</w:t>
      </w:r>
    </w:p>
    <w:p w14:paraId="5E071DDA" w14:textId="77777777" w:rsidR="00212B9A" w:rsidRDefault="00212B9A" w:rsidP="00212B9A">
      <w:pPr>
        <w:pStyle w:val="a9"/>
        <w:spacing w:line="360" w:lineRule="auto"/>
        <w:jc w:val="both"/>
        <w:rPr>
          <w:rFonts w:cs="David"/>
          <w:sz w:val="24"/>
          <w:szCs w:val="24"/>
          <w:rtl/>
        </w:rPr>
      </w:pPr>
    </w:p>
    <w:p w14:paraId="5211105B" w14:textId="77777777" w:rsidR="00212B9A" w:rsidRDefault="00212B9A" w:rsidP="00212B9A">
      <w:pPr>
        <w:pStyle w:val="a9"/>
        <w:spacing w:line="360" w:lineRule="auto"/>
        <w:jc w:val="both"/>
        <w:rPr>
          <w:rFonts w:cs="David"/>
          <w:sz w:val="24"/>
          <w:szCs w:val="24"/>
          <w:rtl/>
        </w:rPr>
      </w:pPr>
      <w:r>
        <w:rPr>
          <w:rFonts w:cs="David" w:hint="cs"/>
          <w:sz w:val="24"/>
          <w:szCs w:val="24"/>
          <w:rtl/>
        </w:rPr>
        <w:t>כבר נקבע ש</w:t>
      </w:r>
      <w:r w:rsidRPr="00230C6D">
        <w:rPr>
          <w:rFonts w:cs="David" w:hint="cs"/>
          <w:sz w:val="24"/>
          <w:szCs w:val="24"/>
          <w:rtl/>
        </w:rPr>
        <w:t>עבירת ניסיון הרצח היא עבירה מהחמורות שבספר החוקים והניסיון לקפד את חייו של אדם ולפגוע בערך העליון של קדושת החיים מחייבת גישה מחמירה והולמת ויש לתת את משקל הבכורה לשיקולי הגמול וההרתעה באופן שתושת ענישה לתקופה ממושכת, לשנים ארוכות (</w:t>
      </w:r>
      <w:hyperlink r:id="rId41"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4372/13</w:t>
        </w:r>
      </w:hyperlink>
      <w:r w:rsidRPr="00230C6D">
        <w:rPr>
          <w:rFonts w:cs="David" w:hint="cs"/>
          <w:sz w:val="24"/>
          <w:szCs w:val="24"/>
          <w:rtl/>
        </w:rPr>
        <w:t xml:space="preserve"> </w:t>
      </w:r>
      <w:r w:rsidRPr="00230C6D">
        <w:rPr>
          <w:rFonts w:cs="David" w:hint="cs"/>
          <w:b/>
          <w:bCs/>
          <w:sz w:val="24"/>
          <w:szCs w:val="24"/>
          <w:rtl/>
        </w:rPr>
        <w:t>סיסא נ' מדינת ישראל</w:t>
      </w:r>
      <w:r w:rsidRPr="00230C6D">
        <w:rPr>
          <w:rFonts w:cs="David" w:hint="cs"/>
          <w:sz w:val="24"/>
          <w:szCs w:val="24"/>
          <w:rtl/>
        </w:rPr>
        <w:t xml:space="preserve"> </w:t>
      </w:r>
      <w:r>
        <w:rPr>
          <w:rFonts w:cs="David" w:hint="cs"/>
          <w:sz w:val="24"/>
          <w:szCs w:val="24"/>
          <w:rtl/>
        </w:rPr>
        <w:t>(6.8.14)).</w:t>
      </w:r>
    </w:p>
    <w:p w14:paraId="73AD5CEE" w14:textId="77777777" w:rsidR="00212B9A" w:rsidRDefault="00212B9A" w:rsidP="00212B9A">
      <w:pPr>
        <w:pStyle w:val="a9"/>
        <w:spacing w:line="360" w:lineRule="auto"/>
        <w:jc w:val="both"/>
        <w:rPr>
          <w:rFonts w:cs="David"/>
          <w:sz w:val="24"/>
          <w:szCs w:val="24"/>
          <w:rtl/>
        </w:rPr>
      </w:pPr>
    </w:p>
    <w:p w14:paraId="5CD3098D"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ועוד נאמר, </w:t>
      </w:r>
    </w:p>
    <w:p w14:paraId="27224010" w14:textId="77777777" w:rsidR="00212B9A" w:rsidRDefault="00212B9A" w:rsidP="00212B9A">
      <w:pPr>
        <w:pStyle w:val="a9"/>
        <w:spacing w:line="360" w:lineRule="auto"/>
        <w:jc w:val="both"/>
        <w:rPr>
          <w:rFonts w:ascii="David" w:hAnsi="David" w:cs="David"/>
          <w:sz w:val="24"/>
          <w:szCs w:val="24"/>
          <w:rtl/>
        </w:rPr>
      </w:pPr>
      <w:r w:rsidRPr="00D26273">
        <w:rPr>
          <w:rFonts w:ascii="David" w:hAnsi="David" w:cs="David"/>
          <w:sz w:val="24"/>
          <w:szCs w:val="24"/>
          <w:rtl/>
        </w:rPr>
        <w:t>"</w:t>
      </w:r>
      <w:r w:rsidRPr="00D26273">
        <w:rPr>
          <w:rFonts w:ascii="David" w:hAnsi="David" w:cs="David"/>
          <w:b/>
          <w:bCs/>
          <w:sz w:val="24"/>
          <w:szCs w:val="24"/>
          <w:rtl/>
        </w:rPr>
        <w:t xml:space="preserve">מנקודת מבט מוסרית ומשפטית, יש לתת ביטוי לערך קדושת החיים, </w:t>
      </w:r>
      <w:r>
        <w:rPr>
          <w:rFonts w:ascii="David" w:hAnsi="David" w:cs="David" w:hint="cs"/>
          <w:b/>
          <w:bCs/>
          <w:sz w:val="24"/>
          <w:szCs w:val="24"/>
          <w:rtl/>
        </w:rPr>
        <w:t>...</w:t>
      </w:r>
      <w:r w:rsidRPr="00D26273">
        <w:rPr>
          <w:rFonts w:ascii="David" w:hAnsi="David" w:cs="David"/>
          <w:b/>
          <w:bCs/>
          <w:sz w:val="24"/>
          <w:szCs w:val="24"/>
          <w:rtl/>
        </w:rPr>
        <w:t xml:space="preserve"> גם בגזירת העונש המתאים. על העונש להיקבע מתוך ההבנה הבסיסית כי כל אדם הוא עולם ומלואו, ופגיעה בו היא, כשלעצמה, מעשה חמור מאין כמותו</w:t>
      </w:r>
      <w:r w:rsidRPr="00D26273">
        <w:rPr>
          <w:rFonts w:ascii="David" w:hAnsi="David" w:cs="David"/>
          <w:sz w:val="24"/>
          <w:szCs w:val="24"/>
          <w:rtl/>
        </w:rPr>
        <w:t>" (</w:t>
      </w:r>
      <w:hyperlink r:id="rId42" w:history="1">
        <w:r w:rsidR="004968A2" w:rsidRPr="004968A2">
          <w:rPr>
            <w:rFonts w:ascii="David" w:hAnsi="David" w:cs="David"/>
            <w:color w:val="0000FF"/>
            <w:sz w:val="24"/>
            <w:szCs w:val="24"/>
            <w:u w:val="single"/>
            <w:rtl/>
          </w:rPr>
          <w:t>ע"פ 3545/18</w:t>
        </w:r>
      </w:hyperlink>
      <w:r>
        <w:rPr>
          <w:rFonts w:ascii="David" w:hAnsi="David" w:cs="David"/>
          <w:sz w:val="24"/>
          <w:szCs w:val="24"/>
          <w:rtl/>
        </w:rPr>
        <w:t xml:space="preserve"> </w:t>
      </w:r>
      <w:r w:rsidRPr="00C01420">
        <w:rPr>
          <w:rFonts w:ascii="David" w:hAnsi="David" w:cs="David"/>
          <w:b/>
          <w:bCs/>
          <w:sz w:val="24"/>
          <w:szCs w:val="24"/>
          <w:rtl/>
        </w:rPr>
        <w:t>קיקס נ' מדינת ישראל</w:t>
      </w:r>
      <w:r>
        <w:rPr>
          <w:rFonts w:ascii="David" w:hAnsi="David" w:cs="David" w:hint="cs"/>
          <w:sz w:val="24"/>
          <w:szCs w:val="24"/>
          <w:rtl/>
        </w:rPr>
        <w:t>, בפסקה 5</w:t>
      </w:r>
      <w:r>
        <w:rPr>
          <w:rFonts w:ascii="David" w:hAnsi="David" w:cs="David"/>
          <w:sz w:val="24"/>
          <w:szCs w:val="24"/>
          <w:rtl/>
        </w:rPr>
        <w:t xml:space="preserve"> (24.2.19)</w:t>
      </w:r>
      <w:r>
        <w:rPr>
          <w:rFonts w:ascii="David" w:hAnsi="David" w:cs="David" w:hint="cs"/>
          <w:sz w:val="24"/>
          <w:szCs w:val="24"/>
          <w:rtl/>
        </w:rPr>
        <w:t xml:space="preserve">, וכן </w:t>
      </w:r>
      <w:r w:rsidRPr="00D26273">
        <w:rPr>
          <w:rFonts w:ascii="David" w:hAnsi="David" w:cs="David" w:hint="cs"/>
          <w:sz w:val="24"/>
          <w:szCs w:val="24"/>
          <w:rtl/>
        </w:rPr>
        <w:t xml:space="preserve">ראו </w:t>
      </w:r>
      <w:hyperlink r:id="rId43" w:history="1">
        <w:r w:rsidR="004968A2" w:rsidRPr="004968A2">
          <w:rPr>
            <w:rFonts w:ascii="David" w:hAnsi="David" w:cs="David"/>
            <w:color w:val="0000FF"/>
            <w:sz w:val="24"/>
            <w:szCs w:val="24"/>
            <w:u w:val="single"/>
            <w:rtl/>
          </w:rPr>
          <w:t>ע"פ 3617/13</w:t>
        </w:r>
      </w:hyperlink>
      <w:r w:rsidRPr="00D26273">
        <w:rPr>
          <w:rFonts w:ascii="David" w:hAnsi="David" w:cs="David"/>
          <w:sz w:val="24"/>
          <w:szCs w:val="24"/>
          <w:rtl/>
        </w:rPr>
        <w:t xml:space="preserve"> </w:t>
      </w:r>
      <w:r w:rsidRPr="00D26273">
        <w:rPr>
          <w:rFonts w:ascii="David" w:hAnsi="David" w:cs="David"/>
          <w:b/>
          <w:bCs/>
          <w:sz w:val="24"/>
          <w:szCs w:val="24"/>
          <w:rtl/>
        </w:rPr>
        <w:t>טייטל נ' מדינת ישראל</w:t>
      </w:r>
      <w:r w:rsidRPr="00D26273">
        <w:rPr>
          <w:rFonts w:ascii="David" w:hAnsi="David" w:cs="David"/>
          <w:sz w:val="24"/>
          <w:szCs w:val="24"/>
          <w:rtl/>
        </w:rPr>
        <w:t>, בפסקה 66 (‏28.6.2016)</w:t>
      </w:r>
      <w:r w:rsidRPr="00D26273">
        <w:rPr>
          <w:rFonts w:ascii="David" w:hAnsi="David" w:cs="David" w:hint="cs"/>
          <w:sz w:val="24"/>
          <w:szCs w:val="24"/>
          <w:rtl/>
        </w:rPr>
        <w:t xml:space="preserve">). </w:t>
      </w:r>
    </w:p>
    <w:p w14:paraId="6800777B" w14:textId="77777777" w:rsidR="00212B9A" w:rsidRDefault="00212B9A" w:rsidP="00212B9A">
      <w:pPr>
        <w:pStyle w:val="a9"/>
        <w:spacing w:line="360" w:lineRule="auto"/>
        <w:jc w:val="both"/>
        <w:rPr>
          <w:rFonts w:cs="David"/>
          <w:sz w:val="24"/>
          <w:szCs w:val="24"/>
          <w:rtl/>
        </w:rPr>
      </w:pPr>
    </w:p>
    <w:p w14:paraId="74F4A96F" w14:textId="77777777" w:rsidR="00212B9A" w:rsidRDefault="00212B9A" w:rsidP="00212B9A">
      <w:pPr>
        <w:pStyle w:val="a9"/>
        <w:spacing w:line="360" w:lineRule="auto"/>
        <w:jc w:val="both"/>
        <w:rPr>
          <w:rFonts w:cs="David"/>
          <w:sz w:val="24"/>
          <w:szCs w:val="24"/>
          <w:rtl/>
        </w:rPr>
      </w:pPr>
      <w:r>
        <w:rPr>
          <w:rFonts w:cs="David" w:hint="cs"/>
          <w:sz w:val="24"/>
          <w:szCs w:val="24"/>
          <w:rtl/>
        </w:rPr>
        <w:t>בענייננו, מידת הפגיעה בערכים חברתיים זועקת בחומרתה.</w:t>
      </w:r>
      <w:r w:rsidRPr="000D4F69">
        <w:rPr>
          <w:rFonts w:cs="David" w:hint="cs"/>
          <w:sz w:val="24"/>
          <w:szCs w:val="24"/>
          <w:rtl/>
        </w:rPr>
        <w:t xml:space="preserve"> </w:t>
      </w:r>
      <w:r>
        <w:rPr>
          <w:rFonts w:cs="David" w:hint="cs"/>
          <w:sz w:val="24"/>
          <w:szCs w:val="24"/>
          <w:rtl/>
        </w:rPr>
        <w:t>הנאשם תכנן בקור רוח לרצוח את אדם, הצטייד בנשק, ארב לאדם ונהג באכזריות כאשר חזר למסיבת יום ההולדת שנערכה לכבוד המנוח, תוך זלזול בוטה בחיי אדם והתעלמות מוחלטת מכך שהעמיד בסיכון ממשי את באי המסיבה ומי שנכח באותה זירה. הנאשם היה מרוכז במימוש כוונותיו כשהוא נוהג באלימות אכזרית וחסרת מעצורים.</w:t>
      </w:r>
    </w:p>
    <w:p w14:paraId="6914FBE9" w14:textId="77777777" w:rsidR="00212B9A" w:rsidRDefault="00212B9A" w:rsidP="00212B9A">
      <w:pPr>
        <w:pStyle w:val="a9"/>
        <w:spacing w:line="360" w:lineRule="auto"/>
        <w:jc w:val="both"/>
        <w:rPr>
          <w:rFonts w:cs="David"/>
          <w:sz w:val="24"/>
          <w:szCs w:val="24"/>
          <w:rtl/>
        </w:rPr>
      </w:pPr>
      <w:r w:rsidRPr="00C55AA2">
        <w:rPr>
          <w:rFonts w:cs="David" w:hint="cs"/>
          <w:sz w:val="24"/>
          <w:szCs w:val="24"/>
          <w:rtl/>
        </w:rPr>
        <w:t>הנאשם ירה ללא היסוס גם במי שמסוכסך עמו גם במנוח ואף לא היסס לפגוע באם המנוח ויצר "זירת פיגוע" פלילי; זאת, מתוך קלות בלתי נתפסת של שימוש בנשק חם בעקבות עימות</w:t>
      </w:r>
      <w:r>
        <w:rPr>
          <w:rFonts w:cs="David" w:hint="cs"/>
          <w:sz w:val="24"/>
          <w:szCs w:val="24"/>
          <w:rtl/>
        </w:rPr>
        <w:t xml:space="preserve"> עם אדם, שאותו תכנן לרצוח, כשהוא לא חס על חיי אחרים שהפריעו לו במימוש תכניתו ומנוסתו. הנאשם לא רק גדע את חייו של המנוח, אלא גם המית אסון על אמו ומשפחתו וכשהוא דן את אדם לחיים בייסורים פיזיים ונפשיים. </w:t>
      </w:r>
    </w:p>
    <w:p w14:paraId="65110BC2" w14:textId="77777777" w:rsidR="00212B9A" w:rsidRDefault="00212B9A" w:rsidP="00212B9A">
      <w:pPr>
        <w:pStyle w:val="a9"/>
        <w:spacing w:line="360" w:lineRule="auto"/>
        <w:jc w:val="both"/>
        <w:rPr>
          <w:rFonts w:cs="David"/>
          <w:sz w:val="24"/>
          <w:szCs w:val="24"/>
          <w:rtl/>
        </w:rPr>
      </w:pPr>
    </w:p>
    <w:p w14:paraId="59FD03D1" w14:textId="77777777" w:rsidR="00212B9A" w:rsidRPr="00DF73E7" w:rsidRDefault="00212B9A" w:rsidP="00212B9A">
      <w:pPr>
        <w:pStyle w:val="a9"/>
        <w:numPr>
          <w:ilvl w:val="0"/>
          <w:numId w:val="1"/>
        </w:numPr>
        <w:spacing w:line="360" w:lineRule="auto"/>
        <w:jc w:val="both"/>
        <w:rPr>
          <w:rFonts w:ascii="David" w:hAnsi="David" w:cs="David"/>
          <w:sz w:val="24"/>
          <w:szCs w:val="24"/>
        </w:rPr>
      </w:pPr>
      <w:r w:rsidRPr="00DF73E7">
        <w:rPr>
          <w:rFonts w:cs="David" w:hint="cs"/>
          <w:sz w:val="24"/>
          <w:szCs w:val="24"/>
          <w:rtl/>
        </w:rPr>
        <w:t xml:space="preserve">אשר למדיניות הענישה הנוהגת, </w:t>
      </w:r>
      <w:r>
        <w:rPr>
          <w:rFonts w:ascii="David" w:hAnsi="David" w:cs="David" w:hint="cs"/>
          <w:sz w:val="24"/>
          <w:szCs w:val="24"/>
          <w:rtl/>
        </w:rPr>
        <w:t>נזכיר</w:t>
      </w:r>
      <w:r w:rsidRPr="00DF73E7">
        <w:rPr>
          <w:rFonts w:ascii="David" w:hAnsi="David" w:cs="David"/>
          <w:sz w:val="24"/>
          <w:szCs w:val="24"/>
          <w:rtl/>
        </w:rPr>
        <w:t xml:space="preserve"> שאין מקרה הזהה למשנהו</w:t>
      </w:r>
      <w:r w:rsidRPr="00DF73E7">
        <w:rPr>
          <w:rFonts w:ascii="David" w:hAnsi="David" w:cs="David" w:hint="cs"/>
          <w:sz w:val="24"/>
          <w:szCs w:val="24"/>
          <w:rtl/>
        </w:rPr>
        <w:t xml:space="preserve"> </w:t>
      </w:r>
      <w:r w:rsidRPr="00DF73E7">
        <w:rPr>
          <w:rFonts w:ascii="David" w:hAnsi="David" w:cs="David"/>
          <w:sz w:val="24"/>
          <w:szCs w:val="24"/>
          <w:rtl/>
        </w:rPr>
        <w:t>וכל מקרה</w:t>
      </w:r>
      <w:r w:rsidRPr="00DF73E7">
        <w:rPr>
          <w:rFonts w:ascii="David" w:hAnsi="David" w:cs="David" w:hint="cs"/>
          <w:sz w:val="24"/>
          <w:szCs w:val="24"/>
          <w:rtl/>
        </w:rPr>
        <w:t xml:space="preserve"> נבחן על פי נסיבותיו.</w:t>
      </w:r>
      <w:r w:rsidRPr="00DF73E7">
        <w:rPr>
          <w:rFonts w:cs="David" w:hint="cs"/>
          <w:sz w:val="24"/>
          <w:szCs w:val="24"/>
          <w:rtl/>
        </w:rPr>
        <w:t xml:space="preserve"> </w:t>
      </w:r>
      <w:r>
        <w:rPr>
          <w:rFonts w:ascii="David" w:hAnsi="David" w:cs="David" w:hint="cs"/>
          <w:sz w:val="24"/>
          <w:szCs w:val="24"/>
          <w:rtl/>
        </w:rPr>
        <w:t>בתוך כך יהיה נכון לתת את הדעת למספר פרמטרים כמו למשל מאפייני התכנון, השלב אליו הגיע הניסיון וקרבתו להשלמת העבירה, סוג האמצעי ששימש לעבירה,</w:t>
      </w:r>
      <w:r w:rsidRPr="00DF73E7">
        <w:rPr>
          <w:rFonts w:ascii="David" w:hAnsi="David" w:cs="David" w:hint="cs"/>
          <w:sz w:val="24"/>
          <w:szCs w:val="24"/>
          <w:rtl/>
        </w:rPr>
        <w:t xml:space="preserve"> </w:t>
      </w:r>
      <w:r>
        <w:rPr>
          <w:rFonts w:ascii="David" w:hAnsi="David" w:cs="David" w:hint="cs"/>
          <w:sz w:val="24"/>
          <w:szCs w:val="24"/>
          <w:rtl/>
        </w:rPr>
        <w:t>האם נגרם נזק לקורבן וכיו"ב.</w:t>
      </w:r>
    </w:p>
    <w:p w14:paraId="5A8849CF" w14:textId="77777777" w:rsidR="00212B9A" w:rsidRPr="00775A03" w:rsidRDefault="00212B9A" w:rsidP="00212B9A">
      <w:pPr>
        <w:pStyle w:val="a9"/>
        <w:spacing w:line="360" w:lineRule="auto"/>
        <w:jc w:val="both"/>
        <w:rPr>
          <w:rFonts w:cs="David"/>
          <w:sz w:val="24"/>
          <w:szCs w:val="24"/>
          <w:rtl/>
        </w:rPr>
      </w:pPr>
    </w:p>
    <w:p w14:paraId="39845EB8" w14:textId="77777777" w:rsidR="00212B9A" w:rsidRDefault="00212B9A" w:rsidP="00212B9A">
      <w:pPr>
        <w:pStyle w:val="a9"/>
        <w:spacing w:line="360" w:lineRule="auto"/>
        <w:jc w:val="both"/>
        <w:rPr>
          <w:rFonts w:ascii="David" w:hAnsi="David" w:cs="David"/>
          <w:sz w:val="24"/>
          <w:szCs w:val="24"/>
        </w:rPr>
      </w:pPr>
      <w:r>
        <w:rPr>
          <w:rFonts w:cs="David" w:hint="cs"/>
          <w:sz w:val="24"/>
          <w:szCs w:val="24"/>
          <w:rtl/>
        </w:rPr>
        <w:t xml:space="preserve">עוד </w:t>
      </w:r>
      <w:r w:rsidRPr="000D4F69">
        <w:rPr>
          <w:rFonts w:cs="David" w:hint="cs"/>
          <w:sz w:val="24"/>
          <w:szCs w:val="24"/>
          <w:rtl/>
        </w:rPr>
        <w:t>נציין ש</w:t>
      </w:r>
      <w:r w:rsidRPr="000D4F69">
        <w:rPr>
          <w:rFonts w:ascii="David" w:hAnsi="David" w:cs="David" w:hint="cs"/>
          <w:sz w:val="24"/>
          <w:szCs w:val="24"/>
          <w:rtl/>
        </w:rPr>
        <w:t xml:space="preserve">כאמור בחוק, מדיניות הענישה </w:t>
      </w:r>
      <w:r w:rsidRPr="000D4F69">
        <w:rPr>
          <w:rFonts w:ascii="David" w:hAnsi="David" w:cs="David"/>
          <w:sz w:val="24"/>
          <w:szCs w:val="24"/>
          <w:rtl/>
        </w:rPr>
        <w:t xml:space="preserve">מהווה </w:t>
      </w:r>
      <w:r w:rsidRPr="000D4F69">
        <w:rPr>
          <w:rFonts w:ascii="David" w:hAnsi="David" w:cs="David" w:hint="cs"/>
          <w:sz w:val="24"/>
          <w:szCs w:val="24"/>
          <w:rtl/>
        </w:rPr>
        <w:t xml:space="preserve">רק את </w:t>
      </w:r>
      <w:r w:rsidRPr="000D4F69">
        <w:rPr>
          <w:rFonts w:ascii="David" w:hAnsi="David" w:cs="David"/>
          <w:sz w:val="24"/>
          <w:szCs w:val="24"/>
          <w:rtl/>
        </w:rPr>
        <w:t xml:space="preserve">אחד </w:t>
      </w:r>
      <w:r w:rsidRPr="000D4F69">
        <w:rPr>
          <w:rFonts w:ascii="David" w:hAnsi="David" w:cs="David" w:hint="cs"/>
          <w:sz w:val="24"/>
          <w:szCs w:val="24"/>
          <w:rtl/>
        </w:rPr>
        <w:t>מ</w:t>
      </w:r>
      <w:r w:rsidRPr="000D4F69">
        <w:rPr>
          <w:rFonts w:ascii="David" w:hAnsi="David" w:cs="David"/>
          <w:sz w:val="24"/>
          <w:szCs w:val="24"/>
          <w:rtl/>
        </w:rPr>
        <w:t>השיקולים בקביעת מתחם העונש הראוי לצד ההתחשבות בערכים החברתיים שנפגעו ממעשי הנאשם, מידת הפגיעה בהם ונסיבות ביצוע העבירות.</w:t>
      </w:r>
      <w:r w:rsidRPr="000D4F69">
        <w:rPr>
          <w:rFonts w:ascii="David" w:hAnsi="David" w:cs="David" w:hint="cs"/>
          <w:sz w:val="24"/>
          <w:szCs w:val="24"/>
          <w:rtl/>
        </w:rPr>
        <w:t xml:space="preserve"> </w:t>
      </w:r>
    </w:p>
    <w:p w14:paraId="26328E7D" w14:textId="77777777" w:rsidR="00212B9A" w:rsidRPr="00DF73E7" w:rsidRDefault="00212B9A" w:rsidP="00212B9A">
      <w:pPr>
        <w:pStyle w:val="a9"/>
        <w:spacing w:line="360" w:lineRule="auto"/>
        <w:rPr>
          <w:rFonts w:ascii="David" w:hAnsi="David" w:cs="David"/>
          <w:sz w:val="24"/>
          <w:szCs w:val="24"/>
          <w:rtl/>
        </w:rPr>
      </w:pPr>
    </w:p>
    <w:p w14:paraId="7C911C7C" w14:textId="77777777" w:rsidR="00212B9A" w:rsidRPr="00C01420" w:rsidRDefault="00212B9A" w:rsidP="00212B9A">
      <w:pPr>
        <w:pStyle w:val="a9"/>
        <w:spacing w:line="360" w:lineRule="auto"/>
        <w:jc w:val="both"/>
        <w:rPr>
          <w:rFonts w:cs="David"/>
          <w:sz w:val="24"/>
          <w:szCs w:val="24"/>
          <w:rtl/>
        </w:rPr>
      </w:pPr>
      <w:r w:rsidRPr="00C01420">
        <w:rPr>
          <w:rFonts w:cs="David" w:hint="cs"/>
          <w:sz w:val="24"/>
          <w:szCs w:val="24"/>
          <w:rtl/>
        </w:rPr>
        <w:t>ב</w:t>
      </w:r>
      <w:hyperlink r:id="rId44"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9201/18</w:t>
        </w:r>
      </w:hyperlink>
      <w:r w:rsidRPr="00C01420">
        <w:rPr>
          <w:rFonts w:cs="David" w:hint="cs"/>
          <w:sz w:val="24"/>
          <w:szCs w:val="24"/>
          <w:rtl/>
        </w:rPr>
        <w:t xml:space="preserve"> </w:t>
      </w:r>
      <w:r w:rsidRPr="00C01420">
        <w:rPr>
          <w:rFonts w:cs="David" w:hint="cs"/>
          <w:b/>
          <w:bCs/>
          <w:sz w:val="24"/>
          <w:szCs w:val="24"/>
          <w:rtl/>
        </w:rPr>
        <w:t xml:space="preserve">גורבאן נ' מדינת ישראל </w:t>
      </w:r>
      <w:r w:rsidRPr="00C01420">
        <w:rPr>
          <w:rFonts w:cs="David" w:hint="cs"/>
          <w:sz w:val="24"/>
          <w:szCs w:val="24"/>
          <w:rtl/>
        </w:rPr>
        <w:t>(8.6.22) אישר בית המשפט העליון</w:t>
      </w:r>
      <w:r>
        <w:rPr>
          <w:rFonts w:cs="David" w:hint="cs"/>
          <w:sz w:val="24"/>
          <w:szCs w:val="24"/>
          <w:rtl/>
        </w:rPr>
        <w:t xml:space="preserve"> עונש </w:t>
      </w:r>
      <w:r w:rsidRPr="009A37AA">
        <w:rPr>
          <w:rFonts w:cs="David" w:hint="cs"/>
          <w:b/>
          <w:bCs/>
          <w:sz w:val="24"/>
          <w:szCs w:val="24"/>
          <w:rtl/>
        </w:rPr>
        <w:t>מצטבר</w:t>
      </w:r>
      <w:r>
        <w:rPr>
          <w:rFonts w:cs="David" w:hint="cs"/>
          <w:sz w:val="24"/>
          <w:szCs w:val="24"/>
          <w:rtl/>
        </w:rPr>
        <w:t xml:space="preserve"> של</w:t>
      </w:r>
      <w:r w:rsidRPr="00C01420">
        <w:rPr>
          <w:rFonts w:cs="David" w:hint="cs"/>
          <w:sz w:val="24"/>
          <w:szCs w:val="24"/>
          <w:rtl/>
        </w:rPr>
        <w:t xml:space="preserve"> 30 חודשי מאסר בגין עביר</w:t>
      </w:r>
      <w:r>
        <w:rPr>
          <w:rFonts w:cs="David" w:hint="cs"/>
          <w:sz w:val="24"/>
          <w:szCs w:val="24"/>
          <w:rtl/>
        </w:rPr>
        <w:t xml:space="preserve">ה של </w:t>
      </w:r>
      <w:r w:rsidRPr="00C01420">
        <w:rPr>
          <w:rFonts w:cs="David" w:hint="cs"/>
          <w:sz w:val="24"/>
          <w:szCs w:val="24"/>
          <w:rtl/>
        </w:rPr>
        <w:t xml:space="preserve"> </w:t>
      </w:r>
      <w:r w:rsidRPr="00C01420">
        <w:rPr>
          <w:rFonts w:cs="David" w:hint="cs"/>
          <w:b/>
          <w:bCs/>
          <w:sz w:val="24"/>
          <w:szCs w:val="24"/>
          <w:rtl/>
        </w:rPr>
        <w:t>פציעה בנסיבות מחמירות לעונש מאסר</w:t>
      </w:r>
      <w:r>
        <w:rPr>
          <w:rFonts w:cs="David" w:hint="cs"/>
          <w:b/>
          <w:bCs/>
          <w:sz w:val="24"/>
          <w:szCs w:val="24"/>
          <w:rtl/>
        </w:rPr>
        <w:t xml:space="preserve"> עולם בשל עבירת רצח</w:t>
      </w:r>
      <w:r w:rsidRPr="00C01420">
        <w:rPr>
          <w:rFonts w:cs="David" w:hint="cs"/>
          <w:sz w:val="24"/>
          <w:szCs w:val="24"/>
          <w:rtl/>
        </w:rPr>
        <w:t xml:space="preserve">. בנוסף, הוטלו 20 חודשי מאסר בגין </w:t>
      </w:r>
      <w:r w:rsidRPr="00C01420">
        <w:rPr>
          <w:rFonts w:cs="David" w:hint="cs"/>
          <w:b/>
          <w:bCs/>
          <w:sz w:val="24"/>
          <w:szCs w:val="24"/>
          <w:rtl/>
        </w:rPr>
        <w:t>העבירות בנשק</w:t>
      </w:r>
      <w:r w:rsidRPr="00C01420">
        <w:rPr>
          <w:rFonts w:cs="David" w:hint="cs"/>
          <w:sz w:val="24"/>
          <w:szCs w:val="24"/>
          <w:rtl/>
        </w:rPr>
        <w:t xml:space="preserve"> ועונש ו-18 חודשי מאסר בפועל בשל העבירה של </w:t>
      </w:r>
      <w:r w:rsidRPr="00C01420">
        <w:rPr>
          <w:rFonts w:cs="David" w:hint="cs"/>
          <w:b/>
          <w:bCs/>
          <w:sz w:val="24"/>
          <w:szCs w:val="24"/>
          <w:rtl/>
        </w:rPr>
        <w:t>שיבוש מהלכי משפט</w:t>
      </w:r>
      <w:r w:rsidRPr="00C01420">
        <w:rPr>
          <w:rFonts w:cs="David" w:hint="cs"/>
          <w:sz w:val="24"/>
          <w:szCs w:val="24"/>
          <w:rtl/>
        </w:rPr>
        <w:t xml:space="preserve">, וזאת כשעונשים אלה ירוצו </w:t>
      </w:r>
      <w:r w:rsidRPr="00C01420">
        <w:rPr>
          <w:rFonts w:cs="David" w:hint="cs"/>
          <w:b/>
          <w:bCs/>
          <w:sz w:val="24"/>
          <w:szCs w:val="24"/>
          <w:rtl/>
        </w:rPr>
        <w:t xml:space="preserve">בחופף </w:t>
      </w:r>
      <w:r w:rsidRPr="00C01420">
        <w:rPr>
          <w:rFonts w:cs="David" w:hint="cs"/>
          <w:sz w:val="24"/>
          <w:szCs w:val="24"/>
          <w:rtl/>
        </w:rPr>
        <w:t xml:space="preserve">לעונש המאסר. בנוסף, הופעל עונש מאסר מותנה שהיה תלוי ועומד כנגד הנאשם, במצטבר. </w:t>
      </w:r>
    </w:p>
    <w:p w14:paraId="65FEC166" w14:textId="77777777" w:rsidR="00212B9A" w:rsidRPr="00E42384" w:rsidRDefault="00212B9A" w:rsidP="00212B9A">
      <w:pPr>
        <w:pStyle w:val="a9"/>
        <w:spacing w:line="360" w:lineRule="auto"/>
        <w:jc w:val="both"/>
        <w:rPr>
          <w:rFonts w:cs="David"/>
          <w:sz w:val="24"/>
          <w:szCs w:val="24"/>
        </w:rPr>
      </w:pPr>
      <w:r w:rsidRPr="00C01420">
        <w:rPr>
          <w:rFonts w:cs="David" w:hint="cs"/>
          <w:sz w:val="24"/>
          <w:szCs w:val="24"/>
          <w:rtl/>
        </w:rPr>
        <w:t>המערער הורשע, לאחר שמיעת הראיות, בעבירות של רצח בכוונה תחילה, פציעה בנסיבות מחמירות, עבירות בנשק ושיבוש מהלכי משפט. ה</w:t>
      </w:r>
      <w:r w:rsidRPr="00C01420">
        <w:rPr>
          <w:rFonts w:cs="David"/>
          <w:sz w:val="24"/>
          <w:szCs w:val="24"/>
          <w:rtl/>
        </w:rPr>
        <w:t>מערער הגיע לבית קפה שבו ישב המנוח ופתח באש מאקדחו</w:t>
      </w:r>
      <w:r>
        <w:rPr>
          <w:rFonts w:cs="David" w:hint="cs"/>
          <w:sz w:val="24"/>
          <w:szCs w:val="24"/>
          <w:rtl/>
        </w:rPr>
        <w:t xml:space="preserve"> </w:t>
      </w:r>
      <w:r w:rsidRPr="00C01420">
        <w:rPr>
          <w:rFonts w:cs="David"/>
          <w:sz w:val="24"/>
          <w:szCs w:val="24"/>
          <w:rtl/>
        </w:rPr>
        <w:t>לפחות 19 קליעים, 4 מהם פגעו במנוח</w:t>
      </w:r>
      <w:r>
        <w:rPr>
          <w:rFonts w:cs="David" w:hint="cs"/>
          <w:sz w:val="24"/>
          <w:szCs w:val="24"/>
          <w:rtl/>
        </w:rPr>
        <w:t xml:space="preserve"> שמת מפצעיו</w:t>
      </w:r>
      <w:r w:rsidRPr="00C01420">
        <w:rPr>
          <w:rFonts w:cs="David" w:hint="cs"/>
          <w:sz w:val="24"/>
          <w:szCs w:val="24"/>
          <w:rtl/>
        </w:rPr>
        <w:t xml:space="preserve">. עוברת אורח שהלכה ברחוב סמוך נפגעה מפצע ירי שטחי. </w:t>
      </w:r>
    </w:p>
    <w:p w14:paraId="794E45BC" w14:textId="77777777" w:rsidR="00212B9A" w:rsidRPr="00E42384" w:rsidRDefault="00212B9A" w:rsidP="00212B9A">
      <w:pPr>
        <w:pStyle w:val="a9"/>
        <w:spacing w:line="360" w:lineRule="auto"/>
        <w:jc w:val="both"/>
        <w:rPr>
          <w:rFonts w:cs="David"/>
          <w:sz w:val="24"/>
          <w:szCs w:val="24"/>
          <w:rtl/>
        </w:rPr>
      </w:pPr>
    </w:p>
    <w:p w14:paraId="4AD63BC7" w14:textId="77777777" w:rsidR="00212B9A" w:rsidRDefault="00212B9A" w:rsidP="00212B9A">
      <w:pPr>
        <w:pStyle w:val="a9"/>
        <w:spacing w:line="360" w:lineRule="auto"/>
        <w:jc w:val="both"/>
        <w:rPr>
          <w:rFonts w:cs="David"/>
          <w:sz w:val="24"/>
          <w:szCs w:val="24"/>
          <w:rtl/>
        </w:rPr>
      </w:pPr>
      <w:r>
        <w:rPr>
          <w:rFonts w:cs="David" w:hint="cs"/>
          <w:sz w:val="24"/>
          <w:szCs w:val="24"/>
          <w:rtl/>
        </w:rPr>
        <w:t>ב</w:t>
      </w:r>
      <w:hyperlink r:id="rId45"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7473/20</w:t>
        </w:r>
      </w:hyperlink>
      <w:r>
        <w:rPr>
          <w:rFonts w:cs="David" w:hint="cs"/>
          <w:sz w:val="24"/>
          <w:szCs w:val="24"/>
          <w:rtl/>
        </w:rPr>
        <w:t xml:space="preserve"> </w:t>
      </w:r>
      <w:r w:rsidRPr="00CA3AFC">
        <w:rPr>
          <w:rFonts w:cs="David" w:hint="cs"/>
          <w:b/>
          <w:bCs/>
          <w:sz w:val="24"/>
          <w:szCs w:val="24"/>
          <w:rtl/>
        </w:rPr>
        <w:t>מדינת ישראל נ' מחאמיד</w:t>
      </w:r>
      <w:r>
        <w:rPr>
          <w:rFonts w:cs="David" w:hint="cs"/>
          <w:sz w:val="24"/>
          <w:szCs w:val="24"/>
          <w:rtl/>
        </w:rPr>
        <w:t xml:space="preserve"> (29.6.21), אליו הופנינו על ידי ההגנה, החמיר בית המשפט העליון בעונשו של המערער (המשיב שכנגד) והעמידו על 8 שנות מאסר חלף 6.5 שנות מאסר שהוטלו עליו בבית המשפט המחוזי. המערער הורשע בעבירות של </w:t>
      </w:r>
      <w:r w:rsidRPr="00C01420">
        <w:rPr>
          <w:rFonts w:cs="David" w:hint="cs"/>
          <w:b/>
          <w:bCs/>
          <w:sz w:val="24"/>
          <w:szCs w:val="24"/>
          <w:rtl/>
        </w:rPr>
        <w:t>חבלה בכוונה מחמירה, נשיאה והובלה של נשק שלא כדין וירי מנשק חם באזור מגורים</w:t>
      </w:r>
      <w:r>
        <w:rPr>
          <w:rFonts w:cs="David" w:hint="cs"/>
          <w:sz w:val="24"/>
          <w:szCs w:val="24"/>
          <w:rtl/>
        </w:rPr>
        <w:t xml:space="preserve"> באופן שיש בו כדי לסכן חיי אדם. בעניין זה דובר במערער שבעת ביצוע העבירות טרם מלאו לו 21 שנים, נטול עבר פלילי וכן צוין שהמשיב החל בהליך שיקום בכלא. בית המשפט העליון הדגיש שאין ערכאת הערעור ממצה את הדין. </w:t>
      </w:r>
    </w:p>
    <w:p w14:paraId="17C00C26" w14:textId="77777777" w:rsidR="00212B9A" w:rsidRDefault="00212B9A" w:rsidP="00212B9A">
      <w:pPr>
        <w:pStyle w:val="a9"/>
        <w:spacing w:line="360" w:lineRule="auto"/>
        <w:jc w:val="both"/>
        <w:rPr>
          <w:rFonts w:cs="David"/>
          <w:sz w:val="24"/>
          <w:szCs w:val="24"/>
          <w:rtl/>
        </w:rPr>
      </w:pPr>
    </w:p>
    <w:p w14:paraId="3D9ED2E4" w14:textId="77777777" w:rsidR="00212B9A" w:rsidRPr="00E42384" w:rsidRDefault="00212B9A" w:rsidP="00212B9A">
      <w:pPr>
        <w:pStyle w:val="a9"/>
        <w:spacing w:line="360" w:lineRule="auto"/>
        <w:jc w:val="both"/>
        <w:rPr>
          <w:rFonts w:cs="David"/>
          <w:sz w:val="24"/>
          <w:szCs w:val="24"/>
        </w:rPr>
      </w:pPr>
      <w:r w:rsidRPr="00C01420">
        <w:rPr>
          <w:rFonts w:cs="David"/>
          <w:sz w:val="24"/>
          <w:szCs w:val="24"/>
          <w:rtl/>
        </w:rPr>
        <w:t>בעקבות הירי המתלונן אושפז כשהוא מורדם ומונשם. נגרמו לו נזקים שונים, בהם פצעי ירי בצוואר, בריאה ובבית חזה, נזק לשורשי שתי חוליות, חולשה בידו והגבלת תנועה בכתף.</w:t>
      </w:r>
    </w:p>
    <w:p w14:paraId="110D3A71" w14:textId="77777777" w:rsidR="00212B9A" w:rsidRPr="00E42384" w:rsidRDefault="00212B9A" w:rsidP="00212B9A">
      <w:pPr>
        <w:pStyle w:val="a9"/>
        <w:spacing w:line="360" w:lineRule="auto"/>
        <w:jc w:val="both"/>
        <w:rPr>
          <w:rFonts w:cs="David"/>
          <w:sz w:val="24"/>
          <w:szCs w:val="24"/>
          <w:rtl/>
        </w:rPr>
      </w:pPr>
    </w:p>
    <w:p w14:paraId="4387AAB6" w14:textId="77777777" w:rsidR="00212B9A" w:rsidRPr="00EF768B" w:rsidRDefault="00212B9A" w:rsidP="00212B9A">
      <w:pPr>
        <w:pStyle w:val="a9"/>
        <w:spacing w:line="360" w:lineRule="auto"/>
        <w:jc w:val="both"/>
        <w:rPr>
          <w:rFonts w:cs="David"/>
          <w:sz w:val="24"/>
          <w:szCs w:val="24"/>
          <w:rtl/>
        </w:rPr>
      </w:pPr>
      <w:r>
        <w:rPr>
          <w:rFonts w:cs="David" w:hint="cs"/>
          <w:sz w:val="24"/>
          <w:szCs w:val="24"/>
          <w:rtl/>
        </w:rPr>
        <w:t>ב</w:t>
      </w:r>
      <w:hyperlink r:id="rId46" w:history="1">
        <w:r w:rsidR="004968A2" w:rsidRPr="004968A2">
          <w:rPr>
            <w:rFonts w:cs="David" w:hint="cs"/>
            <w:color w:val="0000FF"/>
            <w:sz w:val="24"/>
            <w:szCs w:val="24"/>
            <w:u w:val="single"/>
            <w:rtl/>
          </w:rPr>
          <w:t>תפ</w:t>
        </w:r>
        <w:r w:rsidR="004968A2" w:rsidRPr="004968A2">
          <w:rPr>
            <w:rFonts w:cs="David"/>
            <w:color w:val="0000FF"/>
            <w:sz w:val="24"/>
            <w:szCs w:val="24"/>
            <w:u w:val="single"/>
            <w:rtl/>
          </w:rPr>
          <w:t>"</w:t>
        </w:r>
        <w:r w:rsidR="004968A2" w:rsidRPr="004968A2">
          <w:rPr>
            <w:rFonts w:cs="David" w:hint="cs"/>
            <w:color w:val="0000FF"/>
            <w:sz w:val="24"/>
            <w:szCs w:val="24"/>
            <w:u w:val="single"/>
            <w:rtl/>
          </w:rPr>
          <w:t>ח</w:t>
        </w:r>
        <w:r w:rsidR="004968A2" w:rsidRPr="004968A2">
          <w:rPr>
            <w:rFonts w:cs="David"/>
            <w:color w:val="0000FF"/>
            <w:sz w:val="24"/>
            <w:szCs w:val="24"/>
            <w:u w:val="single"/>
            <w:rtl/>
          </w:rPr>
          <w:t xml:space="preserve"> 11459-10-09</w:t>
        </w:r>
      </w:hyperlink>
      <w:r>
        <w:rPr>
          <w:rFonts w:cs="David" w:hint="cs"/>
          <w:sz w:val="24"/>
          <w:szCs w:val="24"/>
          <w:rtl/>
        </w:rPr>
        <w:t xml:space="preserve"> </w:t>
      </w:r>
      <w:r w:rsidRPr="00EE709C">
        <w:rPr>
          <w:rFonts w:cs="David" w:hint="cs"/>
          <w:b/>
          <w:bCs/>
          <w:sz w:val="24"/>
          <w:szCs w:val="24"/>
          <w:rtl/>
        </w:rPr>
        <w:t>מדינת ישראל נ' חזיזה</w:t>
      </w:r>
      <w:r>
        <w:rPr>
          <w:rFonts w:cs="David" w:hint="cs"/>
          <w:sz w:val="24"/>
          <w:szCs w:val="24"/>
          <w:rtl/>
        </w:rPr>
        <w:t xml:space="preserve"> (13.11.11), אליו הופנינו על ידי המאשימה, נדון עניינו של נאשם שהורשע בעבירות של </w:t>
      </w:r>
      <w:r w:rsidRPr="00C01420">
        <w:rPr>
          <w:rFonts w:cs="David" w:hint="cs"/>
          <w:b/>
          <w:bCs/>
          <w:sz w:val="24"/>
          <w:szCs w:val="24"/>
          <w:rtl/>
        </w:rPr>
        <w:t>רצח וניסיון רצח</w:t>
      </w:r>
      <w:r>
        <w:rPr>
          <w:rFonts w:cs="David" w:hint="cs"/>
          <w:b/>
          <w:bCs/>
          <w:sz w:val="24"/>
          <w:szCs w:val="24"/>
          <w:rtl/>
        </w:rPr>
        <w:t xml:space="preserve">. </w:t>
      </w:r>
      <w:r w:rsidRPr="00C01420">
        <w:rPr>
          <w:rFonts w:cs="David" w:hint="cs"/>
          <w:sz w:val="24"/>
          <w:szCs w:val="24"/>
          <w:rtl/>
        </w:rPr>
        <w:t xml:space="preserve">הנאשם נדון למאסר </w:t>
      </w:r>
      <w:r>
        <w:rPr>
          <w:rFonts w:cs="David" w:hint="cs"/>
          <w:sz w:val="24"/>
          <w:szCs w:val="24"/>
          <w:rtl/>
        </w:rPr>
        <w:t xml:space="preserve">עולם בגין עבירת הרצח ו-20 שנות מאסר בגין עבירת ניסיון הרצח </w:t>
      </w:r>
      <w:r w:rsidRPr="00C01420">
        <w:rPr>
          <w:rFonts w:cs="David" w:hint="cs"/>
          <w:b/>
          <w:bCs/>
          <w:sz w:val="24"/>
          <w:szCs w:val="24"/>
          <w:rtl/>
        </w:rPr>
        <w:t>מחציתו במצטבר</w:t>
      </w:r>
      <w:r>
        <w:rPr>
          <w:rFonts w:cs="David" w:hint="cs"/>
          <w:sz w:val="24"/>
          <w:szCs w:val="24"/>
          <w:rtl/>
        </w:rPr>
        <w:t xml:space="preserve"> למאסר העולם </w:t>
      </w:r>
      <w:r w:rsidRPr="00DF73E7">
        <w:rPr>
          <w:rFonts w:cs="David" w:hint="cs"/>
          <w:b/>
          <w:bCs/>
          <w:sz w:val="24"/>
          <w:szCs w:val="24"/>
          <w:rtl/>
        </w:rPr>
        <w:t>וחציו בחופף</w:t>
      </w:r>
      <w:r>
        <w:rPr>
          <w:rFonts w:cs="David" w:hint="cs"/>
          <w:sz w:val="24"/>
          <w:szCs w:val="24"/>
          <w:rtl/>
        </w:rPr>
        <w:t xml:space="preserve">. הנאשם החליט להביא למותו של המתלונן לאחר שהמתלונן עירב אדם אחר בסכסוך כספי שבין הנאשם לחברו של המתלונן. הנאשם פסע לכיוון המתלונן בשעת ערב בעיר והחל לירות לעברו. המתלונן, שנפגע כבר בשלב זה, ניסה להימלט בריצה בעוד הנאשם רדף אחריו וירה לכיוונו יריות נוספות, בסך הכל 13 יריות, ולאחר מכן נמלט מהמקום. כתוצאה מהיריות המתלונן נפצע קשה באזור החזה, סבל מקרעים רבים בסרעפת, בכבד, בכליה ובמעיים, והיה שקוע בתרדמת ממושכת במשך שישה שבועות. </w:t>
      </w:r>
      <w:r w:rsidRPr="00EF768B">
        <w:rPr>
          <w:rFonts w:cs="David" w:hint="cs"/>
          <w:sz w:val="24"/>
          <w:szCs w:val="24"/>
          <w:rtl/>
        </w:rPr>
        <w:t>במקום שהתה קבוצת נערים וכתוצאה מהירי נפגע גם נער עובר אורח שמת מפצעיו.</w:t>
      </w:r>
    </w:p>
    <w:p w14:paraId="46ACE1A8" w14:textId="77777777" w:rsidR="00212B9A" w:rsidRDefault="00212B9A" w:rsidP="00212B9A">
      <w:pPr>
        <w:pStyle w:val="a9"/>
        <w:spacing w:line="360" w:lineRule="auto"/>
        <w:jc w:val="both"/>
        <w:rPr>
          <w:rFonts w:cs="David"/>
          <w:sz w:val="24"/>
          <w:szCs w:val="24"/>
          <w:highlight w:val="cyan"/>
          <w:rtl/>
        </w:rPr>
      </w:pPr>
    </w:p>
    <w:p w14:paraId="7159C631" w14:textId="77777777" w:rsidR="00212B9A" w:rsidRDefault="00212B9A" w:rsidP="00212B9A">
      <w:pPr>
        <w:pStyle w:val="a9"/>
        <w:spacing w:line="360" w:lineRule="auto"/>
        <w:jc w:val="both"/>
        <w:rPr>
          <w:rFonts w:cs="David"/>
          <w:sz w:val="24"/>
          <w:szCs w:val="24"/>
          <w:rtl/>
        </w:rPr>
      </w:pPr>
      <w:r>
        <w:rPr>
          <w:rFonts w:cs="David" w:hint="cs"/>
          <w:sz w:val="24"/>
          <w:szCs w:val="24"/>
          <w:rtl/>
        </w:rPr>
        <w:t>ב</w:t>
      </w:r>
      <w:hyperlink r:id="rId47"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3879/21</w:t>
        </w:r>
      </w:hyperlink>
      <w:r>
        <w:rPr>
          <w:rFonts w:cs="David" w:hint="cs"/>
          <w:sz w:val="24"/>
          <w:szCs w:val="24"/>
          <w:rtl/>
        </w:rPr>
        <w:t xml:space="preserve"> </w:t>
      </w:r>
      <w:r w:rsidRPr="00B61F99">
        <w:rPr>
          <w:rFonts w:cs="David" w:hint="cs"/>
          <w:b/>
          <w:bCs/>
          <w:sz w:val="24"/>
          <w:szCs w:val="24"/>
          <w:rtl/>
        </w:rPr>
        <w:t>סלומון נ' מדינת ישראל</w:t>
      </w:r>
      <w:r>
        <w:rPr>
          <w:rFonts w:cs="David" w:hint="cs"/>
          <w:sz w:val="24"/>
          <w:szCs w:val="24"/>
          <w:rtl/>
        </w:rPr>
        <w:t xml:space="preserve"> (10.8.22) אישר בית המשפט העליון עונש של 15 שנות מאסר שהוטלו על מערער שהורשע בעבירה של </w:t>
      </w:r>
      <w:r w:rsidRPr="00C01420">
        <w:rPr>
          <w:rFonts w:cs="David" w:hint="cs"/>
          <w:b/>
          <w:bCs/>
          <w:sz w:val="24"/>
          <w:szCs w:val="24"/>
          <w:rtl/>
        </w:rPr>
        <w:t>ניסיון רצח</w:t>
      </w:r>
      <w:r>
        <w:rPr>
          <w:rFonts w:cs="David" w:hint="cs"/>
          <w:sz w:val="24"/>
          <w:szCs w:val="24"/>
          <w:rtl/>
        </w:rPr>
        <w:t xml:space="preserve">. צוין שבשעות לילה, חבורת צעירים השתוללו והקימו רעש ברחוב מול בית המערער, פקח עירוני ושוטר סיור, העירו לחבורת הצעירים וביקשו מהם לחדול ממעשיהם. בהמשך המערער העיר לצעירים ואחד מהם הגיב באופן "מזלזל ופוגעני". בחלוף זמן קצר, המערער שב למקום כשהוא מצויד באקדח טעון בכדורים, בו החזיק מתוקף היותו מאבטח וירה ירייה מטווח קצר לעבר ראשו של נפגע העבירה שאושפז לכ-10 חודשים ונעשה סיעודי. בית המשפט המחוזי העמיד את מתחם העונש ההולם על 14 עד 18 שנות מאסר. </w:t>
      </w:r>
    </w:p>
    <w:p w14:paraId="1C152FAD" w14:textId="77777777" w:rsidR="00212B9A" w:rsidRDefault="00212B9A" w:rsidP="00212B9A">
      <w:pPr>
        <w:pStyle w:val="a9"/>
        <w:spacing w:line="360" w:lineRule="auto"/>
        <w:jc w:val="both"/>
        <w:rPr>
          <w:rFonts w:cs="David"/>
          <w:b/>
          <w:bCs/>
          <w:sz w:val="24"/>
          <w:szCs w:val="24"/>
          <w:u w:val="single"/>
          <w:rtl/>
        </w:rPr>
      </w:pPr>
    </w:p>
    <w:p w14:paraId="73D2CCA5" w14:textId="77777777" w:rsidR="00212B9A" w:rsidRDefault="00212B9A" w:rsidP="00212B9A">
      <w:pPr>
        <w:pStyle w:val="a9"/>
        <w:spacing w:line="360" w:lineRule="auto"/>
        <w:jc w:val="both"/>
        <w:rPr>
          <w:rFonts w:cs="David"/>
          <w:sz w:val="24"/>
          <w:szCs w:val="24"/>
          <w:rtl/>
        </w:rPr>
      </w:pPr>
      <w:r w:rsidRPr="00DD0B74">
        <w:rPr>
          <w:rFonts w:cs="David" w:hint="cs"/>
          <w:sz w:val="24"/>
          <w:szCs w:val="24"/>
          <w:rtl/>
        </w:rPr>
        <w:t>ב</w:t>
      </w:r>
      <w:hyperlink r:id="rId48"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687/22</w:t>
        </w:r>
      </w:hyperlink>
      <w:r w:rsidRPr="00DD0B74">
        <w:rPr>
          <w:rFonts w:cs="David" w:hint="cs"/>
          <w:b/>
          <w:bCs/>
          <w:sz w:val="24"/>
          <w:szCs w:val="24"/>
          <w:rtl/>
        </w:rPr>
        <w:t xml:space="preserve"> טלוי נ' מדינת ישראל </w:t>
      </w:r>
      <w:r w:rsidRPr="00DD0B74">
        <w:rPr>
          <w:rFonts w:cs="David" w:hint="cs"/>
          <w:sz w:val="24"/>
          <w:szCs w:val="24"/>
          <w:rtl/>
        </w:rPr>
        <w:t>(19.5.22) אליו הופנינו על ידי המאשימה,</w:t>
      </w:r>
      <w:r>
        <w:rPr>
          <w:rFonts w:cs="David" w:hint="cs"/>
          <w:sz w:val="24"/>
          <w:szCs w:val="24"/>
          <w:rtl/>
        </w:rPr>
        <w:t xml:space="preserve"> החמיר בית המשפט העליון בעונשו של המערער שהורשע</w:t>
      </w:r>
      <w:r w:rsidRPr="00DD0B74">
        <w:rPr>
          <w:rFonts w:cs="David" w:hint="cs"/>
          <w:sz w:val="24"/>
          <w:szCs w:val="24"/>
          <w:rtl/>
        </w:rPr>
        <w:t xml:space="preserve">, על יסוד הודאתו, בעבירות של </w:t>
      </w:r>
      <w:r w:rsidRPr="00C01420">
        <w:rPr>
          <w:rFonts w:cs="David" w:hint="cs"/>
          <w:b/>
          <w:bCs/>
          <w:sz w:val="24"/>
          <w:szCs w:val="24"/>
          <w:rtl/>
        </w:rPr>
        <w:t>חבלה בכוונה מחמירה ושינוי זהות של רכב או של חלק של רכב</w:t>
      </w:r>
      <w:r>
        <w:rPr>
          <w:rFonts w:cs="David" w:hint="cs"/>
          <w:sz w:val="24"/>
          <w:szCs w:val="24"/>
          <w:rtl/>
        </w:rPr>
        <w:t xml:space="preserve">, והעמידו על 15 שנות מאסר חלף 12 שנות מאסר שהוטלו עליו בבית המשפט המחוזי. בית המשפט העליון קבע את מתחם הענישה בין 16 ל-20 שנות מאסר. עם זאת, בשים לב לנסיבותיו האישיות של המערער ולכלל לפיו אין זו דרכה של ערכאת הערעור למצות עם המערער את הדין במלוא חומרתו, בית המשפט העליון חרג מהמתחם והעמיד את עונשו של המערער על 15 שנות מאסר.   </w:t>
      </w:r>
    </w:p>
    <w:p w14:paraId="7901DD1C"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המערער </w:t>
      </w:r>
      <w:r w:rsidRPr="00DD0B74">
        <w:rPr>
          <w:rFonts w:cs="David" w:hint="cs"/>
          <w:sz w:val="24"/>
          <w:szCs w:val="24"/>
          <w:rtl/>
        </w:rPr>
        <w:t>ירה מאקדחו, מטווח קצר, בראשו של קרבן העבירה, כבן 27</w:t>
      </w:r>
      <w:r>
        <w:rPr>
          <w:rFonts w:cs="David" w:hint="cs"/>
          <w:sz w:val="24"/>
          <w:szCs w:val="24"/>
          <w:rtl/>
        </w:rPr>
        <w:t xml:space="preserve"> וגרם </w:t>
      </w:r>
      <w:r w:rsidRPr="00DD0B74">
        <w:rPr>
          <w:rFonts w:cs="David" w:hint="cs"/>
          <w:sz w:val="24"/>
          <w:szCs w:val="24"/>
          <w:rtl/>
        </w:rPr>
        <w:t xml:space="preserve">לו נזק מוחי מאסיבי והוא מאושפז במוסד רפואי מונשם וחסר הכרה. </w:t>
      </w:r>
    </w:p>
    <w:p w14:paraId="578C6F16" w14:textId="77777777" w:rsidR="00212B9A" w:rsidRPr="00DD0B74" w:rsidRDefault="00212B9A" w:rsidP="00212B9A">
      <w:pPr>
        <w:pStyle w:val="a9"/>
        <w:spacing w:line="360" w:lineRule="auto"/>
        <w:jc w:val="both"/>
        <w:rPr>
          <w:rFonts w:cs="David"/>
          <w:sz w:val="24"/>
          <w:szCs w:val="24"/>
          <w:rtl/>
        </w:rPr>
      </w:pPr>
    </w:p>
    <w:p w14:paraId="418E78D5" w14:textId="77777777" w:rsidR="00212B9A" w:rsidRPr="00DF73E7" w:rsidRDefault="00212B9A" w:rsidP="00212B9A">
      <w:pPr>
        <w:pStyle w:val="a9"/>
        <w:numPr>
          <w:ilvl w:val="0"/>
          <w:numId w:val="1"/>
        </w:numPr>
        <w:spacing w:line="360" w:lineRule="auto"/>
        <w:jc w:val="both"/>
        <w:rPr>
          <w:rFonts w:cs="David"/>
          <w:sz w:val="24"/>
          <w:szCs w:val="24"/>
        </w:rPr>
      </w:pPr>
      <w:r>
        <w:rPr>
          <w:rFonts w:cs="David" w:hint="cs"/>
          <w:sz w:val="24"/>
          <w:szCs w:val="24"/>
          <w:rtl/>
        </w:rPr>
        <w:t>אשר ל</w:t>
      </w:r>
      <w:r w:rsidRPr="00DF73E7">
        <w:rPr>
          <w:rFonts w:cs="David" w:hint="cs"/>
          <w:sz w:val="24"/>
          <w:szCs w:val="24"/>
          <w:rtl/>
        </w:rPr>
        <w:t>נסיבות ביצוע העבירות</w:t>
      </w:r>
      <w:r>
        <w:rPr>
          <w:rFonts w:cs="David" w:hint="cs"/>
          <w:sz w:val="24"/>
          <w:szCs w:val="24"/>
          <w:rtl/>
        </w:rPr>
        <w:t>, אלה פורטו במסגרת ממצאי העובדה כפי שנקבעו בהכרעת הדין. בתמצית שבתמצית נזכיר שיש להביא בחשבון את</w:t>
      </w:r>
      <w:r w:rsidRPr="00DF73E7">
        <w:rPr>
          <w:rFonts w:cs="David" w:hint="cs"/>
          <w:sz w:val="24"/>
          <w:szCs w:val="24"/>
          <w:rtl/>
        </w:rPr>
        <w:t xml:space="preserve"> </w:t>
      </w:r>
      <w:r>
        <w:rPr>
          <w:rFonts w:cs="David" w:hint="cs"/>
          <w:sz w:val="24"/>
          <w:szCs w:val="24"/>
          <w:rtl/>
        </w:rPr>
        <w:t>ה</w:t>
      </w:r>
      <w:r w:rsidRPr="00DF73E7">
        <w:rPr>
          <w:rFonts w:cs="David" w:hint="cs"/>
          <w:sz w:val="24"/>
          <w:szCs w:val="24"/>
          <w:rtl/>
        </w:rPr>
        <w:t xml:space="preserve">תכנון שקדם </w:t>
      </w:r>
      <w:r>
        <w:rPr>
          <w:rFonts w:cs="David" w:hint="cs"/>
          <w:sz w:val="24"/>
          <w:szCs w:val="24"/>
          <w:rtl/>
        </w:rPr>
        <w:t>לניסיון הרצח</w:t>
      </w:r>
      <w:r w:rsidRPr="00DF73E7">
        <w:rPr>
          <w:rFonts w:cs="David" w:hint="cs"/>
          <w:sz w:val="24"/>
          <w:szCs w:val="24"/>
          <w:rtl/>
        </w:rPr>
        <w:t>, שכלל</w:t>
      </w:r>
      <w:r>
        <w:rPr>
          <w:rFonts w:cs="David" w:hint="cs"/>
          <w:sz w:val="24"/>
          <w:szCs w:val="24"/>
          <w:rtl/>
        </w:rPr>
        <w:t xml:space="preserve"> את</w:t>
      </w:r>
      <w:r w:rsidRPr="00DF73E7">
        <w:rPr>
          <w:rFonts w:cs="David" w:hint="cs"/>
          <w:sz w:val="24"/>
          <w:szCs w:val="24"/>
          <w:rtl/>
        </w:rPr>
        <w:t xml:space="preserve"> עזיבת </w:t>
      </w:r>
      <w:r>
        <w:rPr>
          <w:rFonts w:cs="David" w:hint="cs"/>
          <w:sz w:val="24"/>
          <w:szCs w:val="24"/>
          <w:rtl/>
        </w:rPr>
        <w:t>הזירה</w:t>
      </w:r>
      <w:r w:rsidRPr="00DF73E7">
        <w:rPr>
          <w:rFonts w:cs="David" w:hint="cs"/>
          <w:sz w:val="24"/>
          <w:szCs w:val="24"/>
          <w:rtl/>
        </w:rPr>
        <w:t xml:space="preserve">, הצטיידות בנשק חם וחזרה למקום האירוע.  </w:t>
      </w:r>
      <w:r>
        <w:rPr>
          <w:rFonts w:cs="David" w:hint="cs"/>
          <w:sz w:val="24"/>
          <w:szCs w:val="24"/>
          <w:rtl/>
        </w:rPr>
        <w:t>נאור</w:t>
      </w:r>
      <w:r w:rsidRPr="00DF73E7">
        <w:rPr>
          <w:rFonts w:cs="David" w:hint="cs"/>
          <w:sz w:val="24"/>
          <w:szCs w:val="24"/>
          <w:rtl/>
        </w:rPr>
        <w:t xml:space="preserve"> הוביל את אדם לסמטה, שם הנאשם ארב לו וירה בו. בלהט האירוע, בקלות בלתי נתפסת, הנאשם ירה באמו של המנוח,</w:t>
      </w:r>
      <w:r>
        <w:rPr>
          <w:rFonts w:cs="David" w:hint="cs"/>
          <w:sz w:val="24"/>
          <w:szCs w:val="24"/>
          <w:rtl/>
        </w:rPr>
        <w:t xml:space="preserve"> שניסתה לעצור אותו מלפגוע </w:t>
      </w:r>
      <w:r w:rsidRPr="009A37AA">
        <w:rPr>
          <w:rFonts w:cs="David" w:hint="cs"/>
          <w:sz w:val="24"/>
          <w:szCs w:val="24"/>
          <w:rtl/>
        </w:rPr>
        <w:t>בבנה המנוח שדלק אחרי הנאשם</w:t>
      </w:r>
      <w:r>
        <w:rPr>
          <w:rFonts w:cs="David" w:hint="cs"/>
          <w:sz w:val="24"/>
          <w:szCs w:val="24"/>
          <w:rtl/>
        </w:rPr>
        <w:t xml:space="preserve"> ורצח את המנוח</w:t>
      </w:r>
      <w:r w:rsidRPr="009A37AA">
        <w:rPr>
          <w:rFonts w:cs="David" w:hint="cs"/>
          <w:sz w:val="24"/>
          <w:szCs w:val="24"/>
          <w:rtl/>
        </w:rPr>
        <w:t>.</w:t>
      </w:r>
      <w:r>
        <w:rPr>
          <w:rFonts w:cs="David" w:hint="cs"/>
          <w:sz w:val="24"/>
          <w:szCs w:val="24"/>
          <w:rtl/>
        </w:rPr>
        <w:t xml:space="preserve"> כמו כן יש לקחת בחשבון כי </w:t>
      </w:r>
      <w:r w:rsidRPr="00DF73E7">
        <w:rPr>
          <w:rFonts w:cs="David" w:hint="cs"/>
          <w:sz w:val="24"/>
          <w:szCs w:val="24"/>
          <w:rtl/>
        </w:rPr>
        <w:t>הנאשם ביצע את הירי בשכונת מגורים.</w:t>
      </w:r>
    </w:p>
    <w:p w14:paraId="11BE550E" w14:textId="77777777" w:rsidR="00212B9A" w:rsidRDefault="00212B9A" w:rsidP="00212B9A">
      <w:pPr>
        <w:pStyle w:val="a9"/>
        <w:spacing w:line="360" w:lineRule="auto"/>
        <w:jc w:val="both"/>
        <w:rPr>
          <w:rFonts w:cs="David"/>
          <w:sz w:val="24"/>
          <w:szCs w:val="24"/>
          <w:rtl/>
        </w:rPr>
      </w:pPr>
    </w:p>
    <w:p w14:paraId="4DD1AD1D"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עוד נפנה לנזק שנגרם כתוצאה מביצוע העבירות: </w:t>
      </w:r>
      <w:r w:rsidRPr="00C01420">
        <w:rPr>
          <w:rFonts w:cs="David"/>
          <w:sz w:val="24"/>
          <w:szCs w:val="24"/>
          <w:rtl/>
        </w:rPr>
        <w:t xml:space="preserve">אדם </w:t>
      </w:r>
      <w:r>
        <w:rPr>
          <w:rFonts w:cs="David" w:hint="cs"/>
          <w:sz w:val="24"/>
          <w:szCs w:val="24"/>
          <w:rtl/>
        </w:rPr>
        <w:t xml:space="preserve">סבל </w:t>
      </w:r>
      <w:r w:rsidRPr="00C01420">
        <w:rPr>
          <w:rFonts w:cs="David"/>
          <w:sz w:val="24"/>
          <w:szCs w:val="24"/>
          <w:rtl/>
        </w:rPr>
        <w:t xml:space="preserve">ממספר פצעי ירי בבטן התחתונה ובירך הימנית. אדם הובהל לבית החולים סורוקה, שם הורדם, הונשם ונותח באופן דחוף. במהלך הניתוח קיבל אדם 6 מנות דם וכן בוצעה כריתה של 50 ס"מ במעי הדק, וכריתת מקטע במעי הגס, בשל ריבוי חורים במעי הדק ובמעי הגס. בנוסף, בוצעה אקספלורציה של פצע הירי בירך ימין ונעשתה קשירת </w:t>
      </w:r>
      <w:r w:rsidRPr="00C01420">
        <w:rPr>
          <w:rFonts w:cs="David"/>
          <w:sz w:val="20"/>
          <w:szCs w:val="20"/>
        </w:rPr>
        <w:t>SUPERFICIAL FEMORAL VEIN</w:t>
      </w:r>
      <w:r w:rsidRPr="00C01420">
        <w:rPr>
          <w:rFonts w:cs="David"/>
          <w:sz w:val="20"/>
          <w:szCs w:val="20"/>
          <w:rtl/>
        </w:rPr>
        <w:t xml:space="preserve">. </w:t>
      </w:r>
      <w:r w:rsidRPr="00C01420">
        <w:rPr>
          <w:rFonts w:cs="David"/>
          <w:sz w:val="24"/>
          <w:szCs w:val="24"/>
          <w:rtl/>
        </w:rPr>
        <w:t>לאחר הניתוח חלה התדרדרות במצבו של אדם והוא הורדם והונשם במשך כחודש ימים, החל מיום 22.11.18. בתקופה זו, נותח מספר פעמים נוספות באופן דחוף עקב הרעות חוזרות ונשנות במצבו הרפואי. ביום 3.1.19 שוחרר אדם מבית החולים.</w:t>
      </w:r>
    </w:p>
    <w:p w14:paraId="7FEAFFC2" w14:textId="77777777" w:rsidR="00212B9A" w:rsidRDefault="00212B9A" w:rsidP="00212B9A">
      <w:pPr>
        <w:pStyle w:val="a9"/>
        <w:spacing w:line="360" w:lineRule="auto"/>
        <w:jc w:val="both"/>
        <w:rPr>
          <w:rFonts w:cs="David"/>
          <w:sz w:val="24"/>
          <w:szCs w:val="24"/>
          <w:rtl/>
        </w:rPr>
      </w:pPr>
    </w:p>
    <w:p w14:paraId="7562A797" w14:textId="77777777" w:rsidR="00212B9A" w:rsidRPr="00C01420" w:rsidRDefault="00212B9A" w:rsidP="00212B9A">
      <w:pPr>
        <w:pStyle w:val="a9"/>
        <w:spacing w:line="360" w:lineRule="auto"/>
        <w:jc w:val="both"/>
        <w:rPr>
          <w:rFonts w:cs="David"/>
          <w:sz w:val="24"/>
          <w:szCs w:val="24"/>
          <w:rtl/>
        </w:rPr>
      </w:pPr>
      <w:r w:rsidRPr="00C01420">
        <w:rPr>
          <w:rFonts w:cs="David"/>
          <w:sz w:val="24"/>
          <w:szCs w:val="24"/>
          <w:rtl/>
        </w:rPr>
        <w:t xml:space="preserve">שולה </w:t>
      </w:r>
      <w:r>
        <w:rPr>
          <w:rFonts w:cs="David" w:hint="cs"/>
          <w:sz w:val="24"/>
          <w:szCs w:val="24"/>
          <w:rtl/>
        </w:rPr>
        <w:t xml:space="preserve">נפגעה </w:t>
      </w:r>
      <w:r w:rsidRPr="00C01420">
        <w:rPr>
          <w:rFonts w:cs="David"/>
          <w:sz w:val="24"/>
          <w:szCs w:val="24"/>
          <w:rtl/>
        </w:rPr>
        <w:t>בירך ימין והובהלה לבית החולים "סורוקה", שם אושפזה עד יום 18.11.18.</w:t>
      </w:r>
    </w:p>
    <w:p w14:paraId="64C43E45" w14:textId="77777777" w:rsidR="00212B9A" w:rsidRDefault="00212B9A" w:rsidP="00212B9A">
      <w:pPr>
        <w:pStyle w:val="a9"/>
        <w:spacing w:line="360" w:lineRule="auto"/>
        <w:jc w:val="both"/>
        <w:rPr>
          <w:rFonts w:cs="David"/>
          <w:sz w:val="24"/>
          <w:szCs w:val="24"/>
          <w:rtl/>
        </w:rPr>
      </w:pPr>
    </w:p>
    <w:p w14:paraId="5795C4FE" w14:textId="77777777" w:rsidR="00212B9A" w:rsidRDefault="00212B9A" w:rsidP="00212B9A">
      <w:pPr>
        <w:pStyle w:val="a9"/>
        <w:spacing w:line="360" w:lineRule="auto"/>
        <w:jc w:val="both"/>
        <w:rPr>
          <w:rFonts w:cs="David"/>
          <w:sz w:val="24"/>
          <w:szCs w:val="24"/>
          <w:rtl/>
        </w:rPr>
      </w:pPr>
      <w:r>
        <w:rPr>
          <w:rFonts w:cs="David" w:hint="cs"/>
          <w:sz w:val="24"/>
          <w:szCs w:val="24"/>
          <w:rtl/>
        </w:rPr>
        <w:t>לצד זאת הנאשם גם גרם פגיעה נפשית לקורבנותיו וכפי שפורט בתסקירי נפגעי העבירות.</w:t>
      </w:r>
    </w:p>
    <w:p w14:paraId="27B31BA4" w14:textId="77777777" w:rsidR="00212B9A" w:rsidRDefault="00212B9A" w:rsidP="00212B9A">
      <w:pPr>
        <w:pStyle w:val="a9"/>
        <w:spacing w:line="360" w:lineRule="auto"/>
        <w:jc w:val="both"/>
        <w:rPr>
          <w:rFonts w:cs="David"/>
          <w:sz w:val="24"/>
          <w:szCs w:val="24"/>
          <w:rtl/>
        </w:rPr>
      </w:pPr>
    </w:p>
    <w:p w14:paraId="1D38347A" w14:textId="77777777" w:rsidR="00212B9A" w:rsidRPr="00543C3F" w:rsidRDefault="00212B9A" w:rsidP="00212B9A">
      <w:pPr>
        <w:pStyle w:val="a9"/>
        <w:numPr>
          <w:ilvl w:val="0"/>
          <w:numId w:val="1"/>
        </w:numPr>
        <w:spacing w:line="360" w:lineRule="auto"/>
        <w:jc w:val="both"/>
        <w:rPr>
          <w:rFonts w:ascii="David" w:hAnsi="David" w:cs="David"/>
          <w:sz w:val="24"/>
          <w:szCs w:val="24"/>
        </w:rPr>
      </w:pPr>
      <w:r>
        <w:rPr>
          <w:rFonts w:cs="David" w:hint="cs"/>
          <w:sz w:val="24"/>
          <w:szCs w:val="24"/>
          <w:rtl/>
        </w:rPr>
        <w:t>אשר לשאלת הקרבה של הנאשם לסייג השכרות, שאף היא מהווה נסיבה בקביעת מתחם העונש ההולם, נציין שבסיכומיו, העלה הנאשם, טענה לפיה הוא חוסה תחת הקרבה לסייג השכרות. טענה זו נבחנה במסגרת הכרעת הדין ונדחתה. בין היתר נקבע בהכרעת הדין:</w:t>
      </w:r>
    </w:p>
    <w:p w14:paraId="1041F441" w14:textId="77777777" w:rsidR="00212B9A" w:rsidRDefault="00212B9A" w:rsidP="00212B9A">
      <w:pPr>
        <w:pStyle w:val="a9"/>
        <w:spacing w:line="360" w:lineRule="auto"/>
        <w:jc w:val="both"/>
        <w:rPr>
          <w:rFonts w:ascii="David" w:hAnsi="David" w:cs="David"/>
          <w:b/>
          <w:bCs/>
          <w:sz w:val="24"/>
          <w:szCs w:val="24"/>
          <w:rtl/>
        </w:rPr>
      </w:pPr>
    </w:p>
    <w:p w14:paraId="4D44237A" w14:textId="77777777" w:rsidR="00212B9A" w:rsidRPr="00543C3F" w:rsidRDefault="00212B9A" w:rsidP="00212B9A">
      <w:pPr>
        <w:pStyle w:val="a9"/>
        <w:spacing w:line="360" w:lineRule="auto"/>
        <w:jc w:val="both"/>
        <w:rPr>
          <w:rFonts w:ascii="David" w:hAnsi="David" w:cs="David"/>
          <w:sz w:val="24"/>
          <w:szCs w:val="24"/>
        </w:rPr>
      </w:pPr>
      <w:r w:rsidRPr="00543C3F">
        <w:rPr>
          <w:rFonts w:ascii="David" w:hAnsi="David" w:cs="David"/>
          <w:b/>
          <w:bCs/>
          <w:sz w:val="24"/>
          <w:szCs w:val="24"/>
          <w:rtl/>
        </w:rPr>
        <w:t xml:space="preserve">"התמונה העולה מהראיות היא שהנאשם התנהל בשליטה עצמית ובקור רוח, ולא כ"חסר יכולת של ממש... להבין את אשר עשה או את הפסול שבמעשהו, או להימנע מעשיית המעשה". הוא עזב את בית הרוש לאחר העימות עם אדם, הלך משם לביתו של מיכה, שם פגש את נאור ותיאם עמו את הגעתם לסמטה, ושניהם יצאו משם והצטיידו בנשק, תוך הקפדה על ניתוק סלולרי. משם המשיכו לסמטה, ושם הנאשם ארב בסבלנות בשיחים עד שנאור הוביל את רותם, אדם וניב אל פנים הסמטה. רק אז יצא הנאשם מן המארב וירה באדם באופן ממוקד. לאחר הירי ברותם ברח הנאשם, העלים את הנשק והסתתר, תוך המשך ניתוק הקשר </w:t>
      </w:r>
      <w:r w:rsidRPr="00560FBB">
        <w:rPr>
          <w:rFonts w:ascii="David" w:hAnsi="David" w:cs="David"/>
          <w:b/>
          <w:bCs/>
          <w:sz w:val="24"/>
          <w:szCs w:val="24"/>
          <w:rtl/>
        </w:rPr>
        <w:t>הסלולרי עם קרוביו. כל התנהלותו מדגימה כי הנאשם פעל מתוך שיקול דעת ושליטה, ולא בשכרות</w:t>
      </w:r>
      <w:r w:rsidRPr="00543C3F">
        <w:rPr>
          <w:rFonts w:ascii="David" w:hAnsi="David" w:cs="David"/>
          <w:b/>
          <w:bCs/>
          <w:sz w:val="24"/>
          <w:szCs w:val="24"/>
          <w:rtl/>
        </w:rPr>
        <w:t xml:space="preserve">" </w:t>
      </w:r>
      <w:r w:rsidRPr="007C1704">
        <w:rPr>
          <w:rFonts w:ascii="David" w:hAnsi="David" w:cs="David"/>
          <w:sz w:val="24"/>
          <w:szCs w:val="24"/>
          <w:rtl/>
        </w:rPr>
        <w:t>(</w:t>
      </w:r>
      <w:r w:rsidRPr="00543C3F">
        <w:rPr>
          <w:rFonts w:ascii="David" w:hAnsi="David" w:cs="David"/>
          <w:sz w:val="24"/>
          <w:szCs w:val="24"/>
          <w:rtl/>
        </w:rPr>
        <w:t xml:space="preserve">פסקה 825 להכרעת הדין). </w:t>
      </w:r>
    </w:p>
    <w:p w14:paraId="4A11CC32" w14:textId="77777777" w:rsidR="00212B9A" w:rsidRDefault="00212B9A" w:rsidP="00212B9A">
      <w:pPr>
        <w:spacing w:line="360" w:lineRule="auto"/>
        <w:ind w:left="720"/>
        <w:jc w:val="both"/>
        <w:rPr>
          <w:rtl/>
        </w:rPr>
      </w:pPr>
      <w:r>
        <w:rPr>
          <w:rFonts w:hint="cs"/>
          <w:rtl/>
        </w:rPr>
        <w:t>נוכח קביעה זו, ממנה עולה שהנאשם פעל מתוך שיקול דעת ושליטה, הרי שנדחית גם טענת ההגנה לקרבה לסייג גם בהקשר לגזר הדין.</w:t>
      </w:r>
    </w:p>
    <w:p w14:paraId="27D381F1" w14:textId="77777777" w:rsidR="00212B9A" w:rsidRDefault="00212B9A" w:rsidP="00212B9A">
      <w:pPr>
        <w:spacing w:line="360" w:lineRule="auto"/>
        <w:ind w:left="720"/>
        <w:jc w:val="both"/>
        <w:rPr>
          <w:rtl/>
        </w:rPr>
      </w:pPr>
    </w:p>
    <w:p w14:paraId="782CC3FA" w14:textId="77777777" w:rsidR="00212B9A" w:rsidRPr="00C55AA2" w:rsidRDefault="00212B9A" w:rsidP="00212B9A">
      <w:pPr>
        <w:pStyle w:val="a9"/>
        <w:numPr>
          <w:ilvl w:val="0"/>
          <w:numId w:val="1"/>
        </w:numPr>
        <w:spacing w:line="360" w:lineRule="auto"/>
        <w:jc w:val="both"/>
        <w:rPr>
          <w:rFonts w:cs="David"/>
          <w:sz w:val="24"/>
          <w:szCs w:val="24"/>
        </w:rPr>
      </w:pPr>
      <w:r w:rsidRPr="00DB2B85">
        <w:rPr>
          <w:rFonts w:cs="David" w:hint="cs"/>
          <w:sz w:val="24"/>
          <w:szCs w:val="24"/>
          <w:rtl/>
        </w:rPr>
        <w:t>לאור כל האמור</w:t>
      </w:r>
      <w:r>
        <w:rPr>
          <w:rFonts w:cs="David" w:hint="cs"/>
          <w:sz w:val="24"/>
          <w:szCs w:val="24"/>
          <w:rtl/>
        </w:rPr>
        <w:t>,</w:t>
      </w:r>
      <w:r w:rsidRPr="00DB2B85">
        <w:rPr>
          <w:rFonts w:cs="David" w:hint="cs"/>
          <w:sz w:val="24"/>
          <w:szCs w:val="24"/>
          <w:rtl/>
        </w:rPr>
        <w:t xml:space="preserve"> </w:t>
      </w:r>
      <w:r>
        <w:rPr>
          <w:rFonts w:cs="David" w:hint="cs"/>
          <w:sz w:val="24"/>
          <w:szCs w:val="24"/>
          <w:rtl/>
        </w:rPr>
        <w:t>בהתחשב בערכים החברתיים שנפגעו מביצוע העבירות, מידת הפגיעה בהם, מדיניות הענישה הנהוגה והנסיבות הקשורות לביצוע העבירות, אנו מעמידים</w:t>
      </w:r>
      <w:r w:rsidRPr="00DB2B85">
        <w:rPr>
          <w:rFonts w:cs="David" w:hint="cs"/>
          <w:sz w:val="24"/>
          <w:szCs w:val="24"/>
          <w:rtl/>
        </w:rPr>
        <w:t xml:space="preserve"> את מתחם העונש ההולם </w:t>
      </w:r>
      <w:r>
        <w:rPr>
          <w:rFonts w:cs="David" w:hint="cs"/>
          <w:sz w:val="24"/>
          <w:szCs w:val="24"/>
          <w:rtl/>
        </w:rPr>
        <w:t>למעשי עבירות ניסיון הרצח, החבלה החמורה</w:t>
      </w:r>
      <w:r w:rsidRPr="00C55AA2">
        <w:rPr>
          <w:rFonts w:cs="David" w:hint="cs"/>
          <w:sz w:val="24"/>
          <w:szCs w:val="24"/>
          <w:rtl/>
        </w:rPr>
        <w:t xml:space="preserve"> והחזקת הנשק בין 18 ל23 שנות מאסר. </w:t>
      </w:r>
    </w:p>
    <w:p w14:paraId="68674E52" w14:textId="77777777" w:rsidR="00212B9A" w:rsidRPr="00373CC5" w:rsidRDefault="00212B9A" w:rsidP="00212B9A">
      <w:pPr>
        <w:pStyle w:val="a9"/>
        <w:spacing w:line="360" w:lineRule="auto"/>
        <w:jc w:val="both"/>
        <w:rPr>
          <w:rFonts w:cs="David"/>
          <w:sz w:val="24"/>
          <w:szCs w:val="24"/>
          <w:rtl/>
        </w:rPr>
      </w:pPr>
    </w:p>
    <w:p w14:paraId="5E348D68" w14:textId="77777777" w:rsidR="00212B9A" w:rsidRPr="00DF73E7" w:rsidRDefault="00212B9A" w:rsidP="00212B9A">
      <w:pPr>
        <w:pStyle w:val="a9"/>
        <w:spacing w:line="360" w:lineRule="auto"/>
        <w:jc w:val="both"/>
        <w:rPr>
          <w:rFonts w:cs="David"/>
          <w:sz w:val="24"/>
          <w:szCs w:val="24"/>
          <w:u w:val="single"/>
          <w:rtl/>
        </w:rPr>
      </w:pPr>
      <w:r>
        <w:rPr>
          <w:rFonts w:cs="David" w:hint="cs"/>
          <w:sz w:val="24"/>
          <w:szCs w:val="24"/>
          <w:u w:val="single"/>
          <w:rtl/>
        </w:rPr>
        <w:t>עונשו של הנאשם בתוך המתחם</w:t>
      </w:r>
    </w:p>
    <w:p w14:paraId="2121C505" w14:textId="77777777" w:rsidR="00212B9A" w:rsidRPr="00DF73E7" w:rsidRDefault="00212B9A" w:rsidP="00212B9A">
      <w:pPr>
        <w:pStyle w:val="a9"/>
        <w:numPr>
          <w:ilvl w:val="0"/>
          <w:numId w:val="1"/>
        </w:numPr>
        <w:spacing w:after="0" w:line="360" w:lineRule="auto"/>
        <w:jc w:val="both"/>
        <w:rPr>
          <w:rFonts w:ascii="David" w:eastAsia="Times New Roman" w:hAnsi="David" w:cs="David"/>
          <w:sz w:val="24"/>
          <w:szCs w:val="24"/>
        </w:rPr>
      </w:pPr>
      <w:r w:rsidRPr="00DF73E7">
        <w:rPr>
          <w:rFonts w:cs="David" w:hint="cs"/>
          <w:sz w:val="24"/>
          <w:szCs w:val="24"/>
          <w:rtl/>
        </w:rPr>
        <w:t>בתוך מתחם העונש ההולם יינתן משקל לעברו הפלילי של הנאשם</w:t>
      </w:r>
      <w:r>
        <w:rPr>
          <w:rFonts w:cs="David" w:hint="cs"/>
          <w:sz w:val="24"/>
          <w:szCs w:val="24"/>
          <w:rtl/>
        </w:rPr>
        <w:t xml:space="preserve"> המתאפיין בעיקר בעבירות אלימות נגד גוף אדם</w:t>
      </w:r>
      <w:r w:rsidRPr="00DF73E7">
        <w:rPr>
          <w:rFonts w:cs="David" w:hint="cs"/>
          <w:sz w:val="24"/>
          <w:szCs w:val="24"/>
          <w:rtl/>
        </w:rPr>
        <w:t>.</w:t>
      </w:r>
      <w:r w:rsidRPr="00DF73E7">
        <w:rPr>
          <w:rFonts w:ascii="David" w:eastAsia="Times New Roman" w:hAnsi="David" w:cs="David"/>
          <w:sz w:val="24"/>
          <w:szCs w:val="24"/>
          <w:rtl/>
        </w:rPr>
        <w:t xml:space="preserve"> </w:t>
      </w:r>
      <w:r w:rsidRPr="00DF73E7">
        <w:rPr>
          <w:rFonts w:ascii="David" w:eastAsia="Times New Roman" w:hAnsi="David" w:cs="David" w:hint="cs"/>
          <w:sz w:val="24"/>
          <w:szCs w:val="24"/>
          <w:rtl/>
        </w:rPr>
        <w:t xml:space="preserve">הנאשם צבר לחובתו 13 הרשעות קודמות. </w:t>
      </w:r>
      <w:r w:rsidRPr="00DF73E7">
        <w:rPr>
          <w:rFonts w:ascii="David" w:eastAsia="Times New Roman" w:hAnsi="David" w:cs="David"/>
          <w:sz w:val="24"/>
          <w:szCs w:val="24"/>
          <w:rtl/>
        </w:rPr>
        <w:t>הרשעתו האחרונה של הנאשם היא מחודש אוקטובר 2016 בגי</w:t>
      </w:r>
      <w:r w:rsidRPr="00DF73E7">
        <w:rPr>
          <w:rFonts w:ascii="David" w:eastAsia="Times New Roman" w:hAnsi="David" w:cs="David" w:hint="cs"/>
          <w:sz w:val="24"/>
          <w:szCs w:val="24"/>
          <w:rtl/>
        </w:rPr>
        <w:t>ן</w:t>
      </w:r>
      <w:r w:rsidRPr="00DF73E7">
        <w:rPr>
          <w:rFonts w:ascii="David" w:eastAsia="Times New Roman" w:hAnsi="David" w:cs="David"/>
          <w:sz w:val="24"/>
          <w:szCs w:val="24"/>
          <w:rtl/>
        </w:rPr>
        <w:t xml:space="preserve"> נ</w:t>
      </w:r>
      <w:r w:rsidRPr="00DF73E7">
        <w:rPr>
          <w:rFonts w:ascii="David" w:eastAsia="Times New Roman" w:hAnsi="David" w:cs="David" w:hint="cs"/>
          <w:sz w:val="24"/>
          <w:szCs w:val="24"/>
          <w:rtl/>
        </w:rPr>
        <w:t>י</w:t>
      </w:r>
      <w:r w:rsidRPr="00DF73E7">
        <w:rPr>
          <w:rFonts w:ascii="David" w:eastAsia="Times New Roman" w:hAnsi="David" w:cs="David"/>
          <w:sz w:val="24"/>
          <w:szCs w:val="24"/>
          <w:rtl/>
        </w:rPr>
        <w:t>סיון גניבה והחזקת סכין שלא כדין</w:t>
      </w:r>
      <w:r>
        <w:rPr>
          <w:rFonts w:ascii="David" w:eastAsia="Times New Roman" w:hAnsi="David" w:cs="David" w:hint="cs"/>
          <w:sz w:val="24"/>
          <w:szCs w:val="24"/>
          <w:rtl/>
        </w:rPr>
        <w:t>,</w:t>
      </w:r>
      <w:r w:rsidRPr="00DF73E7">
        <w:rPr>
          <w:rFonts w:ascii="David" w:eastAsia="Times New Roman" w:hAnsi="David" w:cs="David"/>
          <w:sz w:val="24"/>
          <w:szCs w:val="24"/>
          <w:rtl/>
        </w:rPr>
        <w:t xml:space="preserve"> עבירות שביצע בחודש מאי 2013. </w:t>
      </w:r>
    </w:p>
    <w:p w14:paraId="27901C6C" w14:textId="77777777" w:rsidR="00212B9A" w:rsidRPr="00EE68C1" w:rsidRDefault="00212B9A" w:rsidP="00212B9A">
      <w:pPr>
        <w:spacing w:line="360" w:lineRule="auto"/>
        <w:ind w:left="720"/>
        <w:jc w:val="both"/>
        <w:rPr>
          <w:rFonts w:ascii="David" w:hAnsi="David"/>
          <w:rtl/>
        </w:rPr>
      </w:pPr>
    </w:p>
    <w:p w14:paraId="5E9F1946" w14:textId="77777777" w:rsidR="00212B9A" w:rsidRDefault="00212B9A" w:rsidP="00212B9A">
      <w:pPr>
        <w:spacing w:line="360" w:lineRule="auto"/>
        <w:ind w:left="720"/>
        <w:jc w:val="both"/>
        <w:rPr>
          <w:rFonts w:ascii="David" w:hAnsi="David"/>
          <w:rtl/>
        </w:rPr>
      </w:pPr>
      <w:r w:rsidRPr="004C77F0">
        <w:rPr>
          <w:rFonts w:ascii="David" w:hAnsi="David"/>
          <w:rtl/>
        </w:rPr>
        <w:t>קודם לכן</w:t>
      </w:r>
      <w:r>
        <w:rPr>
          <w:rFonts w:ascii="David" w:hAnsi="David" w:hint="cs"/>
          <w:rtl/>
        </w:rPr>
        <w:t>,</w:t>
      </w:r>
      <w:r w:rsidRPr="004C77F0">
        <w:rPr>
          <w:rFonts w:ascii="David" w:hAnsi="David"/>
          <w:rtl/>
        </w:rPr>
        <w:t xml:space="preserve"> בחודש ינואר 2016 הוא הורשע במסגרת הסדר טיעון וע"פ הודאתו בבית המשפט המחוזי בבאר שבע בעבירות של קשר לפשע, פציעה, פציעה ע"י שניים או יותר וכשהעבריין מזוין והיזק לרכוש במזיד;</w:t>
      </w:r>
      <w:r>
        <w:rPr>
          <w:rFonts w:ascii="David" w:hAnsi="David" w:hint="cs"/>
          <w:rtl/>
        </w:rPr>
        <w:t xml:space="preserve"> </w:t>
      </w:r>
      <w:r w:rsidRPr="004C77F0">
        <w:rPr>
          <w:rFonts w:ascii="David" w:hAnsi="David"/>
          <w:rtl/>
        </w:rPr>
        <w:t xml:space="preserve">בשל כך נגזר עליו מאסר כולל של 27 חודשים תוך הפעלת </w:t>
      </w:r>
      <w:r>
        <w:rPr>
          <w:rFonts w:ascii="David" w:hAnsi="David" w:hint="cs"/>
          <w:rtl/>
        </w:rPr>
        <w:t>מ</w:t>
      </w:r>
      <w:r w:rsidRPr="004C77F0">
        <w:rPr>
          <w:rFonts w:ascii="David" w:hAnsi="David"/>
          <w:rtl/>
        </w:rPr>
        <w:t>אסר מותנה חלקו בחופף למאסר שהופעל והכל במצטבר למאסר אחר שהנאשם ריצה עובר למועד גזר הדין.</w:t>
      </w:r>
    </w:p>
    <w:p w14:paraId="18997B8F" w14:textId="77777777" w:rsidR="00212B9A" w:rsidRPr="004C77F0" w:rsidRDefault="00212B9A" w:rsidP="00212B9A">
      <w:pPr>
        <w:spacing w:line="360" w:lineRule="auto"/>
        <w:ind w:left="720"/>
        <w:jc w:val="both"/>
        <w:rPr>
          <w:rFonts w:ascii="David" w:hAnsi="David"/>
          <w:rtl/>
        </w:rPr>
      </w:pPr>
    </w:p>
    <w:p w14:paraId="5325CA5B" w14:textId="77777777" w:rsidR="00212B9A" w:rsidRPr="004C77F0" w:rsidRDefault="00212B9A" w:rsidP="00212B9A">
      <w:pPr>
        <w:spacing w:line="360" w:lineRule="auto"/>
        <w:ind w:left="720"/>
        <w:jc w:val="both"/>
        <w:rPr>
          <w:rFonts w:ascii="David" w:hAnsi="David"/>
          <w:rtl/>
        </w:rPr>
      </w:pPr>
      <w:r w:rsidRPr="004C77F0">
        <w:rPr>
          <w:rFonts w:ascii="David" w:hAnsi="David"/>
          <w:rtl/>
        </w:rPr>
        <w:t>יומיים קודם לכן, בינואר 2016 הורשע הנאשם בבית משפט השלום באילת בעבירות של איומים, התנהגות פרועה במקום ציבורי, תקיפה סתם, הפרת צו והוא נדון ל10 חודשי מאסר בגין עבירות משנת 2013.</w:t>
      </w:r>
      <w:r>
        <w:rPr>
          <w:rFonts w:ascii="David" w:hAnsi="David"/>
          <w:rtl/>
        </w:rPr>
        <w:t xml:space="preserve">  </w:t>
      </w:r>
    </w:p>
    <w:p w14:paraId="6BD0E1BE" w14:textId="77777777" w:rsidR="00212B9A" w:rsidRPr="004C77F0" w:rsidRDefault="00212B9A" w:rsidP="00212B9A">
      <w:pPr>
        <w:spacing w:line="360" w:lineRule="auto"/>
        <w:ind w:left="720"/>
        <w:jc w:val="both"/>
        <w:rPr>
          <w:rFonts w:ascii="David" w:hAnsi="David"/>
          <w:rtl/>
        </w:rPr>
      </w:pPr>
      <w:r w:rsidRPr="004C77F0">
        <w:rPr>
          <w:rFonts w:ascii="David" w:hAnsi="David"/>
          <w:rtl/>
        </w:rPr>
        <w:t>בנובמבר 2015 הנאשם הורשע בגין עבירות מ</w:t>
      </w:r>
      <w:r>
        <w:rPr>
          <w:rFonts w:ascii="David" w:hAnsi="David" w:hint="cs"/>
          <w:rtl/>
        </w:rPr>
        <w:t>-</w:t>
      </w:r>
      <w:r w:rsidRPr="004C77F0">
        <w:rPr>
          <w:rFonts w:ascii="David" w:hAnsi="David"/>
          <w:rtl/>
        </w:rPr>
        <w:t>2012 של איומים, התנהגות פרועה במקום ציבורי תקיפה סתם ותקיפת שוטר והוא נדון ל</w:t>
      </w:r>
      <w:r>
        <w:rPr>
          <w:rFonts w:ascii="David" w:hAnsi="David" w:hint="cs"/>
          <w:rtl/>
        </w:rPr>
        <w:t>-</w:t>
      </w:r>
      <w:r w:rsidRPr="004C77F0">
        <w:rPr>
          <w:rFonts w:ascii="David" w:hAnsi="David"/>
          <w:rtl/>
        </w:rPr>
        <w:t>7 חודשי מאסר תוך הפעלת מספר מאסר</w:t>
      </w:r>
      <w:r>
        <w:rPr>
          <w:rFonts w:ascii="David" w:hAnsi="David" w:hint="cs"/>
          <w:rtl/>
        </w:rPr>
        <w:t>י</w:t>
      </w:r>
      <w:r w:rsidRPr="004C77F0">
        <w:rPr>
          <w:rFonts w:ascii="David" w:hAnsi="David"/>
          <w:rtl/>
        </w:rPr>
        <w:t>ם מותנים מבית משפט השלום ומבית משפט השלום לנוער.</w:t>
      </w:r>
    </w:p>
    <w:p w14:paraId="47712A50" w14:textId="77777777" w:rsidR="00212B9A" w:rsidRPr="004C77F0" w:rsidRDefault="00212B9A" w:rsidP="00212B9A">
      <w:pPr>
        <w:spacing w:line="360" w:lineRule="auto"/>
        <w:jc w:val="both"/>
        <w:rPr>
          <w:rFonts w:ascii="David" w:hAnsi="David"/>
          <w:rtl/>
        </w:rPr>
      </w:pPr>
    </w:p>
    <w:p w14:paraId="5B71154E" w14:textId="77777777" w:rsidR="00212B9A" w:rsidRPr="004C77F0" w:rsidRDefault="00212B9A" w:rsidP="00212B9A">
      <w:pPr>
        <w:spacing w:line="360" w:lineRule="auto"/>
        <w:ind w:left="720"/>
        <w:jc w:val="both"/>
        <w:rPr>
          <w:rFonts w:ascii="David" w:hAnsi="David"/>
          <w:rtl/>
        </w:rPr>
      </w:pPr>
      <w:r w:rsidRPr="004C77F0">
        <w:rPr>
          <w:rFonts w:ascii="David" w:hAnsi="David"/>
          <w:rtl/>
        </w:rPr>
        <w:t>גם ב</w:t>
      </w:r>
      <w:r>
        <w:rPr>
          <w:rFonts w:ascii="David" w:hAnsi="David" w:hint="cs"/>
          <w:rtl/>
        </w:rPr>
        <w:t xml:space="preserve">שנת </w:t>
      </w:r>
      <w:r w:rsidRPr="004C77F0">
        <w:rPr>
          <w:rFonts w:ascii="David" w:hAnsi="David"/>
          <w:rtl/>
        </w:rPr>
        <w:t>2014 הורשע הנאשם בעבירה של תקיפה סתם ונדון למאסרים מותנים.</w:t>
      </w:r>
      <w:r>
        <w:rPr>
          <w:rFonts w:ascii="David" w:hAnsi="David"/>
          <w:rtl/>
        </w:rPr>
        <w:t xml:space="preserve">  </w:t>
      </w:r>
      <w:r w:rsidRPr="004C77F0">
        <w:rPr>
          <w:rFonts w:ascii="David" w:hAnsi="David"/>
          <w:rtl/>
        </w:rPr>
        <w:t>וב</w:t>
      </w:r>
      <w:r>
        <w:rPr>
          <w:rFonts w:ascii="David" w:hAnsi="David" w:hint="cs"/>
          <w:rtl/>
        </w:rPr>
        <w:t>-</w:t>
      </w:r>
      <w:r w:rsidRPr="004C77F0">
        <w:rPr>
          <w:rFonts w:ascii="David" w:hAnsi="David"/>
          <w:rtl/>
        </w:rPr>
        <w:t>2012 נדון ל</w:t>
      </w:r>
      <w:r>
        <w:rPr>
          <w:rFonts w:ascii="David" w:hAnsi="David" w:hint="cs"/>
          <w:rtl/>
        </w:rPr>
        <w:t>-</w:t>
      </w:r>
      <w:r w:rsidRPr="004C77F0">
        <w:rPr>
          <w:rFonts w:ascii="David" w:hAnsi="David"/>
          <w:rtl/>
        </w:rPr>
        <w:t>3 חודשי מאסר בגין</w:t>
      </w:r>
      <w:r>
        <w:rPr>
          <w:rFonts w:ascii="David" w:hAnsi="David" w:hint="cs"/>
          <w:rtl/>
        </w:rPr>
        <w:t xml:space="preserve"> עבירות</w:t>
      </w:r>
      <w:r w:rsidRPr="004C77F0">
        <w:rPr>
          <w:rFonts w:ascii="David" w:hAnsi="David"/>
          <w:rtl/>
        </w:rPr>
        <w:t xml:space="preserve"> אלימות דומות</w:t>
      </w:r>
      <w:r>
        <w:rPr>
          <w:rFonts w:ascii="David" w:hAnsi="David"/>
          <w:rtl/>
        </w:rPr>
        <w:t xml:space="preserve"> </w:t>
      </w:r>
      <w:r w:rsidRPr="004C77F0">
        <w:rPr>
          <w:rFonts w:ascii="David" w:hAnsi="David"/>
          <w:rtl/>
        </w:rPr>
        <w:t>ובתיק אחר ל</w:t>
      </w:r>
      <w:r>
        <w:rPr>
          <w:rFonts w:ascii="David" w:hAnsi="David" w:hint="cs"/>
          <w:rtl/>
        </w:rPr>
        <w:t xml:space="preserve"> </w:t>
      </w:r>
      <w:r w:rsidRPr="004C77F0">
        <w:rPr>
          <w:rFonts w:ascii="David" w:hAnsi="David"/>
          <w:rtl/>
        </w:rPr>
        <w:t>14 חודשי מאסר בגין עבירות אלימות כולל תקיפה וחבלה ממשית ע"י שניים או יותר.</w:t>
      </w:r>
    </w:p>
    <w:p w14:paraId="1C4B2DCD" w14:textId="77777777" w:rsidR="00212B9A" w:rsidRPr="004C77F0" w:rsidRDefault="00212B9A" w:rsidP="00212B9A">
      <w:pPr>
        <w:spacing w:line="360" w:lineRule="auto"/>
        <w:ind w:left="720"/>
        <w:jc w:val="both"/>
        <w:rPr>
          <w:rFonts w:ascii="David" w:hAnsi="David"/>
          <w:rtl/>
        </w:rPr>
      </w:pPr>
      <w:r w:rsidRPr="004C77F0">
        <w:rPr>
          <w:rFonts w:ascii="David" w:hAnsi="David"/>
          <w:rtl/>
        </w:rPr>
        <w:t>בשנים 2011 ו</w:t>
      </w:r>
      <w:r>
        <w:rPr>
          <w:rFonts w:ascii="David" w:hAnsi="David" w:hint="cs"/>
          <w:rtl/>
        </w:rPr>
        <w:t xml:space="preserve"> </w:t>
      </w:r>
      <w:r w:rsidRPr="004C77F0">
        <w:rPr>
          <w:rFonts w:ascii="David" w:hAnsi="David"/>
          <w:rtl/>
        </w:rPr>
        <w:t>2012 הורש</w:t>
      </w:r>
      <w:r>
        <w:rPr>
          <w:rFonts w:ascii="David" w:hAnsi="David" w:hint="cs"/>
          <w:rtl/>
        </w:rPr>
        <w:t>ע</w:t>
      </w:r>
      <w:r w:rsidRPr="004C77F0">
        <w:rPr>
          <w:rFonts w:ascii="David" w:hAnsi="David"/>
          <w:rtl/>
        </w:rPr>
        <w:t xml:space="preserve"> בעבירות של החזקת סמים וב</w:t>
      </w:r>
      <w:r>
        <w:rPr>
          <w:rFonts w:ascii="David" w:hAnsi="David" w:hint="cs"/>
          <w:rtl/>
        </w:rPr>
        <w:t xml:space="preserve">שנת </w:t>
      </w:r>
      <w:r w:rsidRPr="004C77F0">
        <w:rPr>
          <w:rFonts w:ascii="David" w:hAnsi="David"/>
          <w:rtl/>
        </w:rPr>
        <w:t>2010 בעבירות אלימות מהשנים 2008 , 2009, 2010 בגינן נדון למאסר של 3 חודשים.</w:t>
      </w:r>
    </w:p>
    <w:p w14:paraId="0B28CA7F" w14:textId="77777777" w:rsidR="00212B9A" w:rsidRPr="004C77F0" w:rsidRDefault="00212B9A" w:rsidP="00212B9A">
      <w:pPr>
        <w:spacing w:line="360" w:lineRule="auto"/>
        <w:ind w:left="720"/>
        <w:jc w:val="both"/>
        <w:rPr>
          <w:rFonts w:ascii="David" w:hAnsi="David"/>
          <w:rtl/>
        </w:rPr>
      </w:pPr>
      <w:r w:rsidRPr="004C77F0">
        <w:rPr>
          <w:rFonts w:ascii="David" w:hAnsi="David"/>
          <w:rtl/>
        </w:rPr>
        <w:t>הרשעתו הראשונה של הנאשם ה</w:t>
      </w:r>
      <w:r>
        <w:rPr>
          <w:rFonts w:ascii="David" w:hAnsi="David" w:hint="cs"/>
          <w:rtl/>
        </w:rPr>
        <w:t>י</w:t>
      </w:r>
      <w:r w:rsidRPr="004C77F0">
        <w:rPr>
          <w:rFonts w:ascii="David" w:hAnsi="David"/>
          <w:rtl/>
        </w:rPr>
        <w:t>יתה מבית משפט לנוער בראשון לציון משנת 2008 שם נדון בגין גניבה למאסר מותנה בגין עבירה מ</w:t>
      </w:r>
      <w:r>
        <w:rPr>
          <w:rFonts w:ascii="David" w:hAnsi="David" w:hint="cs"/>
          <w:rtl/>
        </w:rPr>
        <w:t xml:space="preserve">שנת </w:t>
      </w:r>
      <w:r w:rsidRPr="004C77F0">
        <w:rPr>
          <w:rFonts w:ascii="David" w:hAnsi="David"/>
          <w:rtl/>
        </w:rPr>
        <w:t>2005.</w:t>
      </w:r>
    </w:p>
    <w:p w14:paraId="36ED2661" w14:textId="77777777" w:rsidR="00212B9A" w:rsidRDefault="00212B9A" w:rsidP="00212B9A">
      <w:pPr>
        <w:pStyle w:val="a9"/>
        <w:spacing w:line="360" w:lineRule="auto"/>
        <w:jc w:val="both"/>
        <w:rPr>
          <w:rFonts w:cs="David"/>
          <w:sz w:val="24"/>
          <w:szCs w:val="24"/>
          <w:rtl/>
        </w:rPr>
      </w:pPr>
    </w:p>
    <w:p w14:paraId="42E63293" w14:textId="77777777" w:rsidR="00212B9A" w:rsidRDefault="00212B9A" w:rsidP="00212B9A">
      <w:pPr>
        <w:pStyle w:val="a9"/>
        <w:numPr>
          <w:ilvl w:val="0"/>
          <w:numId w:val="1"/>
        </w:numPr>
        <w:spacing w:line="360" w:lineRule="auto"/>
        <w:jc w:val="both"/>
        <w:rPr>
          <w:rFonts w:cs="David"/>
          <w:sz w:val="24"/>
          <w:szCs w:val="24"/>
          <w:rtl/>
        </w:rPr>
      </w:pPr>
      <w:r>
        <w:rPr>
          <w:rFonts w:cs="David" w:hint="cs"/>
          <w:sz w:val="24"/>
          <w:szCs w:val="24"/>
          <w:rtl/>
        </w:rPr>
        <w:t xml:space="preserve">בנוסף, כפי שצוין לעיל, הנאשם ביצע את העבירות, מושא גזר דין זה, בשעה שמאסר מותנה תלוי ועומד כנגדו. </w:t>
      </w:r>
    </w:p>
    <w:p w14:paraId="142F1B5B" w14:textId="77777777" w:rsidR="00212B9A" w:rsidRPr="00C01420" w:rsidRDefault="00212B9A" w:rsidP="00212B9A">
      <w:pPr>
        <w:pStyle w:val="a9"/>
        <w:spacing w:after="0" w:line="360" w:lineRule="auto"/>
        <w:jc w:val="both"/>
        <w:rPr>
          <w:rFonts w:cs="David"/>
          <w:sz w:val="24"/>
          <w:szCs w:val="24"/>
        </w:rPr>
      </w:pPr>
      <w:r w:rsidRPr="00213379">
        <w:rPr>
          <w:rFonts w:ascii="David" w:eastAsia="Times New Roman" w:hAnsi="David" w:cs="David" w:hint="cs"/>
          <w:sz w:val="24"/>
          <w:szCs w:val="24"/>
          <w:rtl/>
        </w:rPr>
        <w:t xml:space="preserve">בהקשר זה יש להביא בחשבון שנגד הנאשם </w:t>
      </w:r>
      <w:r>
        <w:rPr>
          <w:rFonts w:ascii="David" w:eastAsia="Times New Roman" w:hAnsi="David" w:cs="David"/>
          <w:sz w:val="24"/>
          <w:szCs w:val="24"/>
          <w:rtl/>
        </w:rPr>
        <w:t>תלוי ועומד מאסר מותנה</w:t>
      </w:r>
      <w:r w:rsidRPr="00213379">
        <w:rPr>
          <w:rFonts w:ascii="David" w:eastAsia="Times New Roman" w:hAnsi="David" w:cs="David"/>
          <w:sz w:val="24"/>
          <w:szCs w:val="24"/>
          <w:rtl/>
        </w:rPr>
        <w:t xml:space="preserve"> </w:t>
      </w:r>
      <w:r>
        <w:rPr>
          <w:rFonts w:ascii="David" w:eastAsia="Times New Roman" w:hAnsi="David" w:cs="David" w:hint="cs"/>
          <w:sz w:val="24"/>
          <w:szCs w:val="24"/>
          <w:rtl/>
        </w:rPr>
        <w:t xml:space="preserve">בר </w:t>
      </w:r>
      <w:r w:rsidRPr="00213379">
        <w:rPr>
          <w:rFonts w:ascii="David" w:eastAsia="Times New Roman" w:hAnsi="David" w:cs="David"/>
          <w:sz w:val="24"/>
          <w:szCs w:val="24"/>
          <w:rtl/>
        </w:rPr>
        <w:t>הפעלה</w:t>
      </w:r>
      <w:r w:rsidRPr="00213379">
        <w:rPr>
          <w:rFonts w:ascii="David" w:eastAsia="Times New Roman" w:hAnsi="David" w:cs="David" w:hint="cs"/>
          <w:sz w:val="24"/>
          <w:szCs w:val="24"/>
          <w:rtl/>
        </w:rPr>
        <w:t xml:space="preserve"> של</w:t>
      </w:r>
      <w:r w:rsidRPr="00213379">
        <w:rPr>
          <w:rFonts w:ascii="David" w:eastAsia="Times New Roman" w:hAnsi="David" w:cs="David"/>
          <w:sz w:val="24"/>
          <w:szCs w:val="24"/>
          <w:rtl/>
        </w:rPr>
        <w:t xml:space="preserve"> 12 חודש</w:t>
      </w:r>
      <w:r w:rsidRPr="00213379">
        <w:rPr>
          <w:rFonts w:ascii="David" w:eastAsia="Times New Roman" w:hAnsi="David" w:cs="David" w:hint="cs"/>
          <w:sz w:val="24"/>
          <w:szCs w:val="24"/>
          <w:rtl/>
        </w:rPr>
        <w:t>ים</w:t>
      </w:r>
      <w:r w:rsidRPr="00213379">
        <w:rPr>
          <w:rFonts w:ascii="David" w:eastAsia="Times New Roman" w:hAnsi="David" w:cs="David"/>
          <w:sz w:val="24"/>
          <w:szCs w:val="24"/>
          <w:rtl/>
        </w:rPr>
        <w:t xml:space="preserve"> מ</w:t>
      </w:r>
      <w:hyperlink r:id="rId49" w:history="1">
        <w:r w:rsidR="004968A2" w:rsidRPr="004968A2">
          <w:rPr>
            <w:rFonts w:ascii="David" w:eastAsia="Times New Roman" w:hAnsi="David" w:cs="David"/>
            <w:color w:val="0000FF"/>
            <w:sz w:val="24"/>
            <w:szCs w:val="24"/>
            <w:u w:val="single"/>
            <w:rtl/>
          </w:rPr>
          <w:t>ת"פ 34544-05-15</w:t>
        </w:r>
      </w:hyperlink>
      <w:r w:rsidRPr="00213379">
        <w:rPr>
          <w:rFonts w:ascii="David" w:eastAsia="Times New Roman" w:hAnsi="David" w:cs="David"/>
          <w:sz w:val="24"/>
          <w:szCs w:val="24"/>
          <w:rtl/>
        </w:rPr>
        <w:t xml:space="preserve"> </w:t>
      </w:r>
      <w:r w:rsidRPr="00213379">
        <w:rPr>
          <w:rFonts w:ascii="David" w:eastAsia="Times New Roman" w:hAnsi="David" w:cs="David" w:hint="cs"/>
          <w:sz w:val="24"/>
          <w:szCs w:val="24"/>
          <w:rtl/>
        </w:rPr>
        <w:t xml:space="preserve"> </w:t>
      </w:r>
      <w:r w:rsidRPr="00213379">
        <w:rPr>
          <w:rFonts w:ascii="David" w:eastAsia="Times New Roman" w:hAnsi="David" w:cs="David"/>
          <w:sz w:val="24"/>
          <w:szCs w:val="24"/>
          <w:rtl/>
        </w:rPr>
        <w:t>ו</w:t>
      </w:r>
      <w:r w:rsidRPr="00213379">
        <w:rPr>
          <w:rFonts w:ascii="David" w:eastAsia="Times New Roman" w:hAnsi="David" w:cs="David" w:hint="cs"/>
          <w:sz w:val="24"/>
          <w:szCs w:val="24"/>
          <w:rtl/>
        </w:rPr>
        <w:t xml:space="preserve">- </w:t>
      </w:r>
      <w:r w:rsidRPr="00213379">
        <w:rPr>
          <w:rFonts w:ascii="David" w:eastAsia="Times New Roman" w:hAnsi="David" w:cs="David"/>
          <w:sz w:val="24"/>
          <w:szCs w:val="24"/>
          <w:rtl/>
        </w:rPr>
        <w:t xml:space="preserve">24250-06-15 של בית משפט המחוזי בבאר שבע מיום 06.01.16. </w:t>
      </w:r>
      <w:r w:rsidRPr="00213379">
        <w:rPr>
          <w:rFonts w:ascii="David" w:eastAsia="Times New Roman" w:hAnsi="David" w:cs="David" w:hint="cs"/>
          <w:sz w:val="24"/>
          <w:szCs w:val="24"/>
          <w:rtl/>
        </w:rPr>
        <w:t>עיון בעובדות בהן הודה הנאשם בתיק זה מלמד על חומרת האלימות בה נהג הנאשם בקורבנו גם באותו העני</w:t>
      </w:r>
      <w:r>
        <w:rPr>
          <w:rFonts w:ascii="David" w:eastAsia="Times New Roman" w:hAnsi="David" w:cs="David" w:hint="cs"/>
          <w:sz w:val="24"/>
          <w:szCs w:val="24"/>
          <w:rtl/>
        </w:rPr>
        <w:t>י</w:t>
      </w:r>
      <w:r w:rsidRPr="00213379">
        <w:rPr>
          <w:rFonts w:ascii="David" w:eastAsia="Times New Roman" w:hAnsi="David" w:cs="David" w:hint="cs"/>
          <w:sz w:val="24"/>
          <w:szCs w:val="24"/>
          <w:rtl/>
        </w:rPr>
        <w:t>ן. מהכרעת הדין בתיק זה עולה שהנאשם קשר קשר עם אחרים</w:t>
      </w:r>
      <w:r>
        <w:rPr>
          <w:rFonts w:cs="David" w:hint="cs"/>
          <w:sz w:val="24"/>
          <w:szCs w:val="24"/>
          <w:rtl/>
        </w:rPr>
        <w:t xml:space="preserve"> </w:t>
      </w:r>
      <w:r w:rsidRPr="00C01420">
        <w:rPr>
          <w:rFonts w:cs="David" w:hint="cs"/>
          <w:sz w:val="24"/>
          <w:szCs w:val="24"/>
          <w:rtl/>
        </w:rPr>
        <w:t>לתקוף את המתלונן ולפצוע אותו, ובמסגרת זו הוא וחבריו הצטיידו ברכב, אחד הצטייד בחפץ חד והנאשם הצטייד בלום וכולם יחד ניגשו לפיצוציה במרכז גילת בבאר-שבע, בה ישב המתלונן. המתלונן, אשר הבחין בקושרים, ניסה להסתתר מתחת לארון, אחד הנאשמים מצא אותו והכה בו באגרוף בפניו, עד שהוא נפל לרצפה, ומיד לאחר מכן תקפו הנאשמים ואחר, בצוותא, את המתלונן, אך הוא הצליח להתחמק מהם והם עזבו את הפיצוציי</w:t>
      </w:r>
      <w:r w:rsidRPr="00C01420">
        <w:rPr>
          <w:rFonts w:cs="David" w:hint="eastAsia"/>
          <w:sz w:val="24"/>
          <w:szCs w:val="24"/>
          <w:rtl/>
        </w:rPr>
        <w:t>ה</w:t>
      </w:r>
      <w:r w:rsidRPr="00C01420">
        <w:rPr>
          <w:rFonts w:cs="David" w:hint="cs"/>
          <w:sz w:val="24"/>
          <w:szCs w:val="24"/>
          <w:rtl/>
        </w:rPr>
        <w:t xml:space="preserve">. מיד לאחר מכן שבו הנאשמים לפיצוציה, כשהם מצוידים בחפצים חדים, בלום ובמקלות, ושבו לתקוף את המתלונן בצוותא חדא, בכך שהכו אותו בכל חלקי גופו, כשהם אוחזים בחפצים חדים ובאמצעות הלום. </w:t>
      </w:r>
    </w:p>
    <w:p w14:paraId="6E391F63" w14:textId="77777777" w:rsidR="00212B9A" w:rsidRPr="00C01420" w:rsidRDefault="00212B9A" w:rsidP="00212B9A">
      <w:pPr>
        <w:pStyle w:val="a9"/>
        <w:spacing w:line="360" w:lineRule="auto"/>
        <w:jc w:val="both"/>
        <w:rPr>
          <w:rFonts w:cs="David"/>
          <w:sz w:val="24"/>
          <w:szCs w:val="24"/>
          <w:rtl/>
        </w:rPr>
      </w:pPr>
      <w:r w:rsidRPr="00C01420">
        <w:rPr>
          <w:rFonts w:cs="David" w:hint="cs"/>
          <w:sz w:val="24"/>
          <w:szCs w:val="24"/>
          <w:rtl/>
        </w:rPr>
        <w:t>מיד לאחר מכן עזבו הנאשמים והאחר את הפיצוציי</w:t>
      </w:r>
      <w:r w:rsidRPr="00C01420">
        <w:rPr>
          <w:rFonts w:cs="David" w:hint="eastAsia"/>
          <w:sz w:val="24"/>
          <w:szCs w:val="24"/>
          <w:rtl/>
        </w:rPr>
        <w:t>ה</w:t>
      </w:r>
      <w:r w:rsidRPr="00C01420">
        <w:rPr>
          <w:rFonts w:cs="David" w:hint="cs"/>
          <w:sz w:val="24"/>
          <w:szCs w:val="24"/>
          <w:rtl/>
        </w:rPr>
        <w:t xml:space="preserve"> כשהם מותירים את המתלונן פצוע, על הקרקע, בסמוך למקום. המתלונן הובהל לבית החולים, שם התברר כי כתוצאה ממעשיהם, נגרמו למתלונן פצעי דקירה בידו וברגלו השמאלית וחתכים מרובים בראשו והוא נזקק לטיפול רפואי, שכלל סגירת הפצעים בסיכות וחבישות. בנוסף, נגרם נזק רב לפיצוציה כתוצאה מהמעשים. </w:t>
      </w:r>
    </w:p>
    <w:p w14:paraId="2076150C" w14:textId="77777777" w:rsidR="00212B9A" w:rsidRPr="00DF73E7" w:rsidRDefault="00212B9A" w:rsidP="00212B9A">
      <w:pPr>
        <w:pStyle w:val="a9"/>
        <w:spacing w:line="360" w:lineRule="auto"/>
        <w:jc w:val="both"/>
        <w:rPr>
          <w:rFonts w:cs="David"/>
          <w:sz w:val="20"/>
          <w:szCs w:val="20"/>
          <w:highlight w:val="yellow"/>
          <w:rtl/>
        </w:rPr>
      </w:pPr>
    </w:p>
    <w:p w14:paraId="6D123F67" w14:textId="77777777" w:rsidR="00212B9A" w:rsidRDefault="00212B9A" w:rsidP="00212B9A">
      <w:pPr>
        <w:pStyle w:val="a9"/>
        <w:spacing w:line="360" w:lineRule="auto"/>
        <w:jc w:val="both"/>
        <w:rPr>
          <w:rFonts w:cs="David"/>
          <w:sz w:val="24"/>
          <w:szCs w:val="24"/>
          <w:rtl/>
        </w:rPr>
      </w:pPr>
      <w:r>
        <w:rPr>
          <w:rFonts w:cs="David" w:hint="cs"/>
          <w:sz w:val="24"/>
          <w:szCs w:val="24"/>
          <w:rtl/>
        </w:rPr>
        <w:t>כל זאת עשה הנאשם שעה שהיה תלוי ועומד נגדו מאסר מותנה שהופעל על ידי בית המשפט.</w:t>
      </w:r>
    </w:p>
    <w:p w14:paraId="70174EA5" w14:textId="77777777" w:rsidR="00212B9A" w:rsidRDefault="00212B9A" w:rsidP="00212B9A">
      <w:pPr>
        <w:pStyle w:val="a9"/>
        <w:spacing w:line="360" w:lineRule="auto"/>
        <w:jc w:val="both"/>
        <w:rPr>
          <w:rFonts w:cs="David"/>
          <w:sz w:val="24"/>
          <w:szCs w:val="24"/>
          <w:rtl/>
        </w:rPr>
      </w:pPr>
    </w:p>
    <w:p w14:paraId="49311670" w14:textId="77777777" w:rsidR="00212B9A" w:rsidRDefault="00212B9A" w:rsidP="00212B9A">
      <w:pPr>
        <w:pStyle w:val="a9"/>
        <w:spacing w:line="360" w:lineRule="auto"/>
        <w:jc w:val="both"/>
        <w:rPr>
          <w:rFonts w:cs="David"/>
          <w:sz w:val="24"/>
          <w:szCs w:val="24"/>
          <w:rtl/>
        </w:rPr>
      </w:pPr>
      <w:r w:rsidRPr="008F1962">
        <w:rPr>
          <w:rFonts w:cs="David" w:hint="cs"/>
          <w:sz w:val="24"/>
          <w:szCs w:val="24"/>
          <w:rtl/>
        </w:rPr>
        <w:t>ב"כ הנאשם טענו להשפעה ניכרת של תוצאות ההליך המקביל שהתנהל נגד נאור נוכח עקרון אחידות הענישה</w:t>
      </w:r>
      <w:r>
        <w:rPr>
          <w:rFonts w:cs="David" w:hint="cs"/>
          <w:sz w:val="24"/>
          <w:szCs w:val="24"/>
          <w:rtl/>
        </w:rPr>
        <w:t xml:space="preserve">. בהקשר זה נאמר כך: אכן, מעורבותו של נאור אינה שולית, אולם, וכאן הדגש, מדובר במי שהורשע בעבירה עיקרית של הריגה ולא בעבירת רצח שלצידה עונש מאסר עולם חובה. מעבר לכך, נאור הורשע במסגרת הסדר טיעון שנומק </w:t>
      </w:r>
      <w:r w:rsidRPr="00FE38D9">
        <w:rPr>
          <w:rFonts w:cs="David" w:hint="cs"/>
          <w:sz w:val="24"/>
          <w:szCs w:val="24"/>
          <w:rtl/>
        </w:rPr>
        <w:t>בקושי ראייתי שהיווה גם את הסיבה לעיכוב בהגשת כתב האישום</w:t>
      </w:r>
      <w:r>
        <w:rPr>
          <w:rFonts w:cs="David" w:hint="cs"/>
          <w:sz w:val="24"/>
          <w:szCs w:val="24"/>
          <w:rtl/>
        </w:rPr>
        <w:t xml:space="preserve"> נגדו, למעלה משנה לאחר שהוגש כתב האישום נגד הנאשם</w:t>
      </w:r>
      <w:r w:rsidRPr="00FE38D9">
        <w:rPr>
          <w:rFonts w:cs="David" w:hint="cs"/>
          <w:sz w:val="24"/>
          <w:szCs w:val="24"/>
          <w:rtl/>
        </w:rPr>
        <w:t>.</w:t>
      </w:r>
      <w:r>
        <w:rPr>
          <w:rFonts w:cs="David" w:hint="cs"/>
          <w:sz w:val="24"/>
          <w:szCs w:val="24"/>
          <w:rtl/>
        </w:rPr>
        <w:t xml:space="preserve"> </w:t>
      </w:r>
    </w:p>
    <w:p w14:paraId="7B36A252" w14:textId="77777777" w:rsidR="00212B9A" w:rsidRDefault="00212B9A" w:rsidP="00212B9A">
      <w:pPr>
        <w:pStyle w:val="a9"/>
        <w:spacing w:line="360" w:lineRule="auto"/>
        <w:jc w:val="both"/>
        <w:rPr>
          <w:rFonts w:cs="David"/>
          <w:sz w:val="24"/>
          <w:szCs w:val="24"/>
          <w:rtl/>
        </w:rPr>
      </w:pPr>
    </w:p>
    <w:p w14:paraId="79FE299C" w14:textId="77777777" w:rsidR="00212B9A" w:rsidRPr="00FE38D9" w:rsidRDefault="00212B9A" w:rsidP="00212B9A">
      <w:pPr>
        <w:pStyle w:val="a9"/>
        <w:spacing w:line="360" w:lineRule="auto"/>
        <w:jc w:val="both"/>
        <w:rPr>
          <w:rFonts w:cs="David"/>
          <w:sz w:val="24"/>
          <w:szCs w:val="24"/>
          <w:rtl/>
        </w:rPr>
      </w:pPr>
      <w:r>
        <w:rPr>
          <w:rFonts w:cs="David" w:hint="cs"/>
          <w:sz w:val="24"/>
          <w:szCs w:val="24"/>
          <w:rtl/>
        </w:rPr>
        <w:t>זאת ועוד, נאור</w:t>
      </w:r>
      <w:r w:rsidRPr="008F1962">
        <w:rPr>
          <w:rFonts w:cs="David"/>
          <w:sz w:val="24"/>
          <w:szCs w:val="24"/>
          <w:rtl/>
        </w:rPr>
        <w:t xml:space="preserve"> לא </w:t>
      </w:r>
      <w:r w:rsidRPr="008F1962">
        <w:rPr>
          <w:rFonts w:cs="David" w:hint="cs"/>
          <w:sz w:val="24"/>
          <w:szCs w:val="24"/>
          <w:rtl/>
        </w:rPr>
        <w:t xml:space="preserve">היה היורה והאינטרס לא היה שלו. </w:t>
      </w:r>
      <w:r w:rsidRPr="00C55AA2">
        <w:rPr>
          <w:rFonts w:cs="David" w:hint="cs"/>
          <w:sz w:val="24"/>
          <w:szCs w:val="24"/>
          <w:rtl/>
        </w:rPr>
        <w:t>גם אם נאור אמר לנאשם "תדפוק בו תדפוק בה", אין להשוותו למי שבפועל ירה.</w:t>
      </w:r>
      <w:r>
        <w:rPr>
          <w:rFonts w:cs="David" w:hint="cs"/>
          <w:sz w:val="24"/>
          <w:szCs w:val="24"/>
          <w:rtl/>
        </w:rPr>
        <w:t xml:space="preserve"> </w:t>
      </w:r>
      <w:r w:rsidRPr="008F1962">
        <w:rPr>
          <w:rFonts w:cs="David" w:hint="cs"/>
          <w:sz w:val="24"/>
          <w:szCs w:val="24"/>
          <w:rtl/>
        </w:rPr>
        <w:t xml:space="preserve">המאשימה קיבלה את טענת נאור שכשהוא נמלט מהזירה יחד עם הנאשם הוא לא ידע שהנאשם הסתובב וירה במנוח אגב הבריחה, אף שבאופן משפטי היה עליו לדעת זאת לפי </w:t>
      </w:r>
      <w:hyperlink r:id="rId50"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34</w:t>
        </w:r>
        <w:r w:rsidR="00AC552B" w:rsidRPr="00AC552B">
          <w:rPr>
            <w:rStyle w:val="Hyperlink"/>
            <w:rFonts w:cs="David" w:hint="cs"/>
            <w:sz w:val="24"/>
            <w:szCs w:val="24"/>
            <w:rtl/>
          </w:rPr>
          <w:t>א</w:t>
        </w:r>
      </w:hyperlink>
      <w:r w:rsidRPr="008F1962">
        <w:rPr>
          <w:rFonts w:cs="David" w:hint="cs"/>
          <w:sz w:val="24"/>
          <w:szCs w:val="24"/>
          <w:rtl/>
        </w:rPr>
        <w:t xml:space="preserve"> ל</w:t>
      </w:r>
      <w:hyperlink r:id="rId51"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sidRPr="008F1962">
        <w:rPr>
          <w:rFonts w:cs="David" w:hint="cs"/>
          <w:sz w:val="24"/>
          <w:szCs w:val="24"/>
          <w:rtl/>
        </w:rPr>
        <w:t>. התכנית שלהם הייתה לבא ולרצוח את אדם. הראיות כלפי נאור שנגעו לשולה בעצם התווספו לאחר שהוגש כתב האישום כנגד הנאשם.</w:t>
      </w:r>
    </w:p>
    <w:p w14:paraId="268F2F66" w14:textId="77777777" w:rsidR="00212B9A" w:rsidRDefault="00212B9A" w:rsidP="00212B9A">
      <w:pPr>
        <w:spacing w:line="360" w:lineRule="auto"/>
        <w:ind w:left="720"/>
        <w:jc w:val="both"/>
        <w:rPr>
          <w:rtl/>
        </w:rPr>
      </w:pPr>
      <w:r>
        <w:rPr>
          <w:rFonts w:hint="cs"/>
          <w:rtl/>
        </w:rPr>
        <w:t>טעם נוסף להסדר נעוץ ברצונה של  המאשימה</w:t>
      </w:r>
      <w:r w:rsidRPr="00FE38D9">
        <w:rPr>
          <w:rFonts w:hint="cs"/>
          <w:rtl/>
        </w:rPr>
        <w:t xml:space="preserve"> </w:t>
      </w:r>
      <w:r>
        <w:rPr>
          <w:rFonts w:hint="cs"/>
          <w:rtl/>
        </w:rPr>
        <w:t xml:space="preserve">להתחשב בקורבנות העבירות נוכח </w:t>
      </w:r>
      <w:r w:rsidRPr="00FE38D9">
        <w:rPr>
          <w:rFonts w:hint="cs"/>
          <w:rtl/>
        </w:rPr>
        <w:t xml:space="preserve">מצבם הנפשי של אדם ושולה, שהחל להתדרדר והחשיבות שהייתה מבחינת אמו של המנוח לשמוע את לקיחת האחריות של </w:t>
      </w:r>
      <w:r>
        <w:rPr>
          <w:rFonts w:hint="cs"/>
          <w:rtl/>
        </w:rPr>
        <w:t>נאור</w:t>
      </w:r>
      <w:r w:rsidRPr="00FE38D9">
        <w:rPr>
          <w:rFonts w:hint="cs"/>
          <w:rtl/>
        </w:rPr>
        <w:t>, שה</w:t>
      </w:r>
      <w:r>
        <w:rPr>
          <w:rFonts w:hint="cs"/>
          <w:rtl/>
        </w:rPr>
        <w:t>יה</w:t>
      </w:r>
      <w:r w:rsidRPr="00FE38D9">
        <w:rPr>
          <w:rFonts w:hint="cs"/>
          <w:rtl/>
        </w:rPr>
        <w:t xml:space="preserve"> חבר טוב של המנוח. </w:t>
      </w:r>
    </w:p>
    <w:p w14:paraId="5E1A1AEB" w14:textId="77777777" w:rsidR="00212B9A" w:rsidRDefault="00212B9A" w:rsidP="00212B9A">
      <w:pPr>
        <w:spacing w:line="360" w:lineRule="auto"/>
        <w:ind w:left="720"/>
        <w:jc w:val="both"/>
        <w:rPr>
          <w:rtl/>
        </w:rPr>
      </w:pPr>
      <w:r>
        <w:rPr>
          <w:rFonts w:hint="cs"/>
          <w:rtl/>
        </w:rPr>
        <w:t xml:space="preserve">לבד מכך, לנאור עבר פלילי אולם להבדיל מהנאשם שעברו הפלילי כבד, לחובת נאור 5 הרשעות קודמות (לבד מתיק ההריגה המדובר) בעבירות שונות מתחום הסמים, הרכוש והאלימות כאשר עבירות האלימות בהן הורשע הן בעיקר לפי </w:t>
      </w:r>
      <w:hyperlink r:id="rId52" w:history="1">
        <w:r w:rsidR="00AC552B" w:rsidRPr="00AC552B">
          <w:rPr>
            <w:rStyle w:val="Hyperlink"/>
            <w:rFonts w:hint="eastAsia"/>
            <w:rtl/>
          </w:rPr>
          <w:t>סעיף</w:t>
        </w:r>
        <w:r w:rsidR="00AC552B" w:rsidRPr="00AC552B">
          <w:rPr>
            <w:rStyle w:val="Hyperlink"/>
            <w:rtl/>
          </w:rPr>
          <w:t xml:space="preserve"> 379</w:t>
        </w:r>
      </w:hyperlink>
      <w:r>
        <w:rPr>
          <w:rFonts w:hint="cs"/>
          <w:rtl/>
        </w:rPr>
        <w:t xml:space="preserve"> ל</w:t>
      </w:r>
      <w:hyperlink r:id="rId53" w:history="1">
        <w:r w:rsidR="004968A2" w:rsidRPr="004968A2">
          <w:rPr>
            <w:color w:val="0000FF"/>
            <w:u w:val="single"/>
            <w:rtl/>
          </w:rPr>
          <w:t>חוק העונשין</w:t>
        </w:r>
      </w:hyperlink>
      <w:r>
        <w:rPr>
          <w:rFonts w:hint="cs"/>
          <w:rtl/>
        </w:rPr>
        <w:t xml:space="preserve"> וחמורות פחות בחומרתן מאלו שבהן הורשע הנאשם. </w:t>
      </w:r>
    </w:p>
    <w:p w14:paraId="2A87926C" w14:textId="77777777" w:rsidR="00212B9A" w:rsidRDefault="00212B9A" w:rsidP="00212B9A">
      <w:pPr>
        <w:pStyle w:val="a9"/>
        <w:spacing w:line="360" w:lineRule="auto"/>
        <w:jc w:val="both"/>
        <w:rPr>
          <w:rFonts w:cs="David"/>
          <w:sz w:val="24"/>
          <w:szCs w:val="24"/>
          <w:rtl/>
        </w:rPr>
      </w:pPr>
    </w:p>
    <w:p w14:paraId="2E09060A" w14:textId="77777777" w:rsidR="00212B9A" w:rsidRPr="00FE38D9" w:rsidRDefault="00212B9A" w:rsidP="00212B9A">
      <w:pPr>
        <w:pStyle w:val="a9"/>
        <w:spacing w:line="360" w:lineRule="auto"/>
        <w:jc w:val="both"/>
        <w:rPr>
          <w:rFonts w:cs="David"/>
          <w:sz w:val="24"/>
          <w:szCs w:val="24"/>
          <w:rtl/>
        </w:rPr>
      </w:pPr>
      <w:r w:rsidRPr="00C55AA2">
        <w:rPr>
          <w:rFonts w:cs="David" w:hint="cs"/>
          <w:sz w:val="24"/>
          <w:szCs w:val="24"/>
          <w:rtl/>
        </w:rPr>
        <w:t xml:space="preserve">נזכיר שבהסדר טיעון "סגור" בית המשפט בוחן את סבירותו של ההסדר ולא בהכרח מטיל את העונש הראוי. הגישה הרווחת של פסיקת בית משפט העליון היא שאין להשוות בין מי שנגזר עליו עונש במסגרת הסדר טיעון "סגור" לבין שותף שלגביו טענו הצדדים באופן פתוח (ראו למשל </w:t>
      </w:r>
      <w:hyperlink r:id="rId54"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9031/16</w:t>
        </w:r>
      </w:hyperlink>
      <w:r w:rsidRPr="00C55AA2">
        <w:rPr>
          <w:rFonts w:cs="David" w:hint="cs"/>
          <w:sz w:val="24"/>
          <w:szCs w:val="24"/>
          <w:rtl/>
        </w:rPr>
        <w:t xml:space="preserve"> </w:t>
      </w:r>
      <w:r w:rsidRPr="00C55AA2">
        <w:rPr>
          <w:rFonts w:cs="David" w:hint="cs"/>
          <w:b/>
          <w:bCs/>
          <w:sz w:val="24"/>
          <w:szCs w:val="24"/>
          <w:rtl/>
        </w:rPr>
        <w:t>סוכר</w:t>
      </w:r>
      <w:r w:rsidRPr="00C55AA2">
        <w:rPr>
          <w:rFonts w:cs="David"/>
          <w:b/>
          <w:bCs/>
          <w:sz w:val="24"/>
          <w:szCs w:val="24"/>
          <w:rtl/>
        </w:rPr>
        <w:t xml:space="preserve"> </w:t>
      </w:r>
      <w:r w:rsidRPr="00C55AA2">
        <w:rPr>
          <w:rFonts w:cs="David" w:hint="cs"/>
          <w:b/>
          <w:bCs/>
          <w:sz w:val="24"/>
          <w:szCs w:val="24"/>
          <w:rtl/>
        </w:rPr>
        <w:t>נ</w:t>
      </w:r>
      <w:r w:rsidRPr="00C55AA2">
        <w:rPr>
          <w:rFonts w:cs="David"/>
          <w:b/>
          <w:bCs/>
          <w:sz w:val="24"/>
          <w:szCs w:val="24"/>
          <w:rtl/>
        </w:rPr>
        <w:t xml:space="preserve">' </w:t>
      </w:r>
      <w:r w:rsidRPr="00C55AA2">
        <w:rPr>
          <w:rFonts w:cs="David" w:hint="cs"/>
          <w:b/>
          <w:bCs/>
          <w:sz w:val="24"/>
          <w:szCs w:val="24"/>
          <w:rtl/>
        </w:rPr>
        <w:t>מדינת</w:t>
      </w:r>
      <w:r w:rsidRPr="00C55AA2">
        <w:rPr>
          <w:rFonts w:cs="David"/>
          <w:b/>
          <w:bCs/>
          <w:sz w:val="24"/>
          <w:szCs w:val="24"/>
          <w:rtl/>
        </w:rPr>
        <w:t xml:space="preserve"> </w:t>
      </w:r>
      <w:r w:rsidRPr="00C55AA2">
        <w:rPr>
          <w:rFonts w:cs="David" w:hint="cs"/>
          <w:b/>
          <w:bCs/>
          <w:sz w:val="24"/>
          <w:szCs w:val="24"/>
          <w:rtl/>
        </w:rPr>
        <w:t>ישראל</w:t>
      </w:r>
      <w:r w:rsidRPr="00C55AA2">
        <w:rPr>
          <w:rFonts w:cs="David" w:hint="cs"/>
          <w:sz w:val="24"/>
          <w:szCs w:val="24"/>
          <w:rtl/>
        </w:rPr>
        <w:t xml:space="preserve"> </w:t>
      </w:r>
      <w:r w:rsidRPr="00C55AA2">
        <w:rPr>
          <w:rFonts w:cs="David"/>
          <w:sz w:val="24"/>
          <w:szCs w:val="24"/>
          <w:rtl/>
        </w:rPr>
        <w:t>(</w:t>
      </w:r>
      <w:r w:rsidRPr="00C55AA2">
        <w:rPr>
          <w:rFonts w:cs="David" w:hint="cs"/>
          <w:sz w:val="24"/>
          <w:szCs w:val="24"/>
          <w:rtl/>
        </w:rPr>
        <w:t xml:space="preserve">2.3.17),  וראו מנגד </w:t>
      </w:r>
      <w:hyperlink r:id="rId55"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4959/19</w:t>
        </w:r>
      </w:hyperlink>
      <w:r w:rsidRPr="00C55AA2">
        <w:rPr>
          <w:rFonts w:cs="David" w:hint="cs"/>
          <w:sz w:val="24"/>
          <w:szCs w:val="24"/>
          <w:rtl/>
        </w:rPr>
        <w:t xml:space="preserve"> </w:t>
      </w:r>
      <w:r w:rsidRPr="00C55AA2">
        <w:rPr>
          <w:rFonts w:cs="David" w:hint="cs"/>
          <w:b/>
          <w:bCs/>
          <w:sz w:val="24"/>
          <w:szCs w:val="24"/>
          <w:rtl/>
        </w:rPr>
        <w:t>פלוני נ' מדינת ישראל</w:t>
      </w:r>
      <w:r w:rsidRPr="00C55AA2">
        <w:rPr>
          <w:rFonts w:cs="David" w:hint="cs"/>
          <w:sz w:val="24"/>
          <w:szCs w:val="24"/>
          <w:rtl/>
        </w:rPr>
        <w:t xml:space="preserve"> (12.6.22).</w:t>
      </w:r>
    </w:p>
    <w:p w14:paraId="2B396814" w14:textId="77777777" w:rsidR="00212B9A" w:rsidRDefault="00212B9A" w:rsidP="00212B9A">
      <w:pPr>
        <w:pStyle w:val="a9"/>
        <w:spacing w:line="360" w:lineRule="auto"/>
        <w:jc w:val="both"/>
        <w:rPr>
          <w:rFonts w:cs="David"/>
          <w:sz w:val="24"/>
          <w:szCs w:val="24"/>
          <w:rtl/>
        </w:rPr>
      </w:pPr>
    </w:p>
    <w:p w14:paraId="545A94D1" w14:textId="77777777" w:rsidR="00212B9A" w:rsidRDefault="00212B9A" w:rsidP="00212B9A">
      <w:pPr>
        <w:pStyle w:val="a9"/>
        <w:spacing w:line="360" w:lineRule="auto"/>
        <w:jc w:val="both"/>
        <w:rPr>
          <w:rFonts w:cs="David"/>
          <w:sz w:val="24"/>
          <w:szCs w:val="24"/>
          <w:rtl/>
        </w:rPr>
      </w:pPr>
      <w:r>
        <w:rPr>
          <w:rFonts w:cs="David" w:hint="cs"/>
          <w:sz w:val="24"/>
          <w:szCs w:val="24"/>
          <w:rtl/>
        </w:rPr>
        <w:t xml:space="preserve">פסיקת בתי המשפט חזרה והדגישה שעקרון אחידות הענישה אינו חזות הכול ומדובר בשיקול אחד מבין מכלול שיקולי הענישה. כפי שציין בית המשפט העליון: </w:t>
      </w:r>
    </w:p>
    <w:p w14:paraId="320BEFB1" w14:textId="77777777" w:rsidR="00212B9A" w:rsidRPr="00FB56CA" w:rsidRDefault="00212B9A" w:rsidP="00212B9A">
      <w:pPr>
        <w:spacing w:line="360" w:lineRule="auto"/>
        <w:ind w:left="720"/>
        <w:jc w:val="both"/>
        <w:rPr>
          <w:rFonts w:ascii="David" w:hAnsi="David"/>
          <w:b/>
          <w:bCs/>
        </w:rPr>
      </w:pPr>
      <w:r w:rsidRPr="00FB56CA">
        <w:rPr>
          <w:b/>
          <w:bCs/>
        </w:rPr>
        <w:t>"</w:t>
      </w:r>
      <w:r w:rsidRPr="00FB56CA">
        <w:rPr>
          <w:rFonts w:ascii="David" w:hAnsi="David"/>
          <w:b/>
          <w:bCs/>
          <w:rtl/>
        </w:rPr>
        <w:t>ע</w:t>
      </w:r>
      <w:r>
        <w:rPr>
          <w:rFonts w:ascii="David" w:hAnsi="David"/>
          <w:b/>
          <w:bCs/>
          <w:rtl/>
        </w:rPr>
        <w:t>קרון אחידות הענישה אינו חזות הכ</w:t>
      </w:r>
      <w:r>
        <w:rPr>
          <w:rFonts w:ascii="David" w:hAnsi="David" w:hint="cs"/>
          <w:b/>
          <w:bCs/>
          <w:rtl/>
        </w:rPr>
        <w:t>ול.</w:t>
      </w:r>
      <w:r w:rsidRPr="00FB56CA">
        <w:rPr>
          <w:rFonts w:ascii="David" w:hAnsi="David"/>
          <w:b/>
          <w:bCs/>
        </w:rPr>
        <w:t xml:space="preserve"> </w:t>
      </w:r>
      <w:r w:rsidRPr="00FB56CA">
        <w:rPr>
          <w:rFonts w:ascii="David" w:hAnsi="David"/>
          <w:b/>
          <w:bCs/>
          <w:rtl/>
        </w:rPr>
        <w:t>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 (</w:t>
      </w:r>
      <w:hyperlink r:id="rId56" w:history="1">
        <w:r w:rsidR="004968A2" w:rsidRPr="004968A2">
          <w:rPr>
            <w:rFonts w:ascii="David" w:hAnsi="David"/>
            <w:b/>
            <w:bCs/>
            <w:color w:val="0000FF"/>
            <w:u w:val="single"/>
            <w:rtl/>
          </w:rPr>
          <w:t>ע"פ 7350/12</w:t>
        </w:r>
      </w:hyperlink>
      <w:r>
        <w:rPr>
          <w:rFonts w:ascii="David" w:hAnsi="David" w:hint="cs"/>
          <w:b/>
          <w:bCs/>
          <w:rtl/>
        </w:rPr>
        <w:t xml:space="preserve"> </w:t>
      </w:r>
      <w:r w:rsidRPr="00FB56CA">
        <w:rPr>
          <w:rFonts w:ascii="David" w:hAnsi="David"/>
          <w:b/>
          <w:bCs/>
          <w:rtl/>
        </w:rPr>
        <w:t xml:space="preserve">פלוני נ' מדינת ישראל, </w:t>
      </w:r>
      <w:r>
        <w:rPr>
          <w:rFonts w:ascii="David" w:hAnsi="David" w:hint="cs"/>
          <w:b/>
          <w:bCs/>
          <w:rtl/>
        </w:rPr>
        <w:t>14/01/12)</w:t>
      </w:r>
      <w:r w:rsidRPr="00FB56CA">
        <w:rPr>
          <w:rFonts w:ascii="David" w:hAnsi="David"/>
          <w:b/>
          <w:bCs/>
          <w:rtl/>
        </w:rPr>
        <w:t>. כמו כן יש לזכור כי קשה להשוות לחלוטין בין שני נאשמים, אף מבצעים בצוותא, שכן כל אחד ונסיבותיו שלו: "מלאכת קציבת העונש אינה תרגיל אריתמטי לחישוב תרומתו העבריינית של פלוני ביחס לתרומתו העבריינית של אלמוני באותה הפרשה. כך, אל לפעולת גזירת העונש להדמות לפעולת העתקה והדבקה, מעונשו של פלוני לעונשו של אלמוני, רק בשם עקרון אחידות הענישה" (עניין פיצו, פסקה 23)</w:t>
      </w:r>
      <w:r>
        <w:rPr>
          <w:rFonts w:ascii="David" w:hAnsi="David" w:hint="cs"/>
          <w:b/>
          <w:bCs/>
          <w:rtl/>
        </w:rPr>
        <w:t>"</w:t>
      </w:r>
    </w:p>
    <w:p w14:paraId="0EF72402" w14:textId="77777777" w:rsidR="00212B9A" w:rsidRPr="00FB56CA" w:rsidRDefault="00212B9A" w:rsidP="00212B9A">
      <w:pPr>
        <w:spacing w:line="360" w:lineRule="auto"/>
        <w:ind w:firstLine="720"/>
        <w:jc w:val="both"/>
        <w:rPr>
          <w:rFonts w:ascii="David" w:hAnsi="David"/>
        </w:rPr>
      </w:pPr>
      <w:r w:rsidRPr="00FB56CA">
        <w:rPr>
          <w:rFonts w:ascii="David" w:hAnsi="David"/>
          <w:rtl/>
        </w:rPr>
        <w:t>(</w:t>
      </w:r>
      <w:hyperlink r:id="rId57" w:history="1">
        <w:r w:rsidR="004968A2" w:rsidRPr="004968A2">
          <w:rPr>
            <w:rFonts w:ascii="David" w:hAnsi="David"/>
            <w:color w:val="0000FF"/>
            <w:u w:val="single"/>
            <w:rtl/>
          </w:rPr>
          <w:t>ע"פ 6544/16</w:t>
        </w:r>
      </w:hyperlink>
      <w:r w:rsidRPr="00FB56CA">
        <w:rPr>
          <w:rFonts w:ascii="David" w:hAnsi="David"/>
          <w:rtl/>
        </w:rPr>
        <w:t xml:space="preserve"> </w:t>
      </w:r>
      <w:r w:rsidRPr="00FB56CA">
        <w:rPr>
          <w:rFonts w:ascii="David" w:hAnsi="David"/>
          <w:b/>
          <w:bCs/>
          <w:rtl/>
        </w:rPr>
        <w:t>ניסנצויג נ' מדינת ישראל</w:t>
      </w:r>
      <w:r w:rsidRPr="00FB56CA">
        <w:rPr>
          <w:rFonts w:ascii="David" w:hAnsi="David"/>
          <w:rtl/>
        </w:rPr>
        <w:t xml:space="preserve"> (21.2.17)).</w:t>
      </w:r>
    </w:p>
    <w:p w14:paraId="3A2D17E0" w14:textId="77777777" w:rsidR="00212B9A" w:rsidRDefault="00212B9A" w:rsidP="00212B9A">
      <w:pPr>
        <w:pStyle w:val="a9"/>
        <w:spacing w:line="360" w:lineRule="auto"/>
        <w:jc w:val="both"/>
        <w:rPr>
          <w:rFonts w:cs="David"/>
          <w:sz w:val="24"/>
          <w:szCs w:val="24"/>
        </w:rPr>
      </w:pPr>
      <w:r w:rsidRPr="00FE38D9">
        <w:rPr>
          <w:rFonts w:cs="David" w:hint="cs"/>
          <w:sz w:val="24"/>
          <w:szCs w:val="24"/>
          <w:rtl/>
        </w:rPr>
        <w:t xml:space="preserve">עם זאת, </w:t>
      </w:r>
      <w:r>
        <w:rPr>
          <w:rFonts w:cs="David" w:hint="cs"/>
          <w:sz w:val="24"/>
          <w:szCs w:val="24"/>
          <w:rtl/>
        </w:rPr>
        <w:t>הגם שהכלל כפי שנעמוד עליו בהמשך, הוא שיש להורות על ענישה מצטברת, הרי שביחס לאופן הפעלת המאסר הנוסף, תילקח בחשבון במידת מה טענה זו הגם שמשקלה מועט, בנסיבות  ענייננו. כן יובאו בחשבון נסיבותיו האישיות של הנאשם כפי שעמד עליהן הסנגור בטיעוניו.</w:t>
      </w:r>
    </w:p>
    <w:p w14:paraId="6EF9BA39" w14:textId="77777777" w:rsidR="00212B9A" w:rsidRPr="000F7D69" w:rsidRDefault="00212B9A" w:rsidP="00212B9A">
      <w:pPr>
        <w:pStyle w:val="a9"/>
        <w:spacing w:line="360" w:lineRule="auto"/>
        <w:jc w:val="both"/>
        <w:rPr>
          <w:rFonts w:cs="David"/>
          <w:sz w:val="24"/>
          <w:szCs w:val="24"/>
          <w:rtl/>
        </w:rPr>
      </w:pPr>
    </w:p>
    <w:p w14:paraId="7D6A1257" w14:textId="77777777" w:rsidR="00212B9A" w:rsidRDefault="00212B9A" w:rsidP="00212B9A">
      <w:pPr>
        <w:pStyle w:val="a9"/>
        <w:spacing w:line="360" w:lineRule="auto"/>
        <w:jc w:val="both"/>
        <w:rPr>
          <w:rFonts w:cs="David"/>
          <w:sz w:val="24"/>
          <w:szCs w:val="24"/>
          <w:rtl/>
        </w:rPr>
      </w:pPr>
      <w:r w:rsidRPr="00373CC5">
        <w:rPr>
          <w:rFonts w:cs="David" w:hint="cs"/>
          <w:sz w:val="24"/>
          <w:szCs w:val="24"/>
          <w:rtl/>
        </w:rPr>
        <w:t>נזכיר עוד וכפי שציינו ב"כ הצדדים, כפירה באשמה וניהול משפט על ידי הנאשם לא ייזקפו לחובתו (</w:t>
      </w:r>
      <w:hyperlink r:id="rId58"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40</w:t>
        </w:r>
        <w:r w:rsidR="00AC552B" w:rsidRPr="00AC552B">
          <w:rPr>
            <w:rStyle w:val="Hyperlink"/>
            <w:rFonts w:cs="David" w:hint="cs"/>
            <w:sz w:val="24"/>
            <w:szCs w:val="24"/>
            <w:rtl/>
          </w:rPr>
          <w:t>יא</w:t>
        </w:r>
        <w:r w:rsidR="00AC552B" w:rsidRPr="00AC552B">
          <w:rPr>
            <w:rStyle w:val="Hyperlink"/>
            <w:rFonts w:cs="David"/>
            <w:sz w:val="24"/>
            <w:szCs w:val="24"/>
            <w:rtl/>
          </w:rPr>
          <w:t>(6)</w:t>
        </w:r>
      </w:hyperlink>
      <w:r w:rsidRPr="00373CC5">
        <w:rPr>
          <w:rFonts w:cs="David" w:hint="cs"/>
          <w:sz w:val="24"/>
          <w:szCs w:val="24"/>
          <w:rtl/>
        </w:rPr>
        <w:t xml:space="preserve"> ל</w:t>
      </w:r>
      <w:hyperlink r:id="rId59"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sidRPr="00373CC5">
        <w:rPr>
          <w:rFonts w:cs="David" w:hint="cs"/>
          <w:sz w:val="24"/>
          <w:szCs w:val="24"/>
          <w:rtl/>
        </w:rPr>
        <w:t>)</w:t>
      </w:r>
      <w:r>
        <w:rPr>
          <w:rFonts w:cs="David" w:hint="cs"/>
          <w:sz w:val="24"/>
          <w:szCs w:val="24"/>
          <w:rtl/>
        </w:rPr>
        <w:t xml:space="preserve">, </w:t>
      </w:r>
      <w:r w:rsidRPr="00790C6C">
        <w:rPr>
          <w:rFonts w:cs="David" w:hint="cs"/>
          <w:sz w:val="24"/>
          <w:szCs w:val="24"/>
          <w:rtl/>
        </w:rPr>
        <w:t>אך ודאי שהוא אינו זכאי להקלה הניתנת למי שמודה ונוטל אחריות למעשיו</w:t>
      </w:r>
      <w:r>
        <w:rPr>
          <w:rFonts w:cs="David" w:hint="cs"/>
          <w:sz w:val="24"/>
          <w:szCs w:val="24"/>
          <w:rtl/>
        </w:rPr>
        <w:t>, חוסך זמן שיפוטי וחוסך מנפגעי העבירה את הטראומה של עדות בבית המשפט. במקרה זה לא נחסך מעמד העדות משולה ששכלה את בנה ונפצעה בעצמה וגם לא מאדם מסרוגה שנפצע קשה מאד הן פיזית והן נפשית והוא העיד רק לאחר שהיה עצור מספר ימים בשל סירובו להעיד עקב הטראומה והפחד מהנאשם. מובן שבנסיבות אלה אי לקיחת האחריות היא גם אינדיקטור לכך שהמסוכנות לא פחתה.</w:t>
      </w:r>
    </w:p>
    <w:p w14:paraId="694E9AB3" w14:textId="77777777" w:rsidR="00212B9A" w:rsidRDefault="00212B9A" w:rsidP="00212B9A">
      <w:pPr>
        <w:pStyle w:val="a9"/>
        <w:spacing w:line="360" w:lineRule="auto"/>
        <w:jc w:val="both"/>
        <w:rPr>
          <w:rFonts w:cs="David"/>
          <w:sz w:val="24"/>
          <w:szCs w:val="24"/>
          <w:rtl/>
        </w:rPr>
      </w:pPr>
    </w:p>
    <w:p w14:paraId="0791B20D" w14:textId="77777777" w:rsidR="00212B9A" w:rsidRDefault="00212B9A" w:rsidP="00212B9A">
      <w:pPr>
        <w:pStyle w:val="a9"/>
        <w:numPr>
          <w:ilvl w:val="0"/>
          <w:numId w:val="1"/>
        </w:numPr>
        <w:spacing w:line="360" w:lineRule="auto"/>
        <w:jc w:val="both"/>
        <w:rPr>
          <w:rFonts w:cs="David"/>
          <w:sz w:val="24"/>
          <w:szCs w:val="24"/>
          <w:rtl/>
        </w:rPr>
      </w:pPr>
      <w:r>
        <w:rPr>
          <w:rFonts w:cs="David" w:hint="cs"/>
          <w:sz w:val="24"/>
          <w:szCs w:val="24"/>
          <w:rtl/>
        </w:rPr>
        <w:t>במכלול נסיבות אלה ובאיזון שבין השקולים השונים נראה כי יש למקם את עונשו של הנאשם ברף הגבוה של מתחם הענישה.</w:t>
      </w:r>
    </w:p>
    <w:p w14:paraId="7B685B36" w14:textId="77777777" w:rsidR="00212B9A" w:rsidRDefault="00212B9A" w:rsidP="00212B9A">
      <w:pPr>
        <w:pStyle w:val="a9"/>
        <w:spacing w:line="360" w:lineRule="auto"/>
        <w:jc w:val="both"/>
        <w:rPr>
          <w:rFonts w:cs="David"/>
          <w:sz w:val="24"/>
          <w:szCs w:val="24"/>
          <w:rtl/>
        </w:rPr>
      </w:pPr>
    </w:p>
    <w:p w14:paraId="6D801330" w14:textId="77777777" w:rsidR="00212B9A" w:rsidRDefault="00212B9A" w:rsidP="00212B9A">
      <w:pPr>
        <w:pStyle w:val="a9"/>
        <w:numPr>
          <w:ilvl w:val="0"/>
          <w:numId w:val="1"/>
        </w:numPr>
        <w:spacing w:line="360" w:lineRule="auto"/>
        <w:jc w:val="both"/>
        <w:rPr>
          <w:rFonts w:cs="David"/>
          <w:sz w:val="24"/>
          <w:szCs w:val="24"/>
        </w:rPr>
      </w:pPr>
      <w:r>
        <w:rPr>
          <w:rFonts w:cs="David" w:hint="cs"/>
          <w:sz w:val="24"/>
          <w:szCs w:val="24"/>
          <w:rtl/>
        </w:rPr>
        <w:t>אשר ל</w:t>
      </w:r>
      <w:r w:rsidRPr="00543C3F">
        <w:rPr>
          <w:rFonts w:cs="David" w:hint="cs"/>
          <w:sz w:val="24"/>
          <w:szCs w:val="24"/>
          <w:rtl/>
        </w:rPr>
        <w:t>שאלת צבירת העונשים, הכלל הוא ש</w:t>
      </w:r>
      <w:r>
        <w:rPr>
          <w:rFonts w:cs="David" w:hint="cs"/>
          <w:sz w:val="24"/>
          <w:szCs w:val="24"/>
          <w:rtl/>
        </w:rPr>
        <w:t>עבירת רצח, אליה נוספו עבירות נלוות, חומרת העבירה מצדיקה הטלת עונשי מאסר במצטבר. העונש שהולם מעשים שהביאו לנטילת חיים של קרבן אחד ולניסיון קטילת  חיי קורבן נוסף כמו גם חבלה חמורה בקורבן שלישי אינו יכול להיות אותו עונש שהולם נטילת חייו של אדם אחד בלבד. כל אדם הוא עולם במלואו (</w:t>
      </w:r>
      <w:hyperlink r:id="rId60" w:history="1">
        <w:r w:rsidR="004968A2" w:rsidRPr="004968A2">
          <w:rPr>
            <w:rFonts w:cs="David" w:hint="cs"/>
            <w:color w:val="0000FF"/>
            <w:sz w:val="24"/>
            <w:szCs w:val="24"/>
            <w:u w:val="single"/>
            <w:rtl/>
          </w:rPr>
          <w:t>ע</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9201/18</w:t>
        </w:r>
      </w:hyperlink>
      <w:r>
        <w:rPr>
          <w:rFonts w:cs="David" w:hint="cs"/>
          <w:sz w:val="24"/>
          <w:szCs w:val="24"/>
          <w:rtl/>
        </w:rPr>
        <w:t xml:space="preserve"> </w:t>
      </w:r>
      <w:r w:rsidRPr="00543C3F">
        <w:rPr>
          <w:rFonts w:cs="David" w:hint="cs"/>
          <w:b/>
          <w:bCs/>
          <w:sz w:val="24"/>
          <w:szCs w:val="24"/>
          <w:rtl/>
        </w:rPr>
        <w:t>גורבאן נ' מדינת ישראל</w:t>
      </w:r>
      <w:r>
        <w:rPr>
          <w:rFonts w:cs="David" w:hint="cs"/>
          <w:sz w:val="24"/>
          <w:szCs w:val="24"/>
          <w:rtl/>
        </w:rPr>
        <w:t xml:space="preserve"> (8.6.22)). </w:t>
      </w:r>
    </w:p>
    <w:p w14:paraId="656CF9EB" w14:textId="77777777" w:rsidR="00212B9A" w:rsidRPr="00543C3F" w:rsidRDefault="00212B9A" w:rsidP="00212B9A">
      <w:pPr>
        <w:pStyle w:val="a9"/>
        <w:spacing w:line="360" w:lineRule="auto"/>
        <w:jc w:val="both"/>
        <w:rPr>
          <w:rFonts w:cs="David"/>
          <w:sz w:val="24"/>
          <w:szCs w:val="24"/>
          <w:rtl/>
        </w:rPr>
      </w:pPr>
    </w:p>
    <w:p w14:paraId="20BC925A" w14:textId="77777777" w:rsidR="00212B9A" w:rsidRDefault="00212B9A" w:rsidP="00212B9A">
      <w:pPr>
        <w:pStyle w:val="a9"/>
        <w:spacing w:line="360" w:lineRule="auto"/>
        <w:jc w:val="both"/>
        <w:rPr>
          <w:rFonts w:cs="David"/>
          <w:sz w:val="24"/>
          <w:szCs w:val="24"/>
          <w:rtl/>
        </w:rPr>
      </w:pPr>
      <w:r>
        <w:rPr>
          <w:rFonts w:cs="David" w:hint="cs"/>
          <w:sz w:val="24"/>
          <w:szCs w:val="24"/>
          <w:rtl/>
        </w:rPr>
        <w:t>לאור זאת, הגם שאין מקום לחפוף בין העונשים שיוטלו על הנאשם בגין העבירות השונות, נורה על חפיפה מסוימת ובכך להביא לידי ביטוי את טענות ב"כ הנאשם כמפורט לעיל.</w:t>
      </w:r>
    </w:p>
    <w:p w14:paraId="7D474256" w14:textId="77777777" w:rsidR="00212B9A" w:rsidRPr="00543C3F" w:rsidRDefault="00212B9A" w:rsidP="00212B9A">
      <w:pPr>
        <w:pStyle w:val="a9"/>
        <w:spacing w:line="360" w:lineRule="auto"/>
        <w:jc w:val="both"/>
        <w:rPr>
          <w:rFonts w:cs="David"/>
          <w:sz w:val="24"/>
          <w:szCs w:val="24"/>
          <w:rtl/>
        </w:rPr>
      </w:pPr>
    </w:p>
    <w:p w14:paraId="31C8CD90" w14:textId="77777777" w:rsidR="00212B9A" w:rsidRDefault="00212B9A" w:rsidP="00212B9A">
      <w:pPr>
        <w:pStyle w:val="a9"/>
        <w:numPr>
          <w:ilvl w:val="0"/>
          <w:numId w:val="1"/>
        </w:numPr>
        <w:spacing w:line="360" w:lineRule="auto"/>
        <w:jc w:val="both"/>
        <w:rPr>
          <w:rFonts w:cs="David"/>
          <w:sz w:val="24"/>
          <w:szCs w:val="24"/>
        </w:rPr>
      </w:pPr>
      <w:r>
        <w:rPr>
          <w:rFonts w:cs="David" w:hint="cs"/>
          <w:sz w:val="24"/>
          <w:szCs w:val="24"/>
          <w:rtl/>
        </w:rPr>
        <w:t xml:space="preserve">לשאלת הפעלת עונש המאסר המותנה שתלוי ועומד כנגד הנאשם, נציין שככלל, בעת הפעלת מאסר מותנה תקופות המאסר ירוצו בזו אחר זו וסטייה מכך תיעשה רק </w:t>
      </w:r>
      <w:r w:rsidRPr="00080514">
        <w:rPr>
          <w:rFonts w:cs="David"/>
          <w:b/>
          <w:bCs/>
          <w:sz w:val="24"/>
          <w:szCs w:val="24"/>
          <w:rtl/>
        </w:rPr>
        <w:t xml:space="preserve">"מטעמים </w:t>
      </w:r>
      <w:r w:rsidRPr="00080514">
        <w:rPr>
          <w:rFonts w:cs="David" w:hint="eastAsia"/>
          <w:b/>
          <w:bCs/>
          <w:sz w:val="24"/>
          <w:szCs w:val="24"/>
          <w:rtl/>
        </w:rPr>
        <w:t>שיירשמו</w:t>
      </w:r>
      <w:r w:rsidRPr="00080514">
        <w:rPr>
          <w:rFonts w:cs="David"/>
          <w:b/>
          <w:bCs/>
          <w:sz w:val="24"/>
          <w:szCs w:val="24"/>
          <w:rtl/>
        </w:rPr>
        <w:t>"</w:t>
      </w:r>
      <w:r>
        <w:rPr>
          <w:rFonts w:cs="David" w:hint="cs"/>
          <w:sz w:val="24"/>
          <w:szCs w:val="24"/>
          <w:rtl/>
        </w:rPr>
        <w:t xml:space="preserve"> (</w:t>
      </w:r>
      <w:hyperlink r:id="rId61"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58</w:t>
        </w:r>
      </w:hyperlink>
      <w:r>
        <w:rPr>
          <w:rFonts w:cs="David" w:hint="cs"/>
          <w:sz w:val="24"/>
          <w:szCs w:val="24"/>
          <w:rtl/>
        </w:rPr>
        <w:t xml:space="preserve"> ל</w:t>
      </w:r>
      <w:hyperlink r:id="rId62" w:history="1">
        <w:r w:rsidR="004968A2" w:rsidRPr="004968A2">
          <w:rPr>
            <w:rFonts w:cs="David" w:hint="cs"/>
            <w:color w:val="0000FF"/>
            <w:sz w:val="24"/>
            <w:szCs w:val="24"/>
            <w:u w:val="single"/>
            <w:rtl/>
          </w:rPr>
          <w:t>חוק</w:t>
        </w:r>
        <w:r w:rsidR="004968A2" w:rsidRPr="004968A2">
          <w:rPr>
            <w:rFonts w:cs="David"/>
            <w:color w:val="0000FF"/>
            <w:sz w:val="24"/>
            <w:szCs w:val="24"/>
            <w:u w:val="single"/>
            <w:rtl/>
          </w:rPr>
          <w:t xml:space="preserve"> </w:t>
        </w:r>
        <w:r w:rsidR="004968A2" w:rsidRPr="004968A2">
          <w:rPr>
            <w:rFonts w:cs="David" w:hint="cs"/>
            <w:color w:val="0000FF"/>
            <w:sz w:val="24"/>
            <w:szCs w:val="24"/>
            <w:u w:val="single"/>
            <w:rtl/>
          </w:rPr>
          <w:t>העונשין</w:t>
        </w:r>
      </w:hyperlink>
      <w:r>
        <w:rPr>
          <w:rFonts w:cs="David" w:hint="cs"/>
          <w:sz w:val="24"/>
          <w:szCs w:val="24"/>
          <w:rtl/>
        </w:rPr>
        <w:t>). הנאשם לא הצביע על טעמים לסטייה מהכלל. אדרבא, הנאשם ביצע עבירות כה חמורות בשעה שמאסר מותנה תלוי ועומד כנגדו על כן יש מקום להורות על כך שתקופת המאסר המותנה שתופעל תרוצה במצטבר. נזכיר, הפעלת מאסר מותנה היא למעשה עונש על מעשה העבירה הקודם בגינו הורשע הנאשם ונוכח מאפייני התנהלותו אין כל הצדקה להורות על חפיפת עונשים בהקשר זה.</w:t>
      </w:r>
    </w:p>
    <w:p w14:paraId="7F82CB93" w14:textId="77777777" w:rsidR="00212B9A" w:rsidRDefault="00212B9A" w:rsidP="00212B9A">
      <w:pPr>
        <w:pStyle w:val="a9"/>
        <w:spacing w:line="360" w:lineRule="auto"/>
        <w:jc w:val="both"/>
        <w:rPr>
          <w:rFonts w:cs="David"/>
          <w:sz w:val="24"/>
          <w:szCs w:val="24"/>
          <w:rtl/>
        </w:rPr>
      </w:pPr>
    </w:p>
    <w:p w14:paraId="57C8C46E" w14:textId="77777777" w:rsidR="00212B9A" w:rsidRDefault="00212B9A" w:rsidP="00212B9A">
      <w:pPr>
        <w:pStyle w:val="a9"/>
        <w:keepNext/>
        <w:numPr>
          <w:ilvl w:val="0"/>
          <w:numId w:val="1"/>
        </w:numPr>
        <w:spacing w:after="240" w:line="360" w:lineRule="auto"/>
        <w:jc w:val="both"/>
        <w:rPr>
          <w:rFonts w:ascii="David" w:hAnsi="David" w:cs="David"/>
          <w:sz w:val="24"/>
          <w:szCs w:val="24"/>
        </w:rPr>
      </w:pPr>
      <w:r w:rsidRPr="002125A1">
        <w:rPr>
          <w:rFonts w:cs="David" w:hint="cs"/>
          <w:sz w:val="24"/>
          <w:szCs w:val="24"/>
          <w:rtl/>
        </w:rPr>
        <w:t>לעניין רכיב הפיצוי,</w:t>
      </w:r>
      <w:r w:rsidRPr="002125A1">
        <w:rPr>
          <w:rFonts w:ascii="David" w:hAnsi="David" w:cs="David"/>
          <w:sz w:val="24"/>
          <w:szCs w:val="24"/>
          <w:rtl/>
        </w:rPr>
        <w:t xml:space="preserve"> הריהו 'עזרה ראשונה' הניתנת לנפגע העבירה בתום ההתדיינות בפלילים. בצד אותה 'עזרה ראשונה' עומדת האפשרות להגיש בנפרד תביעה אזרחית נגד העבריין, בגין מלוא נזקי קרבן העבירה</w:t>
      </w:r>
      <w:r>
        <w:rPr>
          <w:rFonts w:ascii="David" w:hAnsi="David" w:cs="David" w:hint="cs"/>
          <w:sz w:val="24"/>
          <w:szCs w:val="24"/>
          <w:rtl/>
        </w:rPr>
        <w:t xml:space="preserve"> (</w:t>
      </w:r>
      <w:hyperlink r:id="rId63" w:history="1">
        <w:r w:rsidR="004968A2" w:rsidRPr="004968A2">
          <w:rPr>
            <w:rFonts w:ascii="David" w:hAnsi="David" w:cs="David"/>
            <w:color w:val="0000FF"/>
            <w:sz w:val="24"/>
            <w:szCs w:val="24"/>
            <w:u w:val="single"/>
            <w:rtl/>
          </w:rPr>
          <w:t>ע"פ 7186/19</w:t>
        </w:r>
      </w:hyperlink>
      <w:r w:rsidRPr="002125A1">
        <w:rPr>
          <w:rFonts w:ascii="David" w:hAnsi="David" w:cs="David"/>
          <w:sz w:val="24"/>
          <w:szCs w:val="24"/>
          <w:rtl/>
        </w:rPr>
        <w:t xml:space="preserve"> </w:t>
      </w:r>
      <w:r w:rsidRPr="008F1962">
        <w:rPr>
          <w:rFonts w:ascii="David" w:hAnsi="David" w:cs="David"/>
          <w:b/>
          <w:bCs/>
          <w:sz w:val="24"/>
          <w:szCs w:val="24"/>
          <w:rtl/>
        </w:rPr>
        <w:t>קטמור נ' מדינת ישראל</w:t>
      </w:r>
      <w:r>
        <w:rPr>
          <w:rFonts w:ascii="David" w:hAnsi="David" w:cs="David"/>
          <w:sz w:val="24"/>
          <w:szCs w:val="24"/>
          <w:rtl/>
        </w:rPr>
        <w:t xml:space="preserve"> (8.1.2020)</w:t>
      </w:r>
      <w:r>
        <w:rPr>
          <w:rFonts w:ascii="David" w:hAnsi="David" w:cs="David" w:hint="cs"/>
          <w:sz w:val="24"/>
          <w:szCs w:val="24"/>
          <w:rtl/>
        </w:rPr>
        <w:t>)</w:t>
      </w:r>
      <w:r w:rsidRPr="002125A1">
        <w:rPr>
          <w:rFonts w:ascii="David" w:hAnsi="David" w:cs="David"/>
          <w:sz w:val="24"/>
          <w:szCs w:val="24"/>
          <w:rtl/>
        </w:rPr>
        <w:t>.</w:t>
      </w:r>
    </w:p>
    <w:p w14:paraId="4C249DE1" w14:textId="77777777" w:rsidR="00212B9A" w:rsidRPr="000F7D69" w:rsidRDefault="00212B9A" w:rsidP="00212B9A">
      <w:pPr>
        <w:pStyle w:val="a9"/>
        <w:rPr>
          <w:rtl/>
        </w:rPr>
      </w:pPr>
    </w:p>
    <w:p w14:paraId="33C9AC7C" w14:textId="77777777" w:rsidR="00212B9A" w:rsidRDefault="00212B9A" w:rsidP="00212B9A">
      <w:pPr>
        <w:pStyle w:val="a9"/>
        <w:keepNext/>
        <w:spacing w:after="240" w:line="360" w:lineRule="auto"/>
        <w:jc w:val="both"/>
        <w:rPr>
          <w:rFonts w:ascii="David" w:hAnsi="David" w:cs="David"/>
          <w:sz w:val="24"/>
          <w:szCs w:val="24"/>
          <w:rtl/>
        </w:rPr>
      </w:pPr>
      <w:r w:rsidRPr="00790C6C">
        <w:rPr>
          <w:rFonts w:ascii="David" w:hAnsi="David" w:cs="David" w:hint="cs"/>
          <w:sz w:val="24"/>
          <w:szCs w:val="24"/>
          <w:rtl/>
        </w:rPr>
        <w:t xml:space="preserve">הנזקים שנגרמו לשולה ולאדם הם נרחבים קשים וארוכי טווח ואלה אוזכרו בפרק הראיות לעונש כפי שפרטנו לעיל. אדם היה בסכנת חיים והוא סובל מנכות צמיתה קשה. שולה, לבד מהיותה אם המנוח הזכאית לפיצוי מכח הוראת </w:t>
      </w:r>
      <w:hyperlink r:id="rId64" w:history="1">
        <w:r w:rsidR="00AC552B" w:rsidRPr="00AC552B">
          <w:rPr>
            <w:rStyle w:val="Hyperlink"/>
            <w:rFonts w:ascii="David" w:hAnsi="David" w:cs="David" w:hint="cs"/>
            <w:sz w:val="24"/>
            <w:szCs w:val="24"/>
            <w:rtl/>
          </w:rPr>
          <w:t>סעיף</w:t>
        </w:r>
        <w:r w:rsidR="00AC552B" w:rsidRPr="00AC552B">
          <w:rPr>
            <w:rStyle w:val="Hyperlink"/>
            <w:rFonts w:ascii="David" w:hAnsi="David" w:cs="David"/>
            <w:sz w:val="24"/>
            <w:szCs w:val="24"/>
            <w:rtl/>
          </w:rPr>
          <w:t xml:space="preserve"> 77</w:t>
        </w:r>
      </w:hyperlink>
      <w:r w:rsidRPr="00790C6C">
        <w:rPr>
          <w:rFonts w:ascii="David" w:hAnsi="David" w:cs="David" w:hint="cs"/>
          <w:sz w:val="24"/>
          <w:szCs w:val="24"/>
          <w:rtl/>
        </w:rPr>
        <w:t xml:space="preserve"> ל</w:t>
      </w:r>
      <w:hyperlink r:id="rId65" w:history="1">
        <w:r w:rsidR="004968A2" w:rsidRPr="004968A2">
          <w:rPr>
            <w:rFonts w:ascii="David" w:hAnsi="David" w:cs="David"/>
            <w:color w:val="0000FF"/>
            <w:sz w:val="24"/>
            <w:szCs w:val="24"/>
            <w:u w:val="single"/>
            <w:rtl/>
          </w:rPr>
          <w:t>חוק העונשין</w:t>
        </w:r>
      </w:hyperlink>
      <w:r w:rsidRPr="00790C6C">
        <w:rPr>
          <w:rFonts w:ascii="David" w:hAnsi="David" w:cs="David" w:hint="cs"/>
          <w:sz w:val="24"/>
          <w:szCs w:val="24"/>
          <w:rtl/>
        </w:rPr>
        <w:t>, נפצעה בעצמה בירכה ואושפזה למספר ימים וזכאית לפיצוי על כל אחת מהעבירות שבהן הורשע הנאשם.</w:t>
      </w:r>
    </w:p>
    <w:p w14:paraId="5AEAF287" w14:textId="77777777" w:rsidR="00212B9A" w:rsidRDefault="00212B9A" w:rsidP="00212B9A">
      <w:pPr>
        <w:spacing w:line="360" w:lineRule="auto"/>
        <w:ind w:left="720"/>
        <w:contextualSpacing/>
        <w:jc w:val="both"/>
        <w:rPr>
          <w:rFonts w:ascii="David" w:hAnsi="David"/>
          <w:rtl/>
        </w:rPr>
      </w:pPr>
      <w:r>
        <w:rPr>
          <w:rFonts w:ascii="David" w:hAnsi="David" w:hint="cs"/>
          <w:rtl/>
        </w:rPr>
        <w:t>נוכח הנזקים הנרחבים שגרם הנאשם לאדם ולשולה יש מקום לפסיקת הפיצוי המקסימלי</w:t>
      </w:r>
    </w:p>
    <w:p w14:paraId="02670AF3" w14:textId="77777777" w:rsidR="00212B9A" w:rsidRDefault="00212B9A" w:rsidP="00212B9A">
      <w:pPr>
        <w:spacing w:line="360" w:lineRule="auto"/>
        <w:ind w:left="720"/>
        <w:contextualSpacing/>
        <w:jc w:val="both"/>
        <w:rPr>
          <w:rFonts w:ascii="David" w:hAnsi="David"/>
          <w:rtl/>
        </w:rPr>
      </w:pPr>
      <w:r>
        <w:rPr>
          <w:rFonts w:ascii="David" w:hAnsi="David" w:hint="cs"/>
          <w:rtl/>
        </w:rPr>
        <w:t>הקבוע בחוק לכל אחד מהם בהקשר לעבירת הרצח וניסיון הרצח.</w:t>
      </w:r>
    </w:p>
    <w:p w14:paraId="461BC0F4" w14:textId="77777777" w:rsidR="00212B9A" w:rsidRDefault="00212B9A" w:rsidP="00212B9A">
      <w:pPr>
        <w:spacing w:line="360" w:lineRule="auto"/>
        <w:ind w:left="720"/>
        <w:contextualSpacing/>
        <w:jc w:val="both"/>
        <w:rPr>
          <w:rFonts w:ascii="David" w:hAnsi="David"/>
          <w:rtl/>
        </w:rPr>
      </w:pPr>
    </w:p>
    <w:p w14:paraId="31C61EB8" w14:textId="77777777" w:rsidR="00212B9A" w:rsidRDefault="00212B9A" w:rsidP="00212B9A">
      <w:pPr>
        <w:spacing w:line="360" w:lineRule="auto"/>
        <w:ind w:left="720"/>
        <w:contextualSpacing/>
        <w:jc w:val="both"/>
        <w:rPr>
          <w:rFonts w:ascii="David" w:hAnsi="David"/>
          <w:rtl/>
        </w:rPr>
      </w:pPr>
      <w:r>
        <w:rPr>
          <w:rFonts w:ascii="David" w:hAnsi="David" w:hint="cs"/>
          <w:rtl/>
        </w:rPr>
        <w:t xml:space="preserve">נזכיר בהקשר זה גם את ההלכה שהפיצוי </w:t>
      </w:r>
      <w:r w:rsidRPr="00C3062A">
        <w:rPr>
          <w:rFonts w:ascii="David" w:hAnsi="David"/>
          <w:rtl/>
        </w:rPr>
        <w:t>לקרבן העבירה אינו אמור להיקבע לפי יכולתו הכלכלית של הנאשם (</w:t>
      </w:r>
      <w:hyperlink r:id="rId66" w:history="1">
        <w:r w:rsidR="00371492" w:rsidRPr="00371492">
          <w:rPr>
            <w:rFonts w:ascii="David" w:hAnsi="David"/>
            <w:color w:val="0000FF"/>
            <w:u w:val="single"/>
            <w:rtl/>
          </w:rPr>
          <w:t xml:space="preserve">דנ"פ 5652/16 </w:t>
        </w:r>
      </w:hyperlink>
      <w:r w:rsidRPr="00C3062A">
        <w:rPr>
          <w:rFonts w:ascii="David" w:hAnsi="David"/>
          <w:rtl/>
        </w:rPr>
        <w:t xml:space="preserve"> </w:t>
      </w:r>
      <w:r w:rsidRPr="00C3062A">
        <w:rPr>
          <w:rFonts w:ascii="David" w:hAnsi="David"/>
          <w:b/>
          <w:bCs/>
          <w:rtl/>
        </w:rPr>
        <w:t>אסרף נ' בוקובזה</w:t>
      </w:r>
      <w:r w:rsidRPr="00C3062A">
        <w:rPr>
          <w:rFonts w:ascii="David" w:hAnsi="David"/>
          <w:rtl/>
        </w:rPr>
        <w:t xml:space="preserve"> (13.9.17)).</w:t>
      </w:r>
    </w:p>
    <w:p w14:paraId="18954DAA" w14:textId="77777777" w:rsidR="00212B9A" w:rsidRDefault="00212B9A" w:rsidP="00212B9A">
      <w:pPr>
        <w:spacing w:line="360" w:lineRule="auto"/>
        <w:ind w:left="720"/>
        <w:contextualSpacing/>
        <w:jc w:val="both"/>
        <w:rPr>
          <w:rFonts w:ascii="David" w:hAnsi="David"/>
          <w:rtl/>
        </w:rPr>
      </w:pPr>
    </w:p>
    <w:p w14:paraId="32D13DE9" w14:textId="77777777" w:rsidR="00212B9A" w:rsidRPr="007E4627" w:rsidRDefault="00212B9A" w:rsidP="00212B9A">
      <w:pPr>
        <w:spacing w:line="360" w:lineRule="auto"/>
        <w:ind w:left="720"/>
        <w:jc w:val="both"/>
        <w:rPr>
          <w:rtl/>
        </w:rPr>
      </w:pPr>
      <w:r w:rsidRPr="00790C6C">
        <w:rPr>
          <w:rFonts w:ascii="David" w:hAnsi="David" w:hint="cs"/>
          <w:rtl/>
        </w:rPr>
        <w:t xml:space="preserve">לבסוף, </w:t>
      </w:r>
      <w:r w:rsidRPr="00790C6C">
        <w:rPr>
          <w:rFonts w:hint="cs"/>
          <w:rtl/>
        </w:rPr>
        <w:t xml:space="preserve">אנו מציינים שלא התבקשנו על ידי המאשימה לקבוע שיש להחיל את הוראת </w:t>
      </w:r>
      <w:hyperlink r:id="rId67" w:history="1">
        <w:r w:rsidR="00AC552B" w:rsidRPr="00AC552B">
          <w:rPr>
            <w:rStyle w:val="Hyperlink"/>
            <w:rFonts w:hint="eastAsia"/>
            <w:rtl/>
          </w:rPr>
          <w:t>סעיף</w:t>
        </w:r>
        <w:r w:rsidR="00AC552B" w:rsidRPr="00AC552B">
          <w:rPr>
            <w:rStyle w:val="Hyperlink"/>
            <w:rtl/>
          </w:rPr>
          <w:t xml:space="preserve"> 30ב</w:t>
        </w:r>
      </w:hyperlink>
      <w:r w:rsidRPr="00790C6C">
        <w:rPr>
          <w:rFonts w:hint="cs"/>
          <w:rtl/>
        </w:rPr>
        <w:t xml:space="preserve"> ל</w:t>
      </w:r>
      <w:hyperlink r:id="rId68" w:history="1">
        <w:r w:rsidR="004968A2" w:rsidRPr="004968A2">
          <w:rPr>
            <w:color w:val="0000FF"/>
            <w:u w:val="single"/>
            <w:rtl/>
          </w:rPr>
          <w:t>חוק שחרור על תנאי ממאסר</w:t>
        </w:r>
      </w:hyperlink>
      <w:r w:rsidRPr="00790C6C">
        <w:rPr>
          <w:rFonts w:hint="cs"/>
          <w:rtl/>
        </w:rPr>
        <w:t xml:space="preserve"> התשס"א- 2001, לעני</w:t>
      </w:r>
      <w:r>
        <w:rPr>
          <w:rFonts w:hint="cs"/>
          <w:rtl/>
        </w:rPr>
        <w:t>י</w:t>
      </w:r>
      <w:r w:rsidRPr="00790C6C">
        <w:rPr>
          <w:rFonts w:hint="cs"/>
          <w:rtl/>
        </w:rPr>
        <w:t>ן המלצה לאסיר עולם שהורשע ברצח חריג בחומרתו.</w:t>
      </w:r>
      <w:r>
        <w:rPr>
          <w:rFonts w:hint="cs"/>
          <w:rtl/>
        </w:rPr>
        <w:t xml:space="preserve"> הואיל ולא התבקשנו כאמור, אין טעם</w:t>
      </w:r>
      <w:r w:rsidRPr="007E4627">
        <w:rPr>
          <w:rFonts w:hint="cs"/>
          <w:rtl/>
        </w:rPr>
        <w:t xml:space="preserve"> לדיון בענ</w:t>
      </w:r>
      <w:r>
        <w:rPr>
          <w:rFonts w:hint="cs"/>
          <w:rtl/>
        </w:rPr>
        <w:t>י</w:t>
      </w:r>
      <w:r w:rsidRPr="007E4627">
        <w:rPr>
          <w:rFonts w:hint="cs"/>
          <w:rtl/>
        </w:rPr>
        <w:t>ין זה הגם שאנו מציינים שנסיבות האירוע קשות מאוד.</w:t>
      </w:r>
    </w:p>
    <w:p w14:paraId="2040F49B" w14:textId="77777777" w:rsidR="00212B9A" w:rsidRPr="00C3062A" w:rsidRDefault="00212B9A" w:rsidP="00212B9A">
      <w:pPr>
        <w:spacing w:line="360" w:lineRule="auto"/>
        <w:ind w:left="720"/>
        <w:contextualSpacing/>
        <w:jc w:val="both"/>
        <w:rPr>
          <w:rFonts w:ascii="David" w:hAnsi="David"/>
          <w:rtl/>
        </w:rPr>
      </w:pPr>
    </w:p>
    <w:p w14:paraId="76F4936E" w14:textId="77777777" w:rsidR="00212B9A" w:rsidRPr="002125A1" w:rsidRDefault="00212B9A" w:rsidP="00212B9A">
      <w:pPr>
        <w:pStyle w:val="a9"/>
        <w:numPr>
          <w:ilvl w:val="0"/>
          <w:numId w:val="1"/>
        </w:numPr>
        <w:spacing w:line="360" w:lineRule="auto"/>
        <w:jc w:val="both"/>
        <w:rPr>
          <w:rFonts w:cs="David"/>
          <w:b/>
          <w:bCs/>
          <w:sz w:val="24"/>
          <w:szCs w:val="24"/>
          <w:u w:val="single"/>
        </w:rPr>
      </w:pPr>
      <w:r w:rsidRPr="002125A1">
        <w:rPr>
          <w:rFonts w:cs="David" w:hint="cs"/>
          <w:b/>
          <w:bCs/>
          <w:sz w:val="24"/>
          <w:szCs w:val="24"/>
          <w:u w:val="single"/>
          <w:rtl/>
        </w:rPr>
        <w:t>לאור כל האמור לעיל, אנו דנים את הנאשם לעונשים הבאים:</w:t>
      </w:r>
    </w:p>
    <w:p w14:paraId="1FC8DAD9" w14:textId="77777777" w:rsidR="00212B9A" w:rsidRDefault="00212B9A" w:rsidP="00212B9A">
      <w:pPr>
        <w:pStyle w:val="a9"/>
        <w:numPr>
          <w:ilvl w:val="0"/>
          <w:numId w:val="2"/>
        </w:numPr>
        <w:spacing w:line="360" w:lineRule="auto"/>
        <w:jc w:val="both"/>
        <w:rPr>
          <w:rFonts w:cs="David"/>
          <w:sz w:val="24"/>
          <w:szCs w:val="24"/>
        </w:rPr>
      </w:pPr>
      <w:r w:rsidRPr="002125A1">
        <w:rPr>
          <w:rFonts w:cs="David" w:hint="cs"/>
          <w:sz w:val="24"/>
          <w:szCs w:val="24"/>
          <w:rtl/>
        </w:rPr>
        <w:t xml:space="preserve">בעבירת הרצח לפי </w:t>
      </w:r>
      <w:hyperlink r:id="rId69" w:history="1">
        <w:r w:rsidR="00AC552B" w:rsidRPr="00AC552B">
          <w:rPr>
            <w:rStyle w:val="Hyperlink"/>
            <w:rFonts w:cs="David" w:hint="cs"/>
            <w:sz w:val="24"/>
            <w:szCs w:val="24"/>
            <w:rtl/>
          </w:rPr>
          <w:t>סעיף</w:t>
        </w:r>
        <w:r w:rsidR="00AC552B" w:rsidRPr="00AC552B">
          <w:rPr>
            <w:rStyle w:val="Hyperlink"/>
            <w:rFonts w:cs="David"/>
            <w:sz w:val="24"/>
            <w:szCs w:val="24"/>
            <w:rtl/>
          </w:rPr>
          <w:t xml:space="preserve"> 300(</w:t>
        </w:r>
        <w:r w:rsidR="00AC552B" w:rsidRPr="00AC552B">
          <w:rPr>
            <w:rStyle w:val="Hyperlink"/>
            <w:rFonts w:cs="David" w:hint="cs"/>
            <w:sz w:val="24"/>
            <w:szCs w:val="24"/>
            <w:rtl/>
          </w:rPr>
          <w:t>א</w:t>
        </w:r>
        <w:r w:rsidR="00AC552B" w:rsidRPr="00AC552B">
          <w:rPr>
            <w:rStyle w:val="Hyperlink"/>
            <w:rFonts w:cs="David"/>
            <w:sz w:val="24"/>
            <w:szCs w:val="24"/>
            <w:rtl/>
          </w:rPr>
          <w:t>)(4)-</w:t>
        </w:r>
      </w:hyperlink>
      <w:r w:rsidRPr="002125A1">
        <w:rPr>
          <w:rFonts w:cs="David" w:hint="cs"/>
          <w:sz w:val="24"/>
          <w:szCs w:val="24"/>
          <w:rtl/>
        </w:rPr>
        <w:t xml:space="preserve"> </w:t>
      </w:r>
      <w:r>
        <w:rPr>
          <w:rFonts w:cs="David" w:hint="cs"/>
          <w:sz w:val="24"/>
          <w:szCs w:val="24"/>
          <w:rtl/>
        </w:rPr>
        <w:t>עונש מאסר עולם.</w:t>
      </w:r>
    </w:p>
    <w:p w14:paraId="77808248" w14:textId="77777777" w:rsidR="00212B9A" w:rsidRPr="002125A1" w:rsidRDefault="00212B9A" w:rsidP="00212B9A">
      <w:pPr>
        <w:pStyle w:val="a9"/>
        <w:numPr>
          <w:ilvl w:val="0"/>
          <w:numId w:val="2"/>
        </w:numPr>
        <w:spacing w:line="360" w:lineRule="auto"/>
        <w:jc w:val="both"/>
        <w:rPr>
          <w:rFonts w:cs="David"/>
          <w:sz w:val="24"/>
          <w:szCs w:val="24"/>
        </w:rPr>
      </w:pPr>
      <w:r>
        <w:rPr>
          <w:rFonts w:cs="David" w:hint="cs"/>
          <w:sz w:val="24"/>
          <w:szCs w:val="24"/>
          <w:rtl/>
        </w:rPr>
        <w:t>בעבירות האחרות בהן הורשע  - 22 שנות מאסר. 19 שנים במצטבר לעונש מאסר העולם והיתרה בחופף לו.</w:t>
      </w:r>
    </w:p>
    <w:p w14:paraId="181300FD" w14:textId="77777777" w:rsidR="00212B9A" w:rsidRPr="00232C08" w:rsidRDefault="00212B9A" w:rsidP="00212B9A">
      <w:pPr>
        <w:pStyle w:val="a9"/>
        <w:numPr>
          <w:ilvl w:val="0"/>
          <w:numId w:val="2"/>
        </w:numPr>
        <w:spacing w:line="360" w:lineRule="auto"/>
        <w:jc w:val="both"/>
        <w:rPr>
          <w:rFonts w:cs="David"/>
          <w:sz w:val="24"/>
          <w:szCs w:val="24"/>
        </w:rPr>
      </w:pPr>
      <w:r w:rsidRPr="00232C08">
        <w:rPr>
          <w:rFonts w:cs="David" w:hint="cs"/>
          <w:sz w:val="24"/>
          <w:szCs w:val="24"/>
          <w:rtl/>
        </w:rPr>
        <w:t>הפעלת עונש מאסר מותנה של 12 חודש מ</w:t>
      </w:r>
      <w:hyperlink r:id="rId70" w:history="1">
        <w:r w:rsidR="004968A2" w:rsidRPr="004968A2">
          <w:rPr>
            <w:rFonts w:cs="David" w:hint="cs"/>
            <w:color w:val="0000FF"/>
            <w:sz w:val="24"/>
            <w:szCs w:val="24"/>
            <w:u w:val="single"/>
            <w:rtl/>
          </w:rPr>
          <w:t>ת</w:t>
        </w:r>
        <w:r w:rsidR="004968A2" w:rsidRPr="004968A2">
          <w:rPr>
            <w:rFonts w:cs="David"/>
            <w:color w:val="0000FF"/>
            <w:sz w:val="24"/>
            <w:szCs w:val="24"/>
            <w:u w:val="single"/>
            <w:rtl/>
          </w:rPr>
          <w:t>"</w:t>
        </w:r>
        <w:r w:rsidR="004968A2" w:rsidRPr="004968A2">
          <w:rPr>
            <w:rFonts w:cs="David" w:hint="cs"/>
            <w:color w:val="0000FF"/>
            <w:sz w:val="24"/>
            <w:szCs w:val="24"/>
            <w:u w:val="single"/>
            <w:rtl/>
          </w:rPr>
          <w:t>פ</w:t>
        </w:r>
        <w:r w:rsidR="004968A2" w:rsidRPr="004968A2">
          <w:rPr>
            <w:rFonts w:cs="David"/>
            <w:color w:val="0000FF"/>
            <w:sz w:val="24"/>
            <w:szCs w:val="24"/>
            <w:u w:val="single"/>
            <w:rtl/>
          </w:rPr>
          <w:t xml:space="preserve"> 34544-05-15</w:t>
        </w:r>
      </w:hyperlink>
      <w:r w:rsidRPr="00232C08">
        <w:rPr>
          <w:rFonts w:cs="David" w:hint="cs"/>
          <w:sz w:val="24"/>
          <w:szCs w:val="24"/>
          <w:rtl/>
        </w:rPr>
        <w:t xml:space="preserve">  של בית המשפט המחוזי בבאר שבע מיום 6.1.16 </w:t>
      </w:r>
      <w:r w:rsidRPr="00232C08">
        <w:rPr>
          <w:rFonts w:cs="David" w:hint="cs"/>
          <w:b/>
          <w:bCs/>
          <w:sz w:val="24"/>
          <w:szCs w:val="24"/>
          <w:u w:val="single"/>
          <w:rtl/>
        </w:rPr>
        <w:t>ובמצטבר</w:t>
      </w:r>
      <w:r w:rsidRPr="00232C08">
        <w:rPr>
          <w:rFonts w:cs="David" w:hint="cs"/>
          <w:sz w:val="24"/>
          <w:szCs w:val="24"/>
          <w:rtl/>
        </w:rPr>
        <w:t xml:space="preserve"> לשני המאסרים. </w:t>
      </w:r>
    </w:p>
    <w:p w14:paraId="2C19B511" w14:textId="77777777" w:rsidR="00212B9A" w:rsidRPr="00790C6C" w:rsidRDefault="00212B9A" w:rsidP="00212B9A">
      <w:pPr>
        <w:pStyle w:val="a9"/>
        <w:numPr>
          <w:ilvl w:val="0"/>
          <w:numId w:val="2"/>
        </w:numPr>
        <w:spacing w:line="360" w:lineRule="auto"/>
        <w:jc w:val="both"/>
        <w:rPr>
          <w:rFonts w:cs="David"/>
          <w:sz w:val="24"/>
          <w:szCs w:val="24"/>
        </w:rPr>
      </w:pPr>
      <w:r>
        <w:rPr>
          <w:rFonts w:cs="David" w:hint="cs"/>
          <w:sz w:val="24"/>
          <w:szCs w:val="24"/>
          <w:rtl/>
        </w:rPr>
        <w:t xml:space="preserve">מאסר על תנאי של 18 חודש שלמשך 3 שנים </w:t>
      </w:r>
      <w:r w:rsidRPr="00DF73E7">
        <w:rPr>
          <w:rFonts w:cs="David" w:hint="cs"/>
          <w:b/>
          <w:bCs/>
          <w:sz w:val="24"/>
          <w:szCs w:val="24"/>
          <w:u w:val="single"/>
          <w:rtl/>
        </w:rPr>
        <w:t>מהיום</w:t>
      </w:r>
      <w:r>
        <w:rPr>
          <w:rFonts w:cs="David" w:hint="cs"/>
          <w:sz w:val="24"/>
          <w:szCs w:val="24"/>
          <w:rtl/>
        </w:rPr>
        <w:t xml:space="preserve"> לא יעבור </w:t>
      </w:r>
      <w:r w:rsidRPr="00790C6C">
        <w:rPr>
          <w:rFonts w:cs="David" w:hint="cs"/>
          <w:sz w:val="24"/>
          <w:szCs w:val="24"/>
          <w:rtl/>
        </w:rPr>
        <w:t>כל עבירת אלימות</w:t>
      </w:r>
    </w:p>
    <w:p w14:paraId="714407C4" w14:textId="77777777" w:rsidR="00212B9A" w:rsidRDefault="00212B9A" w:rsidP="00212B9A">
      <w:pPr>
        <w:pStyle w:val="a9"/>
        <w:spacing w:line="360" w:lineRule="auto"/>
        <w:ind w:left="1080"/>
        <w:jc w:val="both"/>
        <w:rPr>
          <w:rFonts w:cs="David"/>
          <w:sz w:val="24"/>
          <w:szCs w:val="24"/>
          <w:rtl/>
        </w:rPr>
      </w:pPr>
      <w:r>
        <w:rPr>
          <w:rFonts w:cs="David" w:hint="cs"/>
          <w:sz w:val="24"/>
          <w:szCs w:val="24"/>
          <w:rtl/>
        </w:rPr>
        <w:t>או עבירת נשק.</w:t>
      </w:r>
    </w:p>
    <w:p w14:paraId="59EAEC0D" w14:textId="77777777" w:rsidR="00212B9A" w:rsidRPr="00232C08" w:rsidRDefault="00212B9A" w:rsidP="00212B9A">
      <w:pPr>
        <w:pStyle w:val="a9"/>
        <w:spacing w:line="360" w:lineRule="auto"/>
        <w:ind w:left="1080"/>
        <w:jc w:val="both"/>
        <w:rPr>
          <w:rFonts w:cs="David"/>
          <w:b/>
          <w:bCs/>
          <w:sz w:val="24"/>
          <w:szCs w:val="24"/>
          <w:u w:val="single"/>
          <w:rtl/>
        </w:rPr>
      </w:pPr>
      <w:r w:rsidRPr="00232C08">
        <w:rPr>
          <w:rFonts w:cs="David" w:hint="cs"/>
          <w:b/>
          <w:bCs/>
          <w:sz w:val="24"/>
          <w:szCs w:val="24"/>
          <w:u w:val="single"/>
          <w:rtl/>
        </w:rPr>
        <w:t>תוצאת האמור היא שהנאשם ירצה עונש של מאסר עולם ו- 20 שנים במצטבר, בניכוי ימי מעצרו בתיק זה.</w:t>
      </w:r>
    </w:p>
    <w:p w14:paraId="246EA6AF" w14:textId="77777777" w:rsidR="00212B9A" w:rsidRPr="002125A1" w:rsidRDefault="00212B9A" w:rsidP="00212B9A">
      <w:pPr>
        <w:pStyle w:val="a9"/>
        <w:numPr>
          <w:ilvl w:val="0"/>
          <w:numId w:val="2"/>
        </w:numPr>
        <w:spacing w:line="360" w:lineRule="auto"/>
        <w:jc w:val="both"/>
        <w:rPr>
          <w:rFonts w:cs="David"/>
          <w:sz w:val="24"/>
          <w:szCs w:val="24"/>
          <w:rtl/>
        </w:rPr>
      </w:pPr>
      <w:r w:rsidRPr="002125A1">
        <w:rPr>
          <w:rFonts w:cs="David" w:hint="cs"/>
          <w:sz w:val="24"/>
          <w:szCs w:val="24"/>
          <w:rtl/>
        </w:rPr>
        <w:t xml:space="preserve">פיצויים </w:t>
      </w:r>
      <w:r>
        <w:rPr>
          <w:rFonts w:cs="David" w:hint="cs"/>
          <w:sz w:val="24"/>
          <w:szCs w:val="24"/>
          <w:rtl/>
        </w:rPr>
        <w:t>לאם המנוח שולה הרוש</w:t>
      </w:r>
      <w:r w:rsidRPr="002125A1">
        <w:rPr>
          <w:rFonts w:cs="David" w:hint="cs"/>
          <w:sz w:val="24"/>
          <w:szCs w:val="24"/>
          <w:rtl/>
        </w:rPr>
        <w:t xml:space="preserve"> בסך 258,000 ₪</w:t>
      </w:r>
      <w:r>
        <w:rPr>
          <w:rFonts w:cs="David" w:hint="cs"/>
          <w:sz w:val="24"/>
          <w:szCs w:val="24"/>
          <w:rtl/>
        </w:rPr>
        <w:t xml:space="preserve"> ופיצויים ל</w:t>
      </w:r>
      <w:r w:rsidRPr="002125A1">
        <w:rPr>
          <w:rFonts w:cs="David" w:hint="cs"/>
          <w:sz w:val="24"/>
          <w:szCs w:val="24"/>
          <w:rtl/>
        </w:rPr>
        <w:t>אדם מסרוגה בסך 2</w:t>
      </w:r>
      <w:r>
        <w:rPr>
          <w:rFonts w:cs="David" w:hint="cs"/>
          <w:sz w:val="24"/>
          <w:szCs w:val="24"/>
          <w:rtl/>
        </w:rPr>
        <w:t>58</w:t>
      </w:r>
      <w:r w:rsidRPr="002125A1">
        <w:rPr>
          <w:rFonts w:cs="David" w:hint="cs"/>
          <w:sz w:val="24"/>
          <w:szCs w:val="24"/>
          <w:rtl/>
        </w:rPr>
        <w:t>,000 ₪</w:t>
      </w:r>
      <w:r>
        <w:rPr>
          <w:rFonts w:cs="David" w:hint="cs"/>
          <w:sz w:val="24"/>
          <w:szCs w:val="24"/>
          <w:rtl/>
        </w:rPr>
        <w:t>.</w:t>
      </w:r>
    </w:p>
    <w:p w14:paraId="43FD59FF" w14:textId="77777777" w:rsidR="00212B9A" w:rsidRPr="00C55AA2" w:rsidRDefault="00212B9A" w:rsidP="00212B9A">
      <w:pPr>
        <w:spacing w:line="360" w:lineRule="auto"/>
        <w:jc w:val="both"/>
        <w:rPr>
          <w:b/>
          <w:bCs/>
          <w:rtl/>
        </w:rPr>
      </w:pPr>
      <w:r w:rsidRPr="00C55AA2">
        <w:rPr>
          <w:rFonts w:hint="cs"/>
          <w:b/>
          <w:bCs/>
          <w:rtl/>
        </w:rPr>
        <w:t xml:space="preserve">זכות ערעור לבית המשפט העליון בתוך 45 ימים. </w:t>
      </w:r>
    </w:p>
    <w:p w14:paraId="69725DFB" w14:textId="77777777" w:rsidR="00212B9A" w:rsidRPr="000F2247" w:rsidRDefault="00212B9A" w:rsidP="00212B9A">
      <w:pPr>
        <w:rPr>
          <w:rFonts w:ascii="Arial" w:hAnsi="Arial"/>
          <w:b/>
          <w:bCs/>
          <w:sz w:val="26"/>
          <w:szCs w:val="26"/>
          <w:rtl/>
        </w:rPr>
      </w:pPr>
    </w:p>
    <w:p w14:paraId="638C57EC" w14:textId="77777777" w:rsidR="00212B9A" w:rsidRDefault="004968A2" w:rsidP="00212B9A">
      <w:pPr>
        <w:rPr>
          <w:rFonts w:ascii="Arial" w:hAnsi="Arial"/>
          <w:b/>
          <w:bCs/>
          <w:sz w:val="26"/>
          <w:szCs w:val="26"/>
          <w:rtl/>
        </w:rPr>
      </w:pPr>
      <w:bookmarkStart w:id="9" w:name="Nitan"/>
      <w:r>
        <w:rPr>
          <w:rFonts w:ascii="Arial" w:hAnsi="Arial"/>
          <w:b/>
          <w:bCs/>
          <w:rtl/>
        </w:rPr>
        <w:t xml:space="preserve">ניתן היום,  ד' תשרי תשפ"ג, 29 ספטמבר 2022, במעמד הצדדים. </w:t>
      </w:r>
      <w:bookmarkEnd w:id="9"/>
    </w:p>
    <w:p w14:paraId="1A15EE99" w14:textId="77777777" w:rsidR="00212B9A" w:rsidRDefault="00212B9A" w:rsidP="00212B9A">
      <w:pPr>
        <w:rPr>
          <w:rtl/>
        </w:rPr>
      </w:pPr>
    </w:p>
    <w:tbl>
      <w:tblPr>
        <w:bidiVisual/>
        <w:tblW w:w="0" w:type="auto"/>
        <w:tblLook w:val="01E0" w:firstRow="1" w:lastRow="1" w:firstColumn="1" w:lastColumn="1" w:noHBand="0" w:noVBand="0"/>
      </w:tblPr>
      <w:tblGrid>
        <w:gridCol w:w="2960"/>
        <w:gridCol w:w="236"/>
        <w:gridCol w:w="2289"/>
        <w:gridCol w:w="300"/>
        <w:gridCol w:w="2737"/>
      </w:tblGrid>
      <w:tr w:rsidR="00212B9A" w14:paraId="512E3AAA" w14:textId="77777777" w:rsidTr="00212B9A">
        <w:tc>
          <w:tcPr>
            <w:tcW w:w="2960" w:type="dxa"/>
            <w:tcBorders>
              <w:top w:val="nil"/>
              <w:left w:val="nil"/>
              <w:bottom w:val="single" w:sz="4" w:space="0" w:color="auto"/>
              <w:right w:val="nil"/>
            </w:tcBorders>
            <w:shd w:val="clear" w:color="auto" w:fill="auto"/>
            <w:vAlign w:val="center"/>
          </w:tcPr>
          <w:p w14:paraId="566F32B5" w14:textId="77777777" w:rsidR="00212B9A" w:rsidRPr="00212B9A" w:rsidRDefault="00212B9A" w:rsidP="00212B9A">
            <w:pPr>
              <w:jc w:val="center"/>
              <w:rPr>
                <w:rFonts w:ascii="Courier New" w:hAnsi="Courier New"/>
                <w:b/>
                <w:bCs/>
              </w:rPr>
            </w:pPr>
          </w:p>
        </w:tc>
        <w:tc>
          <w:tcPr>
            <w:tcW w:w="236" w:type="dxa"/>
            <w:shd w:val="clear" w:color="auto" w:fill="auto"/>
            <w:vAlign w:val="center"/>
          </w:tcPr>
          <w:p w14:paraId="02F91C67" w14:textId="77777777" w:rsidR="00212B9A" w:rsidRPr="00212B9A" w:rsidRDefault="00212B9A" w:rsidP="00212B9A">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29C35C4F" w14:textId="77777777" w:rsidR="00212B9A" w:rsidRPr="00212B9A" w:rsidRDefault="00212B9A" w:rsidP="00212B9A">
            <w:pPr>
              <w:jc w:val="center"/>
              <w:rPr>
                <w:rFonts w:ascii="Courier New" w:hAnsi="Courier New"/>
                <w:b/>
                <w:bCs/>
                <w:sz w:val="20"/>
                <w:szCs w:val="20"/>
              </w:rPr>
            </w:pPr>
          </w:p>
        </w:tc>
        <w:tc>
          <w:tcPr>
            <w:tcW w:w="300" w:type="dxa"/>
            <w:shd w:val="clear" w:color="auto" w:fill="auto"/>
            <w:vAlign w:val="center"/>
          </w:tcPr>
          <w:p w14:paraId="46B901B7" w14:textId="77777777" w:rsidR="00212B9A" w:rsidRPr="00212B9A" w:rsidRDefault="00212B9A" w:rsidP="00212B9A">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4283B11B" w14:textId="77777777" w:rsidR="00212B9A" w:rsidRPr="00212B9A" w:rsidRDefault="00212B9A" w:rsidP="00212B9A">
            <w:pPr>
              <w:jc w:val="center"/>
              <w:rPr>
                <w:rFonts w:ascii="Courier New" w:hAnsi="Courier New"/>
                <w:b/>
                <w:bCs/>
                <w:sz w:val="20"/>
                <w:szCs w:val="20"/>
              </w:rPr>
            </w:pPr>
          </w:p>
        </w:tc>
      </w:tr>
      <w:tr w:rsidR="00212B9A" w14:paraId="6CCE158A" w14:textId="77777777" w:rsidTr="00212B9A">
        <w:tc>
          <w:tcPr>
            <w:tcW w:w="2960" w:type="dxa"/>
            <w:tcBorders>
              <w:top w:val="single" w:sz="4" w:space="0" w:color="auto"/>
              <w:left w:val="nil"/>
              <w:bottom w:val="nil"/>
              <w:right w:val="nil"/>
            </w:tcBorders>
            <w:shd w:val="clear" w:color="auto" w:fill="auto"/>
            <w:vAlign w:val="bottom"/>
          </w:tcPr>
          <w:p w14:paraId="758D6E23" w14:textId="77777777" w:rsidR="00212B9A" w:rsidRPr="00212B9A" w:rsidRDefault="00212B9A" w:rsidP="00212B9A">
            <w:pPr>
              <w:jc w:val="center"/>
              <w:rPr>
                <w:rFonts w:ascii="Courier New" w:hAnsi="Courier New"/>
                <w:b/>
                <w:bCs/>
              </w:rPr>
            </w:pPr>
            <w:r w:rsidRPr="00212B9A">
              <w:rPr>
                <w:rFonts w:ascii="Courier New" w:hAnsi="Courier New" w:hint="cs"/>
                <w:b/>
                <w:bCs/>
                <w:rtl/>
              </w:rPr>
              <w:t>נתן זלוצובר, שופט אב"ד</w:t>
            </w:r>
          </w:p>
          <w:p w14:paraId="4DC72183" w14:textId="77777777" w:rsidR="00212B9A" w:rsidRPr="00212B9A" w:rsidRDefault="00212B9A" w:rsidP="00212B9A">
            <w:pPr>
              <w:jc w:val="center"/>
              <w:rPr>
                <w:rFonts w:ascii="Courier New" w:hAnsi="Courier New"/>
                <w:b/>
                <w:bCs/>
              </w:rPr>
            </w:pPr>
            <w:r w:rsidRPr="00212B9A">
              <w:rPr>
                <w:rFonts w:ascii="Courier New" w:hAnsi="Courier New" w:hint="cs"/>
                <w:b/>
                <w:bCs/>
                <w:rtl/>
              </w:rPr>
              <w:t>סגן הנשיאה</w:t>
            </w:r>
          </w:p>
        </w:tc>
        <w:tc>
          <w:tcPr>
            <w:tcW w:w="236" w:type="dxa"/>
            <w:shd w:val="clear" w:color="auto" w:fill="auto"/>
            <w:vAlign w:val="bottom"/>
          </w:tcPr>
          <w:p w14:paraId="6B5D6E89" w14:textId="77777777" w:rsidR="00212B9A" w:rsidRPr="00212B9A" w:rsidRDefault="00212B9A" w:rsidP="00212B9A">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7A6676B3" w14:textId="77777777" w:rsidR="00212B9A" w:rsidRPr="00212B9A" w:rsidRDefault="00212B9A" w:rsidP="00212B9A">
            <w:pPr>
              <w:jc w:val="center"/>
              <w:rPr>
                <w:rFonts w:ascii="Courier New" w:hAnsi="Courier New"/>
                <w:b/>
                <w:bCs/>
              </w:rPr>
            </w:pPr>
            <w:r w:rsidRPr="00212B9A">
              <w:rPr>
                <w:rFonts w:ascii="Courier New" w:hAnsi="Courier New"/>
                <w:b/>
                <w:bCs/>
                <w:rtl/>
              </w:rPr>
              <w:t>דינה כהן, שופטת</w:t>
            </w:r>
          </w:p>
        </w:tc>
        <w:tc>
          <w:tcPr>
            <w:tcW w:w="300" w:type="dxa"/>
            <w:shd w:val="clear" w:color="auto" w:fill="auto"/>
          </w:tcPr>
          <w:p w14:paraId="47E4B7D3" w14:textId="77777777" w:rsidR="00212B9A" w:rsidRPr="00212B9A" w:rsidRDefault="00212B9A" w:rsidP="00212B9A">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2C6CEACD" w14:textId="77777777" w:rsidR="00212B9A" w:rsidRPr="00212B9A" w:rsidRDefault="00212B9A" w:rsidP="00212B9A">
            <w:pPr>
              <w:jc w:val="center"/>
              <w:rPr>
                <w:rFonts w:ascii="Courier New" w:hAnsi="Courier New"/>
                <w:b/>
                <w:bCs/>
              </w:rPr>
            </w:pPr>
            <w:r w:rsidRPr="00212B9A">
              <w:rPr>
                <w:rFonts w:ascii="Courier New" w:hAnsi="Courier New"/>
                <w:b/>
                <w:bCs/>
                <w:rtl/>
              </w:rPr>
              <w:t>דניאל בן טולילה</w:t>
            </w:r>
            <w:r w:rsidRPr="00212B9A">
              <w:rPr>
                <w:rFonts w:ascii="Courier New" w:hAnsi="Courier New" w:hint="cs"/>
                <w:b/>
                <w:bCs/>
                <w:rtl/>
              </w:rPr>
              <w:t>, שופט</w:t>
            </w:r>
          </w:p>
          <w:p w14:paraId="69788972" w14:textId="77777777" w:rsidR="004968A2" w:rsidRDefault="004968A2" w:rsidP="00212B9A">
            <w:pPr>
              <w:jc w:val="center"/>
              <w:rPr>
                <w:rFonts w:ascii="Courier New" w:hAnsi="Courier New"/>
                <w:b/>
                <w:bCs/>
                <w:rtl/>
              </w:rPr>
            </w:pPr>
          </w:p>
          <w:p w14:paraId="503DC57C" w14:textId="77777777" w:rsidR="00212B9A" w:rsidRPr="00212B9A" w:rsidRDefault="00212B9A" w:rsidP="00212B9A">
            <w:pPr>
              <w:jc w:val="center"/>
              <w:rPr>
                <w:rFonts w:ascii="Courier New" w:hAnsi="Courier New"/>
                <w:b/>
                <w:bCs/>
              </w:rPr>
            </w:pPr>
          </w:p>
        </w:tc>
      </w:tr>
    </w:tbl>
    <w:p w14:paraId="391D33C3" w14:textId="77777777" w:rsidR="00212B9A" w:rsidRPr="004968A2" w:rsidRDefault="004968A2" w:rsidP="00212B9A">
      <w:pPr>
        <w:rPr>
          <w:color w:val="FFFFFF"/>
          <w:sz w:val="2"/>
          <w:szCs w:val="2"/>
        </w:rPr>
      </w:pPr>
      <w:r w:rsidRPr="004968A2">
        <w:rPr>
          <w:color w:val="FFFFFF"/>
          <w:sz w:val="2"/>
          <w:szCs w:val="2"/>
          <w:rtl/>
        </w:rPr>
        <w:t>5129371</w:t>
      </w:r>
    </w:p>
    <w:p w14:paraId="30579795" w14:textId="77777777" w:rsidR="00212B9A" w:rsidRPr="004968A2" w:rsidRDefault="00AC552B" w:rsidP="00212B9A">
      <w:pPr>
        <w:rPr>
          <w:rFonts w:ascii="Arial" w:hAnsi="Arial"/>
          <w:b/>
          <w:bCs/>
          <w:color w:val="FFFFFF"/>
          <w:sz w:val="2"/>
          <w:szCs w:val="2"/>
          <w:rtl/>
        </w:rPr>
      </w:pPr>
      <w:r w:rsidRPr="00AC552B">
        <w:rPr>
          <w:rFonts w:ascii="Arial" w:hAnsi="Arial"/>
          <w:b/>
          <w:bCs/>
          <w:color w:val="FFFFFF"/>
          <w:sz w:val="2"/>
          <w:szCs w:val="2"/>
          <w:rtl/>
        </w:rPr>
        <w:t>5129371</w:t>
      </w:r>
      <w:r w:rsidR="004968A2" w:rsidRPr="004968A2">
        <w:rPr>
          <w:rFonts w:ascii="Arial" w:hAnsi="Arial"/>
          <w:b/>
          <w:bCs/>
          <w:color w:val="FFFFFF"/>
          <w:sz w:val="2"/>
          <w:szCs w:val="2"/>
          <w:rtl/>
        </w:rPr>
        <w:t>54678313</w:t>
      </w:r>
    </w:p>
    <w:p w14:paraId="2B5EFD81" w14:textId="77777777" w:rsidR="00EB3C12" w:rsidRPr="00AC552B" w:rsidRDefault="00AC552B" w:rsidP="004968A2">
      <w:pPr>
        <w:keepNext/>
        <w:rPr>
          <w:rFonts w:ascii="David" w:hAnsi="David"/>
          <w:color w:val="FFFFFF"/>
          <w:sz w:val="2"/>
          <w:szCs w:val="2"/>
          <w:rtl/>
        </w:rPr>
      </w:pPr>
      <w:r w:rsidRPr="00AC552B">
        <w:rPr>
          <w:rFonts w:ascii="David" w:hAnsi="David"/>
          <w:color w:val="FFFFFF"/>
          <w:sz w:val="2"/>
          <w:szCs w:val="2"/>
          <w:rtl/>
        </w:rPr>
        <w:t>54678313</w:t>
      </w:r>
    </w:p>
    <w:p w14:paraId="7630178D" w14:textId="77777777" w:rsidR="004968A2" w:rsidRDefault="004968A2" w:rsidP="004968A2">
      <w:pPr>
        <w:rPr>
          <w:rtl/>
        </w:rPr>
      </w:pPr>
    </w:p>
    <w:p w14:paraId="2E046653" w14:textId="77777777" w:rsidR="004968A2" w:rsidRDefault="004968A2" w:rsidP="004968A2">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79D6396B" w14:textId="77777777" w:rsidR="00AC552B" w:rsidRPr="00AC552B" w:rsidRDefault="00AC552B" w:rsidP="00AC552B">
      <w:pPr>
        <w:keepNext/>
        <w:rPr>
          <w:rFonts w:ascii="David" w:hAnsi="David"/>
          <w:color w:val="000000"/>
          <w:sz w:val="22"/>
          <w:szCs w:val="22"/>
          <w:rtl/>
        </w:rPr>
      </w:pPr>
    </w:p>
    <w:p w14:paraId="2A65B1B6" w14:textId="77777777" w:rsidR="00AC552B" w:rsidRPr="00AC552B" w:rsidRDefault="00AC552B" w:rsidP="00AC552B">
      <w:pPr>
        <w:keepNext/>
        <w:rPr>
          <w:rFonts w:ascii="David" w:hAnsi="David"/>
          <w:color w:val="000000"/>
          <w:sz w:val="22"/>
          <w:szCs w:val="22"/>
          <w:rtl/>
        </w:rPr>
      </w:pPr>
      <w:r w:rsidRPr="00AC552B">
        <w:rPr>
          <w:rFonts w:ascii="David" w:hAnsi="David"/>
          <w:color w:val="000000"/>
          <w:sz w:val="22"/>
          <w:szCs w:val="22"/>
          <w:rtl/>
        </w:rPr>
        <w:t>נתן זלוצ'ובר 54678313-/</w:t>
      </w:r>
    </w:p>
    <w:p w14:paraId="1A5F6611" w14:textId="77777777" w:rsidR="004968A2" w:rsidRPr="004968A2" w:rsidRDefault="00AC552B" w:rsidP="00AC552B">
      <w:pPr>
        <w:rPr>
          <w:color w:val="0000FF"/>
          <w:u w:val="single"/>
        </w:rPr>
      </w:pPr>
      <w:r w:rsidRPr="00AC552B">
        <w:rPr>
          <w:color w:val="000000"/>
          <w:u w:val="single"/>
          <w:rtl/>
        </w:rPr>
        <w:t>נוסח מסמך זה כפוף לשינויי ניסוח ועריכה</w:t>
      </w:r>
    </w:p>
    <w:sectPr w:rsidR="004968A2" w:rsidRPr="004968A2" w:rsidSect="00AC552B">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FC4F6" w14:textId="77777777" w:rsidR="00A468B9" w:rsidRDefault="00A468B9" w:rsidP="007A7787">
      <w:r>
        <w:separator/>
      </w:r>
    </w:p>
  </w:endnote>
  <w:endnote w:type="continuationSeparator" w:id="0">
    <w:p w14:paraId="1138698B" w14:textId="77777777" w:rsidR="00A468B9" w:rsidRDefault="00A468B9" w:rsidP="007A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0C01E" w14:textId="77777777" w:rsidR="00AC552B" w:rsidRDefault="00AC552B" w:rsidP="00AC55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9718CF" w14:textId="77777777" w:rsidR="00D37C20" w:rsidRPr="00AC552B" w:rsidRDefault="00AC552B" w:rsidP="00AC552B">
    <w:pPr>
      <w:pStyle w:val="a5"/>
      <w:pBdr>
        <w:top w:val="single" w:sz="4" w:space="1" w:color="auto"/>
        <w:between w:val="single" w:sz="4" w:space="0" w:color="auto"/>
      </w:pBdr>
      <w:spacing w:after="60"/>
      <w:jc w:val="center"/>
      <w:rPr>
        <w:rFonts w:ascii="FrankRuehl" w:hAnsi="FrankRuehl" w:cs="FrankRuehl"/>
        <w:color w:val="000000"/>
      </w:rPr>
    </w:pPr>
    <w:r w:rsidRPr="00AC55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3EC3D" w14:textId="77777777" w:rsidR="00AC552B" w:rsidRDefault="00AC552B" w:rsidP="00AC55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4526">
      <w:rPr>
        <w:rFonts w:ascii="FrankRuehl" w:hAnsi="FrankRuehl" w:cs="FrankRuehl"/>
        <w:noProof/>
        <w:rtl/>
      </w:rPr>
      <w:t>1</w:t>
    </w:r>
    <w:r>
      <w:rPr>
        <w:rFonts w:ascii="FrankRuehl" w:hAnsi="FrankRuehl" w:cs="FrankRuehl"/>
        <w:rtl/>
      </w:rPr>
      <w:fldChar w:fldCharType="end"/>
    </w:r>
  </w:p>
  <w:p w14:paraId="758A8F5D" w14:textId="77777777" w:rsidR="00D37C20" w:rsidRPr="00AC552B" w:rsidRDefault="00AC552B" w:rsidP="00AC552B">
    <w:pPr>
      <w:pStyle w:val="a5"/>
      <w:pBdr>
        <w:top w:val="single" w:sz="4" w:space="1" w:color="auto"/>
        <w:between w:val="single" w:sz="4" w:space="0" w:color="auto"/>
      </w:pBdr>
      <w:spacing w:after="60"/>
      <w:jc w:val="center"/>
      <w:rPr>
        <w:rFonts w:ascii="FrankRuehl" w:hAnsi="FrankRuehl" w:cs="FrankRuehl"/>
        <w:color w:val="000000"/>
      </w:rPr>
    </w:pPr>
    <w:r w:rsidRPr="00AC552B">
      <w:rPr>
        <w:rFonts w:ascii="FrankRuehl" w:hAnsi="FrankRuehl" w:cs="FrankRuehl"/>
        <w:color w:val="000000"/>
      </w:rPr>
      <w:pict w14:anchorId="7C977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EEC4B" w14:textId="77777777" w:rsidR="00A468B9" w:rsidRDefault="00A468B9" w:rsidP="007A7787">
      <w:r>
        <w:separator/>
      </w:r>
    </w:p>
  </w:footnote>
  <w:footnote w:type="continuationSeparator" w:id="0">
    <w:p w14:paraId="3C656FC5" w14:textId="77777777" w:rsidR="00A468B9" w:rsidRDefault="00A468B9" w:rsidP="007A7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9D40A" w14:textId="77777777" w:rsidR="004968A2" w:rsidRPr="00AC552B" w:rsidRDefault="00AC552B" w:rsidP="00AC55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24704-02-19</w:t>
    </w:r>
    <w:r>
      <w:rPr>
        <w:rFonts w:ascii="David" w:hAnsi="David"/>
        <w:color w:val="000000"/>
        <w:sz w:val="22"/>
        <w:szCs w:val="22"/>
        <w:rtl/>
      </w:rPr>
      <w:tab/>
      <w:t xml:space="preserve"> מדינת ישראל נ' אבירם זגורי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945B" w14:textId="77777777" w:rsidR="004968A2" w:rsidRPr="00AC552B" w:rsidRDefault="00AC552B" w:rsidP="00AC55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24704-02-19</w:t>
    </w:r>
    <w:r>
      <w:rPr>
        <w:rFonts w:ascii="David" w:hAnsi="David"/>
        <w:color w:val="000000"/>
        <w:sz w:val="22"/>
        <w:szCs w:val="22"/>
        <w:rtl/>
      </w:rPr>
      <w:tab/>
      <w:t xml:space="preserve"> מדינת ישראל נ' אבירם זגורי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0182B"/>
    <w:multiLevelType w:val="hybridMultilevel"/>
    <w:tmpl w:val="38628E1A"/>
    <w:lvl w:ilvl="0" w:tplc="2654BF50">
      <w:start w:val="1"/>
      <w:numFmt w:val="decimal"/>
      <w:lvlText w:val="%1."/>
      <w:lvlJc w:val="left"/>
      <w:pPr>
        <w:ind w:left="720" w:hanging="360"/>
      </w:pPr>
      <w:rPr>
        <w:b w:val="0"/>
        <w:bCs w:val="0"/>
      </w:rPr>
    </w:lvl>
    <w:lvl w:ilvl="1" w:tplc="FE20B30E" w:tentative="1">
      <w:start w:val="1"/>
      <w:numFmt w:val="lowerLetter"/>
      <w:lvlText w:val="%2."/>
      <w:lvlJc w:val="left"/>
      <w:pPr>
        <w:ind w:left="1440" w:hanging="360"/>
      </w:pPr>
    </w:lvl>
    <w:lvl w:ilvl="2" w:tplc="D3223E98" w:tentative="1">
      <w:start w:val="1"/>
      <w:numFmt w:val="lowerRoman"/>
      <w:lvlText w:val="%3."/>
      <w:lvlJc w:val="right"/>
      <w:pPr>
        <w:ind w:left="2160" w:hanging="180"/>
      </w:pPr>
    </w:lvl>
    <w:lvl w:ilvl="3" w:tplc="D9926178">
      <w:start w:val="1"/>
      <w:numFmt w:val="decimal"/>
      <w:lvlText w:val="%4."/>
      <w:lvlJc w:val="left"/>
      <w:pPr>
        <w:ind w:left="2880" w:hanging="360"/>
      </w:pPr>
    </w:lvl>
    <w:lvl w:ilvl="4" w:tplc="A718B12A" w:tentative="1">
      <w:start w:val="1"/>
      <w:numFmt w:val="lowerLetter"/>
      <w:lvlText w:val="%5."/>
      <w:lvlJc w:val="left"/>
      <w:pPr>
        <w:ind w:left="3600" w:hanging="360"/>
      </w:pPr>
    </w:lvl>
    <w:lvl w:ilvl="5" w:tplc="13FE3E4C" w:tentative="1">
      <w:start w:val="1"/>
      <w:numFmt w:val="lowerRoman"/>
      <w:lvlText w:val="%6."/>
      <w:lvlJc w:val="right"/>
      <w:pPr>
        <w:ind w:left="4320" w:hanging="180"/>
      </w:pPr>
    </w:lvl>
    <w:lvl w:ilvl="6" w:tplc="54548DDC" w:tentative="1">
      <w:start w:val="1"/>
      <w:numFmt w:val="decimal"/>
      <w:lvlText w:val="%7."/>
      <w:lvlJc w:val="left"/>
      <w:pPr>
        <w:ind w:left="5040" w:hanging="360"/>
      </w:pPr>
    </w:lvl>
    <w:lvl w:ilvl="7" w:tplc="996662F6" w:tentative="1">
      <w:start w:val="1"/>
      <w:numFmt w:val="lowerLetter"/>
      <w:lvlText w:val="%8."/>
      <w:lvlJc w:val="left"/>
      <w:pPr>
        <w:ind w:left="5760" w:hanging="360"/>
      </w:pPr>
    </w:lvl>
    <w:lvl w:ilvl="8" w:tplc="16BED3DA" w:tentative="1">
      <w:start w:val="1"/>
      <w:numFmt w:val="lowerRoman"/>
      <w:lvlText w:val="%9."/>
      <w:lvlJc w:val="right"/>
      <w:pPr>
        <w:ind w:left="6480" w:hanging="180"/>
      </w:pPr>
    </w:lvl>
  </w:abstractNum>
  <w:abstractNum w:abstractNumId="1" w15:restartNumberingAfterBreak="0">
    <w:nsid w:val="523F7210"/>
    <w:multiLevelType w:val="hybridMultilevel"/>
    <w:tmpl w:val="A64A0F1A"/>
    <w:lvl w:ilvl="0" w:tplc="CE2CFFD6">
      <w:start w:val="1"/>
      <w:numFmt w:val="hebrew1"/>
      <w:lvlText w:val="%1."/>
      <w:lvlJc w:val="left"/>
      <w:pPr>
        <w:ind w:left="1080" w:hanging="360"/>
      </w:pPr>
      <w:rPr>
        <w:rFonts w:hint="default"/>
      </w:rPr>
    </w:lvl>
    <w:lvl w:ilvl="1" w:tplc="76A897B8" w:tentative="1">
      <w:start w:val="1"/>
      <w:numFmt w:val="lowerLetter"/>
      <w:lvlText w:val="%2."/>
      <w:lvlJc w:val="left"/>
      <w:pPr>
        <w:ind w:left="1800" w:hanging="360"/>
      </w:pPr>
    </w:lvl>
    <w:lvl w:ilvl="2" w:tplc="D41AAB6C" w:tentative="1">
      <w:start w:val="1"/>
      <w:numFmt w:val="lowerRoman"/>
      <w:lvlText w:val="%3."/>
      <w:lvlJc w:val="right"/>
      <w:pPr>
        <w:ind w:left="2520" w:hanging="180"/>
      </w:pPr>
    </w:lvl>
    <w:lvl w:ilvl="3" w:tplc="FBB4F4A6" w:tentative="1">
      <w:start w:val="1"/>
      <w:numFmt w:val="decimal"/>
      <w:lvlText w:val="%4."/>
      <w:lvlJc w:val="left"/>
      <w:pPr>
        <w:ind w:left="3240" w:hanging="360"/>
      </w:pPr>
    </w:lvl>
    <w:lvl w:ilvl="4" w:tplc="37426F2E" w:tentative="1">
      <w:start w:val="1"/>
      <w:numFmt w:val="lowerLetter"/>
      <w:lvlText w:val="%5."/>
      <w:lvlJc w:val="left"/>
      <w:pPr>
        <w:ind w:left="3960" w:hanging="360"/>
      </w:pPr>
    </w:lvl>
    <w:lvl w:ilvl="5" w:tplc="B71401BE" w:tentative="1">
      <w:start w:val="1"/>
      <w:numFmt w:val="lowerRoman"/>
      <w:lvlText w:val="%6."/>
      <w:lvlJc w:val="right"/>
      <w:pPr>
        <w:ind w:left="4680" w:hanging="180"/>
      </w:pPr>
    </w:lvl>
    <w:lvl w:ilvl="6" w:tplc="0DE8CEA8" w:tentative="1">
      <w:start w:val="1"/>
      <w:numFmt w:val="decimal"/>
      <w:lvlText w:val="%7."/>
      <w:lvlJc w:val="left"/>
      <w:pPr>
        <w:ind w:left="5400" w:hanging="360"/>
      </w:pPr>
    </w:lvl>
    <w:lvl w:ilvl="7" w:tplc="7A220008" w:tentative="1">
      <w:start w:val="1"/>
      <w:numFmt w:val="lowerLetter"/>
      <w:lvlText w:val="%8."/>
      <w:lvlJc w:val="left"/>
      <w:pPr>
        <w:ind w:left="6120" w:hanging="360"/>
      </w:pPr>
    </w:lvl>
    <w:lvl w:ilvl="8" w:tplc="987ECA12" w:tentative="1">
      <w:start w:val="1"/>
      <w:numFmt w:val="lowerRoman"/>
      <w:lvlText w:val="%9."/>
      <w:lvlJc w:val="right"/>
      <w:pPr>
        <w:ind w:left="6840" w:hanging="180"/>
      </w:pPr>
    </w:lvl>
  </w:abstractNum>
  <w:num w:numId="1" w16cid:durableId="318314561">
    <w:abstractNumId w:val="0"/>
  </w:num>
  <w:num w:numId="2" w16cid:durableId="67190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2B9A"/>
    <w:rsid w:val="000C1E72"/>
    <w:rsid w:val="00212B9A"/>
    <w:rsid w:val="00371492"/>
    <w:rsid w:val="00464526"/>
    <w:rsid w:val="004968A2"/>
    <w:rsid w:val="0074446E"/>
    <w:rsid w:val="007A7787"/>
    <w:rsid w:val="007D0C0B"/>
    <w:rsid w:val="008A0AFD"/>
    <w:rsid w:val="009A4E4C"/>
    <w:rsid w:val="00A468B9"/>
    <w:rsid w:val="00A54B7C"/>
    <w:rsid w:val="00AC552B"/>
    <w:rsid w:val="00D37C20"/>
    <w:rsid w:val="00EB3C12"/>
    <w:rsid w:val="00F66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3C185"/>
  <w15:chartTrackingRefBased/>
  <w15:docId w15:val="{7CA96783-D1E4-4D79-991C-D073C97C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2B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2B9A"/>
    <w:pPr>
      <w:tabs>
        <w:tab w:val="center" w:pos="4153"/>
        <w:tab w:val="right" w:pos="8306"/>
      </w:tabs>
    </w:pPr>
  </w:style>
  <w:style w:type="character" w:customStyle="1" w:styleId="a4">
    <w:name w:val="כותרת עליונה תו"/>
    <w:link w:val="a3"/>
    <w:rsid w:val="00212B9A"/>
    <w:rPr>
      <w:rFonts w:ascii="Times New Roman" w:eastAsia="Times New Roman" w:hAnsi="Times New Roman" w:cs="David"/>
      <w:sz w:val="24"/>
      <w:szCs w:val="24"/>
    </w:rPr>
  </w:style>
  <w:style w:type="paragraph" w:styleId="a5">
    <w:name w:val="footer"/>
    <w:basedOn w:val="a"/>
    <w:link w:val="a6"/>
    <w:rsid w:val="00212B9A"/>
    <w:pPr>
      <w:tabs>
        <w:tab w:val="center" w:pos="4153"/>
        <w:tab w:val="right" w:pos="8306"/>
      </w:tabs>
    </w:pPr>
  </w:style>
  <w:style w:type="character" w:customStyle="1" w:styleId="a6">
    <w:name w:val="כותרת תחתונה תו"/>
    <w:link w:val="a5"/>
    <w:rsid w:val="00212B9A"/>
    <w:rPr>
      <w:rFonts w:ascii="Times New Roman" w:eastAsia="Times New Roman" w:hAnsi="Times New Roman" w:cs="David"/>
      <w:sz w:val="24"/>
      <w:szCs w:val="24"/>
    </w:rPr>
  </w:style>
  <w:style w:type="table" w:styleId="a7">
    <w:name w:val="Table Grid"/>
    <w:basedOn w:val="a1"/>
    <w:rsid w:val="00212B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2B9A"/>
  </w:style>
  <w:style w:type="paragraph" w:styleId="a9">
    <w:name w:val="List Paragraph"/>
    <w:basedOn w:val="a"/>
    <w:qFormat/>
    <w:rsid w:val="00212B9A"/>
    <w:pPr>
      <w:spacing w:after="160" w:line="259" w:lineRule="auto"/>
      <w:ind w:left="720"/>
      <w:contextualSpacing/>
    </w:pPr>
    <w:rPr>
      <w:rFonts w:ascii="Calibri" w:eastAsia="Calibri" w:hAnsi="Calibri" w:cs="Arial"/>
      <w:sz w:val="22"/>
      <w:szCs w:val="22"/>
    </w:rPr>
  </w:style>
  <w:style w:type="character" w:styleId="Hyperlink">
    <w:name w:val="Hyperlink"/>
    <w:rsid w:val="0049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731873" TargetMode="External"/><Relationship Id="rId21" Type="http://schemas.openxmlformats.org/officeDocument/2006/relationships/hyperlink" Target="http://www.nevo.co.il/law/70301/300.a.4" TargetMode="External"/><Relationship Id="rId42" Type="http://schemas.openxmlformats.org/officeDocument/2006/relationships/hyperlink" Target="http://www.nevo.co.il/case/24152609" TargetMode="External"/><Relationship Id="rId47" Type="http://schemas.openxmlformats.org/officeDocument/2006/relationships/hyperlink" Target="http://www.nevo.co.il/case/27672788" TargetMode="External"/><Relationship Id="rId63" Type="http://schemas.openxmlformats.org/officeDocument/2006/relationships/hyperlink" Target="http://www.nevo.co.il/case/26142566" TargetMode="External"/><Relationship Id="rId68" Type="http://schemas.openxmlformats.org/officeDocument/2006/relationships/hyperlink" Target="http://www.nevo.co.il/law/75025" TargetMode="External"/><Relationship Id="rId16" Type="http://schemas.openxmlformats.org/officeDocument/2006/relationships/hyperlink" Target="http://www.nevo.co.il/law/70301/329.a.1" TargetMode="External"/><Relationship Id="rId11" Type="http://schemas.openxmlformats.org/officeDocument/2006/relationships/hyperlink" Target="http://www.nevo.co.il/law/70301/77" TargetMode="External"/><Relationship Id="rId24" Type="http://schemas.openxmlformats.org/officeDocument/2006/relationships/hyperlink" Target="http://www.nevo.co.il/law/70301/329.a.1" TargetMode="External"/><Relationship Id="rId32" Type="http://schemas.openxmlformats.org/officeDocument/2006/relationships/hyperlink" Target="http://www.nevo.co.il/law/70301/300.a.4" TargetMode="External"/><Relationship Id="rId37" Type="http://schemas.openxmlformats.org/officeDocument/2006/relationships/hyperlink" Target="http://www.nevo.co.il/law/70301/329.a.1"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27115374"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ja.6" TargetMode="External"/><Relationship Id="rId66" Type="http://schemas.openxmlformats.org/officeDocument/2006/relationships/hyperlink" Target="http://www.nevo.co.il/case/21477594"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58" TargetMode="External"/><Relationship Id="rId19" Type="http://schemas.openxmlformats.org/officeDocument/2006/relationships/hyperlink" Target="http://www.nevo.co.il/law/75025" TargetMode="External"/><Relationship Id="rId14" Type="http://schemas.openxmlformats.org/officeDocument/2006/relationships/hyperlink" Target="http://www.nevo.co.il/law/70301/305"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293627" TargetMode="External"/><Relationship Id="rId30" Type="http://schemas.openxmlformats.org/officeDocument/2006/relationships/hyperlink" Target="http://www.nevo.co.il/law/70301/300.a.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7012276" TargetMode="External"/><Relationship Id="rId48" Type="http://schemas.openxmlformats.org/officeDocument/2006/relationships/hyperlink" Target="http://www.nevo.co.il/case/28280815" TargetMode="External"/><Relationship Id="rId56" Type="http://schemas.openxmlformats.org/officeDocument/2006/relationships/hyperlink" Target="http://www.nevo.co.il/case/6247752" TargetMode="External"/><Relationship Id="rId64" Type="http://schemas.openxmlformats.org/officeDocument/2006/relationships/hyperlink" Target="http://www.nevo.co.il/law/70301/77" TargetMode="External"/><Relationship Id="rId69" Type="http://schemas.openxmlformats.org/officeDocument/2006/relationships/hyperlink" Target="http://www.nevo.co.il/law/70301/300.a.4" TargetMode="External"/><Relationship Id="rId77" Type="http://schemas.openxmlformats.org/officeDocument/2006/relationships/theme" Target="theme/theme1.xml"/><Relationship Id="rId8" Type="http://schemas.openxmlformats.org/officeDocument/2006/relationships/hyperlink" Target="http://www.nevo.co.il/law/70301/34a" TargetMode="External"/><Relationship Id="rId51" Type="http://schemas.openxmlformats.org/officeDocument/2006/relationships/hyperlink" Target="http://www.nevo.co.il/law/7030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4697326"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5025/30b" TargetMode="External"/><Relationship Id="rId20" Type="http://schemas.openxmlformats.org/officeDocument/2006/relationships/hyperlink" Target="http://www.nevo.co.il/law/75025/30b" TargetMode="External"/><Relationship Id="rId41" Type="http://schemas.openxmlformats.org/officeDocument/2006/relationships/hyperlink" Target="http://www.nevo.co.il/case/7680922" TargetMode="External"/><Relationship Id="rId54" Type="http://schemas.openxmlformats.org/officeDocument/2006/relationships/hyperlink" Target="http://www.nevo.co.il/case/22303030"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0293627"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5.1" TargetMode="External"/><Relationship Id="rId23" Type="http://schemas.openxmlformats.org/officeDocument/2006/relationships/hyperlink" Target="http://www.nevo.co.il/law/70301/305" TargetMode="External"/><Relationship Id="rId28" Type="http://schemas.openxmlformats.org/officeDocument/2006/relationships/hyperlink" Target="http://www.nevo.co.il/law/70301/34i" TargetMode="External"/><Relationship Id="rId36" Type="http://schemas.openxmlformats.org/officeDocument/2006/relationships/hyperlink" Target="http://www.nevo.co.il/law/70301/305.1" TargetMode="External"/><Relationship Id="rId49" Type="http://schemas.openxmlformats.org/officeDocument/2006/relationships/hyperlink" Target="http://www.nevo.co.il/case/20293627" TargetMode="External"/><Relationship Id="rId57" Type="http://schemas.openxmlformats.org/officeDocument/2006/relationships/hyperlink" Target="http://www.nevo.co.il/case/21479956" TargetMode="External"/><Relationship Id="rId10" Type="http://schemas.openxmlformats.org/officeDocument/2006/relationships/hyperlink" Target="http://www.nevo.co.il/law/70301/58"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5274374" TargetMode="External"/><Relationship Id="rId52" Type="http://schemas.openxmlformats.org/officeDocument/2006/relationships/hyperlink" Target="http://www.nevo.co.il/law/70301/379" TargetMode="External"/><Relationship Id="rId60" Type="http://schemas.openxmlformats.org/officeDocument/2006/relationships/hyperlink" Target="http://www.nevo.co.il/case/25274374" TargetMode="External"/><Relationship Id="rId65" Type="http://schemas.openxmlformats.org/officeDocument/2006/relationships/hyperlink" Target="http://www.nevo.co.il/law/70301"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i" TargetMode="External"/><Relationship Id="rId13" Type="http://schemas.openxmlformats.org/officeDocument/2006/relationships/hyperlink" Target="http://www.nevo.co.il/law/70301/300.a.4" TargetMode="External"/><Relationship Id="rId18" Type="http://schemas.openxmlformats.org/officeDocument/2006/relationships/hyperlink" Target="http://www.nevo.co.il/law/70301/40ja.6" TargetMode="External"/><Relationship Id="rId39" Type="http://schemas.openxmlformats.org/officeDocument/2006/relationships/hyperlink" Target="http://www.nevo.co.il/case/20033641" TargetMode="External"/><Relationship Id="rId34" Type="http://schemas.openxmlformats.org/officeDocument/2006/relationships/hyperlink" Target="http://www.nevo.co.il/case/6002494" TargetMode="External"/><Relationship Id="rId50" Type="http://schemas.openxmlformats.org/officeDocument/2006/relationships/hyperlink" Target="http://www.nevo.co.il/law/70301/34a" TargetMode="External"/><Relationship Id="rId55" Type="http://schemas.openxmlformats.org/officeDocument/2006/relationships/hyperlink" Target="http://www.nevo.co.il/case/25888120"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6335</Words>
  <Characters>31679</Characters>
  <Application>Microsoft Office Word</Application>
  <DocSecurity>0</DocSecurity>
  <Lines>263</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37939</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3211387</vt:i4>
      </vt:variant>
      <vt:variant>
        <vt:i4>189</vt:i4>
      </vt:variant>
      <vt:variant>
        <vt:i4>0</vt:i4>
      </vt:variant>
      <vt:variant>
        <vt:i4>5</vt:i4>
      </vt:variant>
      <vt:variant>
        <vt:lpwstr>http://www.nevo.co.il/case/20293627</vt:lpwstr>
      </vt:variant>
      <vt:variant>
        <vt:lpwstr/>
      </vt:variant>
      <vt:variant>
        <vt:i4>6619191</vt:i4>
      </vt:variant>
      <vt:variant>
        <vt:i4>186</vt:i4>
      </vt:variant>
      <vt:variant>
        <vt:i4>0</vt:i4>
      </vt:variant>
      <vt:variant>
        <vt:i4>5</vt:i4>
      </vt:variant>
      <vt:variant>
        <vt:lpwstr>http://www.nevo.co.il/law/70301/300.a.4</vt:lpwstr>
      </vt:variant>
      <vt:variant>
        <vt:lpwstr/>
      </vt:variant>
      <vt:variant>
        <vt:i4>8192103</vt:i4>
      </vt:variant>
      <vt:variant>
        <vt:i4>183</vt:i4>
      </vt:variant>
      <vt:variant>
        <vt:i4>0</vt:i4>
      </vt:variant>
      <vt:variant>
        <vt:i4>5</vt:i4>
      </vt:variant>
      <vt:variant>
        <vt:lpwstr>http://www.nevo.co.il/law/75025</vt:lpwstr>
      </vt:variant>
      <vt:variant>
        <vt:lpwstr/>
      </vt:variant>
      <vt:variant>
        <vt:i4>6422625</vt:i4>
      </vt:variant>
      <vt:variant>
        <vt:i4>180</vt:i4>
      </vt:variant>
      <vt:variant>
        <vt:i4>0</vt:i4>
      </vt:variant>
      <vt:variant>
        <vt:i4>5</vt:i4>
      </vt:variant>
      <vt:variant>
        <vt:lpwstr>http://www.nevo.co.il/law/75025/30b</vt:lpwstr>
      </vt:variant>
      <vt:variant>
        <vt:lpwstr/>
      </vt:variant>
      <vt:variant>
        <vt:i4>3670135</vt:i4>
      </vt:variant>
      <vt:variant>
        <vt:i4>177</vt:i4>
      </vt:variant>
      <vt:variant>
        <vt:i4>0</vt:i4>
      </vt:variant>
      <vt:variant>
        <vt:i4>5</vt:i4>
      </vt:variant>
      <vt:variant>
        <vt:lpwstr>http://www.nevo.co.il/case/21477594</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6422626</vt:i4>
      </vt:variant>
      <vt:variant>
        <vt:i4>171</vt:i4>
      </vt:variant>
      <vt:variant>
        <vt:i4>0</vt:i4>
      </vt:variant>
      <vt:variant>
        <vt:i4>5</vt:i4>
      </vt:variant>
      <vt:variant>
        <vt:lpwstr>http://www.nevo.co.il/law/70301/77</vt:lpwstr>
      </vt:variant>
      <vt:variant>
        <vt:lpwstr/>
      </vt:variant>
      <vt:variant>
        <vt:i4>3604595</vt:i4>
      </vt:variant>
      <vt:variant>
        <vt:i4>168</vt:i4>
      </vt:variant>
      <vt:variant>
        <vt:i4>0</vt:i4>
      </vt:variant>
      <vt:variant>
        <vt:i4>5</vt:i4>
      </vt:variant>
      <vt:variant>
        <vt:lpwstr>http://www.nevo.co.il/case/26142566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7143520</vt:i4>
      </vt:variant>
      <vt:variant>
        <vt:i4>162</vt:i4>
      </vt:variant>
      <vt:variant>
        <vt:i4>0</vt:i4>
      </vt:variant>
      <vt:variant>
        <vt:i4>5</vt:i4>
      </vt:variant>
      <vt:variant>
        <vt:lpwstr>http://www.nevo.co.il/law/70301/58</vt:lpwstr>
      </vt:variant>
      <vt:variant>
        <vt:lpwstr/>
      </vt:variant>
      <vt:variant>
        <vt:i4>3342453</vt:i4>
      </vt:variant>
      <vt:variant>
        <vt:i4>159</vt:i4>
      </vt:variant>
      <vt:variant>
        <vt:i4>0</vt:i4>
      </vt:variant>
      <vt:variant>
        <vt:i4>5</vt:i4>
      </vt:variant>
      <vt:variant>
        <vt:lpwstr>http://www.nevo.co.il/case/25274374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3276837</vt:i4>
      </vt:variant>
      <vt:variant>
        <vt:i4>153</vt:i4>
      </vt:variant>
      <vt:variant>
        <vt:i4>0</vt:i4>
      </vt:variant>
      <vt:variant>
        <vt:i4>5</vt:i4>
      </vt:variant>
      <vt:variant>
        <vt:lpwstr>http://www.nevo.co.il/law/70301/40ja.6</vt:lpwstr>
      </vt:variant>
      <vt:variant>
        <vt:lpwstr/>
      </vt:variant>
      <vt:variant>
        <vt:i4>3801211</vt:i4>
      </vt:variant>
      <vt:variant>
        <vt:i4>150</vt:i4>
      </vt:variant>
      <vt:variant>
        <vt:i4>0</vt:i4>
      </vt:variant>
      <vt:variant>
        <vt:i4>5</vt:i4>
      </vt:variant>
      <vt:variant>
        <vt:lpwstr>http://www.nevo.co.il/case/21479956</vt:lpwstr>
      </vt:variant>
      <vt:variant>
        <vt:lpwstr/>
      </vt:variant>
      <vt:variant>
        <vt:i4>3604596</vt:i4>
      </vt:variant>
      <vt:variant>
        <vt:i4>147</vt:i4>
      </vt:variant>
      <vt:variant>
        <vt:i4>0</vt:i4>
      </vt:variant>
      <vt:variant>
        <vt:i4>5</vt:i4>
      </vt:variant>
      <vt:variant>
        <vt:lpwstr>http://www.nevo.co.il/case/6247752</vt:lpwstr>
      </vt:variant>
      <vt:variant>
        <vt:lpwstr/>
      </vt:variant>
      <vt:variant>
        <vt:i4>3145848</vt:i4>
      </vt:variant>
      <vt:variant>
        <vt:i4>144</vt:i4>
      </vt:variant>
      <vt:variant>
        <vt:i4>0</vt:i4>
      </vt:variant>
      <vt:variant>
        <vt:i4>5</vt:i4>
      </vt:variant>
      <vt:variant>
        <vt:lpwstr>http://www.nevo.co.il/case/25888120</vt:lpwstr>
      </vt:variant>
      <vt:variant>
        <vt:lpwstr/>
      </vt:variant>
      <vt:variant>
        <vt:i4>3211382</vt:i4>
      </vt:variant>
      <vt:variant>
        <vt:i4>141</vt:i4>
      </vt:variant>
      <vt:variant>
        <vt:i4>0</vt:i4>
      </vt:variant>
      <vt:variant>
        <vt:i4>5</vt:i4>
      </vt:variant>
      <vt:variant>
        <vt:lpwstr>http://www.nevo.co.il/case/22303030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6422630</vt:i4>
      </vt:variant>
      <vt:variant>
        <vt:i4>135</vt:i4>
      </vt:variant>
      <vt:variant>
        <vt:i4>0</vt:i4>
      </vt:variant>
      <vt:variant>
        <vt:i4>5</vt:i4>
      </vt:variant>
      <vt:variant>
        <vt:lpwstr>http://www.nevo.co.il/law/70301/379</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6357094</vt:i4>
      </vt:variant>
      <vt:variant>
        <vt:i4>129</vt:i4>
      </vt:variant>
      <vt:variant>
        <vt:i4>0</vt:i4>
      </vt:variant>
      <vt:variant>
        <vt:i4>5</vt:i4>
      </vt:variant>
      <vt:variant>
        <vt:lpwstr>http://www.nevo.co.il/law/70301/34a</vt:lpwstr>
      </vt:variant>
      <vt:variant>
        <vt:lpwstr/>
      </vt:variant>
      <vt:variant>
        <vt:i4>3211387</vt:i4>
      </vt:variant>
      <vt:variant>
        <vt:i4>126</vt:i4>
      </vt:variant>
      <vt:variant>
        <vt:i4>0</vt:i4>
      </vt:variant>
      <vt:variant>
        <vt:i4>5</vt:i4>
      </vt:variant>
      <vt:variant>
        <vt:lpwstr>http://www.nevo.co.il/case/20293627</vt:lpwstr>
      </vt:variant>
      <vt:variant>
        <vt:lpwstr/>
      </vt:variant>
      <vt:variant>
        <vt:i4>3211388</vt:i4>
      </vt:variant>
      <vt:variant>
        <vt:i4>123</vt:i4>
      </vt:variant>
      <vt:variant>
        <vt:i4>0</vt:i4>
      </vt:variant>
      <vt:variant>
        <vt:i4>5</vt:i4>
      </vt:variant>
      <vt:variant>
        <vt:lpwstr>http://www.nevo.co.il/case/28280815</vt:lpwstr>
      </vt:variant>
      <vt:variant>
        <vt:lpwstr/>
      </vt:variant>
      <vt:variant>
        <vt:i4>4063347</vt:i4>
      </vt:variant>
      <vt:variant>
        <vt:i4>120</vt:i4>
      </vt:variant>
      <vt:variant>
        <vt:i4>0</vt:i4>
      </vt:variant>
      <vt:variant>
        <vt:i4>5</vt:i4>
      </vt:variant>
      <vt:variant>
        <vt:lpwstr>http://www.nevo.co.il/case/27672788</vt:lpwstr>
      </vt:variant>
      <vt:variant>
        <vt:lpwstr/>
      </vt:variant>
      <vt:variant>
        <vt:i4>3670135</vt:i4>
      </vt:variant>
      <vt:variant>
        <vt:i4>117</vt:i4>
      </vt:variant>
      <vt:variant>
        <vt:i4>0</vt:i4>
      </vt:variant>
      <vt:variant>
        <vt:i4>5</vt:i4>
      </vt:variant>
      <vt:variant>
        <vt:lpwstr>http://www.nevo.co.il/case/4697326</vt:lpwstr>
      </vt:variant>
      <vt:variant>
        <vt:lpwstr/>
      </vt:variant>
      <vt:variant>
        <vt:i4>3211377</vt:i4>
      </vt:variant>
      <vt:variant>
        <vt:i4>114</vt:i4>
      </vt:variant>
      <vt:variant>
        <vt:i4>0</vt:i4>
      </vt:variant>
      <vt:variant>
        <vt:i4>5</vt:i4>
      </vt:variant>
      <vt:variant>
        <vt:lpwstr>http://www.nevo.co.il/case/27115374</vt:lpwstr>
      </vt:variant>
      <vt:variant>
        <vt:lpwstr/>
      </vt:variant>
      <vt:variant>
        <vt:i4>3342453</vt:i4>
      </vt:variant>
      <vt:variant>
        <vt:i4>111</vt:i4>
      </vt:variant>
      <vt:variant>
        <vt:i4>0</vt:i4>
      </vt:variant>
      <vt:variant>
        <vt:i4>5</vt:i4>
      </vt:variant>
      <vt:variant>
        <vt:lpwstr>http://www.nevo.co.il/case/25274374</vt:lpwstr>
      </vt:variant>
      <vt:variant>
        <vt:lpwstr/>
      </vt:variant>
      <vt:variant>
        <vt:i4>3276913</vt:i4>
      </vt:variant>
      <vt:variant>
        <vt:i4>108</vt:i4>
      </vt:variant>
      <vt:variant>
        <vt:i4>0</vt:i4>
      </vt:variant>
      <vt:variant>
        <vt:i4>5</vt:i4>
      </vt:variant>
      <vt:variant>
        <vt:lpwstr>http://www.nevo.co.il/case/7012276</vt:lpwstr>
      </vt:variant>
      <vt:variant>
        <vt:lpwstr/>
      </vt:variant>
      <vt:variant>
        <vt:i4>3211379</vt:i4>
      </vt:variant>
      <vt:variant>
        <vt:i4>105</vt:i4>
      </vt:variant>
      <vt:variant>
        <vt:i4>0</vt:i4>
      </vt:variant>
      <vt:variant>
        <vt:i4>5</vt:i4>
      </vt:variant>
      <vt:variant>
        <vt:lpwstr>http://www.nevo.co.il/case/24152609</vt:lpwstr>
      </vt:variant>
      <vt:variant>
        <vt:lpwstr/>
      </vt:variant>
      <vt:variant>
        <vt:i4>3407984</vt:i4>
      </vt:variant>
      <vt:variant>
        <vt:i4>102</vt:i4>
      </vt:variant>
      <vt:variant>
        <vt:i4>0</vt:i4>
      </vt:variant>
      <vt:variant>
        <vt:i4>5</vt:i4>
      </vt:variant>
      <vt:variant>
        <vt:lpwstr>http://www.nevo.co.il/case/7680922</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3473521</vt:i4>
      </vt:variant>
      <vt:variant>
        <vt:i4>96</vt:i4>
      </vt:variant>
      <vt:variant>
        <vt:i4>0</vt:i4>
      </vt:variant>
      <vt:variant>
        <vt:i4>5</vt:i4>
      </vt:variant>
      <vt:variant>
        <vt:lpwstr>http://www.nevo.co.il/case/20033641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6750270</vt:i4>
      </vt:variant>
      <vt:variant>
        <vt:i4>90</vt:i4>
      </vt:variant>
      <vt:variant>
        <vt:i4>0</vt:i4>
      </vt:variant>
      <vt:variant>
        <vt:i4>5</vt:i4>
      </vt:variant>
      <vt:variant>
        <vt:lpwstr>http://www.nevo.co.il/law/70301/329.a.1</vt:lpwstr>
      </vt:variant>
      <vt:variant>
        <vt:lpwstr/>
      </vt:variant>
      <vt:variant>
        <vt:i4>4915283</vt:i4>
      </vt:variant>
      <vt:variant>
        <vt:i4>87</vt:i4>
      </vt:variant>
      <vt:variant>
        <vt:i4>0</vt:i4>
      </vt:variant>
      <vt:variant>
        <vt:i4>5</vt:i4>
      </vt:variant>
      <vt:variant>
        <vt:lpwstr>http://www.nevo.co.il/law/70301/305.1</vt:lpwstr>
      </vt:variant>
      <vt:variant>
        <vt:lpwstr/>
      </vt:variant>
      <vt:variant>
        <vt:i4>7995492</vt:i4>
      </vt:variant>
      <vt:variant>
        <vt:i4>84</vt:i4>
      </vt:variant>
      <vt:variant>
        <vt:i4>0</vt:i4>
      </vt:variant>
      <vt:variant>
        <vt:i4>5</vt:i4>
      </vt:variant>
      <vt:variant>
        <vt:lpwstr>http://www.nevo.co.il/law/70301</vt:lpwstr>
      </vt:variant>
      <vt:variant>
        <vt:lpwstr/>
      </vt:variant>
      <vt:variant>
        <vt:i4>3539071</vt:i4>
      </vt:variant>
      <vt:variant>
        <vt:i4>81</vt:i4>
      </vt:variant>
      <vt:variant>
        <vt:i4>0</vt:i4>
      </vt:variant>
      <vt:variant>
        <vt:i4>5</vt:i4>
      </vt:variant>
      <vt:variant>
        <vt:lpwstr>http://www.nevo.co.il/case/6002494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6619191</vt:i4>
      </vt:variant>
      <vt:variant>
        <vt:i4>75</vt:i4>
      </vt:variant>
      <vt:variant>
        <vt:i4>0</vt:i4>
      </vt:variant>
      <vt:variant>
        <vt:i4>5</vt:i4>
      </vt:variant>
      <vt:variant>
        <vt:lpwstr>http://www.nevo.co.il/law/70301/300.a.4</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6619191</vt:i4>
      </vt:variant>
      <vt:variant>
        <vt:i4>69</vt:i4>
      </vt:variant>
      <vt:variant>
        <vt:i4>0</vt:i4>
      </vt:variant>
      <vt:variant>
        <vt:i4>5</vt:i4>
      </vt:variant>
      <vt:variant>
        <vt:lpwstr>http://www.nevo.co.il/law/70301/300.a.4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6357094</vt:i4>
      </vt:variant>
      <vt:variant>
        <vt:i4>63</vt:i4>
      </vt:variant>
      <vt:variant>
        <vt:i4>0</vt:i4>
      </vt:variant>
      <vt:variant>
        <vt:i4>5</vt:i4>
      </vt:variant>
      <vt:variant>
        <vt:lpwstr>http://www.nevo.co.il/law/70301/34i</vt:lpwstr>
      </vt:variant>
      <vt:variant>
        <vt:lpwstr/>
      </vt:variant>
      <vt:variant>
        <vt:i4>3211387</vt:i4>
      </vt:variant>
      <vt:variant>
        <vt:i4>60</vt:i4>
      </vt:variant>
      <vt:variant>
        <vt:i4>0</vt:i4>
      </vt:variant>
      <vt:variant>
        <vt:i4>5</vt:i4>
      </vt:variant>
      <vt:variant>
        <vt:lpwstr>http://www.nevo.co.il/case/20293627</vt:lpwstr>
      </vt:variant>
      <vt:variant>
        <vt:lpwstr/>
      </vt:variant>
      <vt:variant>
        <vt:i4>3342457</vt:i4>
      </vt:variant>
      <vt:variant>
        <vt:i4>57</vt:i4>
      </vt:variant>
      <vt:variant>
        <vt:i4>0</vt:i4>
      </vt:variant>
      <vt:variant>
        <vt:i4>5</vt:i4>
      </vt:variant>
      <vt:variant>
        <vt:lpwstr>http://www.nevo.co.il/case/26731873</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6750270</vt:i4>
      </vt:variant>
      <vt:variant>
        <vt:i4>51</vt:i4>
      </vt:variant>
      <vt:variant>
        <vt:i4>0</vt:i4>
      </vt:variant>
      <vt:variant>
        <vt:i4>5</vt:i4>
      </vt:variant>
      <vt:variant>
        <vt:lpwstr>http://www.nevo.co.il/law/70301/329.a.1</vt:lpwstr>
      </vt:variant>
      <vt:variant>
        <vt:lpwstr/>
      </vt:variant>
      <vt:variant>
        <vt:i4>6619238</vt:i4>
      </vt:variant>
      <vt:variant>
        <vt:i4>48</vt:i4>
      </vt:variant>
      <vt:variant>
        <vt:i4>0</vt:i4>
      </vt:variant>
      <vt:variant>
        <vt:i4>5</vt:i4>
      </vt:variant>
      <vt:variant>
        <vt:lpwstr>http://www.nevo.co.il/law/70301/305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6619191</vt:i4>
      </vt:variant>
      <vt:variant>
        <vt:i4>42</vt:i4>
      </vt:variant>
      <vt:variant>
        <vt:i4>0</vt:i4>
      </vt:variant>
      <vt:variant>
        <vt:i4>5</vt:i4>
      </vt:variant>
      <vt:variant>
        <vt:lpwstr>http://www.nevo.co.il/law/70301/300.a.4</vt:lpwstr>
      </vt:variant>
      <vt:variant>
        <vt:lpwstr/>
      </vt:variant>
      <vt:variant>
        <vt:i4>6422625</vt:i4>
      </vt:variant>
      <vt:variant>
        <vt:i4>39</vt:i4>
      </vt:variant>
      <vt:variant>
        <vt:i4>0</vt:i4>
      </vt:variant>
      <vt:variant>
        <vt:i4>5</vt:i4>
      </vt:variant>
      <vt:variant>
        <vt:lpwstr>http://www.nevo.co.il/law/75025/30b</vt:lpwstr>
      </vt:variant>
      <vt:variant>
        <vt:lpwstr/>
      </vt:variant>
      <vt:variant>
        <vt:i4>8192103</vt:i4>
      </vt:variant>
      <vt:variant>
        <vt:i4>36</vt:i4>
      </vt:variant>
      <vt:variant>
        <vt:i4>0</vt:i4>
      </vt:variant>
      <vt:variant>
        <vt:i4>5</vt:i4>
      </vt:variant>
      <vt:variant>
        <vt:lpwstr>http://www.nevo.co.il/law/75025</vt:lpwstr>
      </vt:variant>
      <vt:variant>
        <vt:lpwstr/>
      </vt:variant>
      <vt:variant>
        <vt:i4>3276837</vt:i4>
      </vt:variant>
      <vt:variant>
        <vt:i4>33</vt:i4>
      </vt:variant>
      <vt:variant>
        <vt:i4>0</vt:i4>
      </vt:variant>
      <vt:variant>
        <vt:i4>5</vt:i4>
      </vt:variant>
      <vt:variant>
        <vt:lpwstr>http://www.nevo.co.il/law/70301/40ja.6</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4915283</vt:i4>
      </vt:variant>
      <vt:variant>
        <vt:i4>24</vt:i4>
      </vt:variant>
      <vt:variant>
        <vt:i4>0</vt:i4>
      </vt:variant>
      <vt:variant>
        <vt:i4>5</vt:i4>
      </vt:variant>
      <vt:variant>
        <vt:lpwstr>http://www.nevo.co.il/law/70301/305.1</vt:lpwstr>
      </vt:variant>
      <vt:variant>
        <vt:lpwstr/>
      </vt:variant>
      <vt:variant>
        <vt:i4>6619238</vt:i4>
      </vt:variant>
      <vt:variant>
        <vt:i4>21</vt:i4>
      </vt:variant>
      <vt:variant>
        <vt:i4>0</vt:i4>
      </vt:variant>
      <vt:variant>
        <vt:i4>5</vt:i4>
      </vt:variant>
      <vt:variant>
        <vt:lpwstr>http://www.nevo.co.il/law/70301/305</vt:lpwstr>
      </vt:variant>
      <vt:variant>
        <vt:lpwstr/>
      </vt:variant>
      <vt:variant>
        <vt:i4>6619191</vt:i4>
      </vt:variant>
      <vt:variant>
        <vt:i4>18</vt:i4>
      </vt:variant>
      <vt:variant>
        <vt:i4>0</vt:i4>
      </vt:variant>
      <vt:variant>
        <vt:i4>5</vt:i4>
      </vt:variant>
      <vt:variant>
        <vt:lpwstr>http://www.nevo.co.il/law/70301/300.a.4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6422626</vt:i4>
      </vt:variant>
      <vt:variant>
        <vt:i4>12</vt:i4>
      </vt:variant>
      <vt:variant>
        <vt:i4>0</vt:i4>
      </vt:variant>
      <vt:variant>
        <vt:i4>5</vt:i4>
      </vt:variant>
      <vt:variant>
        <vt:lpwstr>http://www.nevo.co.il/law/70301/77</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6357094</vt:i4>
      </vt:variant>
      <vt:variant>
        <vt:i4>6</vt:i4>
      </vt:variant>
      <vt:variant>
        <vt:i4>0</vt:i4>
      </vt:variant>
      <vt:variant>
        <vt:i4>5</vt:i4>
      </vt:variant>
      <vt:variant>
        <vt:lpwstr>http://www.nevo.co.il/law/70301/34i</vt:lpwstr>
      </vt:variant>
      <vt:variant>
        <vt:lpwstr/>
      </vt:variant>
      <vt:variant>
        <vt:i4>6357094</vt:i4>
      </vt:variant>
      <vt:variant>
        <vt:i4>3</vt:i4>
      </vt:variant>
      <vt:variant>
        <vt:i4>0</vt:i4>
      </vt:variant>
      <vt:variant>
        <vt:i4>5</vt:i4>
      </vt:variant>
      <vt:variant>
        <vt:lpwstr>http://www.nevo.co.il/law/70301/34a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24704</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אבירם זגורי </vt:lpwstr>
  </property>
  <property fmtid="{D5CDD505-2E9C-101B-9397-08002B2CF9AE}" pid="10" name="LAWYER">
    <vt:lpwstr>רותם יוחנני הר ציון;בועז קניג;מור עטיה</vt:lpwstr>
  </property>
  <property fmtid="{D5CDD505-2E9C-101B-9397-08002B2CF9AE}" pid="11" name="JUDGE">
    <vt:lpwstr>נתן זלוצ'ובר;דינה כהן;דניאל בן טולילה</vt:lpwstr>
  </property>
  <property fmtid="{D5CDD505-2E9C-101B-9397-08002B2CF9AE}" pid="12" name="CITY">
    <vt:lpwstr>ב"ש</vt:lpwstr>
  </property>
  <property fmtid="{D5CDD505-2E9C-101B-9397-08002B2CF9AE}" pid="13" name="DATE">
    <vt:lpwstr>20220929</vt:lpwstr>
  </property>
  <property fmtid="{D5CDD505-2E9C-101B-9397-08002B2CF9AE}" pid="14" name="TYPE_N_DATE">
    <vt:lpwstr>39020220929</vt:lpwstr>
  </property>
  <property fmtid="{D5CDD505-2E9C-101B-9397-08002B2CF9AE}" pid="15" name="WORDNUMPAGES">
    <vt:lpwstr>19</vt:lpwstr>
  </property>
  <property fmtid="{D5CDD505-2E9C-101B-9397-08002B2CF9AE}" pid="16" name="TYPE_ABS_DATE">
    <vt:lpwstr>390020220929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26731873;20293627:3;6002494;20033641;13093721;7680922;24152609;7012276;25274374:2;27115374;4697326;27672788;28280815;22303030;25888120;6247752;21479956;26142566;21477594</vt:lpwstr>
  </property>
  <property fmtid="{D5CDD505-2E9C-101B-9397-08002B2CF9AE}" pid="36" name="LAWLISTTMP1">
    <vt:lpwstr>70301/300.a.4:4;305;329.a.1:2;144.b:2;034i;305.1;034a;379;40ja.6;058;077</vt:lpwstr>
  </property>
  <property fmtid="{D5CDD505-2E9C-101B-9397-08002B2CF9AE}" pid="37" name="LAWLISTTMP2">
    <vt:lpwstr>75025/030b</vt:lpwstr>
  </property>
</Properties>
</file>