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B66DBB" w:rsidRPr="006739BB" w14:paraId="7366857A" w14:textId="77777777" w:rsidTr="003E0C32">
        <w:trPr>
          <w:trHeight w:hRule="exact" w:val="418"/>
          <w:jc w:val="center"/>
        </w:trPr>
        <w:tc>
          <w:tcPr>
            <w:tcW w:w="8721" w:type="dxa"/>
            <w:gridSpan w:val="2"/>
          </w:tcPr>
          <w:p w14:paraId="714B5E1D" w14:textId="77777777" w:rsidR="00B66DBB" w:rsidRPr="006739BB" w:rsidRDefault="00B66DBB" w:rsidP="00D71B7A">
            <w:pPr>
              <w:pStyle w:val="a3"/>
              <w:jc w:val="center"/>
              <w:rPr>
                <w:rFonts w:ascii="Tahoma" w:hAnsi="Tahoma"/>
                <w:color w:val="000080"/>
                <w:sz w:val="32"/>
                <w:szCs w:val="32"/>
                <w:rtl/>
              </w:rPr>
            </w:pPr>
            <w:r w:rsidRPr="006739BB">
              <w:rPr>
                <w:rFonts w:ascii="Tahoma" w:hAnsi="Tahoma"/>
                <w:b/>
                <w:bCs/>
                <w:color w:val="000080"/>
                <w:sz w:val="32"/>
                <w:szCs w:val="32"/>
                <w:rtl/>
              </w:rPr>
              <w:t>בית המשפט המחוזי בתל אביב - יפו</w:t>
            </w:r>
          </w:p>
        </w:tc>
      </w:tr>
      <w:tr w:rsidR="00B66DBB" w:rsidRPr="006739BB" w14:paraId="1315D94E" w14:textId="77777777" w:rsidTr="003E0C32">
        <w:trPr>
          <w:trHeight w:val="337"/>
          <w:jc w:val="center"/>
        </w:trPr>
        <w:tc>
          <w:tcPr>
            <w:tcW w:w="5050" w:type="dxa"/>
          </w:tcPr>
          <w:p w14:paraId="3F1B9EC5" w14:textId="77777777" w:rsidR="00B66DBB" w:rsidRPr="006739BB" w:rsidRDefault="00B66DBB" w:rsidP="00D71B7A">
            <w:pPr>
              <w:rPr>
                <w:sz w:val="26"/>
                <w:szCs w:val="26"/>
                <w:rtl/>
              </w:rPr>
            </w:pPr>
            <w:r w:rsidRPr="006739BB">
              <w:rPr>
                <w:b/>
                <w:bCs/>
                <w:sz w:val="26"/>
                <w:szCs w:val="26"/>
                <w:rtl/>
              </w:rPr>
              <w:t>תפ"ח</w:t>
            </w:r>
            <w:r w:rsidRPr="006739BB">
              <w:rPr>
                <w:rFonts w:hint="cs"/>
                <w:b/>
                <w:bCs/>
                <w:sz w:val="26"/>
                <w:szCs w:val="26"/>
                <w:rtl/>
              </w:rPr>
              <w:t xml:space="preserve"> </w:t>
            </w:r>
            <w:r w:rsidRPr="006739BB">
              <w:rPr>
                <w:b/>
                <w:bCs/>
                <w:sz w:val="26"/>
                <w:szCs w:val="26"/>
                <w:rtl/>
              </w:rPr>
              <w:t>15217-03-19</w:t>
            </w:r>
            <w:r w:rsidRPr="006739BB">
              <w:rPr>
                <w:rFonts w:hint="cs"/>
                <w:b/>
                <w:bCs/>
                <w:sz w:val="26"/>
                <w:szCs w:val="26"/>
                <w:rtl/>
              </w:rPr>
              <w:t xml:space="preserve"> </w:t>
            </w:r>
            <w:r w:rsidRPr="006739BB">
              <w:rPr>
                <w:b/>
                <w:bCs/>
                <w:sz w:val="26"/>
                <w:szCs w:val="26"/>
                <w:rtl/>
              </w:rPr>
              <w:t>מדינת ישראל נ' זוית</w:t>
            </w:r>
            <w:r w:rsidRPr="006739BB">
              <w:rPr>
                <w:rFonts w:hint="cs"/>
                <w:b/>
                <w:bCs/>
                <w:sz w:val="26"/>
                <w:szCs w:val="26"/>
                <w:rtl/>
              </w:rPr>
              <w:t xml:space="preserve"> </w:t>
            </w:r>
            <w:r w:rsidRPr="006739BB">
              <w:rPr>
                <w:b/>
                <w:bCs/>
                <w:sz w:val="26"/>
                <w:szCs w:val="26"/>
                <w:rtl/>
              </w:rPr>
              <w:t>(עציר)</w:t>
            </w:r>
          </w:p>
        </w:tc>
        <w:tc>
          <w:tcPr>
            <w:tcW w:w="3671" w:type="dxa"/>
          </w:tcPr>
          <w:p w14:paraId="21A6B260" w14:textId="77777777" w:rsidR="00B66DBB" w:rsidRPr="006739BB" w:rsidRDefault="00B66DBB" w:rsidP="00D71B7A">
            <w:pPr>
              <w:pStyle w:val="a3"/>
              <w:jc w:val="right"/>
              <w:rPr>
                <w:rFonts w:ascii="David" w:hAnsi="David"/>
                <w:rtl/>
              </w:rPr>
            </w:pPr>
            <w:r w:rsidRPr="006739BB">
              <w:rPr>
                <w:rFonts w:ascii="David" w:hAnsi="David" w:hint="cs"/>
                <w:rtl/>
              </w:rPr>
              <w:t>31 ינואר 2023</w:t>
            </w:r>
          </w:p>
        </w:tc>
      </w:tr>
    </w:tbl>
    <w:p w14:paraId="483E434D" w14:textId="77777777" w:rsidR="00B66DBB" w:rsidRPr="006739BB" w:rsidRDefault="00B66DBB" w:rsidP="00B66DB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45"/>
        <w:gridCol w:w="3344"/>
      </w:tblGrid>
      <w:tr w:rsidR="00B66DBB" w:rsidRPr="006739BB" w14:paraId="5B78AA2E" w14:textId="77777777" w:rsidTr="00B66DBB">
        <w:trPr>
          <w:trHeight w:val="295"/>
          <w:jc w:val="center"/>
        </w:trPr>
        <w:tc>
          <w:tcPr>
            <w:tcW w:w="1231" w:type="dxa"/>
            <w:tcBorders>
              <w:top w:val="nil"/>
              <w:left w:val="nil"/>
              <w:bottom w:val="nil"/>
              <w:right w:val="nil"/>
            </w:tcBorders>
            <w:shd w:val="clear" w:color="auto" w:fill="auto"/>
          </w:tcPr>
          <w:p w14:paraId="17A8C322" w14:textId="77777777" w:rsidR="00B66DBB" w:rsidRPr="006739BB" w:rsidRDefault="00B66DBB" w:rsidP="00B66DBB">
            <w:pPr>
              <w:jc w:val="both"/>
              <w:rPr>
                <w:rFonts w:ascii="Arial" w:hAnsi="Arial"/>
                <w:b/>
                <w:bCs/>
                <w:sz w:val="26"/>
                <w:szCs w:val="26"/>
              </w:rPr>
            </w:pPr>
            <w:r w:rsidRPr="006739BB">
              <w:rPr>
                <w:rFonts w:ascii="Arial" w:hAnsi="Arial" w:hint="cs"/>
                <w:b/>
                <w:bCs/>
                <w:sz w:val="26"/>
                <w:szCs w:val="26"/>
                <w:rtl/>
              </w:rPr>
              <w:t>ל</w:t>
            </w:r>
            <w:r w:rsidRPr="006739BB">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4052A0E1" w14:textId="77777777" w:rsidR="00B66DBB" w:rsidRPr="006739BB" w:rsidRDefault="00B66DBB" w:rsidP="00D71B7A">
            <w:pPr>
              <w:rPr>
                <w:b/>
                <w:bCs/>
                <w:sz w:val="26"/>
                <w:szCs w:val="26"/>
                <w:rtl/>
              </w:rPr>
            </w:pPr>
            <w:r w:rsidRPr="006739BB">
              <w:rPr>
                <w:rFonts w:hint="cs"/>
                <w:b/>
                <w:bCs/>
                <w:sz w:val="26"/>
                <w:szCs w:val="26"/>
                <w:rtl/>
              </w:rPr>
              <w:t xml:space="preserve">כב' השופט ר. בן-יוסף </w:t>
            </w:r>
            <w:r w:rsidRPr="006739BB">
              <w:rPr>
                <w:b/>
                <w:bCs/>
                <w:sz w:val="26"/>
                <w:szCs w:val="26"/>
                <w:rtl/>
              </w:rPr>
              <w:t>–</w:t>
            </w:r>
            <w:r w:rsidRPr="006739BB">
              <w:rPr>
                <w:rFonts w:hint="cs"/>
                <w:b/>
                <w:bCs/>
                <w:sz w:val="26"/>
                <w:szCs w:val="26"/>
                <w:rtl/>
              </w:rPr>
              <w:t xml:space="preserve"> אב"ד </w:t>
            </w:r>
          </w:p>
          <w:p w14:paraId="3CF2B40D" w14:textId="77777777" w:rsidR="00B66DBB" w:rsidRPr="006739BB" w:rsidRDefault="00B66DBB" w:rsidP="00D71B7A">
            <w:pPr>
              <w:rPr>
                <w:rFonts w:ascii="Arial" w:hAnsi="Arial"/>
                <w:sz w:val="26"/>
                <w:szCs w:val="26"/>
                <w:rtl/>
              </w:rPr>
            </w:pPr>
            <w:r w:rsidRPr="006739BB">
              <w:rPr>
                <w:rFonts w:ascii="Arial" w:hAnsi="Arial" w:hint="cs"/>
                <w:b/>
                <w:bCs/>
                <w:sz w:val="26"/>
                <w:szCs w:val="26"/>
                <w:rtl/>
              </w:rPr>
              <w:t>כב' השופט א. הימן</w:t>
            </w:r>
            <w:r w:rsidRPr="006739BB">
              <w:rPr>
                <w:rFonts w:ascii="Arial" w:hAnsi="Arial" w:hint="cs"/>
                <w:sz w:val="26"/>
                <w:szCs w:val="26"/>
                <w:rtl/>
              </w:rPr>
              <w:t xml:space="preserve"> </w:t>
            </w:r>
          </w:p>
          <w:p w14:paraId="45F2282B" w14:textId="77777777" w:rsidR="00B66DBB" w:rsidRPr="006739BB" w:rsidRDefault="00B66DBB" w:rsidP="00D71B7A">
            <w:pPr>
              <w:rPr>
                <w:rFonts w:ascii="Arial" w:hAnsi="Arial"/>
                <w:b/>
                <w:bCs/>
                <w:sz w:val="26"/>
                <w:szCs w:val="26"/>
              </w:rPr>
            </w:pPr>
            <w:r w:rsidRPr="006739BB">
              <w:rPr>
                <w:rFonts w:ascii="Arial" w:hAnsi="Arial" w:hint="cs"/>
                <w:b/>
                <w:bCs/>
                <w:sz w:val="26"/>
                <w:szCs w:val="26"/>
                <w:rtl/>
              </w:rPr>
              <w:t xml:space="preserve">כב' השופטת ש. זמיר </w:t>
            </w:r>
          </w:p>
          <w:p w14:paraId="75FBE477" w14:textId="77777777" w:rsidR="00B66DBB" w:rsidRPr="006739BB" w:rsidRDefault="00B66DBB" w:rsidP="00D71B7A">
            <w:pPr>
              <w:rPr>
                <w:rFonts w:ascii="Arial" w:hAnsi="Arial"/>
                <w:sz w:val="26"/>
                <w:szCs w:val="26"/>
              </w:rPr>
            </w:pPr>
          </w:p>
        </w:tc>
      </w:tr>
      <w:tr w:rsidR="00B66DBB" w:rsidRPr="006739BB" w14:paraId="5B8FC933" w14:textId="77777777" w:rsidTr="00B66DBB">
        <w:trPr>
          <w:trHeight w:val="355"/>
          <w:jc w:val="center"/>
        </w:trPr>
        <w:tc>
          <w:tcPr>
            <w:tcW w:w="1231" w:type="dxa"/>
            <w:tcBorders>
              <w:top w:val="nil"/>
              <w:left w:val="nil"/>
              <w:bottom w:val="nil"/>
              <w:right w:val="nil"/>
            </w:tcBorders>
            <w:shd w:val="clear" w:color="auto" w:fill="auto"/>
          </w:tcPr>
          <w:p w14:paraId="3F2597C7" w14:textId="77777777" w:rsidR="00B66DBB" w:rsidRPr="006739BB" w:rsidRDefault="00B66DBB" w:rsidP="00B66DBB">
            <w:pPr>
              <w:jc w:val="both"/>
              <w:rPr>
                <w:rFonts w:ascii="Arial" w:hAnsi="Arial"/>
                <w:b/>
                <w:bCs/>
                <w:sz w:val="26"/>
                <w:szCs w:val="26"/>
              </w:rPr>
            </w:pPr>
            <w:bookmarkStart w:id="0" w:name="FirstAppellant"/>
            <w:bookmarkStart w:id="1" w:name="FirstLawyer"/>
            <w:bookmarkStart w:id="2" w:name="LastJudge"/>
            <w:bookmarkEnd w:id="2"/>
            <w:r w:rsidRPr="006739BB">
              <w:rPr>
                <w:rFonts w:ascii="Arial" w:hAnsi="Arial" w:hint="cs"/>
                <w:b/>
                <w:bCs/>
                <w:sz w:val="26"/>
                <w:szCs w:val="26"/>
                <w:rtl/>
              </w:rPr>
              <w:t>ה</w:t>
            </w:r>
            <w:r w:rsidRPr="006739BB">
              <w:rPr>
                <w:rFonts w:ascii="Arial" w:hAnsi="Arial"/>
                <w:b/>
                <w:bCs/>
                <w:sz w:val="26"/>
                <w:szCs w:val="26"/>
                <w:rtl/>
              </w:rPr>
              <w:t>מאשימה</w:t>
            </w:r>
          </w:p>
        </w:tc>
        <w:tc>
          <w:tcPr>
            <w:tcW w:w="4245" w:type="dxa"/>
            <w:tcBorders>
              <w:top w:val="nil"/>
              <w:left w:val="nil"/>
              <w:bottom w:val="nil"/>
              <w:right w:val="nil"/>
            </w:tcBorders>
            <w:shd w:val="clear" w:color="auto" w:fill="auto"/>
          </w:tcPr>
          <w:p w14:paraId="203C8ACE" w14:textId="77777777" w:rsidR="00B66DBB" w:rsidRPr="006739BB" w:rsidRDefault="00B66DBB" w:rsidP="00D71B7A">
            <w:pPr>
              <w:rPr>
                <w:b/>
                <w:bCs/>
                <w:sz w:val="26"/>
                <w:szCs w:val="26"/>
                <w:rtl/>
              </w:rPr>
            </w:pPr>
            <w:r w:rsidRPr="006739BB">
              <w:rPr>
                <w:rFonts w:ascii="Arial" w:hAnsi="Arial"/>
                <w:b/>
                <w:bCs/>
                <w:sz w:val="26"/>
                <w:szCs w:val="26"/>
                <w:rtl/>
              </w:rPr>
              <w:t>מדינת ישראל</w:t>
            </w:r>
            <w:r w:rsidRPr="006739BB">
              <w:rPr>
                <w:rFonts w:hint="cs"/>
                <w:b/>
                <w:bCs/>
                <w:sz w:val="26"/>
                <w:szCs w:val="26"/>
                <w:rtl/>
              </w:rPr>
              <w:t xml:space="preserve"> </w:t>
            </w:r>
          </w:p>
          <w:p w14:paraId="4DA5CEB0" w14:textId="77777777" w:rsidR="00B66DBB" w:rsidRPr="006739BB" w:rsidRDefault="00B66DBB" w:rsidP="00D71B7A">
            <w:pPr>
              <w:rPr>
                <w:sz w:val="26"/>
                <w:szCs w:val="26"/>
              </w:rPr>
            </w:pPr>
            <w:r w:rsidRPr="006739BB">
              <w:rPr>
                <w:rFonts w:hint="cs"/>
                <w:rtl/>
              </w:rPr>
              <w:t>ע"י ב"כ עו"ד צחי הבדלי</w:t>
            </w:r>
            <w:r w:rsidRPr="006739BB">
              <w:rPr>
                <w:rFonts w:hint="cs"/>
                <w:sz w:val="26"/>
                <w:szCs w:val="26"/>
                <w:rtl/>
              </w:rPr>
              <w:t xml:space="preserve"> </w:t>
            </w:r>
          </w:p>
        </w:tc>
        <w:tc>
          <w:tcPr>
            <w:tcW w:w="3344" w:type="dxa"/>
            <w:tcBorders>
              <w:top w:val="nil"/>
              <w:left w:val="nil"/>
              <w:bottom w:val="nil"/>
              <w:right w:val="nil"/>
            </w:tcBorders>
            <w:shd w:val="clear" w:color="auto" w:fill="auto"/>
          </w:tcPr>
          <w:p w14:paraId="6CF70536" w14:textId="77777777" w:rsidR="00B66DBB" w:rsidRPr="006739BB" w:rsidRDefault="00B66DBB" w:rsidP="00B66DBB">
            <w:pPr>
              <w:jc w:val="both"/>
              <w:rPr>
                <w:rFonts w:ascii="Arial" w:hAnsi="Arial"/>
                <w:sz w:val="26"/>
                <w:szCs w:val="26"/>
              </w:rPr>
            </w:pPr>
          </w:p>
        </w:tc>
      </w:tr>
      <w:bookmarkEnd w:id="0"/>
      <w:bookmarkEnd w:id="1"/>
      <w:tr w:rsidR="00B66DBB" w:rsidRPr="006739BB" w14:paraId="10E72AB5" w14:textId="77777777" w:rsidTr="00B66DBB">
        <w:trPr>
          <w:trHeight w:val="355"/>
          <w:jc w:val="center"/>
        </w:trPr>
        <w:tc>
          <w:tcPr>
            <w:tcW w:w="1231" w:type="dxa"/>
            <w:tcBorders>
              <w:top w:val="nil"/>
              <w:left w:val="nil"/>
              <w:bottom w:val="nil"/>
              <w:right w:val="nil"/>
            </w:tcBorders>
            <w:shd w:val="clear" w:color="auto" w:fill="auto"/>
          </w:tcPr>
          <w:p w14:paraId="3626889D" w14:textId="77777777" w:rsidR="00B66DBB" w:rsidRPr="006739BB" w:rsidRDefault="00B66DBB" w:rsidP="00B66DBB">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7F53B5C4" w14:textId="77777777" w:rsidR="00B66DBB" w:rsidRPr="006739BB" w:rsidRDefault="00B66DBB" w:rsidP="00B66DBB">
            <w:pPr>
              <w:jc w:val="center"/>
              <w:rPr>
                <w:rFonts w:ascii="Arial" w:hAnsi="Arial"/>
                <w:b/>
                <w:bCs/>
                <w:sz w:val="26"/>
                <w:szCs w:val="26"/>
                <w:rtl/>
              </w:rPr>
            </w:pPr>
            <w:r w:rsidRPr="006739BB">
              <w:rPr>
                <w:rFonts w:ascii="Arial" w:hAnsi="Arial"/>
                <w:b/>
                <w:bCs/>
                <w:sz w:val="26"/>
                <w:szCs w:val="26"/>
                <w:rtl/>
              </w:rPr>
              <w:t>נגד</w:t>
            </w:r>
          </w:p>
          <w:p w14:paraId="49710C06" w14:textId="77777777" w:rsidR="00B66DBB" w:rsidRPr="006739BB" w:rsidRDefault="00B66DBB" w:rsidP="00B66DBB">
            <w:pPr>
              <w:jc w:val="both"/>
              <w:rPr>
                <w:rFonts w:ascii="Arial" w:hAnsi="Arial"/>
                <w:sz w:val="26"/>
                <w:szCs w:val="26"/>
              </w:rPr>
            </w:pPr>
          </w:p>
        </w:tc>
      </w:tr>
      <w:tr w:rsidR="00B66DBB" w:rsidRPr="006739BB" w14:paraId="7A95CB4B" w14:textId="77777777" w:rsidTr="00B66DBB">
        <w:trPr>
          <w:trHeight w:val="355"/>
          <w:jc w:val="center"/>
        </w:trPr>
        <w:tc>
          <w:tcPr>
            <w:tcW w:w="1231" w:type="dxa"/>
            <w:tcBorders>
              <w:top w:val="nil"/>
              <w:left w:val="nil"/>
              <w:bottom w:val="nil"/>
              <w:right w:val="nil"/>
            </w:tcBorders>
            <w:shd w:val="clear" w:color="auto" w:fill="auto"/>
          </w:tcPr>
          <w:p w14:paraId="0F5E2425" w14:textId="77777777" w:rsidR="00B66DBB" w:rsidRPr="006739BB" w:rsidRDefault="00B66DBB" w:rsidP="00D71B7A">
            <w:pPr>
              <w:rPr>
                <w:rFonts w:ascii="Arial" w:hAnsi="Arial"/>
                <w:b/>
                <w:bCs/>
                <w:sz w:val="26"/>
                <w:szCs w:val="26"/>
                <w:rtl/>
              </w:rPr>
            </w:pPr>
            <w:r w:rsidRPr="006739BB">
              <w:rPr>
                <w:rFonts w:ascii="Arial" w:hAnsi="Arial" w:hint="cs"/>
                <w:b/>
                <w:bCs/>
                <w:sz w:val="26"/>
                <w:szCs w:val="26"/>
                <w:rtl/>
              </w:rPr>
              <w:t>ה</w:t>
            </w:r>
            <w:r w:rsidRPr="006739BB">
              <w:rPr>
                <w:rFonts w:ascii="Arial" w:hAnsi="Arial"/>
                <w:b/>
                <w:bCs/>
                <w:sz w:val="26"/>
                <w:szCs w:val="26"/>
                <w:rtl/>
              </w:rPr>
              <w:t>נאשם</w:t>
            </w:r>
          </w:p>
        </w:tc>
        <w:tc>
          <w:tcPr>
            <w:tcW w:w="4245" w:type="dxa"/>
            <w:tcBorders>
              <w:top w:val="nil"/>
              <w:left w:val="nil"/>
              <w:bottom w:val="nil"/>
              <w:right w:val="nil"/>
            </w:tcBorders>
            <w:shd w:val="clear" w:color="auto" w:fill="auto"/>
          </w:tcPr>
          <w:p w14:paraId="299D505F" w14:textId="77777777" w:rsidR="00B66DBB" w:rsidRPr="006739BB" w:rsidRDefault="00B66DBB" w:rsidP="00D71B7A">
            <w:pPr>
              <w:rPr>
                <w:rtl/>
              </w:rPr>
            </w:pPr>
            <w:r w:rsidRPr="006739BB">
              <w:rPr>
                <w:rFonts w:ascii="Arial" w:hAnsi="Arial"/>
                <w:b/>
                <w:bCs/>
                <w:sz w:val="26"/>
                <w:szCs w:val="26"/>
                <w:rtl/>
              </w:rPr>
              <w:t>אוראל זוית (עציר)</w:t>
            </w:r>
            <w:r w:rsidRPr="006739BB">
              <w:rPr>
                <w:rFonts w:hint="cs"/>
                <w:sz w:val="26"/>
                <w:szCs w:val="26"/>
                <w:rtl/>
              </w:rPr>
              <w:t xml:space="preserve"> </w:t>
            </w:r>
            <w:r w:rsidRPr="006739BB">
              <w:rPr>
                <w:rtl/>
              </w:rPr>
              <w:t>–</w:t>
            </w:r>
            <w:r w:rsidRPr="006739BB">
              <w:rPr>
                <w:rFonts w:hint="cs"/>
                <w:rtl/>
              </w:rPr>
              <w:t xml:space="preserve"> הובא באמצעות שב"ס </w:t>
            </w:r>
          </w:p>
          <w:p w14:paraId="13211771" w14:textId="77777777" w:rsidR="00B66DBB" w:rsidRPr="006739BB" w:rsidRDefault="00B66DBB" w:rsidP="00D71B7A">
            <w:pPr>
              <w:rPr>
                <w:sz w:val="26"/>
                <w:szCs w:val="26"/>
                <w:rtl/>
              </w:rPr>
            </w:pPr>
            <w:r w:rsidRPr="006739BB">
              <w:rPr>
                <w:rFonts w:hint="cs"/>
                <w:rtl/>
              </w:rPr>
              <w:t xml:space="preserve">ע"י ב"כ עוה"ד משה אלון ודיאנה שומסקי </w:t>
            </w:r>
          </w:p>
        </w:tc>
        <w:tc>
          <w:tcPr>
            <w:tcW w:w="3344" w:type="dxa"/>
            <w:tcBorders>
              <w:top w:val="nil"/>
              <w:left w:val="nil"/>
              <w:bottom w:val="nil"/>
              <w:right w:val="nil"/>
            </w:tcBorders>
            <w:shd w:val="clear" w:color="auto" w:fill="auto"/>
          </w:tcPr>
          <w:p w14:paraId="778D161A" w14:textId="77777777" w:rsidR="00B66DBB" w:rsidRPr="006739BB" w:rsidRDefault="00B66DBB" w:rsidP="00B66DBB">
            <w:pPr>
              <w:jc w:val="right"/>
              <w:rPr>
                <w:rFonts w:ascii="Arial" w:hAnsi="Arial"/>
                <w:sz w:val="26"/>
                <w:szCs w:val="26"/>
              </w:rPr>
            </w:pPr>
          </w:p>
        </w:tc>
      </w:tr>
    </w:tbl>
    <w:p w14:paraId="5FA4F328" w14:textId="77777777" w:rsidR="003E0C32" w:rsidRDefault="003E0C32" w:rsidP="006739BB">
      <w:pPr>
        <w:rPr>
          <w:rtl/>
        </w:rPr>
      </w:pPr>
    </w:p>
    <w:p w14:paraId="5611298F" w14:textId="77777777" w:rsidR="003E0C32" w:rsidRPr="003E0C32" w:rsidRDefault="003E0C32" w:rsidP="003E0C32">
      <w:pPr>
        <w:spacing w:after="120" w:line="240" w:lineRule="exact"/>
        <w:ind w:left="283" w:hanging="283"/>
        <w:jc w:val="both"/>
        <w:rPr>
          <w:rFonts w:ascii="FrankRuehl" w:hAnsi="FrankRuehl" w:cs="FrankRuehl"/>
          <w:rtl/>
        </w:rPr>
      </w:pPr>
    </w:p>
    <w:p w14:paraId="6B743F98" w14:textId="77777777" w:rsidR="007A6F4E" w:rsidRPr="007A6F4E" w:rsidRDefault="007A6F4E" w:rsidP="007A6F4E">
      <w:pPr>
        <w:spacing w:before="120" w:after="120" w:line="240" w:lineRule="exact"/>
        <w:ind w:left="283" w:hanging="283"/>
        <w:jc w:val="both"/>
        <w:rPr>
          <w:rFonts w:ascii="FrankRuehl" w:hAnsi="FrankRuehl" w:cs="FrankRuehl"/>
          <w:rtl/>
        </w:rPr>
      </w:pPr>
    </w:p>
    <w:p w14:paraId="65B89298" w14:textId="77777777" w:rsidR="009840F9" w:rsidRDefault="009840F9" w:rsidP="009840F9">
      <w:pPr>
        <w:rPr>
          <w:rtl/>
        </w:rPr>
      </w:pPr>
      <w:bookmarkStart w:id="3" w:name="LawTable"/>
      <w:bookmarkEnd w:id="3"/>
    </w:p>
    <w:p w14:paraId="74DCAC1B" w14:textId="77777777" w:rsidR="009840F9" w:rsidRPr="009840F9" w:rsidRDefault="009840F9" w:rsidP="009840F9">
      <w:pPr>
        <w:spacing w:before="120" w:after="120" w:line="240" w:lineRule="exact"/>
        <w:ind w:left="283" w:hanging="283"/>
        <w:jc w:val="both"/>
        <w:rPr>
          <w:rFonts w:ascii="FrankRuehl" w:hAnsi="FrankRuehl" w:cs="FrankRuehl"/>
          <w:rtl/>
        </w:rPr>
      </w:pPr>
    </w:p>
    <w:p w14:paraId="50C36E4F" w14:textId="77777777" w:rsidR="009840F9" w:rsidRPr="009840F9" w:rsidRDefault="009840F9" w:rsidP="009840F9">
      <w:pPr>
        <w:spacing w:before="120" w:after="120" w:line="240" w:lineRule="exact"/>
        <w:ind w:left="283" w:hanging="283"/>
        <w:jc w:val="both"/>
        <w:rPr>
          <w:rFonts w:ascii="FrankRuehl" w:hAnsi="FrankRuehl" w:cs="FrankRuehl"/>
          <w:rtl/>
        </w:rPr>
      </w:pPr>
    </w:p>
    <w:p w14:paraId="746BB91E" w14:textId="77777777" w:rsidR="009840F9" w:rsidRPr="009840F9" w:rsidRDefault="009840F9" w:rsidP="009840F9">
      <w:pPr>
        <w:spacing w:before="120" w:after="120" w:line="240" w:lineRule="exact"/>
        <w:ind w:left="283" w:hanging="283"/>
        <w:jc w:val="both"/>
        <w:rPr>
          <w:rFonts w:ascii="FrankRuehl" w:hAnsi="FrankRuehl" w:cs="FrankRuehl"/>
          <w:rtl/>
        </w:rPr>
      </w:pPr>
      <w:r w:rsidRPr="009840F9">
        <w:rPr>
          <w:rFonts w:ascii="FrankRuehl" w:hAnsi="FrankRuehl" w:cs="FrankRuehl"/>
          <w:rtl/>
        </w:rPr>
        <w:t xml:space="preserve">חקיקה שאוזכרה: </w:t>
      </w:r>
    </w:p>
    <w:p w14:paraId="63A9ADBB" w14:textId="77777777" w:rsidR="009840F9" w:rsidRPr="009840F9" w:rsidRDefault="009840F9" w:rsidP="009840F9">
      <w:pPr>
        <w:spacing w:before="120" w:after="120" w:line="240" w:lineRule="exact"/>
        <w:ind w:left="283" w:hanging="283"/>
        <w:jc w:val="both"/>
        <w:rPr>
          <w:rFonts w:ascii="FrankRuehl" w:hAnsi="FrankRuehl" w:cs="FrankRuehl"/>
          <w:rtl/>
        </w:rPr>
      </w:pPr>
      <w:hyperlink r:id="rId7" w:history="1">
        <w:r w:rsidRPr="009840F9">
          <w:rPr>
            <w:rFonts w:ascii="FrankRuehl" w:hAnsi="FrankRuehl" w:cs="FrankRuehl"/>
            <w:color w:val="0000FF"/>
            <w:rtl/>
          </w:rPr>
          <w:t>חוק העונשין, תשל"ז-1977</w:t>
        </w:r>
      </w:hyperlink>
      <w:r w:rsidRPr="009840F9">
        <w:rPr>
          <w:rFonts w:ascii="FrankRuehl" w:hAnsi="FrankRuehl" w:cs="FrankRuehl"/>
          <w:rtl/>
        </w:rPr>
        <w:t xml:space="preserve">: סע'  </w:t>
      </w:r>
      <w:hyperlink r:id="rId8" w:history="1">
        <w:r w:rsidRPr="009840F9">
          <w:rPr>
            <w:rFonts w:ascii="FrankRuehl" w:hAnsi="FrankRuehl" w:cs="FrankRuehl"/>
            <w:color w:val="0000FF"/>
            <w:rtl/>
          </w:rPr>
          <w:t>20(ג)(2)</w:t>
        </w:r>
      </w:hyperlink>
      <w:r w:rsidRPr="009840F9">
        <w:rPr>
          <w:rFonts w:ascii="FrankRuehl" w:hAnsi="FrankRuehl" w:cs="FrankRuehl"/>
          <w:rtl/>
        </w:rPr>
        <w:t xml:space="preserve">, </w:t>
      </w:r>
      <w:hyperlink r:id="rId9" w:history="1">
        <w:r w:rsidRPr="009840F9">
          <w:rPr>
            <w:rFonts w:ascii="FrankRuehl" w:hAnsi="FrankRuehl" w:cs="FrankRuehl"/>
            <w:color w:val="0000FF"/>
            <w:rtl/>
          </w:rPr>
          <w:t>40ג(א)</w:t>
        </w:r>
      </w:hyperlink>
      <w:r w:rsidRPr="009840F9">
        <w:rPr>
          <w:rFonts w:ascii="FrankRuehl" w:hAnsi="FrankRuehl" w:cs="FrankRuehl"/>
          <w:rtl/>
        </w:rPr>
        <w:t xml:space="preserve">, </w:t>
      </w:r>
      <w:hyperlink r:id="rId10" w:history="1">
        <w:r w:rsidRPr="009840F9">
          <w:rPr>
            <w:rFonts w:ascii="FrankRuehl" w:hAnsi="FrankRuehl" w:cs="FrankRuehl"/>
            <w:color w:val="0000FF"/>
            <w:rtl/>
          </w:rPr>
          <w:t>77(א)</w:t>
        </w:r>
      </w:hyperlink>
      <w:r w:rsidRPr="009840F9">
        <w:rPr>
          <w:rFonts w:ascii="FrankRuehl" w:hAnsi="FrankRuehl" w:cs="FrankRuehl"/>
          <w:rtl/>
        </w:rPr>
        <w:t xml:space="preserve">, </w:t>
      </w:r>
      <w:hyperlink r:id="rId11" w:history="1">
        <w:r w:rsidRPr="009840F9">
          <w:rPr>
            <w:rFonts w:ascii="FrankRuehl" w:hAnsi="FrankRuehl" w:cs="FrankRuehl"/>
            <w:color w:val="0000FF"/>
            <w:rtl/>
          </w:rPr>
          <w:t>144</w:t>
        </w:r>
      </w:hyperlink>
      <w:r w:rsidRPr="009840F9">
        <w:rPr>
          <w:rFonts w:ascii="FrankRuehl" w:hAnsi="FrankRuehl" w:cs="FrankRuehl"/>
          <w:rtl/>
        </w:rPr>
        <w:t xml:space="preserve">, </w:t>
      </w:r>
      <w:hyperlink r:id="rId12" w:history="1">
        <w:r w:rsidRPr="009840F9">
          <w:rPr>
            <w:rFonts w:ascii="FrankRuehl" w:hAnsi="FrankRuehl" w:cs="FrankRuehl"/>
            <w:color w:val="0000FF"/>
            <w:rtl/>
          </w:rPr>
          <w:t>144.א.</w:t>
        </w:r>
      </w:hyperlink>
      <w:r w:rsidRPr="009840F9">
        <w:rPr>
          <w:rFonts w:ascii="FrankRuehl" w:hAnsi="FrankRuehl" w:cs="FrankRuehl"/>
          <w:rtl/>
        </w:rPr>
        <w:t xml:space="preserve">, </w:t>
      </w:r>
      <w:hyperlink r:id="rId13" w:history="1">
        <w:r w:rsidRPr="009840F9">
          <w:rPr>
            <w:rFonts w:ascii="FrankRuehl" w:hAnsi="FrankRuehl" w:cs="FrankRuehl"/>
            <w:color w:val="0000FF"/>
            <w:rtl/>
          </w:rPr>
          <w:t>144.ב</w:t>
        </w:r>
      </w:hyperlink>
      <w:r w:rsidRPr="009840F9">
        <w:rPr>
          <w:rFonts w:ascii="FrankRuehl" w:hAnsi="FrankRuehl" w:cs="FrankRuehl"/>
          <w:rtl/>
        </w:rPr>
        <w:t xml:space="preserve">, </w:t>
      </w:r>
      <w:hyperlink r:id="rId14" w:history="1">
        <w:r w:rsidRPr="009840F9">
          <w:rPr>
            <w:rFonts w:ascii="FrankRuehl" w:hAnsi="FrankRuehl" w:cs="FrankRuehl"/>
            <w:color w:val="0000FF"/>
            <w:rtl/>
          </w:rPr>
          <w:t>186</w:t>
        </w:r>
      </w:hyperlink>
      <w:r w:rsidRPr="009840F9">
        <w:rPr>
          <w:rFonts w:ascii="FrankRuehl" w:hAnsi="FrankRuehl" w:cs="FrankRuehl"/>
          <w:rtl/>
        </w:rPr>
        <w:t xml:space="preserve">, </w:t>
      </w:r>
      <w:hyperlink r:id="rId15" w:history="1">
        <w:r w:rsidRPr="009840F9">
          <w:rPr>
            <w:rFonts w:ascii="FrankRuehl" w:hAnsi="FrankRuehl" w:cs="FrankRuehl"/>
            <w:color w:val="0000FF"/>
            <w:rtl/>
          </w:rPr>
          <w:t>186(א)</w:t>
        </w:r>
      </w:hyperlink>
      <w:r w:rsidRPr="009840F9">
        <w:rPr>
          <w:rFonts w:ascii="FrankRuehl" w:hAnsi="FrankRuehl" w:cs="FrankRuehl"/>
          <w:rtl/>
        </w:rPr>
        <w:t xml:space="preserve">, </w:t>
      </w:r>
      <w:hyperlink r:id="rId16" w:history="1">
        <w:r w:rsidRPr="009840F9">
          <w:rPr>
            <w:rFonts w:ascii="FrankRuehl" w:hAnsi="FrankRuehl" w:cs="FrankRuehl"/>
            <w:color w:val="0000FF"/>
            <w:rtl/>
          </w:rPr>
          <w:t>191</w:t>
        </w:r>
      </w:hyperlink>
      <w:r w:rsidRPr="009840F9">
        <w:rPr>
          <w:rFonts w:ascii="FrankRuehl" w:hAnsi="FrankRuehl" w:cs="FrankRuehl"/>
          <w:rtl/>
        </w:rPr>
        <w:t xml:space="preserve">, </w:t>
      </w:r>
      <w:hyperlink r:id="rId17" w:history="1">
        <w:r w:rsidRPr="009840F9">
          <w:rPr>
            <w:rFonts w:ascii="FrankRuehl" w:hAnsi="FrankRuehl" w:cs="FrankRuehl"/>
            <w:color w:val="0000FF"/>
            <w:rtl/>
          </w:rPr>
          <w:t>192</w:t>
        </w:r>
      </w:hyperlink>
      <w:r w:rsidRPr="009840F9">
        <w:rPr>
          <w:rFonts w:ascii="FrankRuehl" w:hAnsi="FrankRuehl" w:cs="FrankRuehl"/>
          <w:rtl/>
        </w:rPr>
        <w:t xml:space="preserve">, </w:t>
      </w:r>
      <w:hyperlink r:id="rId18" w:history="1">
        <w:r w:rsidRPr="009840F9">
          <w:rPr>
            <w:rFonts w:ascii="FrankRuehl" w:hAnsi="FrankRuehl" w:cs="FrankRuehl"/>
            <w:color w:val="0000FF"/>
            <w:rtl/>
          </w:rPr>
          <w:t>198</w:t>
        </w:r>
      </w:hyperlink>
      <w:r w:rsidRPr="009840F9">
        <w:rPr>
          <w:rFonts w:ascii="FrankRuehl" w:hAnsi="FrankRuehl" w:cs="FrankRuehl"/>
          <w:rtl/>
        </w:rPr>
        <w:t xml:space="preserve">, </w:t>
      </w:r>
      <w:hyperlink r:id="rId19" w:history="1">
        <w:r w:rsidRPr="009840F9">
          <w:rPr>
            <w:rFonts w:ascii="FrankRuehl" w:hAnsi="FrankRuehl" w:cs="FrankRuehl"/>
            <w:color w:val="0000FF"/>
            <w:rtl/>
          </w:rPr>
          <w:t>244</w:t>
        </w:r>
      </w:hyperlink>
      <w:r w:rsidRPr="009840F9">
        <w:rPr>
          <w:rFonts w:ascii="FrankRuehl" w:hAnsi="FrankRuehl" w:cs="FrankRuehl"/>
          <w:rtl/>
        </w:rPr>
        <w:t xml:space="preserve">, </w:t>
      </w:r>
      <w:hyperlink r:id="rId20" w:history="1">
        <w:r w:rsidRPr="009840F9">
          <w:rPr>
            <w:rFonts w:ascii="FrankRuehl" w:hAnsi="FrankRuehl" w:cs="FrankRuehl"/>
            <w:color w:val="0000FF"/>
            <w:rtl/>
          </w:rPr>
          <w:t>275</w:t>
        </w:r>
      </w:hyperlink>
      <w:r w:rsidRPr="009840F9">
        <w:rPr>
          <w:rFonts w:ascii="FrankRuehl" w:hAnsi="FrankRuehl" w:cs="FrankRuehl"/>
          <w:rtl/>
        </w:rPr>
        <w:t xml:space="preserve">, </w:t>
      </w:r>
      <w:hyperlink r:id="rId21" w:history="1">
        <w:r w:rsidRPr="009840F9">
          <w:rPr>
            <w:rFonts w:ascii="FrankRuehl" w:hAnsi="FrankRuehl" w:cs="FrankRuehl"/>
            <w:color w:val="0000FF"/>
            <w:rtl/>
          </w:rPr>
          <w:t>287(ב)</w:t>
        </w:r>
      </w:hyperlink>
      <w:r w:rsidRPr="009840F9">
        <w:rPr>
          <w:rFonts w:ascii="FrankRuehl" w:hAnsi="FrankRuehl" w:cs="FrankRuehl"/>
          <w:rtl/>
        </w:rPr>
        <w:t xml:space="preserve">, </w:t>
      </w:r>
      <w:hyperlink r:id="rId22" w:history="1">
        <w:r w:rsidRPr="009840F9">
          <w:rPr>
            <w:rFonts w:ascii="FrankRuehl" w:hAnsi="FrankRuehl" w:cs="FrankRuehl"/>
            <w:color w:val="0000FF"/>
            <w:rtl/>
          </w:rPr>
          <w:t>298</w:t>
        </w:r>
      </w:hyperlink>
      <w:r w:rsidRPr="009840F9">
        <w:rPr>
          <w:rFonts w:ascii="FrankRuehl" w:hAnsi="FrankRuehl" w:cs="FrankRuehl"/>
          <w:rtl/>
        </w:rPr>
        <w:t xml:space="preserve">, </w:t>
      </w:r>
      <w:hyperlink r:id="rId23" w:history="1">
        <w:r w:rsidRPr="009840F9">
          <w:rPr>
            <w:rFonts w:ascii="FrankRuehl" w:hAnsi="FrankRuehl" w:cs="FrankRuehl"/>
            <w:color w:val="0000FF"/>
            <w:rtl/>
          </w:rPr>
          <w:t>300(א)(2)</w:t>
        </w:r>
      </w:hyperlink>
      <w:r w:rsidRPr="009840F9">
        <w:rPr>
          <w:rFonts w:ascii="FrankRuehl" w:hAnsi="FrankRuehl" w:cs="FrankRuehl"/>
          <w:rtl/>
        </w:rPr>
        <w:t xml:space="preserve">, </w:t>
      </w:r>
      <w:hyperlink r:id="rId24" w:history="1">
        <w:r w:rsidRPr="009840F9">
          <w:rPr>
            <w:rFonts w:ascii="FrankRuehl" w:hAnsi="FrankRuehl" w:cs="FrankRuehl"/>
            <w:color w:val="0000FF"/>
            <w:rtl/>
          </w:rPr>
          <w:t>300(א)(3)</w:t>
        </w:r>
      </w:hyperlink>
      <w:r w:rsidRPr="009840F9">
        <w:rPr>
          <w:rFonts w:ascii="FrankRuehl" w:hAnsi="FrankRuehl" w:cs="FrankRuehl"/>
          <w:rtl/>
        </w:rPr>
        <w:t xml:space="preserve">, </w:t>
      </w:r>
      <w:hyperlink r:id="rId25" w:history="1">
        <w:r w:rsidRPr="009840F9">
          <w:rPr>
            <w:rFonts w:ascii="FrankRuehl" w:hAnsi="FrankRuehl" w:cs="FrankRuehl"/>
            <w:color w:val="0000FF"/>
            <w:rtl/>
          </w:rPr>
          <w:t>305</w:t>
        </w:r>
      </w:hyperlink>
      <w:r w:rsidRPr="009840F9">
        <w:rPr>
          <w:rFonts w:ascii="FrankRuehl" w:hAnsi="FrankRuehl" w:cs="FrankRuehl"/>
          <w:rtl/>
        </w:rPr>
        <w:t xml:space="preserve">, </w:t>
      </w:r>
      <w:hyperlink r:id="rId26" w:history="1">
        <w:r w:rsidRPr="009840F9">
          <w:rPr>
            <w:rFonts w:ascii="FrankRuehl" w:hAnsi="FrankRuehl" w:cs="FrankRuehl"/>
            <w:color w:val="0000FF"/>
            <w:rtl/>
          </w:rPr>
          <w:t>305(1)</w:t>
        </w:r>
      </w:hyperlink>
      <w:r w:rsidRPr="009840F9">
        <w:rPr>
          <w:rFonts w:ascii="FrankRuehl" w:hAnsi="FrankRuehl" w:cs="FrankRuehl"/>
          <w:rtl/>
        </w:rPr>
        <w:t xml:space="preserve">, </w:t>
      </w:r>
      <w:hyperlink r:id="rId27" w:history="1">
        <w:r w:rsidRPr="009840F9">
          <w:rPr>
            <w:rFonts w:ascii="FrankRuehl" w:hAnsi="FrankRuehl" w:cs="FrankRuehl"/>
            <w:color w:val="0000FF"/>
            <w:rtl/>
          </w:rPr>
          <w:t>329(א)(1)</w:t>
        </w:r>
      </w:hyperlink>
      <w:r w:rsidRPr="009840F9">
        <w:rPr>
          <w:rFonts w:ascii="FrankRuehl" w:hAnsi="FrankRuehl" w:cs="FrankRuehl"/>
          <w:rtl/>
        </w:rPr>
        <w:t xml:space="preserve">, </w:t>
      </w:r>
      <w:hyperlink r:id="rId28" w:history="1">
        <w:r w:rsidRPr="009840F9">
          <w:rPr>
            <w:rFonts w:ascii="FrankRuehl" w:hAnsi="FrankRuehl" w:cs="FrankRuehl"/>
            <w:color w:val="0000FF"/>
            <w:rtl/>
          </w:rPr>
          <w:t>329(א)(2)</w:t>
        </w:r>
      </w:hyperlink>
      <w:r w:rsidRPr="009840F9">
        <w:rPr>
          <w:rFonts w:ascii="FrankRuehl" w:hAnsi="FrankRuehl" w:cs="FrankRuehl"/>
          <w:rtl/>
        </w:rPr>
        <w:t xml:space="preserve">, </w:t>
      </w:r>
      <w:hyperlink r:id="rId29" w:history="1">
        <w:r w:rsidRPr="009840F9">
          <w:rPr>
            <w:rFonts w:ascii="FrankRuehl" w:hAnsi="FrankRuehl" w:cs="FrankRuehl"/>
            <w:color w:val="0000FF"/>
            <w:rtl/>
          </w:rPr>
          <w:t>333</w:t>
        </w:r>
      </w:hyperlink>
      <w:r w:rsidRPr="009840F9">
        <w:rPr>
          <w:rFonts w:ascii="FrankRuehl" w:hAnsi="FrankRuehl" w:cs="FrankRuehl"/>
          <w:rtl/>
        </w:rPr>
        <w:t xml:space="preserve">, </w:t>
      </w:r>
      <w:hyperlink r:id="rId30" w:history="1">
        <w:r w:rsidRPr="009840F9">
          <w:rPr>
            <w:rFonts w:ascii="FrankRuehl" w:hAnsi="FrankRuehl" w:cs="FrankRuehl"/>
            <w:color w:val="0000FF"/>
            <w:rtl/>
          </w:rPr>
          <w:t>335(א)(1)</w:t>
        </w:r>
      </w:hyperlink>
      <w:r w:rsidRPr="009840F9">
        <w:rPr>
          <w:rFonts w:ascii="FrankRuehl" w:hAnsi="FrankRuehl" w:cs="FrankRuehl"/>
          <w:rtl/>
        </w:rPr>
        <w:t xml:space="preserve">, </w:t>
      </w:r>
      <w:hyperlink r:id="rId31" w:history="1">
        <w:r w:rsidRPr="009840F9">
          <w:rPr>
            <w:rFonts w:ascii="FrankRuehl" w:hAnsi="FrankRuehl" w:cs="FrankRuehl"/>
            <w:color w:val="0000FF"/>
            <w:rtl/>
          </w:rPr>
          <w:t>368ב</w:t>
        </w:r>
      </w:hyperlink>
      <w:r w:rsidRPr="009840F9">
        <w:rPr>
          <w:rFonts w:ascii="FrankRuehl" w:hAnsi="FrankRuehl" w:cs="FrankRuehl"/>
          <w:rtl/>
        </w:rPr>
        <w:t xml:space="preserve">, </w:t>
      </w:r>
      <w:hyperlink r:id="rId32" w:history="1">
        <w:r w:rsidRPr="009840F9">
          <w:rPr>
            <w:rFonts w:ascii="FrankRuehl" w:hAnsi="FrankRuehl" w:cs="FrankRuehl"/>
            <w:color w:val="0000FF"/>
            <w:rtl/>
          </w:rPr>
          <w:t>382א.(א)</w:t>
        </w:r>
      </w:hyperlink>
      <w:r w:rsidRPr="009840F9">
        <w:rPr>
          <w:rFonts w:ascii="FrankRuehl" w:hAnsi="FrankRuehl" w:cs="FrankRuehl"/>
          <w:rtl/>
        </w:rPr>
        <w:t xml:space="preserve">, </w:t>
      </w:r>
      <w:hyperlink r:id="rId33" w:history="1">
        <w:r w:rsidRPr="009840F9">
          <w:rPr>
            <w:rFonts w:ascii="FrankRuehl" w:hAnsi="FrankRuehl" w:cs="FrankRuehl"/>
            <w:color w:val="0000FF"/>
            <w:rtl/>
          </w:rPr>
          <w:t>402(ב)</w:t>
        </w:r>
      </w:hyperlink>
      <w:r w:rsidRPr="009840F9">
        <w:rPr>
          <w:rFonts w:ascii="FrankRuehl" w:hAnsi="FrankRuehl" w:cs="FrankRuehl"/>
          <w:rtl/>
        </w:rPr>
        <w:t xml:space="preserve">, </w:t>
      </w:r>
      <w:hyperlink r:id="rId34" w:history="1">
        <w:r w:rsidRPr="009840F9">
          <w:rPr>
            <w:rFonts w:ascii="FrankRuehl" w:hAnsi="FrankRuehl" w:cs="FrankRuehl"/>
            <w:color w:val="0000FF"/>
            <w:rtl/>
          </w:rPr>
          <w:t>40.יג</w:t>
        </w:r>
      </w:hyperlink>
      <w:r w:rsidRPr="009840F9">
        <w:rPr>
          <w:rFonts w:ascii="FrankRuehl" w:hAnsi="FrankRuehl" w:cs="FrankRuehl"/>
          <w:rtl/>
        </w:rPr>
        <w:t xml:space="preserve">, </w:t>
      </w:r>
      <w:hyperlink r:id="rId35" w:history="1">
        <w:r w:rsidRPr="009840F9">
          <w:rPr>
            <w:rFonts w:ascii="FrankRuehl" w:hAnsi="FrankRuehl" w:cs="FrankRuehl"/>
            <w:color w:val="0000FF"/>
            <w:rtl/>
          </w:rPr>
          <w:t>448</w:t>
        </w:r>
      </w:hyperlink>
      <w:r w:rsidRPr="009840F9">
        <w:rPr>
          <w:rFonts w:ascii="FrankRuehl" w:hAnsi="FrankRuehl" w:cs="FrankRuehl"/>
          <w:rtl/>
        </w:rPr>
        <w:t xml:space="preserve">, </w:t>
      </w:r>
      <w:hyperlink r:id="rId36" w:history="1">
        <w:r w:rsidRPr="009840F9">
          <w:rPr>
            <w:rFonts w:ascii="FrankRuehl" w:hAnsi="FrankRuehl" w:cs="FrankRuehl"/>
            <w:color w:val="0000FF"/>
            <w:rtl/>
          </w:rPr>
          <w:t>ד</w:t>
        </w:r>
      </w:hyperlink>
      <w:r w:rsidRPr="009840F9">
        <w:rPr>
          <w:rFonts w:ascii="FrankRuehl" w:hAnsi="FrankRuehl" w:cs="FrankRuehl"/>
          <w:rtl/>
        </w:rPr>
        <w:t xml:space="preserve">, </w:t>
      </w:r>
      <w:hyperlink r:id="rId37" w:history="1">
        <w:r w:rsidRPr="009840F9">
          <w:rPr>
            <w:rFonts w:ascii="FrankRuehl" w:hAnsi="FrankRuehl" w:cs="FrankRuehl"/>
            <w:color w:val="0000FF"/>
            <w:rtl/>
          </w:rPr>
          <w:t>ח</w:t>
        </w:r>
        <w:r w:rsidRPr="009840F9">
          <w:rPr>
            <w:rFonts w:ascii="FrankRuehl" w:hAnsi="FrankRuehl" w:cs="FrankRuehl"/>
            <w:color w:val="0000FF"/>
          </w:rPr>
          <w:t>S</w:t>
        </w:r>
      </w:hyperlink>
      <w:r w:rsidRPr="009840F9">
        <w:rPr>
          <w:rFonts w:ascii="FrankRuehl" w:hAnsi="FrankRuehl" w:cs="FrankRuehl"/>
          <w:rtl/>
        </w:rPr>
        <w:t xml:space="preserve">, </w:t>
      </w:r>
      <w:hyperlink r:id="rId38" w:history="1">
        <w:r w:rsidRPr="009840F9">
          <w:rPr>
            <w:rFonts w:ascii="FrankRuehl" w:hAnsi="FrankRuehl" w:cs="FrankRuehl"/>
            <w:color w:val="0000FF"/>
            <w:rtl/>
          </w:rPr>
          <w:t>א' לפרק ט'</w:t>
        </w:r>
      </w:hyperlink>
      <w:r w:rsidRPr="009840F9">
        <w:rPr>
          <w:rFonts w:ascii="FrankRuehl" w:hAnsi="FrankRuehl" w:cs="FrankRuehl"/>
          <w:rtl/>
        </w:rPr>
        <w:t xml:space="preserve">, </w:t>
      </w:r>
      <w:hyperlink r:id="rId39" w:history="1">
        <w:r w:rsidRPr="009840F9">
          <w:rPr>
            <w:rFonts w:ascii="FrankRuehl" w:hAnsi="FrankRuehl" w:cs="FrankRuehl"/>
            <w:color w:val="0000FF"/>
            <w:rtl/>
          </w:rPr>
          <w:t>י</w:t>
        </w:r>
        <w:r w:rsidRPr="009840F9">
          <w:rPr>
            <w:rFonts w:ascii="FrankRuehl" w:hAnsi="FrankRuehl" w:cs="FrankRuehl"/>
            <w:color w:val="0000FF"/>
          </w:rPr>
          <w:t>C</w:t>
        </w:r>
        <w:r w:rsidRPr="009840F9">
          <w:rPr>
            <w:rFonts w:ascii="FrankRuehl" w:hAnsi="FrankRuehl" w:cs="FrankRuehl"/>
            <w:color w:val="0000FF"/>
            <w:rtl/>
          </w:rPr>
          <w:t>א</w:t>
        </w:r>
      </w:hyperlink>
    </w:p>
    <w:p w14:paraId="7F7AC642" w14:textId="77777777" w:rsidR="009840F9" w:rsidRPr="009840F9" w:rsidRDefault="009840F9" w:rsidP="009840F9">
      <w:pPr>
        <w:spacing w:before="120" w:after="120" w:line="240" w:lineRule="exact"/>
        <w:ind w:left="283" w:hanging="283"/>
        <w:jc w:val="both"/>
        <w:rPr>
          <w:rFonts w:ascii="FrankRuehl" w:hAnsi="FrankRuehl" w:cs="FrankRuehl"/>
          <w:rtl/>
        </w:rPr>
      </w:pPr>
      <w:hyperlink r:id="rId40" w:history="1">
        <w:r w:rsidRPr="009840F9">
          <w:rPr>
            <w:rFonts w:ascii="FrankRuehl" w:hAnsi="FrankRuehl" w:cs="FrankRuehl"/>
            <w:color w:val="0000FF"/>
            <w:rtl/>
          </w:rPr>
          <w:t>פקודת סדר הדין הפלילי (מעצר וחיפוש) [נוסח חדש], תשכ"ט-1969</w:t>
        </w:r>
      </w:hyperlink>
      <w:r w:rsidRPr="009840F9">
        <w:rPr>
          <w:rFonts w:ascii="FrankRuehl" w:hAnsi="FrankRuehl" w:cs="FrankRuehl"/>
          <w:rtl/>
        </w:rPr>
        <w:t xml:space="preserve">: סע'  </w:t>
      </w:r>
      <w:hyperlink r:id="rId41" w:history="1">
        <w:r w:rsidRPr="009840F9">
          <w:rPr>
            <w:rFonts w:ascii="FrankRuehl" w:hAnsi="FrankRuehl" w:cs="FrankRuehl"/>
            <w:color w:val="0000FF"/>
            <w:rtl/>
          </w:rPr>
          <w:t>47(א)</w:t>
        </w:r>
      </w:hyperlink>
    </w:p>
    <w:p w14:paraId="2414BE53" w14:textId="77777777" w:rsidR="009840F9" w:rsidRPr="009840F9" w:rsidRDefault="009840F9" w:rsidP="009840F9">
      <w:pPr>
        <w:rPr>
          <w:rtl/>
        </w:rPr>
      </w:pPr>
      <w:bookmarkStart w:id="4" w:name="LawTable_End"/>
      <w:bookmarkEnd w:id="4"/>
    </w:p>
    <w:p w14:paraId="4AD642CE" w14:textId="77777777" w:rsidR="006739BB" w:rsidRPr="007A6F4E" w:rsidRDefault="006739BB" w:rsidP="007A6F4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6DBB" w:rsidRPr="00AC69DB" w14:paraId="4CBE17E0" w14:textId="77777777" w:rsidTr="00B66DBB">
        <w:trPr>
          <w:trHeight w:val="355"/>
          <w:jc w:val="center"/>
        </w:trPr>
        <w:tc>
          <w:tcPr>
            <w:tcW w:w="8820" w:type="dxa"/>
            <w:tcBorders>
              <w:top w:val="nil"/>
              <w:left w:val="nil"/>
              <w:bottom w:val="nil"/>
              <w:right w:val="nil"/>
            </w:tcBorders>
            <w:shd w:val="clear" w:color="auto" w:fill="auto"/>
          </w:tcPr>
          <w:p w14:paraId="18CDABB6" w14:textId="77777777" w:rsidR="006739BB" w:rsidRPr="006739BB" w:rsidRDefault="006739BB" w:rsidP="006739BB">
            <w:pPr>
              <w:jc w:val="center"/>
              <w:rPr>
                <w:rFonts w:ascii="Arial" w:hAnsi="Arial"/>
                <w:b/>
                <w:bCs/>
                <w:sz w:val="28"/>
                <w:szCs w:val="28"/>
                <w:rtl/>
              </w:rPr>
            </w:pPr>
            <w:bookmarkStart w:id="5" w:name="PsakDin" w:colFirst="0" w:colLast="0"/>
            <w:r w:rsidRPr="006739BB">
              <w:rPr>
                <w:rFonts w:ascii="Arial" w:hAnsi="Arial"/>
                <w:b/>
                <w:bCs/>
                <w:sz w:val="28"/>
                <w:szCs w:val="28"/>
                <w:rtl/>
              </w:rPr>
              <w:t>גזר דין</w:t>
            </w:r>
          </w:p>
          <w:p w14:paraId="2541148C" w14:textId="77777777" w:rsidR="00B66DBB" w:rsidRPr="006739BB" w:rsidRDefault="00B66DBB" w:rsidP="006739BB">
            <w:pPr>
              <w:jc w:val="center"/>
              <w:rPr>
                <w:rFonts w:ascii="Arial" w:hAnsi="Arial"/>
                <w:bCs/>
                <w:sz w:val="28"/>
                <w:szCs w:val="28"/>
                <w:rtl/>
              </w:rPr>
            </w:pPr>
          </w:p>
        </w:tc>
      </w:tr>
      <w:bookmarkEnd w:id="5"/>
    </w:tbl>
    <w:p w14:paraId="33A6BE1F" w14:textId="77777777" w:rsidR="00B66DBB" w:rsidRPr="00B05847" w:rsidRDefault="00B66DBB" w:rsidP="00B66DBB">
      <w:pPr>
        <w:rPr>
          <w:rFonts w:ascii="Arial" w:hAnsi="Arial"/>
          <w:rtl/>
        </w:rPr>
      </w:pPr>
    </w:p>
    <w:p w14:paraId="1ED88B9F" w14:textId="77777777" w:rsidR="00B66DBB" w:rsidRDefault="00B66DBB" w:rsidP="00B66DBB">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יליד 1996 הורשע לאחר שמיעת ראיות בביצוען של עבירות הריגה על פי </w:t>
      </w:r>
      <w:hyperlink r:id="rId42" w:history="1">
        <w:r w:rsidR="003E0C32" w:rsidRPr="003E0C32">
          <w:rPr>
            <w:rStyle w:val="Hyperlink"/>
            <w:rFonts w:ascii="David" w:hAnsi="David" w:cs="David"/>
            <w:sz w:val="24"/>
            <w:szCs w:val="24"/>
            <w:rtl/>
          </w:rPr>
          <w:t>סעיף 198</w:t>
        </w:r>
      </w:hyperlink>
      <w:r>
        <w:rPr>
          <w:rFonts w:ascii="David" w:hAnsi="David" w:cs="David"/>
          <w:sz w:val="24"/>
          <w:szCs w:val="24"/>
          <w:rtl/>
        </w:rPr>
        <w:t xml:space="preserve"> ל</w:t>
      </w:r>
      <w:hyperlink r:id="rId43"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התשל"ז-1977 (להלן: "</w:t>
      </w:r>
      <w:r>
        <w:rPr>
          <w:rFonts w:ascii="David" w:hAnsi="David" w:cs="David"/>
          <w:b/>
          <w:bCs/>
          <w:sz w:val="24"/>
          <w:szCs w:val="24"/>
          <w:rtl/>
        </w:rPr>
        <w:t>חוק העונשין</w:t>
      </w:r>
      <w:r>
        <w:rPr>
          <w:rFonts w:ascii="David" w:hAnsi="David" w:cs="David"/>
          <w:sz w:val="24"/>
          <w:szCs w:val="24"/>
          <w:rtl/>
        </w:rPr>
        <w:t>" או "</w:t>
      </w:r>
      <w:r>
        <w:rPr>
          <w:rFonts w:ascii="David" w:hAnsi="David" w:cs="David"/>
          <w:b/>
          <w:bCs/>
          <w:sz w:val="24"/>
          <w:szCs w:val="24"/>
          <w:rtl/>
        </w:rPr>
        <w:t>החוק</w:t>
      </w:r>
      <w:r>
        <w:rPr>
          <w:rFonts w:ascii="David" w:hAnsi="David" w:cs="David"/>
          <w:sz w:val="24"/>
          <w:szCs w:val="24"/>
          <w:rtl/>
        </w:rPr>
        <w:t xml:space="preserve">"), חבלה בכוונה מחמירה על פי </w:t>
      </w:r>
      <w:hyperlink r:id="rId44" w:history="1">
        <w:r w:rsidR="003E0C32" w:rsidRPr="003E0C32">
          <w:rPr>
            <w:rStyle w:val="Hyperlink"/>
            <w:rFonts w:ascii="David" w:hAnsi="David" w:cs="David"/>
            <w:sz w:val="24"/>
            <w:szCs w:val="24"/>
            <w:rtl/>
          </w:rPr>
          <w:t>סעיף 329(א)(2)</w:t>
        </w:r>
      </w:hyperlink>
      <w:r>
        <w:rPr>
          <w:rFonts w:ascii="David" w:hAnsi="David" w:cs="David"/>
          <w:sz w:val="24"/>
          <w:szCs w:val="24"/>
          <w:rtl/>
        </w:rPr>
        <w:t xml:space="preserve"> לחוק העונשין, החזקת נשק ונשיאתו על פי סעיפים </w:t>
      </w:r>
      <w:hyperlink r:id="rId45" w:history="1">
        <w:r w:rsidR="003E0C32" w:rsidRPr="003E0C32">
          <w:rPr>
            <w:rStyle w:val="Hyperlink"/>
            <w:rFonts w:ascii="David" w:hAnsi="David" w:cs="David"/>
            <w:sz w:val="24"/>
            <w:szCs w:val="24"/>
            <w:rtl/>
          </w:rPr>
          <w:t>144(א) ו-(ב)</w:t>
        </w:r>
      </w:hyperlink>
      <w:r>
        <w:rPr>
          <w:rFonts w:ascii="David" w:hAnsi="David" w:cs="David"/>
          <w:sz w:val="24"/>
          <w:szCs w:val="24"/>
          <w:rtl/>
        </w:rPr>
        <w:t xml:space="preserve"> לחוק, שיבוש מהלכי משפט לפי </w:t>
      </w:r>
      <w:hyperlink r:id="rId46" w:history="1">
        <w:r w:rsidR="003E0C32" w:rsidRPr="003E0C32">
          <w:rPr>
            <w:rStyle w:val="Hyperlink"/>
            <w:rFonts w:ascii="David" w:hAnsi="David" w:cs="David"/>
            <w:sz w:val="24"/>
            <w:szCs w:val="24"/>
            <w:rtl/>
          </w:rPr>
          <w:t>סעיף 244</w:t>
        </w:r>
      </w:hyperlink>
      <w:r>
        <w:rPr>
          <w:rFonts w:ascii="David" w:hAnsi="David" w:cs="David"/>
          <w:sz w:val="24"/>
          <w:szCs w:val="24"/>
          <w:rtl/>
        </w:rPr>
        <w:t xml:space="preserve"> לחוק והחזקת סכין על פי </w:t>
      </w:r>
      <w:hyperlink r:id="rId47" w:history="1">
        <w:r w:rsidR="003E0C32" w:rsidRPr="003E0C32">
          <w:rPr>
            <w:rStyle w:val="Hyperlink"/>
            <w:rFonts w:ascii="David" w:hAnsi="David" w:cs="David"/>
            <w:sz w:val="24"/>
            <w:szCs w:val="24"/>
            <w:rtl/>
          </w:rPr>
          <w:t>סעיף 186(א)</w:t>
        </w:r>
      </w:hyperlink>
      <w:r>
        <w:rPr>
          <w:rFonts w:ascii="David" w:hAnsi="David" w:cs="David"/>
          <w:sz w:val="24"/>
          <w:szCs w:val="24"/>
          <w:rtl/>
        </w:rPr>
        <w:t xml:space="preserve"> לחוק העונשין. </w:t>
      </w:r>
    </w:p>
    <w:p w14:paraId="74711CDD" w14:textId="77777777" w:rsidR="00B66DBB" w:rsidRDefault="00B66DBB" w:rsidP="00B66DBB">
      <w:pPr>
        <w:pStyle w:val="a9"/>
        <w:spacing w:line="360" w:lineRule="auto"/>
        <w:jc w:val="both"/>
        <w:rPr>
          <w:rFonts w:ascii="David" w:hAnsi="David" w:cs="David"/>
          <w:sz w:val="24"/>
          <w:szCs w:val="24"/>
        </w:rPr>
      </w:pPr>
      <w:r>
        <w:rPr>
          <w:rFonts w:ascii="David" w:hAnsi="David" w:cs="David"/>
          <w:sz w:val="24"/>
          <w:szCs w:val="24"/>
          <w:rtl/>
        </w:rPr>
        <w:t xml:space="preserve">נזכיר שכתב האישום ייחס לנאשם מלכתחילה עבירות של רצח לפי </w:t>
      </w:r>
      <w:hyperlink r:id="rId48" w:history="1">
        <w:r w:rsidR="003E0C32" w:rsidRPr="003E0C32">
          <w:rPr>
            <w:rStyle w:val="Hyperlink"/>
            <w:rFonts w:ascii="David" w:hAnsi="David" w:cs="David"/>
            <w:sz w:val="24"/>
            <w:szCs w:val="24"/>
            <w:rtl/>
          </w:rPr>
          <w:t>סעיף 300(א)(2)</w:t>
        </w:r>
      </w:hyperlink>
      <w:r>
        <w:rPr>
          <w:rFonts w:ascii="David" w:hAnsi="David" w:cs="David"/>
          <w:sz w:val="24"/>
          <w:szCs w:val="24"/>
          <w:rtl/>
        </w:rPr>
        <w:t xml:space="preserve"> ל</w:t>
      </w:r>
      <w:hyperlink r:id="rId49"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ניסיון רצח על פי </w:t>
      </w:r>
      <w:hyperlink r:id="rId50" w:history="1">
        <w:r w:rsidR="003E0C32" w:rsidRPr="003E0C32">
          <w:rPr>
            <w:rStyle w:val="Hyperlink"/>
            <w:rFonts w:ascii="David" w:hAnsi="David" w:cs="David"/>
            <w:sz w:val="24"/>
            <w:szCs w:val="24"/>
            <w:rtl/>
          </w:rPr>
          <w:t>סעיף 305(1)</w:t>
        </w:r>
      </w:hyperlink>
      <w:r>
        <w:rPr>
          <w:rFonts w:ascii="David" w:hAnsi="David" w:cs="David"/>
          <w:sz w:val="24"/>
          <w:szCs w:val="24"/>
          <w:rtl/>
        </w:rPr>
        <w:t xml:space="preserve"> לחוק; מהן זוכה, ותחתן הורשע בעבירות ההריגה והחבלה בכוונה מחמירה. עוד יש לציין שהעבירות בוצעו ביום 14.02.19 טרם כניסתו לתוקף של תיקון 137 ל</w:t>
      </w:r>
      <w:hyperlink r:id="rId51"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w:t>
      </w:r>
    </w:p>
    <w:p w14:paraId="326D3CC7" w14:textId="77777777" w:rsidR="00B66DBB" w:rsidRDefault="00B66DBB" w:rsidP="00B66DBB">
      <w:pPr>
        <w:pStyle w:val="a9"/>
        <w:spacing w:line="360" w:lineRule="auto"/>
        <w:jc w:val="both"/>
        <w:rPr>
          <w:rFonts w:ascii="David" w:hAnsi="David" w:cs="David"/>
          <w:sz w:val="24"/>
          <w:szCs w:val="24"/>
          <w:rtl/>
        </w:rPr>
      </w:pPr>
      <w:bookmarkStart w:id="7" w:name="ABSTRACT_END"/>
      <w:bookmarkEnd w:id="7"/>
      <w:r>
        <w:rPr>
          <w:rFonts w:ascii="David" w:hAnsi="David" w:cs="David"/>
          <w:sz w:val="24"/>
          <w:szCs w:val="24"/>
          <w:rtl/>
        </w:rPr>
        <w:t xml:space="preserve">פרטי המעשים פורטו בהכרעת הדין שניתנה ביום 04.12.22. בקצירת האומר ייאמר במעמד הנוכחי, שעל רקע סכסוך בנוגע לחניית רכב בסמוך לעסקו של הנאשם, שהתרחש כ-25 דקות קודם לכן, בין הנאשם ואביו לבין סימון עזרא, הנאשם, באמצעות אקדח גנוב אותו </w:t>
      </w:r>
      <w:r>
        <w:rPr>
          <w:rFonts w:ascii="David" w:hAnsi="David" w:cs="David"/>
          <w:sz w:val="24"/>
          <w:szCs w:val="24"/>
          <w:rtl/>
        </w:rPr>
        <w:lastRenderedPageBreak/>
        <w:t xml:space="preserve">החזיק ונשא ללא רשות כדין, הרג את המנוח יורי פודובני ז"ל בכך שירה למרכז גופו ירייה אחת באמצעות האקדח. מיד לאחר מכן הנאשם בעט והכה במנוח בעודו מוטל על הקרקע וכעבור שניות ירה לעבר מרכז גופו של סימון עזרא ירייה שהחטיאה. בתחילת האירוע ירה הנאשם ירייה אחת נוספת באוויר, ובמהלך האירוע שלף גם סכין ממכנסיו ונופף בה ובתומו של האירוע ברח הנאשם מהמקום, הטמין את האקדח באדמה והשליך את הקפוצ'ון שלבש בפח אשפה. </w:t>
      </w:r>
    </w:p>
    <w:p w14:paraId="23C166C0" w14:textId="77777777" w:rsidR="00B66DBB" w:rsidRDefault="00B66DBB" w:rsidP="00B66DBB">
      <w:pPr>
        <w:pStyle w:val="a9"/>
        <w:spacing w:line="360" w:lineRule="auto"/>
        <w:jc w:val="both"/>
        <w:rPr>
          <w:rFonts w:ascii="David" w:hAnsi="David" w:cs="David"/>
          <w:sz w:val="24"/>
          <w:szCs w:val="24"/>
          <w:rtl/>
        </w:rPr>
      </w:pPr>
      <w:r>
        <w:rPr>
          <w:rFonts w:ascii="David" w:hAnsi="David" w:cs="David"/>
          <w:sz w:val="24"/>
          <w:szCs w:val="24"/>
          <w:rtl/>
        </w:rPr>
        <w:t xml:space="preserve">עוד נציין כי סימון עזרא שהוכה על ידי הנאשם ואביו בתחילת הפרשה, חזר כעבור כ-25 דקות לזירת האירוע עם תגבורת של שלושה אנשים נוספים, בהם המנוח, ויזם במקום אינטראקציה עם בני משפחת הנאשם, שהתפתחה לתגרה.   </w:t>
      </w:r>
    </w:p>
    <w:p w14:paraId="4D8FA007" w14:textId="77777777" w:rsidR="00B66DBB" w:rsidRDefault="00B66DBB" w:rsidP="00B66DBB">
      <w:pPr>
        <w:pStyle w:val="a9"/>
        <w:spacing w:line="360" w:lineRule="auto"/>
        <w:jc w:val="both"/>
        <w:rPr>
          <w:rFonts w:ascii="David" w:hAnsi="David" w:cs="David"/>
          <w:sz w:val="24"/>
          <w:szCs w:val="24"/>
          <w:rtl/>
        </w:rPr>
      </w:pPr>
    </w:p>
    <w:p w14:paraId="19FB02F0" w14:textId="77777777" w:rsidR="00B66DBB" w:rsidRDefault="00B66DBB" w:rsidP="00B66DBB">
      <w:pPr>
        <w:pStyle w:val="a9"/>
        <w:numPr>
          <w:ilvl w:val="0"/>
          <w:numId w:val="1"/>
        </w:numPr>
        <w:spacing w:line="360" w:lineRule="auto"/>
        <w:jc w:val="both"/>
        <w:rPr>
          <w:rFonts w:ascii="David" w:hAnsi="David" w:cs="David"/>
          <w:sz w:val="24"/>
          <w:szCs w:val="24"/>
          <w:rtl/>
        </w:rPr>
      </w:pPr>
      <w:r>
        <w:rPr>
          <w:rFonts w:ascii="David" w:hAnsi="David" w:cs="David"/>
          <w:sz w:val="24"/>
          <w:szCs w:val="24"/>
          <w:rtl/>
        </w:rPr>
        <w:t>לאחר הרשעתו בדין בתיק דנן, בישיבת הטיעונים לעונש, צירף הנאשם, בהסכמת התביעה, כתב אישום מתוקן של בית המשפט השלום ברמלה (</w:t>
      </w:r>
      <w:hyperlink r:id="rId52" w:history="1">
        <w:r w:rsidR="006739BB" w:rsidRPr="006739BB">
          <w:rPr>
            <w:rFonts w:ascii="David" w:hAnsi="David" w:cs="David"/>
            <w:color w:val="0000FF"/>
            <w:sz w:val="24"/>
            <w:szCs w:val="24"/>
            <w:u w:val="single"/>
            <w:rtl/>
          </w:rPr>
          <w:t>ת"פ 20557-04-20</w:t>
        </w:r>
      </w:hyperlink>
      <w:r>
        <w:rPr>
          <w:rFonts w:ascii="David" w:hAnsi="David" w:cs="David"/>
          <w:sz w:val="24"/>
          <w:szCs w:val="24"/>
          <w:rtl/>
        </w:rPr>
        <w:t xml:space="preserve">) בו הורשע על פי הודאתו בעובדותיו, בעבירה על פי </w:t>
      </w:r>
      <w:hyperlink r:id="rId53" w:history="1">
        <w:r w:rsidR="003E0C32" w:rsidRPr="003E0C32">
          <w:rPr>
            <w:rStyle w:val="Hyperlink"/>
            <w:rFonts w:ascii="David" w:hAnsi="David" w:cs="David"/>
            <w:sz w:val="24"/>
            <w:szCs w:val="24"/>
            <w:rtl/>
          </w:rPr>
          <w:t>סעיף 382א.(א)</w:t>
        </w:r>
      </w:hyperlink>
      <w:r>
        <w:rPr>
          <w:rFonts w:ascii="David" w:hAnsi="David" w:cs="David"/>
          <w:sz w:val="24"/>
          <w:szCs w:val="24"/>
          <w:rtl/>
        </w:rPr>
        <w:t xml:space="preserve"> ל</w:t>
      </w:r>
      <w:hyperlink r:id="rId54"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 תקיפת עובד ציבור, בנסיבות בהן תקף שני סוהרים בכלא ניצן ברמלה ביום 12.11.19 שם שהה במסגרת מעצרו בתיקנו. בתקיפה נגרמו לשניים חבלות בסמוך לעיניהם. </w:t>
      </w:r>
    </w:p>
    <w:p w14:paraId="4DAC7539" w14:textId="77777777" w:rsidR="00B66DBB" w:rsidRDefault="00B66DBB" w:rsidP="00B66DBB">
      <w:pPr>
        <w:pStyle w:val="a9"/>
        <w:spacing w:line="360" w:lineRule="auto"/>
        <w:jc w:val="both"/>
        <w:rPr>
          <w:rFonts w:ascii="David" w:hAnsi="David" w:cs="David"/>
          <w:sz w:val="24"/>
          <w:szCs w:val="24"/>
        </w:rPr>
      </w:pPr>
    </w:p>
    <w:p w14:paraId="6C19E2D9" w14:textId="77777777" w:rsidR="00B66DBB" w:rsidRDefault="00B66DBB" w:rsidP="00B66DBB">
      <w:pPr>
        <w:pStyle w:val="a9"/>
        <w:numPr>
          <w:ilvl w:val="0"/>
          <w:numId w:val="1"/>
        </w:numPr>
        <w:spacing w:line="360" w:lineRule="auto"/>
        <w:jc w:val="both"/>
        <w:rPr>
          <w:rFonts w:ascii="David" w:hAnsi="David" w:cs="David"/>
          <w:sz w:val="24"/>
          <w:szCs w:val="24"/>
        </w:rPr>
      </w:pPr>
      <w:r>
        <w:rPr>
          <w:rFonts w:ascii="David" w:hAnsi="David" w:cs="David"/>
          <w:sz w:val="24"/>
          <w:szCs w:val="24"/>
          <w:rtl/>
        </w:rPr>
        <w:t>כראיה לעונש הגישה התביעה את גיליון הרשעותיו של הנאשם אשר מחזיק הרשעה קודמת בעבירות אלימות של הפרעה לשוטר במילוי תפקידו (</w:t>
      </w:r>
      <w:hyperlink r:id="rId55" w:history="1">
        <w:r w:rsidR="003E0C32" w:rsidRPr="003E0C32">
          <w:rPr>
            <w:rStyle w:val="Hyperlink"/>
            <w:rFonts w:ascii="David" w:hAnsi="David" w:cs="David"/>
            <w:sz w:val="24"/>
            <w:szCs w:val="24"/>
            <w:rtl/>
          </w:rPr>
          <w:t>סעיף 275</w:t>
        </w:r>
      </w:hyperlink>
      <w:r>
        <w:rPr>
          <w:rFonts w:ascii="David" w:hAnsi="David" w:cs="David"/>
          <w:sz w:val="24"/>
          <w:szCs w:val="24"/>
          <w:rtl/>
        </w:rPr>
        <w:t xml:space="preserve"> ל</w:t>
      </w:r>
      <w:hyperlink r:id="rId56"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תגרה (</w:t>
      </w:r>
      <w:hyperlink r:id="rId57" w:history="1">
        <w:r w:rsidR="003E0C32" w:rsidRPr="003E0C32">
          <w:rPr>
            <w:rStyle w:val="Hyperlink"/>
            <w:rFonts w:ascii="David" w:hAnsi="David" w:cs="David"/>
            <w:sz w:val="24"/>
            <w:szCs w:val="24"/>
            <w:rtl/>
          </w:rPr>
          <w:t>סעיף 191</w:t>
        </w:r>
      </w:hyperlink>
      <w:r>
        <w:rPr>
          <w:rFonts w:ascii="David" w:hAnsi="David" w:cs="David"/>
          <w:sz w:val="24"/>
          <w:szCs w:val="24"/>
          <w:rtl/>
        </w:rPr>
        <w:t xml:space="preserve"> לחוק); ושימוש בכוח או באיומים, כדי למנוע מעצר (</w:t>
      </w:r>
      <w:hyperlink r:id="rId58" w:history="1">
        <w:r w:rsidR="003E0C32" w:rsidRPr="003E0C32">
          <w:rPr>
            <w:rStyle w:val="Hyperlink"/>
            <w:rFonts w:ascii="David" w:hAnsi="David" w:cs="David"/>
            <w:sz w:val="24"/>
            <w:szCs w:val="24"/>
            <w:rtl/>
          </w:rPr>
          <w:t>סעיף 47(א)</w:t>
        </w:r>
      </w:hyperlink>
      <w:r>
        <w:rPr>
          <w:rFonts w:ascii="David" w:hAnsi="David" w:cs="David"/>
          <w:sz w:val="24"/>
          <w:szCs w:val="24"/>
          <w:rtl/>
        </w:rPr>
        <w:t xml:space="preserve"> ל</w:t>
      </w:r>
      <w:hyperlink r:id="rId59" w:history="1">
        <w:r w:rsidR="006739BB" w:rsidRPr="006739BB">
          <w:rPr>
            <w:rFonts w:ascii="David" w:hAnsi="David" w:cs="David"/>
            <w:color w:val="0000FF"/>
            <w:sz w:val="24"/>
            <w:szCs w:val="24"/>
            <w:u w:val="single"/>
            <w:rtl/>
          </w:rPr>
          <w:t>פקודת סדר הדין הפלילי (מעצר וחיפוש)</w:t>
        </w:r>
      </w:hyperlink>
      <w:r>
        <w:rPr>
          <w:rFonts w:ascii="David" w:hAnsi="David" w:cs="David"/>
          <w:sz w:val="24"/>
          <w:szCs w:val="24"/>
          <w:rtl/>
        </w:rPr>
        <w:t xml:space="preserve"> [נוסח משולב] תשכ"ט-1969). </w:t>
      </w:r>
    </w:p>
    <w:p w14:paraId="38208230" w14:textId="77777777" w:rsidR="00B66DBB" w:rsidRDefault="00B66DBB" w:rsidP="00B66DBB">
      <w:pPr>
        <w:pStyle w:val="a9"/>
        <w:rPr>
          <w:rFonts w:ascii="David" w:hAnsi="David" w:cs="David"/>
          <w:sz w:val="24"/>
          <w:szCs w:val="24"/>
        </w:rPr>
      </w:pPr>
    </w:p>
    <w:p w14:paraId="522F3FE2" w14:textId="77777777" w:rsidR="00B66DBB" w:rsidRDefault="00B66DBB" w:rsidP="00B66DB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ההגנה העידה לאופיו הטוב של הנאשם את הגב' ריקה שקד, ארוסתו, שגמרה את ההלל על תכונותיו הטובות: רגיש, אדיב, אוהב לעזור לזולת ותמיד נותן מעצמו, איש עבודה ואיש משפחה. כן עמדה הגב' שקד על קשייו של הנאשם הנובעים מייסורי המצפון, רגשי החרטה והכעס העצמי בשל כך שנטל חיי אדם. עוד ביקשה ליתן לנאשם הזדמנות שנייה והוסיפה וביקשה את רחמי בית המשפט בגזירת עונשו. </w:t>
      </w:r>
    </w:p>
    <w:p w14:paraId="79B28FC6" w14:textId="77777777" w:rsidR="00B66DBB" w:rsidRDefault="00B66DBB" w:rsidP="00B66DBB">
      <w:pPr>
        <w:pStyle w:val="a9"/>
        <w:rPr>
          <w:rFonts w:ascii="David" w:hAnsi="David" w:cs="David"/>
          <w:sz w:val="24"/>
          <w:szCs w:val="24"/>
        </w:rPr>
      </w:pPr>
    </w:p>
    <w:p w14:paraId="5242947E" w14:textId="77777777" w:rsidR="00B66DBB" w:rsidRDefault="00B66DBB" w:rsidP="00B66DB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בטיעוני התביעה לעונש עמדה היא על נסיבות העבירה כפי שנקבעו בהכרעת הדין ועל הערכים המוגנים שנפגעו כתוצאה מהמעשים, בראשם ערך קדושת החיים. הנאשם, כך התביעה, בהתנהלותו עוד מתחילת האירועים, סכסוך החנייה, עובר להתנהלותו בקטטה ולבסוף בבריחתו מהזירה לאחר שהרג את המנוח תוך שהוא ממשיך לבצע עבירות, פגע פגיעה קשה בערכים המוגנים, הראה התנהגות אלימה חסרת גבולות וחריפה. </w:t>
      </w:r>
    </w:p>
    <w:p w14:paraId="5F477F76" w14:textId="77777777" w:rsidR="00B66DBB" w:rsidRDefault="00B66DBB" w:rsidP="00B66DBB">
      <w:pPr>
        <w:pStyle w:val="a9"/>
        <w:spacing w:line="360" w:lineRule="auto"/>
        <w:jc w:val="both"/>
        <w:rPr>
          <w:rFonts w:ascii="David" w:hAnsi="David" w:cs="David"/>
          <w:sz w:val="24"/>
          <w:szCs w:val="24"/>
        </w:rPr>
      </w:pPr>
      <w:r>
        <w:rPr>
          <w:rFonts w:ascii="David" w:hAnsi="David" w:cs="David"/>
          <w:sz w:val="24"/>
          <w:szCs w:val="24"/>
          <w:rtl/>
        </w:rPr>
        <w:t xml:space="preserve">לעמדת המדינה יש לקבוע לצורך </w:t>
      </w:r>
      <w:hyperlink r:id="rId60" w:history="1">
        <w:r w:rsidR="003E0C32" w:rsidRPr="003E0C32">
          <w:rPr>
            <w:rStyle w:val="Hyperlink"/>
            <w:rFonts w:ascii="David" w:hAnsi="David" w:cs="David"/>
            <w:sz w:val="24"/>
            <w:szCs w:val="24"/>
            <w:rtl/>
          </w:rPr>
          <w:t>סעיף 40.יג</w:t>
        </w:r>
      </w:hyperlink>
      <w:r>
        <w:rPr>
          <w:rFonts w:ascii="David" w:hAnsi="David" w:cs="David"/>
          <w:sz w:val="24"/>
          <w:szCs w:val="24"/>
          <w:rtl/>
        </w:rPr>
        <w:t xml:space="preserve"> ל</w:t>
      </w:r>
      <w:hyperlink r:id="rId61"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שלושה מתחמי ענישה: האחד לעבירות הנשק, השני לעבירת ההריגה וליתר העבירות שהתרחשו באותו מעמד והשלישי, לאירוע נשוא התיק המצורף. לשיטתה של המדינה בהינתן הנסיבות והפסיקה הנוהגת יש </w:t>
      </w:r>
      <w:r>
        <w:rPr>
          <w:rFonts w:ascii="David" w:hAnsi="David" w:cs="David"/>
          <w:sz w:val="24"/>
          <w:szCs w:val="24"/>
          <w:rtl/>
        </w:rPr>
        <w:lastRenderedPageBreak/>
        <w:t xml:space="preserve">לקבוע, לאירוע העיקרי, מתחם ענישה אשר נע בין 19 ל-24 שנות מאסר, לעבירות הנשק מתחם הנע בין 30-54 חודשי מאסר ולאירועי התיק המצורף מתחם הנע בין 15-24 חודשים. </w:t>
      </w:r>
    </w:p>
    <w:p w14:paraId="54F1BBF7" w14:textId="77777777" w:rsidR="00B66DBB" w:rsidRDefault="00B66DBB" w:rsidP="00B66DBB">
      <w:pPr>
        <w:pStyle w:val="a9"/>
        <w:spacing w:line="360" w:lineRule="auto"/>
        <w:jc w:val="both"/>
        <w:rPr>
          <w:rFonts w:ascii="David" w:hAnsi="David" w:cs="David"/>
          <w:sz w:val="24"/>
          <w:szCs w:val="24"/>
          <w:rtl/>
        </w:rPr>
      </w:pPr>
      <w:r>
        <w:rPr>
          <w:rFonts w:ascii="David" w:hAnsi="David" w:cs="David"/>
          <w:sz w:val="24"/>
          <w:szCs w:val="24"/>
          <w:rtl/>
        </w:rPr>
        <w:t xml:space="preserve">התביעה עתרה להטיל על הנאשם עונש כולל שלא יפחת מ-22 שנות מאסר, מאסר מותנה ופיצויים למשפחת המנוח, לסימון עזרא ולסוהרים בתיק שצורף. </w:t>
      </w:r>
    </w:p>
    <w:p w14:paraId="58C4D45C" w14:textId="77777777" w:rsidR="00B66DBB" w:rsidRDefault="00B66DBB" w:rsidP="00B66DBB">
      <w:pPr>
        <w:pStyle w:val="a9"/>
        <w:spacing w:line="360" w:lineRule="auto"/>
        <w:jc w:val="both"/>
        <w:rPr>
          <w:rFonts w:ascii="David" w:hAnsi="David" w:cs="David"/>
          <w:sz w:val="24"/>
          <w:szCs w:val="24"/>
          <w:rtl/>
        </w:rPr>
      </w:pPr>
    </w:p>
    <w:p w14:paraId="1213C144" w14:textId="77777777" w:rsidR="00B66DBB" w:rsidRDefault="00B66DBB" w:rsidP="00B66DBB">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הסנגור בטיעוניו לעונש הדגיש את העובדה שסימון עזרא חזר לזירת האירוע, כדי "לסגור חשבונות" ולא למטרות השכנת שלום ופשרה. הוא בא לקראת עימות אלים, והוא זה שנקט ראשון בפעולות אלימות בחלקו השני של האירוע עת שב לזירה בליווי תגבורת. לעמדת ההגנה יש לקבוע, כי לבד מתיק הצירוף, עסקינן באירוע אחד. </w:t>
      </w:r>
    </w:p>
    <w:p w14:paraId="1AE9FA23" w14:textId="77777777" w:rsidR="00B66DBB" w:rsidRDefault="00B66DBB" w:rsidP="00B66DBB">
      <w:pPr>
        <w:pStyle w:val="a9"/>
        <w:spacing w:line="360" w:lineRule="auto"/>
        <w:jc w:val="both"/>
        <w:rPr>
          <w:rFonts w:ascii="David" w:hAnsi="David" w:cs="David"/>
          <w:sz w:val="24"/>
          <w:szCs w:val="24"/>
          <w:rtl/>
        </w:rPr>
      </w:pPr>
      <w:r>
        <w:rPr>
          <w:rFonts w:ascii="David" w:hAnsi="David" w:cs="David"/>
          <w:sz w:val="24"/>
          <w:szCs w:val="24"/>
          <w:rtl/>
        </w:rPr>
        <w:t xml:space="preserve">לנסיבות המקרה, עמד הסנגור על כך שהנאשם חש בסכנה מתקרבת עת המנוח התקרב באופן מאיים אל אביו ואחיו. </w:t>
      </w:r>
    </w:p>
    <w:p w14:paraId="1D2DDF8B" w14:textId="77777777" w:rsidR="00B66DBB" w:rsidRDefault="00B66DBB" w:rsidP="00B66DBB">
      <w:pPr>
        <w:pStyle w:val="a9"/>
        <w:spacing w:line="360" w:lineRule="auto"/>
        <w:jc w:val="both"/>
        <w:rPr>
          <w:rFonts w:ascii="David" w:hAnsi="David" w:cs="David"/>
          <w:sz w:val="24"/>
          <w:szCs w:val="24"/>
          <w:rtl/>
        </w:rPr>
      </w:pPr>
      <w:r>
        <w:rPr>
          <w:rFonts w:ascii="David" w:hAnsi="David" w:cs="David"/>
          <w:sz w:val="24"/>
          <w:szCs w:val="24"/>
          <w:rtl/>
        </w:rPr>
        <w:t xml:space="preserve">ההגנה סבורה שהמתחמים שהציגה התביעה מופלגים בחומרתם ואינם הולמים את נסיבות האירועים במקרה דנן, ותוך הפניה לפסיקה שעניינה לשיטתה, בנסיבות דומות, עתרה לקביעת מתחם ענישה לאירוע העיקרי של 6-10 שנות מאסר. בתוך המתחם ביקשה ההגנה שלא לזקוף לחובת הנאשם את ניהול המשפט בהינתן תוצאתו וזיכויו החלקי של הנאשם, בנוסף הצביעה על הנזק שייגרם לנאשם ומשפחתו כתוצאה מהטלת עונש מאסר ממושך, והצביעה על הבעת החרטה של הנאשם על מעשיו. </w:t>
      </w:r>
    </w:p>
    <w:p w14:paraId="03E58E46" w14:textId="77777777" w:rsidR="00B66DBB" w:rsidRDefault="00B66DBB" w:rsidP="00B66DBB">
      <w:pPr>
        <w:pStyle w:val="a9"/>
        <w:spacing w:line="360" w:lineRule="auto"/>
        <w:jc w:val="both"/>
        <w:rPr>
          <w:rFonts w:ascii="David" w:hAnsi="David" w:cs="David"/>
          <w:sz w:val="24"/>
          <w:szCs w:val="24"/>
          <w:rtl/>
        </w:rPr>
      </w:pPr>
    </w:p>
    <w:p w14:paraId="188FBE71" w14:textId="77777777" w:rsidR="00B66DBB" w:rsidRDefault="00B66DBB" w:rsidP="00B66DBB">
      <w:pPr>
        <w:pStyle w:val="a9"/>
        <w:numPr>
          <w:ilvl w:val="0"/>
          <w:numId w:val="1"/>
        </w:numPr>
        <w:spacing w:line="360" w:lineRule="auto"/>
        <w:jc w:val="both"/>
        <w:rPr>
          <w:rFonts w:ascii="David" w:hAnsi="David" w:cs="David"/>
          <w:sz w:val="24"/>
          <w:szCs w:val="24"/>
          <w:rtl/>
        </w:rPr>
      </w:pPr>
      <w:r>
        <w:rPr>
          <w:rFonts w:ascii="David" w:hAnsi="David" w:cs="David"/>
          <w:sz w:val="24"/>
          <w:szCs w:val="24"/>
          <w:rtl/>
        </w:rPr>
        <w:t>הנאשם בדבריו האחרונים ביקש את סליחת משפחת המנוח, הביע את צערו העמוק על המקרה ותוצאותיו ואמר "</w:t>
      </w:r>
      <w:r>
        <w:rPr>
          <w:rFonts w:ascii="David" w:hAnsi="David" w:cs="David"/>
          <w:b/>
          <w:bCs/>
          <w:sz w:val="24"/>
          <w:szCs w:val="24"/>
          <w:rtl/>
        </w:rPr>
        <w:t>אם אפשר היה להחזיר את הגלגל לאחור אני הייתי מעדיף ללכת מאשר הוא ילך</w:t>
      </w:r>
      <w:r>
        <w:rPr>
          <w:rFonts w:ascii="David" w:hAnsi="David" w:cs="David"/>
          <w:sz w:val="24"/>
          <w:szCs w:val="24"/>
          <w:rtl/>
        </w:rPr>
        <w:t xml:space="preserve">" (עמ' 165 לפרוט' ש' 17-18). </w:t>
      </w:r>
    </w:p>
    <w:p w14:paraId="5D89B291" w14:textId="77777777" w:rsidR="00B66DBB" w:rsidRDefault="00B66DBB" w:rsidP="00B66DBB">
      <w:pPr>
        <w:pStyle w:val="a9"/>
        <w:spacing w:line="360" w:lineRule="auto"/>
        <w:jc w:val="both"/>
        <w:rPr>
          <w:rFonts w:ascii="David" w:hAnsi="David" w:cs="David"/>
          <w:sz w:val="24"/>
          <w:szCs w:val="24"/>
        </w:rPr>
      </w:pPr>
    </w:p>
    <w:p w14:paraId="06944364" w14:textId="77777777" w:rsidR="00B66DBB" w:rsidRDefault="00B66DBB" w:rsidP="00B66DBB">
      <w:pPr>
        <w:pStyle w:val="a9"/>
        <w:numPr>
          <w:ilvl w:val="0"/>
          <w:numId w:val="1"/>
        </w:numPr>
        <w:spacing w:line="360" w:lineRule="auto"/>
        <w:jc w:val="both"/>
        <w:rPr>
          <w:rFonts w:ascii="David" w:hAnsi="David" w:cs="David"/>
          <w:sz w:val="24"/>
          <w:szCs w:val="24"/>
        </w:rPr>
      </w:pPr>
      <w:r>
        <w:rPr>
          <w:rFonts w:ascii="David" w:hAnsi="David" w:cs="David"/>
          <w:b/>
          <w:bCs/>
          <w:sz w:val="24"/>
          <w:szCs w:val="24"/>
          <w:u w:val="single"/>
          <w:rtl/>
        </w:rPr>
        <w:t>דיון והכרעה כללי</w:t>
      </w:r>
      <w:r>
        <w:rPr>
          <w:rFonts w:ascii="David" w:hAnsi="David" w:cs="David"/>
          <w:sz w:val="24"/>
          <w:szCs w:val="24"/>
          <w:rtl/>
        </w:rPr>
        <w:t xml:space="preserve">: </w:t>
      </w:r>
    </w:p>
    <w:p w14:paraId="00E9F739" w14:textId="77777777" w:rsidR="00B66DBB" w:rsidRDefault="00B66DBB" w:rsidP="00B66DBB">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עקרון ההלימה הוא העיקרון המנחה בענישה ומשמעותו קיום יחס הולם בין חומרת מעשי העבירה בנסיבותיהם ומידת אשמו של הנאשם, לבין סוג ומידת העונש הנגזר עליו. קביעת מתחם העונש ההולם את מעשה העבירה תעשה לאורן של שלוש אמות מידה: הערך החברתי הנפגע ומידת הפגיעה בו, מדיניות הענישה הנוהגת ונסיבות הקשורות בביצוע העבירה. </w:t>
      </w:r>
    </w:p>
    <w:p w14:paraId="2ABDF969" w14:textId="77777777" w:rsidR="00B66DBB" w:rsidRDefault="00B66DBB" w:rsidP="00B66DBB">
      <w:pPr>
        <w:pStyle w:val="a9"/>
        <w:spacing w:line="360" w:lineRule="auto"/>
        <w:ind w:left="1080"/>
        <w:jc w:val="both"/>
        <w:rPr>
          <w:rFonts w:ascii="David" w:hAnsi="David" w:cs="David"/>
          <w:sz w:val="24"/>
          <w:szCs w:val="24"/>
        </w:rPr>
      </w:pPr>
    </w:p>
    <w:p w14:paraId="5515F15C" w14:textId="77777777" w:rsidR="00B66DBB" w:rsidRDefault="00B66DBB" w:rsidP="00B66DBB">
      <w:pPr>
        <w:pStyle w:val="a9"/>
        <w:numPr>
          <w:ilvl w:val="0"/>
          <w:numId w:val="2"/>
        </w:numPr>
        <w:spacing w:line="360" w:lineRule="auto"/>
        <w:jc w:val="both"/>
        <w:rPr>
          <w:rFonts w:ascii="David" w:hAnsi="David" w:cs="David"/>
          <w:sz w:val="24"/>
          <w:szCs w:val="24"/>
        </w:rPr>
      </w:pPr>
      <w:r>
        <w:rPr>
          <w:rFonts w:ascii="David" w:hAnsi="David" w:cs="David"/>
          <w:sz w:val="24"/>
          <w:szCs w:val="24"/>
          <w:rtl/>
        </w:rPr>
        <w:t>במקרה דנן הערכים המוגנים שנפגעו ממעשי הנאשם הם ערכי קדושת החיים ושלמות הגוף, לצד הזכות לחיים בשלווה וברוגע, ערכים הניצבים בדיוטה הגבוהה של ערכיה של כל חברה אנושית ופגיעה בהם על ידי קטיעתם היא בדרגת החומרה הגבוהה ביותר, ועל כך נראה שאין חולק.</w:t>
      </w:r>
    </w:p>
    <w:p w14:paraId="45D92EF3"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וכך נאמר ב</w:t>
      </w:r>
      <w:hyperlink r:id="rId62" w:history="1">
        <w:r w:rsidR="006739BB" w:rsidRPr="006739BB">
          <w:rPr>
            <w:rFonts w:ascii="David" w:hAnsi="David" w:cs="David"/>
            <w:color w:val="0000FF"/>
            <w:sz w:val="24"/>
            <w:szCs w:val="24"/>
            <w:u w:val="single"/>
            <w:rtl/>
          </w:rPr>
          <w:t>ע"פ 3617/13</w:t>
        </w:r>
      </w:hyperlink>
      <w:r>
        <w:rPr>
          <w:rFonts w:ascii="David" w:hAnsi="David" w:cs="David"/>
          <w:sz w:val="24"/>
          <w:szCs w:val="24"/>
          <w:rtl/>
        </w:rPr>
        <w:t xml:space="preserve"> </w:t>
      </w:r>
      <w:r>
        <w:rPr>
          <w:rFonts w:ascii="David" w:hAnsi="David" w:cs="David"/>
          <w:b/>
          <w:bCs/>
          <w:sz w:val="24"/>
          <w:szCs w:val="24"/>
          <w:rtl/>
        </w:rPr>
        <w:t>יעקב טייטל נ' מדינת ישראל</w:t>
      </w:r>
      <w:r>
        <w:rPr>
          <w:rFonts w:ascii="David" w:hAnsi="David" w:cs="David"/>
          <w:sz w:val="24"/>
          <w:szCs w:val="24"/>
          <w:rtl/>
        </w:rPr>
        <w:t xml:space="preserve"> (28.06.16)</w:t>
      </w:r>
      <w:r>
        <w:rPr>
          <w:rFonts w:ascii="David" w:hAnsi="David" w:cs="David"/>
          <w:sz w:val="24"/>
          <w:szCs w:val="24"/>
        </w:rPr>
        <w:t xml:space="preserve"> </w:t>
      </w:r>
      <w:r>
        <w:rPr>
          <w:rFonts w:ascii="David" w:hAnsi="David" w:cs="David"/>
          <w:sz w:val="24"/>
          <w:szCs w:val="24"/>
          <w:rtl/>
        </w:rPr>
        <w:t>"...</w:t>
      </w:r>
      <w:r>
        <w:rPr>
          <w:rFonts w:ascii="David" w:hAnsi="David" w:cs="David"/>
          <w:b/>
          <w:bCs/>
          <w:sz w:val="24"/>
          <w:szCs w:val="24"/>
          <w:rtl/>
        </w:rPr>
        <w:t>קדושת חיי האדם עומדת בראש עולם הערכים החברתיים, וחובתנו לשקף את חשיבותו של ערך זה במידת העונש שייגזר על העבריין</w:t>
      </w:r>
      <w:r>
        <w:rPr>
          <w:rFonts w:ascii="David" w:hAnsi="David" w:cs="David"/>
          <w:sz w:val="24"/>
          <w:szCs w:val="24"/>
          <w:rtl/>
        </w:rPr>
        <w:t xml:space="preserve">...". </w:t>
      </w:r>
    </w:p>
    <w:p w14:paraId="37EAFE3D" w14:textId="77777777" w:rsidR="00B66DBB" w:rsidRDefault="00B66DBB" w:rsidP="00B66DBB">
      <w:pPr>
        <w:pStyle w:val="a9"/>
        <w:spacing w:line="360" w:lineRule="auto"/>
        <w:ind w:left="1080"/>
        <w:jc w:val="both"/>
        <w:rPr>
          <w:rFonts w:ascii="David" w:hAnsi="David" w:cs="David"/>
          <w:sz w:val="24"/>
          <w:szCs w:val="24"/>
          <w:rtl/>
        </w:rPr>
      </w:pPr>
    </w:p>
    <w:p w14:paraId="4D283B75"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עוד נאמר לאחרונה, ב</w:t>
      </w:r>
      <w:hyperlink r:id="rId63" w:history="1">
        <w:r w:rsidR="006739BB" w:rsidRPr="006739BB">
          <w:rPr>
            <w:rFonts w:ascii="David" w:hAnsi="David" w:cs="David"/>
            <w:color w:val="0000FF"/>
            <w:sz w:val="24"/>
            <w:szCs w:val="24"/>
            <w:u w:val="single"/>
            <w:rtl/>
          </w:rPr>
          <w:t>ע"פ 6338/20</w:t>
        </w:r>
      </w:hyperlink>
      <w:r>
        <w:rPr>
          <w:rFonts w:ascii="David" w:hAnsi="David" w:cs="David"/>
          <w:sz w:val="24"/>
          <w:szCs w:val="24"/>
          <w:rtl/>
        </w:rPr>
        <w:t xml:space="preserve"> </w:t>
      </w:r>
      <w:r>
        <w:rPr>
          <w:rFonts w:ascii="David" w:hAnsi="David" w:cs="David"/>
          <w:b/>
          <w:bCs/>
          <w:sz w:val="24"/>
          <w:szCs w:val="24"/>
          <w:rtl/>
        </w:rPr>
        <w:t>דוד חיים נ' מדינת ישראל</w:t>
      </w:r>
      <w:r>
        <w:rPr>
          <w:rFonts w:ascii="David" w:hAnsi="David" w:cs="David"/>
          <w:sz w:val="24"/>
          <w:szCs w:val="24"/>
          <w:rtl/>
        </w:rPr>
        <w:t xml:space="preserve"> (07.07.22): </w:t>
      </w:r>
    </w:p>
    <w:p w14:paraId="1B7DD46B" w14:textId="77777777" w:rsidR="00B66DBB" w:rsidRDefault="00B66DBB" w:rsidP="00B66DBB">
      <w:pPr>
        <w:pStyle w:val="a9"/>
        <w:spacing w:line="360" w:lineRule="auto"/>
        <w:ind w:left="1080"/>
        <w:jc w:val="both"/>
        <w:rPr>
          <w:rFonts w:ascii="David" w:hAnsi="David" w:cs="David"/>
          <w:sz w:val="24"/>
          <w:szCs w:val="24"/>
          <w:rtl/>
        </w:rPr>
      </w:pPr>
    </w:p>
    <w:p w14:paraId="454AC957" w14:textId="77777777" w:rsidR="00B66DBB" w:rsidRDefault="00B66DBB" w:rsidP="00B66DBB">
      <w:pPr>
        <w:pStyle w:val="a9"/>
        <w:spacing w:line="360" w:lineRule="auto"/>
        <w:ind w:left="1440" w:right="426"/>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 xml:space="preserve">השמירה על קדושת החיים – לרבות קביעתה של קדושה זו בהכרת הכול – היא העומדת בראש תכליות הענישה במקום שמדובר בנטילת חיי אדם, ועל בית המשפט לשוות זאת לנגד עיניו בגוזרו את הדין בעבירות רצח והריגה. לא בכדי הוצב הדיבר "לא תרצח" בראש הדיברות המבטאים את הכללים הבסיסיים של חיים בחברה מתוקנת, שאין לך מעשה נורא הימנו" (שם, עמוד 765). </w:t>
      </w:r>
    </w:p>
    <w:p w14:paraId="611AD87C" w14:textId="77777777" w:rsidR="00B66DBB" w:rsidRDefault="00B66DBB" w:rsidP="00B66DBB">
      <w:pPr>
        <w:pStyle w:val="a9"/>
        <w:spacing w:line="360" w:lineRule="auto"/>
        <w:ind w:left="1080"/>
        <w:jc w:val="both"/>
        <w:rPr>
          <w:rFonts w:ascii="David" w:hAnsi="David" w:cs="David"/>
          <w:b/>
          <w:bCs/>
          <w:sz w:val="24"/>
          <w:szCs w:val="24"/>
          <w:rtl/>
        </w:rPr>
      </w:pPr>
    </w:p>
    <w:p w14:paraId="5DEFEAA1" w14:textId="77777777" w:rsidR="00B66DBB" w:rsidRDefault="00B66DBB" w:rsidP="00B66DBB">
      <w:pPr>
        <w:pStyle w:val="a9"/>
        <w:spacing w:line="360" w:lineRule="auto"/>
        <w:ind w:left="1440" w:right="284"/>
        <w:jc w:val="both"/>
        <w:rPr>
          <w:rFonts w:ascii="David" w:hAnsi="David" w:cs="David"/>
          <w:sz w:val="24"/>
          <w:szCs w:val="24"/>
          <w:rtl/>
        </w:rPr>
      </w:pPr>
      <w:r>
        <w:rPr>
          <w:rFonts w:ascii="David" w:hAnsi="David" w:cs="David"/>
          <w:b/>
          <w:bCs/>
          <w:sz w:val="24"/>
          <w:szCs w:val="24"/>
          <w:rtl/>
        </w:rPr>
        <w:t>חלוף הזמן והרפורמה בעבירות ההמתה לא גרעו מדברים נכוחים אלו. יתר על כן, בעוד דומה כי בעבר מקרי רצח היו נדירים, בחלוף השנים אלו נהפכו לחזון נפרץ – משהאלימות גואה וויכוחים בעניינים של מה בכך מסתיימים בתוצאה טראגית של אובדן חיי אדם. הקלות הבלתי נתפסת שבה עבריינים כיום נוטלים בידם נשק כלשהו וגודעים את חייו של אחר – מקוממת ובלתי נסבלת</w:t>
      </w:r>
      <w:r>
        <w:rPr>
          <w:rFonts w:ascii="David" w:hAnsi="David" w:cs="David"/>
          <w:sz w:val="24"/>
          <w:szCs w:val="24"/>
          <w:rtl/>
        </w:rPr>
        <w:t>...".</w:t>
      </w:r>
    </w:p>
    <w:p w14:paraId="58091DAB" w14:textId="77777777" w:rsidR="00B66DBB" w:rsidRDefault="00B66DBB" w:rsidP="00B66DBB">
      <w:pPr>
        <w:pStyle w:val="a9"/>
        <w:spacing w:line="360" w:lineRule="auto"/>
        <w:ind w:left="1080"/>
        <w:jc w:val="both"/>
        <w:rPr>
          <w:rFonts w:ascii="David" w:hAnsi="David" w:cs="David"/>
          <w:sz w:val="24"/>
          <w:szCs w:val="24"/>
          <w:rtl/>
        </w:rPr>
      </w:pPr>
    </w:p>
    <w:p w14:paraId="70C41AA3" w14:textId="77777777" w:rsidR="00B66DBB" w:rsidRDefault="00B66DBB" w:rsidP="00B66DBB">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אותם ערכים מוגנים הם שנפגעו על ידי הנאשם גם בעבירות הנשק, והעבירה של חבלה בכוונה מחמירה והחזקת הסכין, אם כי בדרגות חומרה פחותות כל אחת על פי חומרתה, נסיבותיה והענישה בצידה. </w:t>
      </w:r>
    </w:p>
    <w:p w14:paraId="2E3EC02C" w14:textId="77777777" w:rsidR="00B66DBB" w:rsidRDefault="00B66DBB" w:rsidP="00B66DBB">
      <w:pPr>
        <w:pStyle w:val="a9"/>
        <w:spacing w:line="360" w:lineRule="auto"/>
        <w:ind w:left="1080"/>
        <w:jc w:val="both"/>
        <w:rPr>
          <w:rFonts w:ascii="David" w:hAnsi="David" w:cs="David"/>
          <w:sz w:val="24"/>
          <w:szCs w:val="24"/>
        </w:rPr>
      </w:pPr>
      <w:r>
        <w:rPr>
          <w:rFonts w:ascii="David" w:hAnsi="David" w:cs="David"/>
          <w:sz w:val="24"/>
          <w:szCs w:val="24"/>
          <w:rtl/>
        </w:rPr>
        <w:t xml:space="preserve">אשר לעבירת שיבוש מהלכי המשפט, הערכים החברתיים המוגנים הם השמירה על שלטון החוק, תקינות הליכי חקירה ומשפט והסדר הציבורי, ואף אלה במקרה שבפנינו נפגעו בדרגת חומרה רבה בהסתרת הנשק שבו נעשה שימוש והשלכת הקפוצ'ון. </w:t>
      </w:r>
    </w:p>
    <w:p w14:paraId="385F339F" w14:textId="77777777" w:rsidR="00B66DBB" w:rsidRDefault="00B66DBB" w:rsidP="00B66DBB">
      <w:pPr>
        <w:pStyle w:val="a9"/>
        <w:spacing w:line="360" w:lineRule="auto"/>
        <w:ind w:left="1080"/>
        <w:jc w:val="both"/>
        <w:rPr>
          <w:rFonts w:ascii="David" w:hAnsi="David" w:cs="David"/>
          <w:sz w:val="24"/>
          <w:szCs w:val="24"/>
          <w:rtl/>
        </w:rPr>
      </w:pPr>
    </w:p>
    <w:p w14:paraId="374C3A39" w14:textId="77777777" w:rsidR="00B66DBB" w:rsidRDefault="003E0C32" w:rsidP="00B66DBB">
      <w:pPr>
        <w:pStyle w:val="a9"/>
        <w:numPr>
          <w:ilvl w:val="0"/>
          <w:numId w:val="2"/>
        </w:numPr>
        <w:spacing w:line="360" w:lineRule="auto"/>
        <w:jc w:val="both"/>
        <w:rPr>
          <w:rFonts w:ascii="David" w:hAnsi="David" w:cs="David"/>
          <w:sz w:val="24"/>
          <w:szCs w:val="24"/>
          <w:rtl/>
        </w:rPr>
      </w:pPr>
      <w:hyperlink r:id="rId64" w:history="1">
        <w:r w:rsidRPr="003E0C32">
          <w:rPr>
            <w:rStyle w:val="Hyperlink"/>
            <w:rFonts w:ascii="David" w:hAnsi="David" w:cs="David"/>
            <w:sz w:val="24"/>
            <w:szCs w:val="24"/>
            <w:rtl/>
          </w:rPr>
          <w:t>סעיף 40יג</w:t>
        </w:r>
      </w:hyperlink>
      <w:r w:rsidR="00B66DBB">
        <w:rPr>
          <w:rFonts w:ascii="David" w:hAnsi="David" w:cs="David"/>
          <w:sz w:val="24"/>
          <w:szCs w:val="24"/>
          <w:rtl/>
        </w:rPr>
        <w:t xml:space="preserve"> ל</w:t>
      </w:r>
      <w:hyperlink r:id="rId65" w:history="1">
        <w:r w:rsidR="006739BB" w:rsidRPr="006739BB">
          <w:rPr>
            <w:rFonts w:ascii="David" w:hAnsi="David" w:cs="David"/>
            <w:color w:val="0000FF"/>
            <w:sz w:val="24"/>
            <w:szCs w:val="24"/>
            <w:u w:val="single"/>
            <w:rtl/>
          </w:rPr>
          <w:t>חוק העונשין</w:t>
        </w:r>
      </w:hyperlink>
      <w:r w:rsidR="00B66DBB">
        <w:rPr>
          <w:rFonts w:ascii="David" w:hAnsi="David" w:cs="David"/>
          <w:sz w:val="24"/>
          <w:szCs w:val="24"/>
          <w:rtl/>
        </w:rPr>
        <w:t xml:space="preserve">, קובע כי אם הרשיע בית המשפט נאשם בכמה עבירות המהוות אירוע אחד, יקבע מתחם עונש הולם כאמור </w:t>
      </w:r>
      <w:hyperlink r:id="rId66" w:history="1">
        <w:r w:rsidRPr="003E0C32">
          <w:rPr>
            <w:rStyle w:val="Hyperlink"/>
            <w:rFonts w:ascii="David" w:hAnsi="David" w:cs="David"/>
            <w:sz w:val="24"/>
            <w:szCs w:val="24"/>
            <w:rtl/>
          </w:rPr>
          <w:t>בסעיף 40ג(א)</w:t>
        </w:r>
      </w:hyperlink>
      <w:r w:rsidR="00B66DBB">
        <w:rPr>
          <w:rFonts w:ascii="David" w:hAnsi="David" w:cs="David"/>
          <w:sz w:val="24"/>
          <w:szCs w:val="24"/>
          <w:rtl/>
        </w:rPr>
        <w:t xml:space="preserve"> לחוק לאירוע כולו, ויגזור עונש כולל לכל העבירות בשל אותו אירוע, ואם הרשיע נאשם בכמה עבירות המהוות כמה אירועים, יקבע מתחם עונש הולם כאמור </w:t>
      </w:r>
      <w:hyperlink r:id="rId67" w:history="1">
        <w:r w:rsidRPr="003E0C32">
          <w:rPr>
            <w:rStyle w:val="Hyperlink"/>
            <w:rFonts w:ascii="David" w:hAnsi="David" w:cs="David"/>
            <w:sz w:val="24"/>
            <w:szCs w:val="24"/>
            <w:rtl/>
          </w:rPr>
          <w:t>בסעיף 40ג(א)</w:t>
        </w:r>
      </w:hyperlink>
      <w:r w:rsidR="00B66DBB">
        <w:rPr>
          <w:rFonts w:ascii="David" w:hAnsi="David" w:cs="David"/>
          <w:sz w:val="24"/>
          <w:szCs w:val="24"/>
          <w:rtl/>
        </w:rPr>
        <w:t xml:space="preserve"> לחוק, לכל אירוע בנפרד. בסופו של דבר רשאי בית המשפט לגזור עונש נפרד לכל אירוע או עונש כולל לכלל האירועים. </w:t>
      </w:r>
    </w:p>
    <w:p w14:paraId="02625FEC"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 xml:space="preserve">בנסיבות המקרה שבפנינו הננו סבורים שבהינתן שכל העבירות בתיק העיקרי מגוללות מסכת עבריינית אחת, אירוע שהתרחש במקום אחד מוגדר באותו מעמד ומועד, תוך קיום קשר ענייני וזיקה ברורה בין המעשים, בהתאם לתבחיני </w:t>
      </w:r>
      <w:hyperlink r:id="rId68" w:history="1">
        <w:r w:rsidR="006739BB" w:rsidRPr="006739BB">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(29.10.14) ו</w:t>
      </w:r>
      <w:hyperlink r:id="rId69" w:history="1">
        <w:r w:rsidR="006739BB" w:rsidRPr="006739BB">
          <w:rPr>
            <w:rFonts w:ascii="David" w:hAnsi="David" w:cs="David"/>
            <w:color w:val="0000FF"/>
            <w:sz w:val="24"/>
            <w:szCs w:val="24"/>
            <w:u w:val="single"/>
            <w:rtl/>
          </w:rPr>
          <w:t>דנ"פ 2999/16</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(22.05.18), עסקינן באירוע עברייני אחד ויש לקבוע לו בהתאם מתחם ענישה אחד. </w:t>
      </w:r>
    </w:p>
    <w:p w14:paraId="13069197"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 xml:space="preserve">לא כך בעניינו של התיק אותו צירף הנאשם, עניינו שונה, התרחשותו בזמן ובנסיבות שונות ובעניינו כך הסכימו אף הצדדים, כי יש לקבוע מתחם נפרד. </w:t>
      </w:r>
    </w:p>
    <w:p w14:paraId="7E0C11D0" w14:textId="77777777" w:rsidR="00B66DBB" w:rsidRDefault="00B66DBB" w:rsidP="00B66DBB">
      <w:pPr>
        <w:pStyle w:val="a9"/>
        <w:spacing w:line="360" w:lineRule="auto"/>
        <w:ind w:left="1080"/>
        <w:jc w:val="both"/>
        <w:rPr>
          <w:rFonts w:ascii="David" w:hAnsi="David" w:cs="David"/>
          <w:sz w:val="24"/>
          <w:szCs w:val="24"/>
          <w:rtl/>
        </w:rPr>
      </w:pPr>
    </w:p>
    <w:p w14:paraId="3014661A" w14:textId="77777777" w:rsidR="00B66DBB" w:rsidRDefault="00B66DBB" w:rsidP="00B66DBB">
      <w:pPr>
        <w:pStyle w:val="a9"/>
        <w:numPr>
          <w:ilvl w:val="0"/>
          <w:numId w:val="2"/>
        </w:numPr>
        <w:spacing w:line="360" w:lineRule="auto"/>
        <w:jc w:val="both"/>
        <w:rPr>
          <w:rFonts w:ascii="David" w:hAnsi="David" w:cs="David"/>
          <w:sz w:val="24"/>
          <w:szCs w:val="24"/>
          <w:rtl/>
        </w:rPr>
      </w:pPr>
      <w:r>
        <w:rPr>
          <w:rFonts w:ascii="David" w:hAnsi="David" w:cs="David"/>
          <w:sz w:val="24"/>
          <w:szCs w:val="24"/>
          <w:rtl/>
        </w:rPr>
        <w:t>עוד מצאנו להדגיש כי העונש המרבי בצידה של עבירת ההמתה בה הורשע הנאשם עומד על 20 שנות מאסר וכך גם עונשה של עבירת החבלה בכוונה מחמירה. על מהותם של עונשים מרביים והשפעתם על הענישה בכל מקרה ומקרה נאמר ב</w:t>
      </w:r>
      <w:hyperlink r:id="rId70" w:history="1">
        <w:r w:rsidR="006739BB" w:rsidRPr="006739BB">
          <w:rPr>
            <w:rFonts w:ascii="David" w:hAnsi="David" w:cs="David"/>
            <w:color w:val="0000FF"/>
            <w:sz w:val="24"/>
            <w:szCs w:val="24"/>
            <w:u w:val="single"/>
            <w:rtl/>
          </w:rPr>
          <w:t>ע"פ 147/21</w:t>
        </w:r>
      </w:hyperlink>
      <w:r>
        <w:rPr>
          <w:rFonts w:ascii="David" w:hAnsi="David" w:cs="David"/>
          <w:sz w:val="24"/>
          <w:szCs w:val="24"/>
          <w:rtl/>
        </w:rPr>
        <w:t xml:space="preserve"> </w:t>
      </w:r>
      <w:r>
        <w:rPr>
          <w:rFonts w:ascii="David" w:hAnsi="David" w:cs="David"/>
          <w:b/>
          <w:bCs/>
          <w:sz w:val="24"/>
          <w:szCs w:val="24"/>
          <w:rtl/>
        </w:rPr>
        <w:t>מדינת ישראל נ' ירין ביטון</w:t>
      </w:r>
      <w:r>
        <w:rPr>
          <w:rFonts w:ascii="David" w:hAnsi="David" w:cs="David"/>
          <w:sz w:val="24"/>
          <w:szCs w:val="24"/>
          <w:rtl/>
        </w:rPr>
        <w:t xml:space="preserve"> (14.02.21): </w:t>
      </w:r>
    </w:p>
    <w:p w14:paraId="199DD1EF" w14:textId="77777777" w:rsidR="00B66DBB" w:rsidRDefault="00B66DBB" w:rsidP="00B66DBB">
      <w:pPr>
        <w:pStyle w:val="a9"/>
        <w:spacing w:line="360" w:lineRule="auto"/>
        <w:ind w:left="1080"/>
        <w:jc w:val="both"/>
        <w:rPr>
          <w:rFonts w:ascii="David" w:hAnsi="David" w:cs="David"/>
          <w:sz w:val="24"/>
          <w:szCs w:val="24"/>
        </w:rPr>
      </w:pPr>
    </w:p>
    <w:p w14:paraId="568B732C" w14:textId="77777777" w:rsidR="00B66DBB" w:rsidRDefault="00B66DBB" w:rsidP="00B66DBB">
      <w:pPr>
        <w:pStyle w:val="a9"/>
        <w:spacing w:line="360" w:lineRule="auto"/>
        <w:ind w:left="1440" w:right="426"/>
        <w:jc w:val="both"/>
        <w:rPr>
          <w:rFonts w:ascii="David" w:hAnsi="David" w:cs="David"/>
          <w:sz w:val="24"/>
          <w:szCs w:val="24"/>
        </w:rPr>
      </w:pPr>
      <w:r>
        <w:rPr>
          <w:rFonts w:ascii="David" w:hAnsi="David" w:cs="David"/>
          <w:sz w:val="24"/>
          <w:szCs w:val="24"/>
          <w:rtl/>
        </w:rPr>
        <w:t>"</w:t>
      </w:r>
      <w:r>
        <w:rPr>
          <w:rFonts w:ascii="David" w:hAnsi="David" w:cs="David"/>
          <w:b/>
          <w:bCs/>
          <w:sz w:val="24"/>
          <w:szCs w:val="24"/>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r:id="rId71" w:history="1">
        <w:r w:rsidR="006739BB" w:rsidRPr="006739BB">
          <w:rPr>
            <w:rFonts w:ascii="David" w:hAnsi="David" w:cs="David"/>
            <w:b/>
            <w:bCs/>
            <w:color w:val="0000FF"/>
            <w:sz w:val="24"/>
            <w:szCs w:val="24"/>
            <w:u w:val="single"/>
            <w:rtl/>
          </w:rPr>
          <w:t>ע"פ 3124/18</w:t>
        </w:r>
      </w:hyperlink>
      <w:r>
        <w:rPr>
          <w:rFonts w:ascii="David" w:hAnsi="David" w:cs="David"/>
          <w:b/>
          <w:bCs/>
          <w:sz w:val="24"/>
          <w:szCs w:val="24"/>
          <w:rtl/>
        </w:rPr>
        <w:t xml:space="preserve"> פלוני נ' מדינת ישראל (14.08.19),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72" w:history="1">
        <w:r w:rsidR="006739BB" w:rsidRPr="006739BB">
          <w:rPr>
            <w:rFonts w:ascii="David" w:hAnsi="David" w:cs="David"/>
            <w:b/>
            <w:bCs/>
            <w:color w:val="0000FF"/>
            <w:sz w:val="24"/>
            <w:szCs w:val="24"/>
            <w:u w:val="single"/>
            <w:rtl/>
          </w:rPr>
          <w:t>חוק העונשין</w:t>
        </w:r>
      </w:hyperlink>
      <w:r>
        <w:rPr>
          <w:rFonts w:ascii="David" w:hAnsi="David" w:cs="David"/>
          <w:b/>
          <w:bCs/>
          <w:sz w:val="24"/>
          <w:szCs w:val="24"/>
          <w:rtl/>
        </w:rPr>
        <w:t xml:space="preserve"> (ראו: </w:t>
      </w:r>
      <w:hyperlink r:id="rId73" w:history="1">
        <w:r w:rsidR="006739BB" w:rsidRPr="006739BB">
          <w:rPr>
            <w:rFonts w:ascii="David" w:hAnsi="David" w:cs="David"/>
            <w:b/>
            <w:bCs/>
            <w:color w:val="0000FF"/>
            <w:sz w:val="24"/>
            <w:szCs w:val="24"/>
            <w:u w:val="single"/>
            <w:rtl/>
          </w:rPr>
          <w:t>ע"פ 8641/12</w:t>
        </w:r>
      </w:hyperlink>
      <w:r>
        <w:rPr>
          <w:rFonts w:ascii="David" w:hAnsi="David" w:cs="David"/>
          <w:b/>
          <w:bCs/>
          <w:sz w:val="24"/>
          <w:szCs w:val="24"/>
          <w:rtl/>
        </w:rPr>
        <w:t xml:space="preserve"> סעד נ' מדינת ישראל, פ"ד סו(2) 772 (2013))</w:t>
      </w:r>
      <w:r>
        <w:rPr>
          <w:rFonts w:ascii="David" w:hAnsi="David" w:cs="David"/>
          <w:sz w:val="24"/>
          <w:szCs w:val="24"/>
          <w:rtl/>
        </w:rPr>
        <w:t xml:space="preserve">". </w:t>
      </w:r>
    </w:p>
    <w:p w14:paraId="3ECE4569" w14:textId="77777777" w:rsidR="00B66DBB" w:rsidRDefault="00B66DBB" w:rsidP="00B66DBB">
      <w:pPr>
        <w:pStyle w:val="a9"/>
        <w:spacing w:line="360" w:lineRule="auto"/>
        <w:ind w:left="1080"/>
        <w:jc w:val="both"/>
        <w:rPr>
          <w:rFonts w:ascii="David" w:hAnsi="David" w:cs="David"/>
          <w:sz w:val="24"/>
          <w:szCs w:val="24"/>
          <w:rtl/>
        </w:rPr>
      </w:pPr>
    </w:p>
    <w:p w14:paraId="0A49B29A"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אשר לעבירות בנשק שעבר הנאשם נפנה ל</w:t>
      </w:r>
      <w:hyperlink r:id="rId74" w:history="1">
        <w:r w:rsidR="006739BB" w:rsidRPr="006739BB">
          <w:rPr>
            <w:rFonts w:ascii="David" w:hAnsi="David" w:cs="David"/>
            <w:color w:val="0000FF"/>
            <w:sz w:val="24"/>
            <w:szCs w:val="24"/>
            <w:u w:val="single"/>
            <w:rtl/>
          </w:rPr>
          <w:t>ע"פ 4077/22</w:t>
        </w:r>
      </w:hyperlink>
      <w:r>
        <w:rPr>
          <w:rFonts w:ascii="David" w:hAnsi="David" w:cs="David"/>
          <w:sz w:val="24"/>
          <w:szCs w:val="24"/>
          <w:rtl/>
        </w:rPr>
        <w:t xml:space="preserve"> ואח'</w:t>
      </w:r>
      <w:r>
        <w:rPr>
          <w:rFonts w:ascii="David" w:hAnsi="David" w:cs="David"/>
          <w:b/>
          <w:bCs/>
          <w:sz w:val="24"/>
          <w:szCs w:val="24"/>
          <w:rtl/>
        </w:rPr>
        <w:t xml:space="preserve"> פלוני נ' מדינת ישראל</w:t>
      </w:r>
      <w:r>
        <w:rPr>
          <w:rFonts w:ascii="David" w:hAnsi="David" w:cs="David"/>
          <w:sz w:val="24"/>
          <w:szCs w:val="24"/>
          <w:rtl/>
        </w:rPr>
        <w:t xml:space="preserve"> (28.07.22): </w:t>
      </w:r>
    </w:p>
    <w:p w14:paraId="48556F2C" w14:textId="77777777" w:rsidR="00B66DBB" w:rsidRDefault="00B66DBB" w:rsidP="00B66DBB">
      <w:pPr>
        <w:pStyle w:val="a9"/>
        <w:spacing w:line="360" w:lineRule="auto"/>
        <w:ind w:left="1080"/>
        <w:jc w:val="both"/>
        <w:rPr>
          <w:rFonts w:ascii="David" w:hAnsi="David" w:cs="David"/>
          <w:sz w:val="24"/>
          <w:szCs w:val="24"/>
          <w:rtl/>
        </w:rPr>
      </w:pPr>
    </w:p>
    <w:p w14:paraId="1096D1CA" w14:textId="77777777" w:rsidR="00B66DBB" w:rsidRDefault="00B66DBB" w:rsidP="00B66DBB">
      <w:pPr>
        <w:pStyle w:val="a9"/>
        <w:spacing w:line="360" w:lineRule="auto"/>
        <w:ind w:left="1080"/>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 xml:space="preserve">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 (ראן: </w:t>
      </w:r>
      <w:hyperlink r:id="rId75" w:history="1">
        <w:r w:rsidR="006739BB" w:rsidRPr="006739BB">
          <w:rPr>
            <w:rFonts w:ascii="David" w:hAnsi="David" w:cs="David"/>
            <w:b/>
            <w:bCs/>
            <w:color w:val="0000FF"/>
            <w:sz w:val="24"/>
            <w:szCs w:val="24"/>
            <w:u w:val="single"/>
            <w:rtl/>
          </w:rPr>
          <w:t>ע"פ 5813/21</w:t>
        </w:r>
      </w:hyperlink>
      <w:r>
        <w:rPr>
          <w:rFonts w:ascii="David" w:hAnsi="David" w:cs="David"/>
          <w:b/>
          <w:bCs/>
          <w:sz w:val="24"/>
          <w:szCs w:val="24"/>
          <w:rtl/>
        </w:rPr>
        <w:t xml:space="preserve"> ג'בארין נ' מדינת ישראל, פסקה 17 (31.05.22); </w:t>
      </w:r>
      <w:hyperlink r:id="rId76" w:history="1">
        <w:r w:rsidR="006739BB" w:rsidRPr="006739BB">
          <w:rPr>
            <w:rFonts w:ascii="David" w:hAnsi="David" w:cs="David"/>
            <w:b/>
            <w:bCs/>
            <w:color w:val="0000FF"/>
            <w:sz w:val="24"/>
            <w:szCs w:val="24"/>
            <w:u w:val="single"/>
            <w:rtl/>
          </w:rPr>
          <w:t>ע"פ 8045/17</w:t>
        </w:r>
      </w:hyperlink>
      <w:r>
        <w:rPr>
          <w:rFonts w:ascii="David" w:hAnsi="David" w:cs="David"/>
          <w:b/>
          <w:bCs/>
          <w:sz w:val="24"/>
          <w:szCs w:val="24"/>
          <w:rtl/>
        </w:rPr>
        <w:t xml:space="preserve"> בראנסי נ' מדינת ישראל, פסקה 11 (16.08.18); </w:t>
      </w:r>
      <w:hyperlink r:id="rId77" w:history="1">
        <w:r w:rsidR="006739BB" w:rsidRPr="006739BB">
          <w:rPr>
            <w:rFonts w:ascii="David" w:hAnsi="David" w:cs="David"/>
            <w:b/>
            <w:bCs/>
            <w:color w:val="0000FF"/>
            <w:sz w:val="24"/>
            <w:szCs w:val="24"/>
            <w:u w:val="single"/>
            <w:rtl/>
          </w:rPr>
          <w:t>ע"פ 5643/14</w:t>
        </w:r>
      </w:hyperlink>
      <w:r>
        <w:rPr>
          <w:rFonts w:ascii="David" w:hAnsi="David" w:cs="David"/>
          <w:b/>
          <w:bCs/>
          <w:sz w:val="24"/>
          <w:szCs w:val="24"/>
          <w:rtl/>
        </w:rPr>
        <w:t xml:space="preserve"> עיסא נ' מדינת ישראל, פסקה 13 (23.06.15); </w:t>
      </w:r>
      <w:hyperlink r:id="rId78" w:history="1">
        <w:r w:rsidR="006739BB" w:rsidRPr="006739BB">
          <w:rPr>
            <w:rFonts w:ascii="David" w:hAnsi="David" w:cs="David"/>
            <w:b/>
            <w:bCs/>
            <w:color w:val="0000FF"/>
            <w:sz w:val="24"/>
            <w:szCs w:val="24"/>
            <w:u w:val="single"/>
            <w:rtl/>
          </w:rPr>
          <w:t>ע"פ 78/21</w:t>
        </w:r>
      </w:hyperlink>
      <w:r>
        <w:rPr>
          <w:rFonts w:ascii="David" w:hAnsi="David" w:cs="David"/>
          <w:b/>
          <w:bCs/>
          <w:sz w:val="24"/>
          <w:szCs w:val="24"/>
          <w:rtl/>
        </w:rPr>
        <w:t xml:space="preserve"> פלוני נ' מדינת ישראל, פסקה 9 (26.07.22); </w:t>
      </w:r>
      <w:hyperlink r:id="rId79" w:history="1">
        <w:r w:rsidR="006739BB" w:rsidRPr="006739BB">
          <w:rPr>
            <w:rFonts w:ascii="David" w:hAnsi="David" w:cs="David"/>
            <w:b/>
            <w:bCs/>
            <w:color w:val="0000FF"/>
            <w:sz w:val="24"/>
            <w:szCs w:val="24"/>
            <w:u w:val="single"/>
            <w:rtl/>
          </w:rPr>
          <w:t>ע"פ 587/22</w:t>
        </w:r>
      </w:hyperlink>
      <w:r>
        <w:rPr>
          <w:rFonts w:ascii="David" w:hAnsi="David" w:cs="David"/>
          <w:b/>
          <w:bCs/>
          <w:sz w:val="24"/>
          <w:szCs w:val="24"/>
          <w:rtl/>
        </w:rPr>
        <w:t xml:space="preserve"> נאעסה נ' מדינת ישראל, פסקה 9 (22.05.22)). 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(ראו: </w:t>
      </w:r>
      <w:hyperlink r:id="rId80" w:history="1">
        <w:r w:rsidR="006739BB" w:rsidRPr="006739BB">
          <w:rPr>
            <w:rFonts w:ascii="David" w:hAnsi="David" w:cs="David"/>
            <w:b/>
            <w:bCs/>
            <w:color w:val="0000FF"/>
            <w:sz w:val="24"/>
            <w:szCs w:val="24"/>
            <w:u w:val="single"/>
            <w:rtl/>
          </w:rPr>
          <w:t>ע"פ 78/21</w:t>
        </w:r>
      </w:hyperlink>
      <w:r>
        <w:rPr>
          <w:rFonts w:ascii="David" w:hAnsi="David" w:cs="David"/>
          <w:b/>
          <w:bCs/>
          <w:sz w:val="24"/>
          <w:szCs w:val="24"/>
          <w:rtl/>
        </w:rPr>
        <w:t xml:space="preserve"> פלוני נ' מדינת ישראל, פסקה 11 והאסמכתאות שם (26.07.22)). בימים קשים אלה, השיקום שבראש מעייננו הוא שיקום המרחב הציבורי המדמם כתוצאה מעבירות נשק בלתי פוסקות והשימוש העברייני בנשק חם. </w:t>
      </w:r>
    </w:p>
    <w:p w14:paraId="04FAEDF4" w14:textId="77777777" w:rsidR="00B66DBB" w:rsidRDefault="00B66DBB" w:rsidP="00B66DBB">
      <w:pPr>
        <w:pStyle w:val="a9"/>
        <w:spacing w:line="360" w:lineRule="auto"/>
        <w:ind w:left="1080"/>
        <w:jc w:val="both"/>
        <w:rPr>
          <w:rFonts w:ascii="David" w:hAnsi="David" w:cs="David"/>
          <w:b/>
          <w:bCs/>
          <w:sz w:val="24"/>
          <w:szCs w:val="24"/>
          <w:rtl/>
        </w:rPr>
      </w:pPr>
    </w:p>
    <w:p w14:paraId="29876CA1"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b/>
          <w:bCs/>
          <w:sz w:val="24"/>
          <w:szCs w:val="24"/>
          <w:rtl/>
        </w:rPr>
        <w:t xml:space="preserve">בבואו ליישם את מדיניות הענישה כאמור, בית משפט זה דואג להשית על מי שמוכר, קונה, נושא או מוביל נשק התקפי שלא כדין – קל וחומר, על מי שעושה שימוש בלתי חוקי בנשק התקפי – עונשי מאסר בין סורג ובריח לתקופות ארוכות יחסית (ראו: </w:t>
      </w:r>
      <w:hyperlink r:id="rId81" w:history="1">
        <w:r w:rsidR="006739BB" w:rsidRPr="006739BB">
          <w:rPr>
            <w:rFonts w:ascii="David" w:hAnsi="David" w:cs="David"/>
            <w:b/>
            <w:bCs/>
            <w:color w:val="0000FF"/>
            <w:sz w:val="24"/>
            <w:szCs w:val="24"/>
            <w:u w:val="single"/>
            <w:rtl/>
          </w:rPr>
          <w:t>ע"פ 4456/21</w:t>
        </w:r>
      </w:hyperlink>
      <w:r>
        <w:rPr>
          <w:rFonts w:ascii="David" w:hAnsi="David" w:cs="David"/>
          <w:b/>
          <w:bCs/>
          <w:sz w:val="24"/>
          <w:szCs w:val="24"/>
          <w:rtl/>
        </w:rPr>
        <w:t xml:space="preserve"> מי' נ' אבו עבסה (23.01.22); </w:t>
      </w:r>
      <w:hyperlink r:id="rId82" w:history="1">
        <w:r w:rsidR="006739BB" w:rsidRPr="006739BB">
          <w:rPr>
            <w:rFonts w:ascii="David" w:hAnsi="David" w:cs="David"/>
            <w:b/>
            <w:bCs/>
            <w:color w:val="0000FF"/>
            <w:sz w:val="24"/>
            <w:szCs w:val="24"/>
            <w:u w:val="single"/>
            <w:rtl/>
          </w:rPr>
          <w:t>ע"פ 579/22</w:t>
        </w:r>
      </w:hyperlink>
      <w:r>
        <w:rPr>
          <w:rFonts w:ascii="David" w:hAnsi="David" w:cs="David"/>
          <w:b/>
          <w:bCs/>
          <w:sz w:val="24"/>
          <w:szCs w:val="24"/>
          <w:rtl/>
        </w:rPr>
        <w:t xml:space="preserve"> מדינת ישראל נ' טחאינה (13.06.22); </w:t>
      </w:r>
      <w:hyperlink r:id="rId83" w:history="1">
        <w:r w:rsidR="006739BB" w:rsidRPr="006739BB">
          <w:rPr>
            <w:rFonts w:ascii="David" w:hAnsi="David" w:cs="David"/>
            <w:b/>
            <w:bCs/>
            <w:color w:val="0000FF"/>
            <w:sz w:val="24"/>
            <w:szCs w:val="24"/>
            <w:u w:val="single"/>
            <w:rtl/>
          </w:rPr>
          <w:t>ע"פ 8869/21</w:t>
        </w:r>
      </w:hyperlink>
      <w:r>
        <w:rPr>
          <w:rFonts w:ascii="David" w:hAnsi="David" w:cs="David"/>
          <w:b/>
          <w:bCs/>
          <w:sz w:val="24"/>
          <w:szCs w:val="24"/>
          <w:rtl/>
        </w:rPr>
        <w:t xml:space="preserve"> מדינת ישראל נ' קואסמה (13.03.22)). לפי אמות המידה שמדיניות זו קבעה, מאסר בפועל לתקופה של 3 שנים בגין עבירות הקשורות לנשק התקפי נמצא ברף הנמוך של הענישה הראויה (ראו: </w:t>
      </w:r>
      <w:hyperlink r:id="rId84" w:history="1">
        <w:r w:rsidR="006739BB" w:rsidRPr="006739BB">
          <w:rPr>
            <w:rFonts w:ascii="David" w:hAnsi="David" w:cs="David"/>
            <w:b/>
            <w:bCs/>
            <w:color w:val="0000FF"/>
            <w:sz w:val="24"/>
            <w:szCs w:val="24"/>
            <w:u w:val="single"/>
            <w:rtl/>
          </w:rPr>
          <w:t>ע"פ 4406/19</w:t>
        </w:r>
      </w:hyperlink>
      <w:r>
        <w:rPr>
          <w:rFonts w:ascii="David" w:hAnsi="David" w:cs="David"/>
          <w:b/>
          <w:bCs/>
          <w:sz w:val="24"/>
          <w:szCs w:val="24"/>
          <w:rtl/>
        </w:rPr>
        <w:t xml:space="preserve"> מדינת ישראל נ' סובח (05.11.19); </w:t>
      </w:r>
      <w:hyperlink r:id="rId85" w:history="1">
        <w:r w:rsidR="006739BB" w:rsidRPr="006739BB">
          <w:rPr>
            <w:rFonts w:ascii="David" w:hAnsi="David" w:cs="David"/>
            <w:b/>
            <w:bCs/>
            <w:color w:val="0000FF"/>
            <w:sz w:val="24"/>
            <w:szCs w:val="24"/>
            <w:u w:val="single"/>
            <w:rtl/>
          </w:rPr>
          <w:t>ע"פ 147/21</w:t>
        </w:r>
      </w:hyperlink>
      <w:r>
        <w:rPr>
          <w:rFonts w:ascii="David" w:hAnsi="David" w:cs="David"/>
          <w:b/>
          <w:bCs/>
          <w:sz w:val="24"/>
          <w:szCs w:val="24"/>
          <w:rtl/>
        </w:rPr>
        <w:t xml:space="preserve"> מדינת ישראל נ' ביטון (14.02.21)). מאסר בפועל בסביבתן של שלוש שנים הולם הובלה ונשיאה חד-פעמית של נשק (ראו: </w:t>
      </w:r>
      <w:hyperlink r:id="rId86" w:history="1">
        <w:r w:rsidR="006739BB" w:rsidRPr="006739BB">
          <w:rPr>
            <w:rFonts w:ascii="David" w:hAnsi="David" w:cs="David"/>
            <w:b/>
            <w:bCs/>
            <w:color w:val="0000FF"/>
            <w:sz w:val="24"/>
            <w:szCs w:val="24"/>
            <w:u w:val="single"/>
            <w:rtl/>
          </w:rPr>
          <w:t>ע"פ 6021/21</w:t>
        </w:r>
      </w:hyperlink>
      <w:r>
        <w:rPr>
          <w:rFonts w:ascii="David" w:hAnsi="David" w:cs="David"/>
          <w:b/>
          <w:bCs/>
          <w:sz w:val="24"/>
          <w:szCs w:val="24"/>
          <w:rtl/>
        </w:rPr>
        <w:t xml:space="preserve"> עבוד נ' מדינת ישראל (19.12.21); </w:t>
      </w:r>
      <w:hyperlink r:id="rId87" w:history="1">
        <w:r w:rsidR="006739BB" w:rsidRPr="006739BB">
          <w:rPr>
            <w:rFonts w:ascii="David" w:hAnsi="David" w:cs="David"/>
            <w:b/>
            <w:bCs/>
            <w:color w:val="0000FF"/>
            <w:sz w:val="24"/>
            <w:szCs w:val="24"/>
            <w:u w:val="single"/>
            <w:rtl/>
          </w:rPr>
          <w:t>ע"פ 309/22</w:t>
        </w:r>
      </w:hyperlink>
      <w:r>
        <w:rPr>
          <w:rFonts w:ascii="David" w:hAnsi="David" w:cs="David"/>
          <w:b/>
          <w:bCs/>
          <w:sz w:val="24"/>
          <w:szCs w:val="24"/>
          <w:rtl/>
        </w:rPr>
        <w:t xml:space="preserve"> מדינת ישראל נ' ביאדסה (10.05.22) (להלן: עניין ביאדסה)), והינו בגדר עונש מקל כאשר מדובר בעבירות נשק חמורות יותר. מדיניות זאת קיבלה באחרונה ביטוי סטטוטורי בסעיף 144(ז) ל</w:t>
      </w:r>
      <w:hyperlink r:id="rId88" w:history="1">
        <w:r w:rsidR="006739BB" w:rsidRPr="006739BB">
          <w:rPr>
            <w:rFonts w:ascii="David" w:hAnsi="David" w:cs="David"/>
            <w:b/>
            <w:bCs/>
            <w:color w:val="0000FF"/>
            <w:sz w:val="24"/>
            <w:szCs w:val="24"/>
            <w:u w:val="single"/>
            <w:rtl/>
          </w:rPr>
          <w:t>חוק העונשין</w:t>
        </w:r>
      </w:hyperlink>
      <w:r>
        <w:rPr>
          <w:rFonts w:ascii="David" w:hAnsi="David" w:cs="David"/>
          <w:b/>
          <w:bCs/>
          <w:sz w:val="24"/>
          <w:szCs w:val="24"/>
          <w:rtl/>
        </w:rPr>
        <w:t xml:space="preserve"> אשר חוקק במסגרת תיקון מס' 140 לחוק (ראו: חוק העונשין (תיקון מס' 140 – הוראת שעה), התשפ"ב-2021, ס"ח 2938)</w:t>
      </w:r>
      <w:r>
        <w:rPr>
          <w:rFonts w:ascii="David" w:hAnsi="David" w:cs="David"/>
          <w:sz w:val="24"/>
          <w:szCs w:val="24"/>
          <w:rtl/>
        </w:rPr>
        <w:t xml:space="preserve">". </w:t>
      </w:r>
    </w:p>
    <w:p w14:paraId="4B5F1ECD" w14:textId="77777777" w:rsidR="00B66DBB" w:rsidRDefault="00B66DBB" w:rsidP="00B66DBB">
      <w:pPr>
        <w:pStyle w:val="a9"/>
        <w:spacing w:line="360" w:lineRule="auto"/>
        <w:ind w:left="1080"/>
        <w:jc w:val="both"/>
        <w:rPr>
          <w:rFonts w:ascii="David" w:hAnsi="David" w:cs="David"/>
          <w:sz w:val="24"/>
          <w:szCs w:val="24"/>
          <w:rtl/>
        </w:rPr>
      </w:pPr>
    </w:p>
    <w:p w14:paraId="1B2D6ECC" w14:textId="77777777" w:rsidR="00B66DBB" w:rsidRDefault="00B66DBB" w:rsidP="00B66DBB">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כאמור, מידת הפגיעה בערכים המוגנים במקרה דנן, אין חולק, היא גבוהה ביותר. מדובר באירוע שהביא לתוצאות הרות אסון וקשות מאוד. מעשי הנאשם המיטו אסון על משפחת הקרבן המנוח, והביאו לשבר עמוק בכל מישורי חייהם, על כל הכרוך בכך. כך גם הירי כלפי סימון עזרא, לו היה הקליע פוגע בו, עלול היה להסתיים בתוצאות מי ישורן. וכך גם עבירות האלימות האחרות. </w:t>
      </w:r>
    </w:p>
    <w:p w14:paraId="39005729" w14:textId="77777777" w:rsidR="00B66DBB" w:rsidRDefault="00B66DBB" w:rsidP="00B66DBB">
      <w:pPr>
        <w:pStyle w:val="a9"/>
        <w:spacing w:line="360" w:lineRule="auto"/>
        <w:ind w:left="1080"/>
        <w:jc w:val="both"/>
        <w:rPr>
          <w:rFonts w:ascii="David" w:hAnsi="David" w:cs="David"/>
          <w:sz w:val="24"/>
          <w:szCs w:val="24"/>
        </w:rPr>
      </w:pPr>
      <w:r>
        <w:rPr>
          <w:rFonts w:ascii="David" w:hAnsi="David" w:cs="David"/>
          <w:sz w:val="24"/>
          <w:szCs w:val="24"/>
          <w:rtl/>
        </w:rPr>
        <w:t xml:space="preserve">אמנם האירוע התרחש בגדרי תגרה, אמנם המנוח הסתער לעבר אחיו ואביו של הנאשם ואמנם סימון עזרא חזר לזירה שש אלי קרב, אך נסיבות אלו מקהות אך במעט את חומרת האירוע. </w:t>
      </w:r>
    </w:p>
    <w:p w14:paraId="5D1C8B92"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 xml:space="preserve">שימוש בנשק באירוע כפי שהתרחש, כאשר סימון עזרא אחז בסכין יפנית בלבד, אף אם הוא דחף את מי מבני החבורה האחרת עם בואו לזירה, היה מעשה לא מידתי בעליל, אלים ביותר, מיותר, תוקפני וקיצוני בחומרתו. </w:t>
      </w:r>
    </w:p>
    <w:p w14:paraId="2B234B6A"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 xml:space="preserve">אכן נסיבות המקרה אינן מלמדות על תכנון מוקדם, מוקפד ומתוכנן, אכן אחרים השתתפו בתגרה, משני המחנות, אך לית מאן דפליג ששליפת הנשק והשימוש בו באופן שבו נעשה – חמורה עד מאוד וסכנתה גבוהה ביותר ולמרבה הצער והזוועה, התרחשה. </w:t>
      </w:r>
    </w:p>
    <w:p w14:paraId="0410E027" w14:textId="77777777" w:rsidR="00B66DBB" w:rsidRDefault="00B66DBB" w:rsidP="00B66DBB">
      <w:pPr>
        <w:pStyle w:val="a9"/>
        <w:spacing w:line="360" w:lineRule="auto"/>
        <w:ind w:left="1080"/>
        <w:jc w:val="both"/>
        <w:rPr>
          <w:rFonts w:ascii="David" w:hAnsi="David" w:cs="David"/>
          <w:sz w:val="24"/>
          <w:szCs w:val="24"/>
          <w:rtl/>
        </w:rPr>
      </w:pPr>
    </w:p>
    <w:p w14:paraId="1673E5F4" w14:textId="77777777" w:rsidR="00B66DBB" w:rsidRDefault="00B66DBB" w:rsidP="00B66DBB">
      <w:pPr>
        <w:pStyle w:val="a9"/>
        <w:numPr>
          <w:ilvl w:val="0"/>
          <w:numId w:val="2"/>
        </w:numPr>
        <w:spacing w:line="360" w:lineRule="auto"/>
        <w:jc w:val="both"/>
        <w:rPr>
          <w:rFonts w:ascii="David" w:hAnsi="David" w:cs="David"/>
          <w:sz w:val="24"/>
          <w:szCs w:val="24"/>
          <w:rtl/>
        </w:rPr>
      </w:pPr>
      <w:r>
        <w:rPr>
          <w:rFonts w:ascii="David" w:hAnsi="David" w:cs="David"/>
          <w:sz w:val="24"/>
          <w:szCs w:val="24"/>
          <w:rtl/>
        </w:rPr>
        <w:t>עבירות האלימות הפושטות בחברתנו, הורסות כל חלקה טובה ועל בית המשפט להטיל את כל כובד משקלו המוסרי על מנת למגר, או לפחות לצמצם את הנגע באמצעות ענישה מתאימה.</w:t>
      </w:r>
    </w:p>
    <w:p w14:paraId="77497470" w14:textId="77777777" w:rsidR="00B66DBB" w:rsidRDefault="00B66DBB" w:rsidP="00B66DBB">
      <w:pPr>
        <w:pStyle w:val="a9"/>
        <w:spacing w:line="360" w:lineRule="auto"/>
        <w:ind w:left="1080"/>
        <w:jc w:val="both"/>
        <w:rPr>
          <w:rFonts w:ascii="David" w:hAnsi="David" w:cs="David"/>
          <w:sz w:val="24"/>
          <w:szCs w:val="24"/>
        </w:rPr>
      </w:pPr>
      <w:r>
        <w:rPr>
          <w:rFonts w:ascii="David" w:hAnsi="David" w:cs="David"/>
          <w:sz w:val="24"/>
          <w:szCs w:val="24"/>
          <w:rtl/>
        </w:rPr>
        <w:t>ב</w:t>
      </w:r>
      <w:hyperlink r:id="rId89" w:history="1">
        <w:r w:rsidR="006739BB" w:rsidRPr="006739BB">
          <w:rPr>
            <w:rFonts w:ascii="David" w:hAnsi="David" w:cs="David"/>
            <w:color w:val="0000FF"/>
            <w:sz w:val="24"/>
            <w:szCs w:val="24"/>
            <w:u w:val="single"/>
            <w:rtl/>
          </w:rPr>
          <w:t>ע"פ 2350/14</w:t>
        </w:r>
      </w:hyperlink>
      <w:r>
        <w:rPr>
          <w:rFonts w:ascii="David" w:hAnsi="David" w:cs="David"/>
          <w:sz w:val="24"/>
          <w:szCs w:val="24"/>
          <w:rtl/>
        </w:rPr>
        <w:t xml:space="preserve"> ואח' </w:t>
      </w:r>
      <w:r>
        <w:rPr>
          <w:rFonts w:ascii="David" w:hAnsi="David" w:cs="David"/>
          <w:b/>
          <w:bCs/>
          <w:sz w:val="24"/>
          <w:szCs w:val="24"/>
          <w:rtl/>
        </w:rPr>
        <w:t>אחמתוב ג'עברי ואח' נ' מדינת ישראל</w:t>
      </w:r>
      <w:r>
        <w:rPr>
          <w:rFonts w:ascii="David" w:hAnsi="David" w:cs="David"/>
          <w:sz w:val="24"/>
          <w:szCs w:val="24"/>
          <w:rtl/>
        </w:rPr>
        <w:t xml:space="preserve"> (18.01.15) אמר בית המשפט העליון את הדברים הבאים שכוחם יפה למקרה דנן: </w:t>
      </w:r>
    </w:p>
    <w:p w14:paraId="5804F2BC" w14:textId="77777777" w:rsidR="00B66DBB" w:rsidRDefault="00B66DBB" w:rsidP="00B66DBB">
      <w:pPr>
        <w:pStyle w:val="a9"/>
        <w:spacing w:line="360" w:lineRule="auto"/>
        <w:ind w:left="1080"/>
        <w:jc w:val="both"/>
        <w:rPr>
          <w:rFonts w:ascii="David" w:hAnsi="David" w:cs="David"/>
          <w:sz w:val="24"/>
          <w:szCs w:val="24"/>
        </w:rPr>
      </w:pPr>
    </w:p>
    <w:p w14:paraId="50E0EE7D" w14:textId="77777777" w:rsidR="00B66DBB" w:rsidRDefault="00B66DBB" w:rsidP="00B66DBB">
      <w:pPr>
        <w:pStyle w:val="a9"/>
        <w:spacing w:line="360" w:lineRule="auto"/>
        <w:ind w:left="1440" w:right="142"/>
        <w:jc w:val="both"/>
        <w:rPr>
          <w:rFonts w:ascii="David" w:hAnsi="David" w:cs="David"/>
          <w:b/>
          <w:bCs/>
          <w:sz w:val="24"/>
          <w:szCs w:val="24"/>
        </w:rPr>
      </w:pPr>
      <w:r>
        <w:rPr>
          <w:rFonts w:ascii="David" w:hAnsi="David" w:cs="David"/>
          <w:sz w:val="24"/>
          <w:szCs w:val="24"/>
          <w:rtl/>
        </w:rPr>
        <w:t>"</w:t>
      </w:r>
      <w:r>
        <w:rPr>
          <w:rFonts w:ascii="David" w:hAnsi="David" w:cs="David"/>
          <w:b/>
          <w:bCs/>
          <w:sz w:val="24"/>
          <w:szCs w:val="24"/>
          <w:rtl/>
        </w:rPr>
        <w:t xml:space="preserve">בית משפט זה קבע לא אחת, כי על הענישה בגין מעשי אלימות לכלול רכיב משמעותי של מאסר בפועל על מנת לשקף מסר מרתיע במאבק בנגע האלימות שפשט בארצנו ובתופעה של פתרון סכסוכים בכוח הזרוע והנשק: </w:t>
      </w:r>
    </w:p>
    <w:p w14:paraId="602A033B" w14:textId="77777777" w:rsidR="00B66DBB" w:rsidRDefault="00B66DBB" w:rsidP="00B66DBB">
      <w:pPr>
        <w:pStyle w:val="a9"/>
        <w:spacing w:line="360" w:lineRule="auto"/>
        <w:ind w:left="1080"/>
        <w:jc w:val="both"/>
        <w:rPr>
          <w:rFonts w:ascii="David" w:hAnsi="David" w:cs="David"/>
          <w:b/>
          <w:bCs/>
          <w:sz w:val="24"/>
          <w:szCs w:val="24"/>
          <w:rtl/>
        </w:rPr>
      </w:pPr>
      <w:r>
        <w:rPr>
          <w:rFonts w:ascii="David" w:hAnsi="David" w:cs="David"/>
          <w:b/>
          <w:bCs/>
          <w:sz w:val="24"/>
          <w:szCs w:val="24"/>
          <w:rtl/>
        </w:rPr>
        <w:tab/>
      </w:r>
    </w:p>
    <w:p w14:paraId="46CAD5C2" w14:textId="77777777" w:rsidR="00B66DBB" w:rsidRDefault="00B66DBB" w:rsidP="00B66DBB">
      <w:pPr>
        <w:pStyle w:val="a9"/>
        <w:spacing w:line="360" w:lineRule="auto"/>
        <w:ind w:left="1440" w:right="284"/>
        <w:jc w:val="both"/>
        <w:rPr>
          <w:rFonts w:ascii="David" w:hAnsi="David" w:cs="David"/>
          <w:b/>
          <w:bCs/>
          <w:sz w:val="24"/>
          <w:szCs w:val="24"/>
          <w:rtl/>
        </w:rPr>
      </w:pPr>
      <w:r>
        <w:rPr>
          <w:rFonts w:ascii="David" w:hAnsi="David" w:cs="David"/>
          <w:b/>
          <w:bCs/>
          <w:sz w:val="24"/>
          <w:szCs w:val="24"/>
          <w:rtl/>
        </w:rPr>
        <w:t>"בית משפט זה עמד לא אחת על הצורך בהרתעתם של עבריינים הפונים 'לפתור סכסוכים' בכוח הזרוע. בפסקי דין רבים נקבע כי יש להילחם בנגע האלימות שפשט בארצנו ולהטיל עונשים מרתיעים ומשמעותיים על מי שבחרו בחירה בלתי נסבלת בדרך האלימות, למען יועבר מסר מתאים לעבריינים ולחברה כולה" (</w:t>
      </w:r>
      <w:hyperlink r:id="rId90" w:history="1">
        <w:r w:rsidR="006739BB" w:rsidRPr="006739BB">
          <w:rPr>
            <w:rFonts w:ascii="David" w:hAnsi="David" w:cs="David"/>
            <w:b/>
            <w:bCs/>
            <w:color w:val="0000FF"/>
            <w:sz w:val="24"/>
            <w:szCs w:val="24"/>
            <w:u w:val="single"/>
            <w:rtl/>
          </w:rPr>
          <w:t>ע"פ 941/13</w:t>
        </w:r>
      </w:hyperlink>
      <w:r>
        <w:rPr>
          <w:rFonts w:ascii="David" w:hAnsi="David" w:cs="David"/>
          <w:b/>
          <w:bCs/>
          <w:sz w:val="24"/>
          <w:szCs w:val="24"/>
          <w:rtl/>
        </w:rPr>
        <w:t xml:space="preserve"> אבירם פרץ נ' מדינת ישראל (26.11.13)). </w:t>
      </w:r>
    </w:p>
    <w:p w14:paraId="6E775FD2" w14:textId="77777777" w:rsidR="00B66DBB" w:rsidRDefault="00B66DBB" w:rsidP="00B66DBB">
      <w:pPr>
        <w:spacing w:line="360" w:lineRule="auto"/>
        <w:ind w:left="1440"/>
        <w:jc w:val="both"/>
        <w:rPr>
          <w:rFonts w:ascii="David" w:hAnsi="David"/>
          <w:b/>
          <w:bCs/>
          <w:rtl/>
        </w:rPr>
      </w:pPr>
      <w:r>
        <w:rPr>
          <w:rFonts w:ascii="David" w:hAnsi="David"/>
          <w:b/>
          <w:bCs/>
          <w:rtl/>
        </w:rPr>
        <w:t>אכן, קשת הענישה בעבירות אלימות לסוגיהן היא רחבה ומגוונת, אך כפי שהובהר ב</w:t>
      </w:r>
      <w:hyperlink r:id="rId91" w:history="1">
        <w:r w:rsidR="006739BB" w:rsidRPr="006739BB">
          <w:rPr>
            <w:rFonts w:ascii="David" w:hAnsi="David"/>
            <w:b/>
            <w:bCs/>
            <w:color w:val="0000FF"/>
            <w:u w:val="single"/>
            <w:rtl/>
          </w:rPr>
          <w:t>ע"פ 7475/14</w:t>
        </w:r>
      </w:hyperlink>
      <w:r>
        <w:rPr>
          <w:rFonts w:ascii="David" w:hAnsi="David"/>
          <w:b/>
          <w:bCs/>
          <w:rtl/>
        </w:rPr>
        <w:t xml:space="preserve"> קבהא מהדי נ' מדינת ישראל (25.12.14): </w:t>
      </w:r>
    </w:p>
    <w:p w14:paraId="74A3EE27" w14:textId="77777777" w:rsidR="00B66DBB" w:rsidRDefault="00B66DBB" w:rsidP="00B66DBB">
      <w:pPr>
        <w:spacing w:line="360" w:lineRule="auto"/>
        <w:ind w:left="1440" w:right="284"/>
        <w:jc w:val="both"/>
        <w:rPr>
          <w:rFonts w:ascii="David" w:hAnsi="David"/>
          <w:rtl/>
        </w:rPr>
      </w:pPr>
      <w:r>
        <w:rPr>
          <w:rFonts w:ascii="David" w:hAnsi="David"/>
          <w:b/>
          <w:bCs/>
          <w:rtl/>
        </w:rPr>
        <w:t>"בפסיקת בית משפט זה ניכרת בשנים האחרונות מגמה ברורה של החמרה בענישה בעבירות אלימות באופן כללי ובעבירת החבלה החמורה בנסיבות מחמירות באופן ספציפי. בית משפט זה ציין לא אחת כי יש להילחם בנגע האלימות שפשט בארצנו וכי תרומתו של בית המשפט למלחמה זו הינה בהטלת עונשים מרתיעים ומשמעותיים שישקפו מסר מרתיע</w:t>
      </w:r>
      <w:r>
        <w:rPr>
          <w:rFonts w:ascii="David" w:hAnsi="David"/>
          <w:rtl/>
        </w:rPr>
        <w:t xml:space="preserve">". </w:t>
      </w:r>
    </w:p>
    <w:p w14:paraId="4FF4398A" w14:textId="77777777" w:rsidR="00B66DBB" w:rsidRDefault="00B66DBB" w:rsidP="00B66DBB">
      <w:pPr>
        <w:spacing w:line="360" w:lineRule="auto"/>
        <w:ind w:left="1076" w:hanging="425"/>
        <w:jc w:val="both"/>
        <w:rPr>
          <w:rFonts w:ascii="David" w:hAnsi="David"/>
          <w:rtl/>
        </w:rPr>
      </w:pPr>
      <w:r>
        <w:rPr>
          <w:rFonts w:ascii="David" w:hAnsi="David"/>
          <w:rtl/>
        </w:rPr>
        <w:tab/>
      </w:r>
      <w:r>
        <w:rPr>
          <w:rFonts w:ascii="David" w:hAnsi="David"/>
          <w:rtl/>
        </w:rPr>
        <w:tab/>
        <w:t>עוד נאמר ב</w:t>
      </w:r>
      <w:hyperlink r:id="rId92" w:history="1">
        <w:r w:rsidR="006739BB" w:rsidRPr="006739BB">
          <w:rPr>
            <w:rFonts w:ascii="David" w:hAnsi="David"/>
            <w:color w:val="0000FF"/>
            <w:u w:val="single"/>
            <w:rtl/>
          </w:rPr>
          <w:t>ע"פ 1456/01</w:t>
        </w:r>
      </w:hyperlink>
      <w:r>
        <w:rPr>
          <w:rFonts w:ascii="David" w:hAnsi="David"/>
          <w:rtl/>
        </w:rPr>
        <w:t xml:space="preserve"> </w:t>
      </w:r>
      <w:r>
        <w:rPr>
          <w:rFonts w:ascii="David" w:hAnsi="David"/>
          <w:b/>
          <w:bCs/>
          <w:rtl/>
        </w:rPr>
        <w:t>חדד נ' מדינת ישראל</w:t>
      </w:r>
      <w:r>
        <w:rPr>
          <w:rFonts w:ascii="David" w:hAnsi="David"/>
          <w:rtl/>
        </w:rPr>
        <w:t xml:space="preserve"> פד נו(1), 609: </w:t>
      </w:r>
    </w:p>
    <w:p w14:paraId="67504836" w14:textId="77777777" w:rsidR="00B66DBB" w:rsidRDefault="00B66DBB" w:rsidP="00B66DBB">
      <w:pPr>
        <w:spacing w:line="360" w:lineRule="auto"/>
        <w:ind w:left="1440"/>
        <w:jc w:val="both"/>
        <w:rPr>
          <w:rFonts w:ascii="David" w:hAnsi="David"/>
          <w:b/>
          <w:bCs/>
          <w:rtl/>
        </w:rPr>
      </w:pPr>
      <w:r>
        <w:rPr>
          <w:rFonts w:ascii="David" w:hAnsi="David"/>
          <w:rtl/>
        </w:rPr>
        <w:t>"</w:t>
      </w:r>
      <w:r>
        <w:rPr>
          <w:rFonts w:ascii="David" w:hAnsi="David"/>
          <w:b/>
          <w:bCs/>
          <w:rtl/>
        </w:rPr>
        <w:t xml:space="preserve">העבירה של שפיכות דמים הייתה כמעט לדבר יום ביומו. לפיכך יש לנקוט את הגישה המחמירה, לאמור הגישה הרואה בעונש המרבי את נקודת המוצא שממנו מפחיתים לפי נסיבות המקרה, נסיבותיו האישיות של העבריין, תדירותה או נדירותה של העבירה, הרתעת עבריינים בכוח ועוצמת הסלידה ושאט הנפש של החברה. בבוא בית המשפט לשקול את משקלם היחסי של כל אחד מאלה יש לייחס משקל כבד במיוחד לשני האחרונים. </w:t>
      </w:r>
    </w:p>
    <w:p w14:paraId="0DEF1ABC" w14:textId="77777777" w:rsidR="00B66DBB" w:rsidRDefault="00B66DBB" w:rsidP="00B66DBB">
      <w:pPr>
        <w:spacing w:line="360" w:lineRule="auto"/>
        <w:ind w:left="1440"/>
        <w:jc w:val="both"/>
        <w:rPr>
          <w:rFonts w:ascii="David" w:hAnsi="David"/>
          <w:b/>
          <w:bCs/>
          <w:rtl/>
        </w:rPr>
      </w:pPr>
      <w:r>
        <w:rPr>
          <w:rFonts w:ascii="David" w:hAnsi="David"/>
          <w:b/>
          <w:bCs/>
          <w:rtl/>
        </w:rPr>
        <w:t xml:space="preserve">העונש שנגזר על המערער הוא העונש המרבי הקבוע לעבירה בחוק, אולם במדרג המעשים הגורמים למותו של אדם עומד מעשהו של המערער בדרגה החמורה ביותר, זו המתקרבת לרצח, ורק כפשע היה בין המערער לבין הרשעתו ברצח. </w:t>
      </w:r>
    </w:p>
    <w:p w14:paraId="28E14CFB" w14:textId="77777777" w:rsidR="00B66DBB" w:rsidRPr="005D5BB2" w:rsidRDefault="00B66DBB" w:rsidP="00B66DBB">
      <w:pPr>
        <w:spacing w:line="360" w:lineRule="auto"/>
        <w:ind w:left="1440"/>
        <w:jc w:val="both"/>
        <w:rPr>
          <w:rFonts w:ascii="David" w:hAnsi="David"/>
          <w:rtl/>
        </w:rPr>
      </w:pPr>
      <w:r>
        <w:rPr>
          <w:rFonts w:ascii="David" w:hAnsi="David"/>
          <w:b/>
          <w:bCs/>
          <w:rtl/>
        </w:rPr>
        <w:t>חיי אדם הם ערך מקודש בחברה הישראלית. המעשה שעשה המערער הוא ביטוי קיצוני של זלזול בערך זה. עליו, ועל עוברי עבירה כמוהו, לשאת בעונש המרבי הקבוע בחוק, אלא אם נמצא צד זכות המצדיק הקלה בעונש. כזה לא נמצא למערער</w:t>
      </w:r>
      <w:r w:rsidRPr="005D5BB2">
        <w:rPr>
          <w:rFonts w:ascii="David" w:hAnsi="David"/>
          <w:rtl/>
        </w:rPr>
        <w:t xml:space="preserve">". </w:t>
      </w:r>
    </w:p>
    <w:p w14:paraId="6652F2E0" w14:textId="77777777" w:rsidR="00B66DBB" w:rsidRDefault="00B66DBB" w:rsidP="00B66DBB">
      <w:pPr>
        <w:spacing w:line="360" w:lineRule="auto"/>
        <w:ind w:left="1440"/>
        <w:jc w:val="both"/>
        <w:rPr>
          <w:rFonts w:ascii="David" w:hAnsi="David"/>
          <w:rtl/>
        </w:rPr>
      </w:pPr>
    </w:p>
    <w:p w14:paraId="173C7656" w14:textId="77777777" w:rsidR="00B66DBB" w:rsidRDefault="00B66DBB" w:rsidP="00B66DBB">
      <w:pPr>
        <w:pStyle w:val="a9"/>
        <w:numPr>
          <w:ilvl w:val="0"/>
          <w:numId w:val="2"/>
        </w:numPr>
        <w:spacing w:line="360" w:lineRule="auto"/>
        <w:jc w:val="both"/>
        <w:rPr>
          <w:rFonts w:ascii="David" w:hAnsi="David" w:cs="David"/>
          <w:b/>
          <w:bCs/>
          <w:sz w:val="24"/>
          <w:szCs w:val="24"/>
          <w:u w:val="single"/>
          <w:rtl/>
        </w:rPr>
      </w:pPr>
      <w:r>
        <w:rPr>
          <w:rFonts w:ascii="David" w:hAnsi="David" w:cs="David"/>
          <w:b/>
          <w:bCs/>
          <w:sz w:val="24"/>
          <w:szCs w:val="24"/>
          <w:u w:val="single"/>
          <w:rtl/>
        </w:rPr>
        <w:t xml:space="preserve">מדיניות הענישה הנהוגה </w:t>
      </w:r>
    </w:p>
    <w:p w14:paraId="0594777F" w14:textId="77777777" w:rsidR="00B66DBB" w:rsidRDefault="00B66DBB" w:rsidP="00B66DBB">
      <w:pPr>
        <w:pStyle w:val="a9"/>
        <w:spacing w:after="0" w:line="360" w:lineRule="auto"/>
        <w:ind w:left="1080"/>
        <w:jc w:val="both"/>
        <w:rPr>
          <w:rFonts w:ascii="David" w:hAnsi="David" w:cs="David"/>
          <w:sz w:val="24"/>
          <w:szCs w:val="24"/>
        </w:rPr>
      </w:pPr>
      <w:r>
        <w:rPr>
          <w:rFonts w:ascii="David" w:hAnsi="David" w:cs="David"/>
          <w:sz w:val="24"/>
          <w:szCs w:val="24"/>
          <w:rtl/>
        </w:rPr>
        <w:t xml:space="preserve">לבחינת מדיניות הענישה הנהוגה בעבירות בהן הורשע הנאשם, נעזר בדוגמאות ממקרים דומים מתוך אסופת הפסיקה שהוגשה על ידי הצדדים ומפסיקה רלוונטית נוספת. נעיר בהקשר זה, כי מטבע הדברים אין מקרה אחד דומה בדיוק לרעהו, וכל מקרה ומקרה נבחן לגופו ובהתאם לנסיבותיו. משכך, הפסיקה שתובא להלן מהווה אמת מידה בלבד לענישה. במקרה דנן יש לבחון אף את מדיניות הענישה במקרים בהם נוסף לעבירת ההמתה, היא העבירה העיקרית, נדון הנאשם, אם באירוע המרכזי ואם באירוע האחר, בריבוי עבירות, קשות וחמורות כשלעצמן. </w:t>
      </w:r>
    </w:p>
    <w:p w14:paraId="2BB8E3BB" w14:textId="77777777" w:rsidR="00B66DBB" w:rsidRDefault="00B66DBB" w:rsidP="00B66DBB">
      <w:pPr>
        <w:pStyle w:val="a9"/>
        <w:spacing w:after="0" w:line="360" w:lineRule="auto"/>
        <w:ind w:left="1080"/>
        <w:jc w:val="both"/>
        <w:rPr>
          <w:rFonts w:ascii="David" w:hAnsi="David" w:cs="David"/>
          <w:sz w:val="24"/>
          <w:szCs w:val="24"/>
          <w:rtl/>
        </w:rPr>
      </w:pPr>
      <w:r>
        <w:rPr>
          <w:rFonts w:ascii="David" w:hAnsi="David" w:cs="David"/>
          <w:sz w:val="24"/>
          <w:szCs w:val="24"/>
          <w:rtl/>
        </w:rPr>
        <w:t xml:space="preserve">בע"פ 7179/21 </w:t>
      </w:r>
      <w:r>
        <w:rPr>
          <w:rFonts w:ascii="David" w:hAnsi="David" w:cs="David"/>
          <w:b/>
          <w:bCs/>
          <w:sz w:val="24"/>
          <w:szCs w:val="24"/>
          <w:rtl/>
        </w:rPr>
        <w:t>עמית ז'ן קלוד טוויל נ' מדינת ישראל</w:t>
      </w:r>
      <w:r>
        <w:rPr>
          <w:rFonts w:ascii="David" w:hAnsi="David" w:cs="David"/>
          <w:sz w:val="24"/>
          <w:szCs w:val="24"/>
          <w:rtl/>
        </w:rPr>
        <w:t xml:space="preserve"> (22.11.15) הקל בית המשפט העליון בעונשו של נאשם שנדון בערכאה קמא ל-19 שנות מאסר בעבירת הריגה ושיבוש הליכי משפט, והפחיתו ל-17 שנים משיקולי שיקום. הנאשם שם הורשע על פי הודאתו בהסדר טיעון. </w:t>
      </w:r>
    </w:p>
    <w:p w14:paraId="6F05574B" w14:textId="77777777" w:rsidR="00B66DBB" w:rsidRDefault="00B66DBB" w:rsidP="00B66DBB">
      <w:pPr>
        <w:pStyle w:val="a9"/>
        <w:spacing w:after="0" w:line="360" w:lineRule="auto"/>
        <w:ind w:left="1080"/>
        <w:jc w:val="both"/>
        <w:rPr>
          <w:rFonts w:ascii="David" w:hAnsi="David" w:cs="David"/>
          <w:sz w:val="24"/>
          <w:szCs w:val="24"/>
          <w:rtl/>
        </w:rPr>
      </w:pPr>
      <w:r>
        <w:rPr>
          <w:rFonts w:ascii="David" w:hAnsi="David" w:cs="David"/>
          <w:sz w:val="24"/>
          <w:szCs w:val="24"/>
          <w:rtl/>
        </w:rPr>
        <w:t>ב</w:t>
      </w:r>
      <w:hyperlink r:id="rId93" w:history="1">
        <w:r w:rsidR="006739BB" w:rsidRPr="006739BB">
          <w:rPr>
            <w:rFonts w:ascii="David" w:hAnsi="David" w:cs="David"/>
            <w:color w:val="0000FF"/>
            <w:sz w:val="24"/>
            <w:szCs w:val="24"/>
            <w:u w:val="single"/>
            <w:rtl/>
          </w:rPr>
          <w:t>ע"פ 6795/05</w:t>
        </w:r>
      </w:hyperlink>
      <w:r>
        <w:rPr>
          <w:rFonts w:ascii="David" w:hAnsi="David" w:cs="David"/>
          <w:sz w:val="24"/>
          <w:szCs w:val="24"/>
          <w:rtl/>
        </w:rPr>
        <w:t xml:space="preserve"> </w:t>
      </w:r>
      <w:r>
        <w:rPr>
          <w:rFonts w:ascii="David" w:hAnsi="David" w:cs="David"/>
          <w:b/>
          <w:bCs/>
          <w:sz w:val="24"/>
          <w:szCs w:val="24"/>
          <w:rtl/>
        </w:rPr>
        <w:t>שלמה אואנינו נ' מדינת ישראל</w:t>
      </w:r>
      <w:r>
        <w:rPr>
          <w:rFonts w:ascii="David" w:hAnsi="David" w:cs="David"/>
          <w:sz w:val="24"/>
          <w:szCs w:val="24"/>
          <w:rtl/>
        </w:rPr>
        <w:t xml:space="preserve"> (29.01.07) דחה בית המשפט העליון ערעור על גזר דינו של המערער, כבן 18 במועד ביצוע העבירה, שנדון ל-18 שנות מאסר בשל עבירת הריגה. המערער דקר בסכין את קורבנו בוויכוח על ליבה של נערה, שם בין היתר אמר בית המשפט העליון את הדברים הבאים שמתאימים אף הם לענייננו: </w:t>
      </w:r>
    </w:p>
    <w:p w14:paraId="3AF2DAB2" w14:textId="77777777" w:rsidR="00B66DBB" w:rsidRDefault="00B66DBB" w:rsidP="00B66DBB">
      <w:pPr>
        <w:pStyle w:val="a9"/>
        <w:spacing w:after="0" w:line="360" w:lineRule="auto"/>
        <w:ind w:left="1080"/>
        <w:jc w:val="both"/>
        <w:rPr>
          <w:rFonts w:ascii="David" w:hAnsi="David" w:cs="David"/>
          <w:sz w:val="24"/>
          <w:szCs w:val="24"/>
          <w:rtl/>
        </w:rPr>
      </w:pPr>
    </w:p>
    <w:p w14:paraId="11BCC1A6" w14:textId="77777777" w:rsidR="00B66DBB" w:rsidRDefault="00B66DBB" w:rsidP="00B66DBB">
      <w:pPr>
        <w:pStyle w:val="a9"/>
        <w:spacing w:after="0" w:line="360" w:lineRule="auto"/>
        <w:ind w:left="1360" w:right="284"/>
        <w:jc w:val="both"/>
        <w:rPr>
          <w:rFonts w:ascii="David" w:hAnsi="David" w:cs="David"/>
          <w:b/>
          <w:bCs/>
          <w:sz w:val="24"/>
          <w:szCs w:val="24"/>
          <w:rtl/>
        </w:rPr>
      </w:pPr>
      <w:r>
        <w:rPr>
          <w:rFonts w:ascii="David" w:hAnsi="David" w:cs="David"/>
          <w:sz w:val="24"/>
          <w:szCs w:val="24"/>
          <w:rtl/>
        </w:rPr>
        <w:t>"</w:t>
      </w:r>
      <w:r>
        <w:rPr>
          <w:rFonts w:ascii="David" w:hAnsi="David" w:cs="David"/>
          <w:b/>
          <w:bCs/>
          <w:sz w:val="24"/>
          <w:szCs w:val="24"/>
          <w:rtl/>
        </w:rPr>
        <w:t xml:space="preserve">נסיבותיו האישיות של המערער כפי שהן משתקפות בתסקיר כמו גם גילו הצעיר, הם אכן שיקולים רלוונטיים וחשובים, אלא שבמקרה הנוכחי הם אינם יכולים להוות משקל נגד לא לאופיו של המעשה ונסיבותיו ועוד פחות מכך לתוצאה הקשה. </w:t>
      </w:r>
    </w:p>
    <w:p w14:paraId="115DAEC3" w14:textId="77777777" w:rsidR="00B66DBB" w:rsidRDefault="00B66DBB" w:rsidP="00B66DBB">
      <w:pPr>
        <w:pStyle w:val="a9"/>
        <w:spacing w:after="0" w:line="360" w:lineRule="auto"/>
        <w:ind w:left="1080"/>
        <w:jc w:val="both"/>
        <w:rPr>
          <w:rFonts w:ascii="David" w:hAnsi="David" w:cs="David"/>
          <w:b/>
          <w:bCs/>
          <w:sz w:val="24"/>
          <w:szCs w:val="24"/>
          <w:rtl/>
        </w:rPr>
      </w:pPr>
    </w:p>
    <w:p w14:paraId="52061DD2" w14:textId="77777777" w:rsidR="00B66DBB" w:rsidRDefault="00B66DBB" w:rsidP="00B66DBB">
      <w:pPr>
        <w:pStyle w:val="a9"/>
        <w:spacing w:after="0" w:line="360" w:lineRule="auto"/>
        <w:ind w:left="1360" w:right="284"/>
        <w:jc w:val="both"/>
        <w:rPr>
          <w:rFonts w:ascii="David" w:hAnsi="David" w:cs="David"/>
          <w:sz w:val="24"/>
          <w:szCs w:val="24"/>
          <w:rtl/>
        </w:rPr>
      </w:pPr>
      <w:r>
        <w:rPr>
          <w:rFonts w:ascii="David" w:hAnsi="David" w:cs="David"/>
          <w:b/>
          <w:bCs/>
          <w:sz w:val="24"/>
          <w:szCs w:val="24"/>
          <w:rtl/>
        </w:rPr>
        <w:t>בעידן ובחברה שבה הסכינאות היא שפה – אין מנוס משימוש באמצעים האולטימטיביים להדברתה, ותקופת מאסר ממושכת – היא המובהק שבאותם אמצעים אולטימטיביים</w:t>
      </w:r>
      <w:r>
        <w:rPr>
          <w:rFonts w:ascii="David" w:hAnsi="David" w:cs="David"/>
          <w:sz w:val="24"/>
          <w:szCs w:val="24"/>
          <w:rtl/>
        </w:rPr>
        <w:t xml:space="preserve">". </w:t>
      </w:r>
    </w:p>
    <w:p w14:paraId="4FB2D6DB" w14:textId="77777777" w:rsidR="00B66DBB" w:rsidRDefault="00B66DBB" w:rsidP="00B66DBB">
      <w:pPr>
        <w:pStyle w:val="a9"/>
        <w:spacing w:after="0" w:line="360" w:lineRule="auto"/>
        <w:ind w:left="1360" w:right="284"/>
        <w:jc w:val="both"/>
        <w:rPr>
          <w:rFonts w:ascii="David" w:hAnsi="David" w:cs="David"/>
          <w:sz w:val="24"/>
          <w:szCs w:val="24"/>
          <w:rtl/>
        </w:rPr>
      </w:pPr>
    </w:p>
    <w:p w14:paraId="1AE97A09" w14:textId="77777777" w:rsidR="00B66DBB" w:rsidRDefault="00B66DBB" w:rsidP="00B66DBB">
      <w:pPr>
        <w:pStyle w:val="a9"/>
        <w:spacing w:after="0" w:line="360" w:lineRule="auto"/>
        <w:ind w:left="1080"/>
        <w:jc w:val="both"/>
        <w:rPr>
          <w:rFonts w:ascii="David" w:hAnsi="David" w:cs="David"/>
          <w:sz w:val="24"/>
          <w:szCs w:val="24"/>
          <w:rtl/>
        </w:rPr>
      </w:pPr>
      <w:r>
        <w:rPr>
          <w:rFonts w:ascii="David" w:hAnsi="David" w:cs="David"/>
          <w:sz w:val="24"/>
          <w:szCs w:val="24"/>
          <w:rtl/>
        </w:rPr>
        <w:t xml:space="preserve">כך בוודאי ייאמר על שימוש באקדח, נשק חם. </w:t>
      </w:r>
    </w:p>
    <w:p w14:paraId="09FB6305"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ב</w:t>
      </w:r>
      <w:hyperlink r:id="rId94" w:history="1">
        <w:r w:rsidR="006739BB" w:rsidRPr="006739BB">
          <w:rPr>
            <w:rFonts w:ascii="David" w:hAnsi="David" w:cs="David"/>
            <w:color w:val="0000FF"/>
            <w:sz w:val="24"/>
            <w:szCs w:val="24"/>
            <w:u w:val="single"/>
            <w:rtl/>
          </w:rPr>
          <w:t>ע"פ 11029/07</w:t>
        </w:r>
      </w:hyperlink>
      <w:r>
        <w:rPr>
          <w:rFonts w:ascii="David" w:hAnsi="David" w:cs="David"/>
          <w:sz w:val="24"/>
          <w:szCs w:val="24"/>
          <w:rtl/>
        </w:rPr>
        <w:t xml:space="preserve"> </w:t>
      </w:r>
      <w:r>
        <w:rPr>
          <w:rFonts w:ascii="David" w:hAnsi="David" w:cs="David"/>
          <w:b/>
          <w:bCs/>
          <w:sz w:val="24"/>
          <w:szCs w:val="24"/>
          <w:rtl/>
        </w:rPr>
        <w:t>יצחק איסקוב נ' מדינת ישראל</w:t>
      </w:r>
      <w:r>
        <w:rPr>
          <w:rFonts w:ascii="David" w:hAnsi="David" w:cs="David"/>
          <w:sz w:val="24"/>
          <w:szCs w:val="24"/>
          <w:rtl/>
        </w:rPr>
        <w:t xml:space="preserve"> (27.11.08) לא התערב בית המשפט העליון בעונשו של נאשם שהרג בירי אקדח ונדון בעבירה על פי סעיף 329(א)(1) חבלה בכוונה מחמירה ל-15 שנות מאסר וזאת בנסיבות דומות לתיקנו, ומנגד ב</w:t>
      </w:r>
      <w:hyperlink r:id="rId95" w:history="1">
        <w:r w:rsidR="006739BB" w:rsidRPr="006739BB">
          <w:rPr>
            <w:rFonts w:ascii="David" w:hAnsi="David" w:cs="David"/>
            <w:color w:val="0000FF"/>
            <w:sz w:val="24"/>
            <w:szCs w:val="24"/>
            <w:u w:val="single"/>
            <w:rtl/>
          </w:rPr>
          <w:t>ע"פ 7744/14</w:t>
        </w:r>
      </w:hyperlink>
      <w:r>
        <w:rPr>
          <w:rFonts w:ascii="David" w:hAnsi="David" w:cs="David"/>
          <w:sz w:val="24"/>
          <w:szCs w:val="24"/>
          <w:rtl/>
        </w:rPr>
        <w:t xml:space="preserve"> </w:t>
      </w:r>
      <w:r>
        <w:rPr>
          <w:rFonts w:ascii="David" w:hAnsi="David" w:cs="David"/>
          <w:b/>
          <w:bCs/>
          <w:sz w:val="24"/>
          <w:szCs w:val="24"/>
          <w:rtl/>
        </w:rPr>
        <w:t>מדינת ישראל נ' עדואן הייב</w:t>
      </w:r>
      <w:r>
        <w:rPr>
          <w:rFonts w:ascii="David" w:hAnsi="David" w:cs="David"/>
          <w:sz w:val="24"/>
          <w:szCs w:val="24"/>
          <w:rtl/>
        </w:rPr>
        <w:t xml:space="preserve"> (10.12.15) החמיר בית המשפט העליון את עונשו של נאשם שנדון במסגרת הסדר טיעון בעבירות הריגה, קשירת קשר לביצוע פשע, נשיאת נשק ותחמושת שלא כדין וירי באזור מגורים, ל-11 שנות מאסר, תוך ציון ההלכה שאין דרכה של ערכאת הערעור למצות את הדין, ל-13 שנות מאסר. </w:t>
      </w:r>
    </w:p>
    <w:p w14:paraId="0C126FB1" w14:textId="77777777" w:rsidR="00B66DBB" w:rsidRDefault="00B66DBB" w:rsidP="00B66DBB">
      <w:pPr>
        <w:pStyle w:val="a9"/>
        <w:spacing w:line="360" w:lineRule="auto"/>
        <w:ind w:left="1080"/>
        <w:jc w:val="both"/>
        <w:rPr>
          <w:rFonts w:ascii="David" w:hAnsi="David" w:cs="David"/>
          <w:sz w:val="24"/>
          <w:szCs w:val="24"/>
          <w:rtl/>
        </w:rPr>
      </w:pPr>
    </w:p>
    <w:p w14:paraId="3A53879B"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 xml:space="preserve">הוצגה בפנינו, על ידי ההגנה, פסיקה שבה בעבירה על פי </w:t>
      </w:r>
      <w:hyperlink r:id="rId96" w:history="1">
        <w:r w:rsidR="003E0C32" w:rsidRPr="003E0C32">
          <w:rPr>
            <w:rStyle w:val="Hyperlink"/>
            <w:rFonts w:ascii="David" w:hAnsi="David" w:cs="David"/>
            <w:sz w:val="24"/>
            <w:szCs w:val="24"/>
            <w:rtl/>
          </w:rPr>
          <w:t>סעיף 298</w:t>
        </w:r>
      </w:hyperlink>
      <w:r>
        <w:rPr>
          <w:rFonts w:ascii="David" w:hAnsi="David" w:cs="David"/>
          <w:sz w:val="24"/>
          <w:szCs w:val="24"/>
          <w:rtl/>
        </w:rPr>
        <w:t xml:space="preserve"> ל</w:t>
      </w:r>
      <w:hyperlink r:id="rId97"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הוטלו עונשי מאסר קצרים יותר, לעיתים לתקופות בנות פחותות מעשור, אלא שלא מצאנו שגזרי דין אלה יש בהם כדי ללמד על הענישה ההולמת במקרה דנן. </w:t>
      </w:r>
    </w:p>
    <w:p w14:paraId="318628E4" w14:textId="77777777" w:rsidR="00B66DBB" w:rsidRDefault="00B66DBB" w:rsidP="00B66DBB">
      <w:pPr>
        <w:pStyle w:val="a9"/>
        <w:spacing w:line="360" w:lineRule="auto"/>
        <w:ind w:left="1080"/>
        <w:jc w:val="both"/>
        <w:rPr>
          <w:rFonts w:ascii="David" w:hAnsi="David" w:cs="David"/>
          <w:sz w:val="24"/>
          <w:szCs w:val="24"/>
          <w:rtl/>
        </w:rPr>
      </w:pPr>
      <w:r>
        <w:rPr>
          <w:rFonts w:ascii="David" w:hAnsi="David" w:cs="David"/>
          <w:sz w:val="24"/>
          <w:szCs w:val="24"/>
          <w:rtl/>
        </w:rPr>
        <w:t xml:space="preserve">בבחינת הפסיקה הנהוגה בענישה המצטברת לענישה בעבירה העיקרית בה הורשע הנאשם נוסיף ונפנה, לצורך השוואה, למקרים הבאים: </w:t>
      </w:r>
    </w:p>
    <w:p w14:paraId="02DB75AB" w14:textId="77777777" w:rsidR="00B66DBB" w:rsidRDefault="00B66DBB" w:rsidP="00B66DBB">
      <w:pPr>
        <w:pStyle w:val="Ruller4"/>
        <w:spacing w:line="360" w:lineRule="auto"/>
        <w:ind w:left="1077"/>
        <w:rPr>
          <w:rtl/>
        </w:rPr>
      </w:pPr>
      <w:r>
        <w:rPr>
          <w:rFonts w:hint="cs"/>
          <w:rtl/>
        </w:rPr>
        <w:t>ב</w:t>
      </w:r>
      <w:hyperlink r:id="rId98" w:history="1">
        <w:r w:rsidR="006739BB" w:rsidRPr="006739BB">
          <w:rPr>
            <w:color w:val="0000FF"/>
            <w:u w:val="single"/>
            <w:rtl/>
          </w:rPr>
          <w:t>ע"פ 10943/05</w:t>
        </w:r>
      </w:hyperlink>
      <w:r>
        <w:rPr>
          <w:rFonts w:hint="cs"/>
          <w:rtl/>
        </w:rPr>
        <w:t xml:space="preserve"> </w:t>
      </w:r>
      <w:r>
        <w:rPr>
          <w:rFonts w:hint="cs"/>
          <w:b/>
          <w:bCs/>
          <w:rtl/>
        </w:rPr>
        <w:t>אברהם (ברמו) לוי נ' מדינת ישראל</w:t>
      </w:r>
      <w:r>
        <w:rPr>
          <w:rFonts w:hint="cs"/>
          <w:rtl/>
        </w:rPr>
        <w:t xml:space="preserve"> (3.3.08) נדון ערעור על פסק דין במסגרתו הורשע המערער בשני אישומים, בעבירות רצח; שוד לפי </w:t>
      </w:r>
      <w:hyperlink r:id="rId99" w:history="1">
        <w:r w:rsidR="003E0C32" w:rsidRPr="003E0C32">
          <w:rPr>
            <w:rStyle w:val="Hyperlink"/>
            <w:rFonts w:hint="eastAsia"/>
            <w:rtl/>
          </w:rPr>
          <w:t>סעיף</w:t>
        </w:r>
        <w:r w:rsidR="003E0C32" w:rsidRPr="003E0C32">
          <w:rPr>
            <w:rStyle w:val="Hyperlink"/>
            <w:rtl/>
          </w:rPr>
          <w:t xml:space="preserve"> 402(ב)</w:t>
        </w:r>
      </w:hyperlink>
      <w:r>
        <w:rPr>
          <w:rFonts w:hint="cs"/>
          <w:rtl/>
        </w:rPr>
        <w:t xml:space="preserve"> לחוק; ניסיון לרצח לפי </w:t>
      </w:r>
      <w:hyperlink r:id="rId100" w:history="1">
        <w:r w:rsidR="003E0C32" w:rsidRPr="003E0C32">
          <w:rPr>
            <w:rStyle w:val="Hyperlink"/>
            <w:rFonts w:hint="eastAsia"/>
            <w:rtl/>
          </w:rPr>
          <w:t>סעיף</w:t>
        </w:r>
        <w:r w:rsidR="003E0C32" w:rsidRPr="003E0C32">
          <w:rPr>
            <w:rStyle w:val="Hyperlink"/>
            <w:rtl/>
          </w:rPr>
          <w:t xml:space="preserve"> 305(1)</w:t>
        </w:r>
      </w:hyperlink>
      <w:r>
        <w:rPr>
          <w:rFonts w:hint="cs"/>
          <w:rtl/>
        </w:rPr>
        <w:t xml:space="preserve"> לחוק; חבלה חמורה בנסיבות מחמירות, לפי </w:t>
      </w:r>
      <w:hyperlink r:id="rId101" w:history="1">
        <w:r w:rsidR="003E0C32" w:rsidRPr="003E0C32">
          <w:rPr>
            <w:rStyle w:val="Hyperlink"/>
            <w:rFonts w:hint="eastAsia"/>
            <w:rtl/>
          </w:rPr>
          <w:t>סעיף</w:t>
        </w:r>
        <w:r w:rsidR="003E0C32" w:rsidRPr="003E0C32">
          <w:rPr>
            <w:rStyle w:val="Hyperlink"/>
            <w:rtl/>
          </w:rPr>
          <w:t xml:space="preserve"> 333</w:t>
        </w:r>
      </w:hyperlink>
      <w:r>
        <w:rPr>
          <w:rFonts w:hint="cs"/>
          <w:rtl/>
        </w:rPr>
        <w:t xml:space="preserve"> בצירוף </w:t>
      </w:r>
      <w:hyperlink r:id="rId102" w:history="1">
        <w:r w:rsidR="003E0C32" w:rsidRPr="003E0C32">
          <w:rPr>
            <w:rStyle w:val="Hyperlink"/>
            <w:rFonts w:hint="eastAsia"/>
            <w:rtl/>
          </w:rPr>
          <w:t>סעיף</w:t>
        </w:r>
        <w:r w:rsidR="003E0C32" w:rsidRPr="003E0C32">
          <w:rPr>
            <w:rStyle w:val="Hyperlink"/>
            <w:rtl/>
          </w:rPr>
          <w:t xml:space="preserve"> 335(א)(1)</w:t>
        </w:r>
      </w:hyperlink>
      <w:r>
        <w:rPr>
          <w:rFonts w:hint="cs"/>
          <w:rtl/>
        </w:rPr>
        <w:t xml:space="preserve"> לחוק; והחזקת סכין שלא כדין, לפי </w:t>
      </w:r>
      <w:hyperlink r:id="rId103" w:history="1">
        <w:r w:rsidR="003E0C32" w:rsidRPr="003E0C32">
          <w:rPr>
            <w:rStyle w:val="Hyperlink"/>
            <w:rFonts w:hint="eastAsia"/>
            <w:rtl/>
          </w:rPr>
          <w:t>סעיף</w:t>
        </w:r>
        <w:r w:rsidR="003E0C32" w:rsidRPr="003E0C32">
          <w:rPr>
            <w:rStyle w:val="Hyperlink"/>
            <w:rtl/>
          </w:rPr>
          <w:t xml:space="preserve"> 186(א)</w:t>
        </w:r>
      </w:hyperlink>
      <w:r>
        <w:rPr>
          <w:rFonts w:hint="cs"/>
          <w:rtl/>
        </w:rPr>
        <w:t xml:space="preserve"> לחוק, במסגרתו נגזרו על המערער מאסר עולם בגין ההרשעה ברצח ובשוד ועונש מאסר לתקופה של 10 שנים בגין ההרשעה בניסיון לרצח ובשוד, לריצוי במצטבר, בנוסף להפעלת מאסר מותנה בן 2 שנים לריצוי חציו בחופף וחציו במצטבר. על אף שבית המשפט העליון זיכה את המערער מעבירת השוד במסגרת האישום הראשון, נקבע כי למעשה לא גזר עליו בית המשפט קמא עונש נפרד בגין עבירה זו, על כן לא הופחת מאסרו. </w:t>
      </w:r>
    </w:p>
    <w:p w14:paraId="383DD57F" w14:textId="77777777" w:rsidR="00B66DBB" w:rsidRDefault="00B66DBB" w:rsidP="00B66DBB">
      <w:pPr>
        <w:pStyle w:val="Ruller4"/>
        <w:spacing w:after="0" w:line="360" w:lineRule="auto"/>
        <w:ind w:left="1077"/>
        <w:rPr>
          <w:rtl/>
        </w:rPr>
      </w:pPr>
      <w:r>
        <w:rPr>
          <w:rFonts w:hint="cs"/>
          <w:rtl/>
        </w:rPr>
        <w:t>ב</w:t>
      </w:r>
      <w:hyperlink r:id="rId104" w:history="1">
        <w:r w:rsidR="006739BB" w:rsidRPr="006739BB">
          <w:rPr>
            <w:color w:val="0000FF"/>
            <w:u w:val="single"/>
            <w:rtl/>
          </w:rPr>
          <w:t>ע"פ 4401/13</w:t>
        </w:r>
      </w:hyperlink>
      <w:r>
        <w:rPr>
          <w:rFonts w:hint="cs"/>
          <w:rtl/>
        </w:rPr>
        <w:t xml:space="preserve"> </w:t>
      </w:r>
      <w:r>
        <w:rPr>
          <w:rFonts w:hint="cs"/>
          <w:b/>
          <w:bCs/>
          <w:rtl/>
        </w:rPr>
        <w:t>עידן אנורי נ' מדינת ישראל</w:t>
      </w:r>
      <w:r>
        <w:rPr>
          <w:rFonts w:hint="cs"/>
          <w:rtl/>
        </w:rPr>
        <w:t xml:space="preserve"> (‏9.12.2015) נדונה פרשת דקירת צעירה בשנות ה-20 לחייה בפניה, בבטנה ובגבה, בשדרה בעיר תל אביב, במסגרתה הורשע הנאשם בעבירה של גרימת חבלה בכוונה מחמירה, לפי </w:t>
      </w:r>
      <w:hyperlink r:id="rId105" w:history="1">
        <w:r w:rsidR="003E0C32" w:rsidRPr="003E0C32">
          <w:rPr>
            <w:rStyle w:val="Hyperlink"/>
            <w:rFonts w:hint="eastAsia"/>
            <w:rtl/>
          </w:rPr>
          <w:t>סעיף</w:t>
        </w:r>
        <w:r w:rsidR="003E0C32" w:rsidRPr="003E0C32">
          <w:rPr>
            <w:rStyle w:val="Hyperlink"/>
            <w:rtl/>
          </w:rPr>
          <w:t xml:space="preserve"> 329(א)(1)</w:t>
        </w:r>
      </w:hyperlink>
      <w:r>
        <w:rPr>
          <w:rFonts w:hint="cs"/>
          <w:rtl/>
        </w:rPr>
        <w:t xml:space="preserve"> לחוק (חלף עבירת ניסיון רצח) ובעבירה של שוד בנסיבות מחמירות, לפי </w:t>
      </w:r>
      <w:hyperlink r:id="rId106" w:history="1">
        <w:r w:rsidR="003E0C32" w:rsidRPr="003E0C32">
          <w:rPr>
            <w:rStyle w:val="Hyperlink"/>
            <w:rFonts w:hint="eastAsia"/>
            <w:rtl/>
          </w:rPr>
          <w:t>סעיף</w:t>
        </w:r>
        <w:r w:rsidR="003E0C32" w:rsidRPr="003E0C32">
          <w:rPr>
            <w:rStyle w:val="Hyperlink"/>
            <w:rtl/>
          </w:rPr>
          <w:t xml:space="preserve"> 402(ב)</w:t>
        </w:r>
      </w:hyperlink>
      <w:r>
        <w:rPr>
          <w:rFonts w:hint="cs"/>
          <w:rtl/>
        </w:rPr>
        <w:t xml:space="preserve"> ל</w:t>
      </w:r>
      <w:hyperlink r:id="rId107" w:history="1">
        <w:r w:rsidR="006739BB" w:rsidRPr="006739BB">
          <w:rPr>
            <w:color w:val="0000FF"/>
            <w:u w:val="single"/>
            <w:rtl/>
          </w:rPr>
          <w:t>חוק העונשין</w:t>
        </w:r>
      </w:hyperlink>
      <w:r>
        <w:rPr>
          <w:rFonts w:hint="cs"/>
          <w:rtl/>
        </w:rPr>
        <w:t xml:space="preserve"> והושתו עליו 18 שנות מאסר לריצוי בפועל, מאסר מותנה ופיצוי למתלוננת, בסך 150,000 ₪. בקשת המערער לקיום משפט חוזר נדחתה (</w:t>
      </w:r>
      <w:hyperlink r:id="rId108" w:history="1">
        <w:r w:rsidR="006739BB" w:rsidRPr="006739BB">
          <w:rPr>
            <w:color w:val="0000FF"/>
            <w:u w:val="single"/>
            <w:rtl/>
          </w:rPr>
          <w:t>מ"ח 7184/19</w:t>
        </w:r>
      </w:hyperlink>
      <w:r>
        <w:rPr>
          <w:rFonts w:hint="cs"/>
          <w:rtl/>
        </w:rPr>
        <w:t xml:space="preserve"> </w:t>
      </w:r>
      <w:r>
        <w:rPr>
          <w:rFonts w:hint="cs"/>
          <w:b/>
          <w:bCs/>
          <w:rtl/>
        </w:rPr>
        <w:t>אנורי נ' מדינת ישראל</w:t>
      </w:r>
      <w:r>
        <w:rPr>
          <w:rFonts w:hint="cs"/>
          <w:rtl/>
        </w:rPr>
        <w:t xml:space="preserve"> (‏10.12.2020)). </w:t>
      </w:r>
    </w:p>
    <w:p w14:paraId="373441B5" w14:textId="77777777" w:rsidR="00B66DBB" w:rsidRDefault="00B66DBB" w:rsidP="00B66DBB">
      <w:pPr>
        <w:pStyle w:val="Ruller4"/>
        <w:spacing w:after="0" w:line="360" w:lineRule="auto"/>
        <w:ind w:left="1077"/>
        <w:rPr>
          <w:rtl/>
        </w:rPr>
      </w:pPr>
    </w:p>
    <w:p w14:paraId="6AC97BB1" w14:textId="77777777" w:rsidR="00B66DBB" w:rsidRDefault="00B66DBB" w:rsidP="00B66DBB">
      <w:pPr>
        <w:pStyle w:val="Ruller4"/>
        <w:spacing w:after="0" w:line="360" w:lineRule="auto"/>
        <w:ind w:left="1077"/>
        <w:rPr>
          <w:rtl/>
        </w:rPr>
      </w:pPr>
      <w:r>
        <w:rPr>
          <w:rFonts w:hint="cs"/>
          <w:rtl/>
        </w:rPr>
        <w:t>ב</w:t>
      </w:r>
      <w:hyperlink r:id="rId109" w:history="1">
        <w:r w:rsidR="006739BB" w:rsidRPr="006739BB">
          <w:rPr>
            <w:color w:val="0000FF"/>
            <w:u w:val="single"/>
            <w:rtl/>
          </w:rPr>
          <w:t>ע"פ 8948/12</w:t>
        </w:r>
      </w:hyperlink>
      <w:r>
        <w:rPr>
          <w:rFonts w:hint="cs"/>
          <w:rtl/>
        </w:rPr>
        <w:t xml:space="preserve"> </w:t>
      </w:r>
      <w:r>
        <w:rPr>
          <w:rFonts w:hint="cs"/>
          <w:b/>
          <w:bCs/>
          <w:rtl/>
        </w:rPr>
        <w:t>איהאב נמר נ' מדינת ישראל</w:t>
      </w:r>
      <w:r>
        <w:rPr>
          <w:rFonts w:hint="cs"/>
          <w:rtl/>
        </w:rPr>
        <w:t xml:space="preserve"> (1.2.2016) נדחה ערעורו של נאשם אשר הורשע בעבירות של רצח בכוונה תחילה, לפי </w:t>
      </w:r>
      <w:hyperlink r:id="rId110" w:history="1">
        <w:r w:rsidR="003E0C32" w:rsidRPr="003E0C32">
          <w:rPr>
            <w:rStyle w:val="Hyperlink"/>
            <w:rFonts w:hint="eastAsia"/>
            <w:rtl/>
          </w:rPr>
          <w:t>סעיף</w:t>
        </w:r>
        <w:r w:rsidR="003E0C32" w:rsidRPr="003E0C32">
          <w:rPr>
            <w:rStyle w:val="Hyperlink"/>
            <w:rtl/>
          </w:rPr>
          <w:t xml:space="preserve"> 300(א)(2)</w:t>
        </w:r>
      </w:hyperlink>
      <w:r>
        <w:rPr>
          <w:rFonts w:hint="cs"/>
          <w:rtl/>
        </w:rPr>
        <w:t xml:space="preserve"> ל</w:t>
      </w:r>
      <w:hyperlink r:id="rId111" w:history="1">
        <w:r w:rsidR="006739BB" w:rsidRPr="006739BB">
          <w:rPr>
            <w:color w:val="0000FF"/>
            <w:u w:val="single"/>
            <w:rtl/>
          </w:rPr>
          <w:t>חוק העונשין</w:t>
        </w:r>
      </w:hyperlink>
      <w:r>
        <w:rPr>
          <w:rFonts w:hint="cs"/>
          <w:rtl/>
        </w:rPr>
        <w:t xml:space="preserve">; ניסיון רצח, לפי </w:t>
      </w:r>
      <w:hyperlink r:id="rId112" w:history="1">
        <w:r w:rsidR="003E0C32" w:rsidRPr="003E0C32">
          <w:rPr>
            <w:rStyle w:val="Hyperlink"/>
            <w:rFonts w:hint="eastAsia"/>
            <w:rtl/>
          </w:rPr>
          <w:t>סעיף</w:t>
        </w:r>
        <w:r w:rsidR="003E0C32" w:rsidRPr="003E0C32">
          <w:rPr>
            <w:rStyle w:val="Hyperlink"/>
            <w:rtl/>
          </w:rPr>
          <w:t xml:space="preserve"> 305</w:t>
        </w:r>
      </w:hyperlink>
      <w:r>
        <w:rPr>
          <w:rFonts w:hint="cs"/>
          <w:rtl/>
        </w:rPr>
        <w:t xml:space="preserve"> לחוק;  והצתה, לפי </w:t>
      </w:r>
      <w:hyperlink r:id="rId113" w:history="1">
        <w:r w:rsidR="003E0C32" w:rsidRPr="003E0C32">
          <w:rPr>
            <w:rStyle w:val="Hyperlink"/>
            <w:rFonts w:hint="eastAsia"/>
            <w:rtl/>
          </w:rPr>
          <w:t>סעיף</w:t>
        </w:r>
        <w:r w:rsidR="003E0C32" w:rsidRPr="003E0C32">
          <w:rPr>
            <w:rStyle w:val="Hyperlink"/>
            <w:rtl/>
          </w:rPr>
          <w:t xml:space="preserve"> 448</w:t>
        </w:r>
      </w:hyperlink>
      <w:r>
        <w:rPr>
          <w:rFonts w:hint="cs"/>
          <w:rtl/>
        </w:rPr>
        <w:t xml:space="preserve"> סיפא לחוק, עליו נגזרו מאסר עולם; 20 שנות מאסר בפועל בגין עבירת ניסיון הרצח, במצטבר לעונש מאסר העולם; ושמונה שנות מאסר בפועל בגין עבירת ההצתה, אשר ירוצו בחופף ליתר העונשים. </w:t>
      </w:r>
    </w:p>
    <w:p w14:paraId="4E9B2551" w14:textId="77777777" w:rsidR="00B66DBB" w:rsidRDefault="00B66DBB" w:rsidP="00B66DBB">
      <w:pPr>
        <w:pStyle w:val="Ruller4"/>
        <w:spacing w:after="0" w:line="360" w:lineRule="auto"/>
        <w:ind w:left="1077"/>
        <w:rPr>
          <w:rtl/>
        </w:rPr>
      </w:pPr>
    </w:p>
    <w:p w14:paraId="30F3838C" w14:textId="77777777" w:rsidR="00B66DBB" w:rsidRDefault="00B66DBB" w:rsidP="00B66DBB">
      <w:pPr>
        <w:pStyle w:val="Ruller4"/>
        <w:spacing w:line="360" w:lineRule="auto"/>
        <w:ind w:left="1077"/>
      </w:pPr>
      <w:r>
        <w:rPr>
          <w:rFonts w:hint="cs"/>
          <w:rtl/>
        </w:rPr>
        <w:t>ב</w:t>
      </w:r>
      <w:hyperlink r:id="rId114" w:history="1">
        <w:r w:rsidR="006739BB" w:rsidRPr="006739BB">
          <w:rPr>
            <w:color w:val="0000FF"/>
            <w:u w:val="single"/>
            <w:rtl/>
          </w:rPr>
          <w:t>ע"פ 1474/14</w:t>
        </w:r>
      </w:hyperlink>
      <w:r>
        <w:rPr>
          <w:rFonts w:hint="cs"/>
          <w:rtl/>
        </w:rPr>
        <w:t xml:space="preserve"> </w:t>
      </w:r>
      <w:r>
        <w:rPr>
          <w:rFonts w:hint="cs"/>
          <w:b/>
          <w:bCs/>
          <w:rtl/>
        </w:rPr>
        <w:t>פלוני נ' מדינת ישראל</w:t>
      </w:r>
      <w:r>
        <w:rPr>
          <w:rFonts w:hint="cs"/>
          <w:rtl/>
        </w:rPr>
        <w:t xml:space="preserve"> (‏15.12.2015) לא נעתר בית המשפט העליון לערעור לאחר הרשעת המערער בעבירות ניסיון רצח, לפי </w:t>
      </w:r>
      <w:hyperlink r:id="rId115" w:history="1">
        <w:r w:rsidR="003E0C32" w:rsidRPr="003E0C32">
          <w:rPr>
            <w:rStyle w:val="Hyperlink"/>
            <w:rFonts w:hint="eastAsia"/>
            <w:rtl/>
          </w:rPr>
          <w:t>סעיף</w:t>
        </w:r>
        <w:r w:rsidR="003E0C32" w:rsidRPr="003E0C32">
          <w:rPr>
            <w:rStyle w:val="Hyperlink"/>
            <w:rtl/>
          </w:rPr>
          <w:t xml:space="preserve"> 305</w:t>
        </w:r>
      </w:hyperlink>
      <w:r>
        <w:rPr>
          <w:rFonts w:hint="cs"/>
          <w:rtl/>
        </w:rPr>
        <w:t xml:space="preserve"> ל</w:t>
      </w:r>
      <w:hyperlink r:id="rId116" w:history="1">
        <w:r w:rsidR="006739BB" w:rsidRPr="006739BB">
          <w:rPr>
            <w:color w:val="0000FF"/>
            <w:u w:val="single"/>
            <w:rtl/>
          </w:rPr>
          <w:t>חוק העונשין</w:t>
        </w:r>
      </w:hyperlink>
      <w:r>
        <w:rPr>
          <w:rFonts w:hint="cs"/>
          <w:rtl/>
        </w:rPr>
        <w:t xml:space="preserve">; תקיפת קטין או חסר ישע, לפי </w:t>
      </w:r>
      <w:hyperlink r:id="rId117" w:history="1">
        <w:r w:rsidR="003E0C32" w:rsidRPr="003E0C32">
          <w:rPr>
            <w:rStyle w:val="Hyperlink"/>
            <w:rFonts w:hint="eastAsia"/>
            <w:rtl/>
          </w:rPr>
          <w:t>סעיף</w:t>
        </w:r>
        <w:r w:rsidR="003E0C32" w:rsidRPr="003E0C32">
          <w:rPr>
            <w:rStyle w:val="Hyperlink"/>
            <w:rtl/>
          </w:rPr>
          <w:t xml:space="preserve"> 368ב</w:t>
        </w:r>
      </w:hyperlink>
      <w:r>
        <w:rPr>
          <w:rFonts w:hint="cs"/>
          <w:rtl/>
        </w:rPr>
        <w:t xml:space="preserve"> ולפי </w:t>
      </w:r>
      <w:hyperlink r:id="rId118" w:history="1">
        <w:r w:rsidR="003E0C32" w:rsidRPr="003E0C32">
          <w:rPr>
            <w:rStyle w:val="Hyperlink"/>
            <w:rFonts w:hint="eastAsia"/>
            <w:rtl/>
          </w:rPr>
          <w:t>סעיף</w:t>
        </w:r>
        <w:r w:rsidR="003E0C32" w:rsidRPr="003E0C32">
          <w:rPr>
            <w:rStyle w:val="Hyperlink"/>
            <w:rtl/>
          </w:rPr>
          <w:t xml:space="preserve"> 382(ב)(2)</w:t>
        </w:r>
      </w:hyperlink>
      <w:r>
        <w:rPr>
          <w:rFonts w:hint="cs"/>
          <w:rtl/>
        </w:rPr>
        <w:t xml:space="preserve"> לחוק העונשין; איומים לפי </w:t>
      </w:r>
      <w:hyperlink r:id="rId119" w:history="1">
        <w:r w:rsidR="003E0C32" w:rsidRPr="003E0C32">
          <w:rPr>
            <w:rStyle w:val="Hyperlink"/>
            <w:rFonts w:hint="eastAsia"/>
            <w:rtl/>
          </w:rPr>
          <w:t>סעיף</w:t>
        </w:r>
        <w:r w:rsidR="003E0C32" w:rsidRPr="003E0C32">
          <w:rPr>
            <w:rStyle w:val="Hyperlink"/>
            <w:rtl/>
          </w:rPr>
          <w:t xml:space="preserve"> 192</w:t>
        </w:r>
      </w:hyperlink>
      <w:r>
        <w:rPr>
          <w:rFonts w:hint="cs"/>
          <w:rtl/>
        </w:rPr>
        <w:t xml:space="preserve"> לחוק; פגיעה בפרטיות; והפרת הוראה חוקית, לפי </w:t>
      </w:r>
      <w:hyperlink r:id="rId120" w:history="1">
        <w:r w:rsidR="003E0C32" w:rsidRPr="003E0C32">
          <w:rPr>
            <w:rStyle w:val="Hyperlink"/>
            <w:rFonts w:hint="eastAsia"/>
            <w:rtl/>
          </w:rPr>
          <w:t>סעיף</w:t>
        </w:r>
        <w:r w:rsidR="003E0C32" w:rsidRPr="003E0C32">
          <w:rPr>
            <w:rStyle w:val="Hyperlink"/>
            <w:rtl/>
          </w:rPr>
          <w:t xml:space="preserve"> 287(ב)</w:t>
        </w:r>
      </w:hyperlink>
      <w:r>
        <w:rPr>
          <w:rFonts w:hint="cs"/>
          <w:rtl/>
        </w:rPr>
        <w:t xml:space="preserve"> לחוק העונשין בגינם הוטלו עליו 13 שנות מאסר בפועל, מאסרים מותנים ופיצויים למתלוננת. בפסק הדין נסקרו מספר מקרים בהם הוטלו עונשים בגובה 14, 15 ו-17 שנות מאסר בגין עבירת נסיון הרצח בתא משפחתי או חברתי (שם, בפסקה 99).</w:t>
      </w:r>
    </w:p>
    <w:p w14:paraId="090A53A6" w14:textId="77777777" w:rsidR="00B66DBB" w:rsidRDefault="00B66DBB" w:rsidP="00B66DBB">
      <w:pPr>
        <w:pStyle w:val="Ruller4"/>
        <w:spacing w:line="360" w:lineRule="auto"/>
        <w:ind w:left="1077"/>
      </w:pPr>
      <w:r>
        <w:rPr>
          <w:rFonts w:hint="cs"/>
          <w:rtl/>
        </w:rPr>
        <w:t>ב</w:t>
      </w:r>
      <w:hyperlink r:id="rId121" w:history="1">
        <w:r w:rsidR="006739BB" w:rsidRPr="006739BB">
          <w:rPr>
            <w:color w:val="0000FF"/>
            <w:u w:val="single"/>
            <w:rtl/>
          </w:rPr>
          <w:t>ע"פ 5933/11</w:t>
        </w:r>
      </w:hyperlink>
      <w:r>
        <w:rPr>
          <w:rFonts w:hint="cs"/>
          <w:rtl/>
        </w:rPr>
        <w:t xml:space="preserve"> </w:t>
      </w:r>
      <w:r>
        <w:rPr>
          <w:rFonts w:hint="cs"/>
          <w:b/>
          <w:bCs/>
          <w:rtl/>
        </w:rPr>
        <w:t xml:space="preserve">אדם איטל נ' מדינת ישראל </w:t>
      </w:r>
      <w:r>
        <w:rPr>
          <w:rFonts w:hint="cs"/>
          <w:rtl/>
        </w:rPr>
        <w:t xml:space="preserve">(‏26.6.2014) נדחה ערעור על הרשעת המערער בשתי עבירות רצח, לפי </w:t>
      </w:r>
      <w:hyperlink r:id="rId122" w:history="1">
        <w:r w:rsidR="003E0C32" w:rsidRPr="003E0C32">
          <w:rPr>
            <w:rStyle w:val="Hyperlink"/>
            <w:rFonts w:hint="eastAsia"/>
            <w:rtl/>
          </w:rPr>
          <w:t>סעיף</w:t>
        </w:r>
        <w:r w:rsidR="003E0C32" w:rsidRPr="003E0C32">
          <w:rPr>
            <w:rStyle w:val="Hyperlink"/>
            <w:rtl/>
          </w:rPr>
          <w:t xml:space="preserve"> 300(א)(2)</w:t>
        </w:r>
      </w:hyperlink>
      <w:r>
        <w:rPr>
          <w:rFonts w:hint="cs"/>
          <w:rtl/>
        </w:rPr>
        <w:t xml:space="preserve"> ל</w:t>
      </w:r>
      <w:hyperlink r:id="rId123" w:history="1">
        <w:r w:rsidR="006739BB" w:rsidRPr="006739BB">
          <w:rPr>
            <w:color w:val="0000FF"/>
            <w:u w:val="single"/>
            <w:rtl/>
          </w:rPr>
          <w:t>חוק העונשין</w:t>
        </w:r>
      </w:hyperlink>
      <w:r>
        <w:rPr>
          <w:rFonts w:hint="cs"/>
          <w:rtl/>
        </w:rPr>
        <w:t xml:space="preserve">; ניסיון רצח, לפי </w:t>
      </w:r>
      <w:hyperlink r:id="rId124" w:history="1">
        <w:r w:rsidR="003E0C32" w:rsidRPr="003E0C32">
          <w:rPr>
            <w:rStyle w:val="Hyperlink"/>
            <w:rFonts w:hint="eastAsia"/>
            <w:rtl/>
          </w:rPr>
          <w:t>סעיף</w:t>
        </w:r>
        <w:r w:rsidR="003E0C32" w:rsidRPr="003E0C32">
          <w:rPr>
            <w:rStyle w:val="Hyperlink"/>
            <w:rtl/>
          </w:rPr>
          <w:t xml:space="preserve"> 305(1)</w:t>
        </w:r>
      </w:hyperlink>
      <w:r>
        <w:rPr>
          <w:rFonts w:hint="cs"/>
          <w:rtl/>
        </w:rPr>
        <w:t xml:space="preserve"> לחוק; וחבלה חמורה בנסיבות מחמירות, לפי </w:t>
      </w:r>
      <w:hyperlink r:id="rId125" w:history="1">
        <w:r w:rsidR="003E0C32" w:rsidRPr="003E0C32">
          <w:rPr>
            <w:rStyle w:val="Hyperlink"/>
            <w:rFonts w:hint="eastAsia"/>
            <w:rtl/>
          </w:rPr>
          <w:t>סעיפים</w:t>
        </w:r>
        <w:r w:rsidR="003E0C32" w:rsidRPr="003E0C32">
          <w:rPr>
            <w:rStyle w:val="Hyperlink"/>
            <w:rtl/>
          </w:rPr>
          <w:t xml:space="preserve"> 333</w:t>
        </w:r>
      </w:hyperlink>
      <w:r>
        <w:rPr>
          <w:rFonts w:hint="cs"/>
          <w:rtl/>
        </w:rPr>
        <w:t xml:space="preserve"> ו-</w:t>
      </w:r>
      <w:hyperlink r:id="rId126" w:history="1">
        <w:r w:rsidR="003E0C32" w:rsidRPr="003E0C32">
          <w:rPr>
            <w:rStyle w:val="Hyperlink"/>
            <w:rtl/>
          </w:rPr>
          <w:t>335 (א)(1)</w:t>
        </w:r>
      </w:hyperlink>
      <w:r>
        <w:rPr>
          <w:rFonts w:hint="cs"/>
          <w:rtl/>
        </w:rPr>
        <w:t xml:space="preserve"> לחוק, בגינן הוטלו עליו שני מאסרי עולם; 15 שנות מאסר לריצוי בפועל, בגין עבירת ניסיון הרצח והחבלה החמורה; תשלום פיצויים בסך 200,000 ₪ לכל אחת ממשפחות הקורבנות, כאשר נקבע כי כלל עונשי המאסר ירוצו במצטבר.</w:t>
      </w:r>
    </w:p>
    <w:p w14:paraId="6C37CD36" w14:textId="77777777" w:rsidR="00B66DBB" w:rsidRDefault="00B66DBB" w:rsidP="00B66DBB">
      <w:pPr>
        <w:pStyle w:val="Ruller4"/>
        <w:spacing w:line="360" w:lineRule="auto"/>
        <w:ind w:left="1077"/>
        <w:rPr>
          <w:rtl/>
        </w:rPr>
      </w:pPr>
      <w:r>
        <w:rPr>
          <w:rFonts w:hint="cs"/>
          <w:rtl/>
        </w:rPr>
        <w:t>ב</w:t>
      </w:r>
      <w:hyperlink r:id="rId127" w:history="1">
        <w:r w:rsidR="006739BB" w:rsidRPr="006739BB">
          <w:rPr>
            <w:color w:val="0000FF"/>
            <w:u w:val="single"/>
            <w:rtl/>
          </w:rPr>
          <w:t>ע"פ 8902/11</w:t>
        </w:r>
      </w:hyperlink>
      <w:r>
        <w:rPr>
          <w:rFonts w:hint="cs"/>
          <w:rtl/>
        </w:rPr>
        <w:t xml:space="preserve"> </w:t>
      </w:r>
      <w:r>
        <w:rPr>
          <w:rFonts w:hint="cs"/>
          <w:b/>
          <w:bCs/>
          <w:rtl/>
        </w:rPr>
        <w:t>ניר ניסים חזיזה נ' מדינת ישראל</w:t>
      </w:r>
      <w:r>
        <w:rPr>
          <w:rFonts w:hint="cs"/>
          <w:rtl/>
        </w:rPr>
        <w:t xml:space="preserve"> (15.11.2012) נדחה ערעור על הרשעת המערער ברצח, לפי </w:t>
      </w:r>
      <w:hyperlink r:id="rId128" w:history="1">
        <w:r w:rsidR="003E0C32" w:rsidRPr="003E0C32">
          <w:rPr>
            <w:rStyle w:val="Hyperlink"/>
            <w:rFonts w:hint="eastAsia"/>
            <w:rtl/>
          </w:rPr>
          <w:t>סעיף</w:t>
        </w:r>
        <w:r w:rsidR="003E0C32" w:rsidRPr="003E0C32">
          <w:rPr>
            <w:rStyle w:val="Hyperlink"/>
            <w:rtl/>
          </w:rPr>
          <w:t xml:space="preserve"> 300(א)(2)</w:t>
        </w:r>
      </w:hyperlink>
      <w:r>
        <w:rPr>
          <w:rFonts w:hint="cs"/>
          <w:rtl/>
        </w:rPr>
        <w:t xml:space="preserve"> </w:t>
      </w:r>
      <w:hyperlink r:id="rId129" w:history="1">
        <w:r w:rsidR="003E0C32" w:rsidRPr="003E0C32">
          <w:rPr>
            <w:rStyle w:val="Hyperlink"/>
            <w:rFonts w:hint="eastAsia"/>
            <w:rtl/>
          </w:rPr>
          <w:t>וסעיף</w:t>
        </w:r>
        <w:r w:rsidR="003E0C32" w:rsidRPr="003E0C32">
          <w:rPr>
            <w:rStyle w:val="Hyperlink"/>
            <w:rtl/>
          </w:rPr>
          <w:t xml:space="preserve"> 20(ג)(2)</w:t>
        </w:r>
      </w:hyperlink>
      <w:r>
        <w:rPr>
          <w:rFonts w:hint="cs"/>
          <w:rtl/>
        </w:rPr>
        <w:t xml:space="preserve"> ל</w:t>
      </w:r>
      <w:hyperlink r:id="rId130" w:history="1">
        <w:r w:rsidR="006739BB" w:rsidRPr="006739BB">
          <w:rPr>
            <w:color w:val="0000FF"/>
            <w:u w:val="single"/>
            <w:rtl/>
          </w:rPr>
          <w:t>חוק העונשין</w:t>
        </w:r>
      </w:hyperlink>
      <w:r>
        <w:rPr>
          <w:rFonts w:hint="cs"/>
          <w:rtl/>
        </w:rPr>
        <w:t xml:space="preserve">, התשל"ז-1977 (להלן: חוק העונשין) ובניסיון לרצח, לפי </w:t>
      </w:r>
      <w:hyperlink r:id="rId131" w:history="1">
        <w:r w:rsidR="003E0C32" w:rsidRPr="003E0C32">
          <w:rPr>
            <w:rStyle w:val="Hyperlink"/>
            <w:rFonts w:hint="eastAsia"/>
            <w:rtl/>
          </w:rPr>
          <w:t>סעיף</w:t>
        </w:r>
        <w:r w:rsidR="003E0C32" w:rsidRPr="003E0C32">
          <w:rPr>
            <w:rStyle w:val="Hyperlink"/>
            <w:rtl/>
          </w:rPr>
          <w:t xml:space="preserve"> 305</w:t>
        </w:r>
      </w:hyperlink>
      <w:r>
        <w:rPr>
          <w:rFonts w:hint="cs"/>
          <w:rtl/>
        </w:rPr>
        <w:t xml:space="preserve"> לחוק העונשין. על המערער הושתו מאסר עולם ו-20 שנות מאסר בפועל, שמחציתן תרוצה בחופף למאסר העולם. כן חויב המערער בפיצוי הורי המנוח בסך של 258,000 ₪. </w:t>
      </w:r>
    </w:p>
    <w:p w14:paraId="33C87C84" w14:textId="77777777" w:rsidR="00B66DBB" w:rsidRDefault="00B66DBB" w:rsidP="00B66DBB">
      <w:pPr>
        <w:pStyle w:val="Ruller4"/>
        <w:spacing w:line="360" w:lineRule="auto"/>
        <w:ind w:left="1077"/>
        <w:rPr>
          <w:rtl/>
        </w:rPr>
      </w:pPr>
      <w:r>
        <w:rPr>
          <w:rFonts w:hint="cs"/>
          <w:rtl/>
        </w:rPr>
        <w:t>ב</w:t>
      </w:r>
      <w:hyperlink r:id="rId132" w:history="1">
        <w:r w:rsidR="006739BB" w:rsidRPr="006739BB">
          <w:rPr>
            <w:color w:val="0000FF"/>
            <w:u w:val="single"/>
            <w:rtl/>
          </w:rPr>
          <w:t>ע"פ 8962/12</w:t>
        </w:r>
      </w:hyperlink>
      <w:r>
        <w:rPr>
          <w:rFonts w:hint="cs"/>
          <w:rtl/>
        </w:rPr>
        <w:t xml:space="preserve"> </w:t>
      </w:r>
      <w:r>
        <w:rPr>
          <w:rFonts w:hint="cs"/>
          <w:b/>
          <w:bCs/>
          <w:rtl/>
        </w:rPr>
        <w:t>יוסף נחמיאס נ' מדינת ישראל</w:t>
      </w:r>
      <w:r>
        <w:rPr>
          <w:rFonts w:hint="cs"/>
          <w:rtl/>
        </w:rPr>
        <w:t xml:space="preserve"> (‏31.8.2016) לא מצא בית המשפט העליון להתערב בהרשעת המערער ברצח לפי </w:t>
      </w:r>
      <w:hyperlink r:id="rId133" w:history="1">
        <w:r w:rsidR="003E0C32" w:rsidRPr="003E0C32">
          <w:rPr>
            <w:rStyle w:val="Hyperlink"/>
            <w:rFonts w:hint="eastAsia"/>
            <w:rtl/>
          </w:rPr>
          <w:t>סעיף</w:t>
        </w:r>
        <w:r w:rsidR="003E0C32" w:rsidRPr="003E0C32">
          <w:rPr>
            <w:rStyle w:val="Hyperlink"/>
            <w:rtl/>
          </w:rPr>
          <w:t xml:space="preserve"> 300(א)(3)</w:t>
        </w:r>
      </w:hyperlink>
      <w:r>
        <w:rPr>
          <w:rFonts w:hint="cs"/>
          <w:rtl/>
        </w:rPr>
        <w:t xml:space="preserve"> ל</w:t>
      </w:r>
      <w:hyperlink r:id="rId134" w:history="1">
        <w:r w:rsidR="006739BB" w:rsidRPr="006739BB">
          <w:rPr>
            <w:color w:val="0000FF"/>
            <w:u w:val="single"/>
            <w:rtl/>
          </w:rPr>
          <w:t>חוק העונשין</w:t>
        </w:r>
      </w:hyperlink>
      <w:r>
        <w:rPr>
          <w:rFonts w:hint="cs"/>
          <w:rtl/>
        </w:rPr>
        <w:t xml:space="preserve">; שוד בנסיבות מחמירות לפי </w:t>
      </w:r>
      <w:hyperlink r:id="rId135" w:history="1">
        <w:r w:rsidR="003E0C32" w:rsidRPr="003E0C32">
          <w:rPr>
            <w:rStyle w:val="Hyperlink"/>
            <w:rFonts w:hint="eastAsia"/>
            <w:rtl/>
          </w:rPr>
          <w:t>סעיף</w:t>
        </w:r>
        <w:r w:rsidR="003E0C32" w:rsidRPr="003E0C32">
          <w:rPr>
            <w:rStyle w:val="Hyperlink"/>
            <w:rtl/>
          </w:rPr>
          <w:t xml:space="preserve"> 402(ב)</w:t>
        </w:r>
      </w:hyperlink>
      <w:r>
        <w:rPr>
          <w:rFonts w:hint="cs"/>
          <w:rtl/>
        </w:rPr>
        <w:t xml:space="preserve"> לחוק; וחבלה בכוונה מחמירה, לפי </w:t>
      </w:r>
      <w:hyperlink r:id="rId136" w:history="1">
        <w:r w:rsidR="003E0C32" w:rsidRPr="003E0C32">
          <w:rPr>
            <w:rStyle w:val="Hyperlink"/>
            <w:rFonts w:hint="eastAsia"/>
            <w:rtl/>
          </w:rPr>
          <w:t>סעיף</w:t>
        </w:r>
        <w:r w:rsidR="003E0C32" w:rsidRPr="003E0C32">
          <w:rPr>
            <w:rStyle w:val="Hyperlink"/>
            <w:rtl/>
          </w:rPr>
          <w:t xml:space="preserve"> 329(א)(1)</w:t>
        </w:r>
      </w:hyperlink>
      <w:r>
        <w:rPr>
          <w:rFonts w:hint="cs"/>
          <w:rtl/>
        </w:rPr>
        <w:t xml:space="preserve"> לחוק ולא בגזר הדין בגדרו הושתו על המערער מאסר עולם בגין עבירות הרצח והשוד ו-15 שנות מאסר בגין עבירת החבלה החמורה – במצטבר, וכן פיצוי בגובה 250,000 ₪ למשפחת המנוח, ופיצוי זהה למתלונן. </w:t>
      </w:r>
    </w:p>
    <w:p w14:paraId="2D5D9D02" w14:textId="77777777" w:rsidR="00B66DBB" w:rsidRDefault="00B66DBB" w:rsidP="00B66DBB">
      <w:pPr>
        <w:pStyle w:val="Ruller4"/>
        <w:numPr>
          <w:ilvl w:val="0"/>
          <w:numId w:val="2"/>
        </w:numPr>
        <w:spacing w:line="360" w:lineRule="auto"/>
        <w:rPr>
          <w:rtl/>
        </w:rPr>
      </w:pPr>
      <w:r>
        <w:rPr>
          <w:rFonts w:hint="cs"/>
          <w:rtl/>
        </w:rPr>
        <w:t xml:space="preserve">בהתאם ולאור כלל השיקולים שהובאו לעיל באשר לערכים המוגנים, הנסיבות הקשורות בביצוע העבירות ומדיניות הענישה הנוהגת מצאנו לאמץ בעיקרה את עמדת המדינה באשר למתחמי העונש ההולם (כלל העבירות בנוסף למתחם שהוצע לעבירות הנשק) ולאירועי התיק המצורף. </w:t>
      </w:r>
    </w:p>
    <w:p w14:paraId="7B5D3362" w14:textId="77777777" w:rsidR="00B66DBB" w:rsidRDefault="00B66DBB" w:rsidP="00B66DBB">
      <w:pPr>
        <w:pStyle w:val="Ruller4"/>
        <w:spacing w:line="360" w:lineRule="auto"/>
        <w:ind w:left="1080"/>
      </w:pPr>
      <w:r>
        <w:rPr>
          <w:rFonts w:hint="cs"/>
          <w:rtl/>
        </w:rPr>
        <w:t xml:space="preserve">הננו מעמידים אפוא את מתחם הענישה לכלל העבירות שבתיקנו על 21 שנות מאסר עד 28 שנות מאסר. </w:t>
      </w:r>
    </w:p>
    <w:p w14:paraId="418938C1" w14:textId="77777777" w:rsidR="00B66DBB" w:rsidRDefault="00B66DBB" w:rsidP="00B66DBB">
      <w:pPr>
        <w:pStyle w:val="Ruller4"/>
        <w:spacing w:line="360" w:lineRule="auto"/>
        <w:ind w:left="1080"/>
      </w:pPr>
      <w:r>
        <w:rPr>
          <w:rFonts w:hint="cs"/>
          <w:rtl/>
        </w:rPr>
        <w:t xml:space="preserve">אשר לאירוע התיק המצורף נקבע כי בהינתן נסיבות המעשה, תקיפת סוהרים בבית הסוהר, תוך גרימת חבלות לעובדי ציבור הממלאים תפקידם, בהינתן הצורך לאפשר לעובדי ציבור ושומרי החוק והסדר למלא את תפקידם כדין, והפסיקה הנוהגת, מתחם ענישה הולם הנע בין 9-12 חודשי מאסר. </w:t>
      </w:r>
    </w:p>
    <w:p w14:paraId="48530B38" w14:textId="77777777" w:rsidR="00B66DBB" w:rsidRDefault="00B66DBB" w:rsidP="00B66DBB">
      <w:pPr>
        <w:pStyle w:val="Ruller4"/>
        <w:numPr>
          <w:ilvl w:val="0"/>
          <w:numId w:val="2"/>
        </w:numPr>
        <w:spacing w:line="360" w:lineRule="auto"/>
        <w:rPr>
          <w:rtl/>
        </w:rPr>
      </w:pPr>
      <w:r>
        <w:rPr>
          <w:rFonts w:hint="cs"/>
          <w:rtl/>
        </w:rPr>
        <w:t xml:space="preserve">בגדרי המתחם ניתן דעתנו לנסיבות שאינן קשורות לביצוע העבירות ובהן גילו הצעיר של הנאשם, הפגיעה והנזקים שייגרמו לנאשם ולמשפחתו, לרבות לארוסתו, שתכניותיה לחיים משותפים עם בחיר ליבה שובשו. דבריה בפנינו נגעו לליבנו. </w:t>
      </w:r>
    </w:p>
    <w:p w14:paraId="34E24BA5" w14:textId="77777777" w:rsidR="00B66DBB" w:rsidRDefault="00B66DBB" w:rsidP="00B66DBB">
      <w:pPr>
        <w:pStyle w:val="Ruller4"/>
        <w:spacing w:line="360" w:lineRule="auto"/>
        <w:ind w:left="1080"/>
      </w:pPr>
      <w:r>
        <w:rPr>
          <w:rFonts w:hint="cs"/>
          <w:rtl/>
        </w:rPr>
        <w:t xml:space="preserve">כן נשקול לזכותו, במידת מה, את חלוף הזמן מאז ביצוע העבירה בו היה נתון במעצר ממושך. הנאשם אף הביע חרטה על מעשיו, חרטה שנדמית לנו כנה. לנאשם אמנם הרשעה קודמת בעבירות אלימות, אך עסקינן בהרשעה בודדת. </w:t>
      </w:r>
    </w:p>
    <w:p w14:paraId="687CCCC9" w14:textId="77777777" w:rsidR="00B66DBB" w:rsidRDefault="00B66DBB" w:rsidP="00B66DBB">
      <w:pPr>
        <w:pStyle w:val="Ruller4"/>
        <w:spacing w:line="360" w:lineRule="auto"/>
        <w:ind w:left="1080"/>
        <w:rPr>
          <w:rtl/>
        </w:rPr>
      </w:pPr>
      <w:r>
        <w:rPr>
          <w:rFonts w:hint="cs"/>
          <w:rtl/>
        </w:rPr>
        <w:t xml:space="preserve">בנשימה אחת, לא נצא ידי חובתנו אם נזנח שיקולי הרתעת היחיד והרבים ואת הצורך להעדיף שיקולי גמול והרתעה על פני נסיבות אישיות והצורך שהעונש ישקף באופן הולם את הצורך של חברתנו להתנער משלטון הנשק והאלימות ברחובותינו (בהשאלה מעבירות מסוג אחר, </w:t>
      </w:r>
      <w:hyperlink r:id="rId137" w:history="1">
        <w:r w:rsidR="006739BB" w:rsidRPr="006739BB">
          <w:rPr>
            <w:color w:val="0000FF"/>
            <w:u w:val="single"/>
            <w:rtl/>
          </w:rPr>
          <w:t>ע"פ 4018/20</w:t>
        </w:r>
      </w:hyperlink>
      <w:r>
        <w:rPr>
          <w:rFonts w:hint="cs"/>
          <w:rtl/>
        </w:rPr>
        <w:t xml:space="preserve"> </w:t>
      </w:r>
      <w:r>
        <w:rPr>
          <w:rFonts w:hint="cs"/>
          <w:b/>
          <w:bCs/>
          <w:rtl/>
        </w:rPr>
        <w:t>לוגסי נ' מדינת ישראל</w:t>
      </w:r>
      <w:r>
        <w:rPr>
          <w:rFonts w:hint="cs"/>
          <w:rtl/>
        </w:rPr>
        <w:t xml:space="preserve"> (30.12.21)). </w:t>
      </w:r>
    </w:p>
    <w:p w14:paraId="16C91EAD" w14:textId="77777777" w:rsidR="00B66DBB" w:rsidRDefault="00B66DBB" w:rsidP="00B66DBB">
      <w:pPr>
        <w:pStyle w:val="Ruller4"/>
        <w:numPr>
          <w:ilvl w:val="0"/>
          <w:numId w:val="2"/>
        </w:numPr>
        <w:spacing w:line="360" w:lineRule="auto"/>
        <w:rPr>
          <w:b/>
          <w:bCs/>
          <w:rtl/>
        </w:rPr>
      </w:pPr>
      <w:r>
        <w:rPr>
          <w:rFonts w:hint="cs"/>
          <w:rtl/>
        </w:rPr>
        <w:t xml:space="preserve">בהתאם לעקרון ההלימה </w:t>
      </w:r>
      <w:hyperlink r:id="rId138" w:history="1">
        <w:r w:rsidR="003E0C32" w:rsidRPr="003E0C32">
          <w:rPr>
            <w:rStyle w:val="Hyperlink"/>
            <w:rFonts w:hint="eastAsia"/>
            <w:rtl/>
          </w:rPr>
          <w:t>וסעיף</w:t>
        </w:r>
        <w:r w:rsidR="003E0C32" w:rsidRPr="003E0C32">
          <w:rPr>
            <w:rStyle w:val="Hyperlink"/>
            <w:rtl/>
          </w:rPr>
          <w:t xml:space="preserve"> 40יג</w:t>
        </w:r>
      </w:hyperlink>
      <w:r>
        <w:rPr>
          <w:rFonts w:hint="cs"/>
          <w:rtl/>
        </w:rPr>
        <w:t xml:space="preserve"> ל</w:t>
      </w:r>
      <w:hyperlink r:id="rId139" w:history="1">
        <w:r w:rsidR="006739BB" w:rsidRPr="006739BB">
          <w:rPr>
            <w:color w:val="0000FF"/>
            <w:u w:val="single"/>
            <w:rtl/>
          </w:rPr>
          <w:t>חוק העונשין</w:t>
        </w:r>
      </w:hyperlink>
      <w:r>
        <w:rPr>
          <w:rFonts w:hint="cs"/>
          <w:rtl/>
        </w:rPr>
        <w:t>, ועל פי הפסיקה, על בית המשפט לתת ביטוי עונשי לכל מעשה שבו הורשע הנאשם. ככלל (לאחר תיקון 113 ל</w:t>
      </w:r>
      <w:hyperlink r:id="rId140" w:history="1">
        <w:r w:rsidR="006739BB" w:rsidRPr="006739BB">
          <w:rPr>
            <w:color w:val="0000FF"/>
            <w:u w:val="single"/>
            <w:rtl/>
          </w:rPr>
          <w:t>חוק העונשין</w:t>
        </w:r>
      </w:hyperlink>
      <w:r>
        <w:rPr>
          <w:rFonts w:hint="cs"/>
          <w:rtl/>
        </w:rPr>
        <w:t>), העונשים ירוצו במצטבר והחלטה על חפיפת העונשים, במיוחד כאשר מדובר בענישה בגין עבירת המתה ועבירה נוספת, אלא בהינתן הנמקה מיוחדת תוך התחשבות, מחד, בזיקה שבין העבירות, ומנגד, בחומרתן. (</w:t>
      </w:r>
      <w:hyperlink r:id="rId141" w:history="1">
        <w:r w:rsidR="006739BB" w:rsidRPr="006739BB">
          <w:rPr>
            <w:color w:val="0000FF"/>
            <w:u w:val="single"/>
            <w:rtl/>
          </w:rPr>
          <w:t>ע"פ 1900/18</w:t>
        </w:r>
      </w:hyperlink>
      <w:r>
        <w:rPr>
          <w:rFonts w:hint="cs"/>
          <w:rtl/>
        </w:rPr>
        <w:t xml:space="preserve"> </w:t>
      </w:r>
      <w:r>
        <w:rPr>
          <w:rFonts w:hint="cs"/>
          <w:b/>
          <w:bCs/>
          <w:rtl/>
        </w:rPr>
        <w:t>אברהם ילמה נ' מדינת ישראל</w:t>
      </w:r>
      <w:r>
        <w:rPr>
          <w:rFonts w:hint="cs"/>
          <w:rtl/>
        </w:rPr>
        <w:t>, פסקה 17 (‏6.10.2019), וההפניות שם).</w:t>
      </w:r>
      <w:r>
        <w:rPr>
          <w:rFonts w:hint="cs"/>
          <w:b/>
          <w:bCs/>
          <w:rtl/>
        </w:rPr>
        <w:t xml:space="preserve"> </w:t>
      </w:r>
    </w:p>
    <w:p w14:paraId="3CAA9CA7" w14:textId="77777777" w:rsidR="00B66DBB" w:rsidRDefault="00B66DBB" w:rsidP="00B66DBB">
      <w:pPr>
        <w:pStyle w:val="Ruller4"/>
        <w:spacing w:line="360" w:lineRule="auto"/>
        <w:ind w:left="1080"/>
      </w:pPr>
      <w:r>
        <w:rPr>
          <w:rFonts w:hint="cs"/>
          <w:rtl/>
        </w:rPr>
        <w:t xml:space="preserve">קשה להפריז בחומרת מעשיו של הנאשם בנסיבותיהם כפי שתוארו בהכרעת הדין. מוות מיותר שגרם לאדם וכמעט קופחו חיי אחר, בשל ויכוח של מה בכך, ויכוח על חניית רכב ותו לא. </w:t>
      </w:r>
    </w:p>
    <w:p w14:paraId="78488948" w14:textId="77777777" w:rsidR="00B66DBB" w:rsidRDefault="00B66DBB" w:rsidP="00B66DBB">
      <w:pPr>
        <w:pStyle w:val="Ruller4"/>
        <w:spacing w:line="360" w:lineRule="auto"/>
        <w:ind w:left="1080"/>
        <w:rPr>
          <w:rtl/>
        </w:rPr>
      </w:pPr>
      <w:r>
        <w:rPr>
          <w:rFonts w:hint="cs"/>
          <w:rtl/>
        </w:rPr>
        <w:t>נוכח חומרת האירועים סבורים אנו כי יש מקום לצבירת העונשים. עם זאת, אף שקבענו כי מדובר באירוע אחד,</w:t>
      </w:r>
      <w:r>
        <w:rPr>
          <w:rFonts w:hint="cs"/>
          <w:b/>
          <w:bCs/>
          <w:rtl/>
        </w:rPr>
        <w:t xml:space="preserve"> </w:t>
      </w:r>
      <w:r>
        <w:rPr>
          <w:rFonts w:hint="cs"/>
          <w:rtl/>
        </w:rPr>
        <w:t>ומבלי להפחית מחומרת המעשים,</w:t>
      </w:r>
      <w:r>
        <w:rPr>
          <w:rFonts w:hint="cs"/>
          <w:b/>
          <w:bCs/>
          <w:rtl/>
        </w:rPr>
        <w:t xml:space="preserve"> </w:t>
      </w:r>
      <w:r>
        <w:rPr>
          <w:rFonts w:hint="cs"/>
          <w:rtl/>
        </w:rPr>
        <w:t xml:space="preserve">ראינו לקחת בחשבון את הזיקה בין העבירות והיותן חלק ממסכת מעשים אחת. על כן אנו קובעים כי את עונש המאסר שנקבע בגין עבירת ההריגה, ירצה הנאשם בחפיפה חלקית לעבירות החבלה בנסיבה מחמירה, עבירות הנשק ויתר העבירות, וכך לענישתו בתיק הצירוף. </w:t>
      </w:r>
    </w:p>
    <w:p w14:paraId="11C78E76" w14:textId="77777777" w:rsidR="00B66DBB" w:rsidRDefault="00B66DBB" w:rsidP="00B66DBB">
      <w:pPr>
        <w:pStyle w:val="Ruller4"/>
        <w:numPr>
          <w:ilvl w:val="0"/>
          <w:numId w:val="2"/>
        </w:numPr>
        <w:spacing w:line="360" w:lineRule="auto"/>
        <w:rPr>
          <w:rtl/>
        </w:rPr>
      </w:pPr>
      <w:r>
        <w:rPr>
          <w:rFonts w:hint="cs"/>
          <w:rtl/>
        </w:rPr>
        <w:t>ערים אנו לכך שהתביעה בטיעוניה עתרה לעונש כולל "</w:t>
      </w:r>
      <w:r>
        <w:rPr>
          <w:rFonts w:hint="cs"/>
          <w:b/>
          <w:bCs/>
          <w:rtl/>
        </w:rPr>
        <w:t>שלא יפחת מ-22 שנות מאסר</w:t>
      </w:r>
      <w:r>
        <w:rPr>
          <w:rFonts w:hint="cs"/>
          <w:rtl/>
        </w:rPr>
        <w:t xml:space="preserve">" אך ברור שאין זו העתירה המרבית של התביעה, ממילא אין בית המשפט כבול וכך על פי פסיקת בית המשפט העליון, בעתירת התביעה והוא רשאי וצריך להטיל את העונש ההולם על פי דעתו. </w:t>
      </w:r>
    </w:p>
    <w:p w14:paraId="2FB10FB9" w14:textId="77777777" w:rsidR="00B66DBB" w:rsidRDefault="00B66DBB" w:rsidP="00B66DBB">
      <w:pPr>
        <w:pStyle w:val="Ruller4"/>
        <w:numPr>
          <w:ilvl w:val="0"/>
          <w:numId w:val="2"/>
        </w:numPr>
        <w:spacing w:line="360" w:lineRule="auto"/>
        <w:rPr>
          <w:rtl/>
        </w:rPr>
      </w:pPr>
      <w:r>
        <w:rPr>
          <w:rFonts w:hint="cs"/>
          <w:b/>
          <w:bCs/>
          <w:rtl/>
        </w:rPr>
        <w:t>פיצויים</w:t>
      </w:r>
      <w:r>
        <w:rPr>
          <w:rFonts w:hint="cs"/>
          <w:rtl/>
        </w:rPr>
        <w:t xml:space="preserve">: </w:t>
      </w:r>
    </w:p>
    <w:p w14:paraId="36B4F14B" w14:textId="77777777" w:rsidR="00B66DBB" w:rsidRDefault="00B66DBB" w:rsidP="00B66DBB">
      <w:pPr>
        <w:pStyle w:val="a9"/>
        <w:shd w:val="clear" w:color="auto" w:fill="FFFFFF"/>
        <w:spacing w:after="0" w:line="360" w:lineRule="auto"/>
        <w:ind w:left="1080"/>
        <w:jc w:val="both"/>
        <w:rPr>
          <w:rFonts w:ascii="David" w:hAnsi="David" w:cs="David"/>
          <w:sz w:val="24"/>
          <w:szCs w:val="24"/>
        </w:rPr>
      </w:pPr>
      <w:r>
        <w:rPr>
          <w:rFonts w:ascii="David" w:hAnsi="David" w:cs="David"/>
          <w:sz w:val="24"/>
          <w:szCs w:val="24"/>
          <w:rtl/>
        </w:rPr>
        <w:t xml:space="preserve">פגיעתו הקשה של הנאשם במשפחתו של המנוח, כעולה מתסקיר נפגעי העבירה, מצדיקה פסיקת פיצוי על פי </w:t>
      </w:r>
      <w:hyperlink r:id="rId142" w:history="1">
        <w:r w:rsidR="003E0C32" w:rsidRPr="003E0C32">
          <w:rPr>
            <w:rStyle w:val="Hyperlink"/>
            <w:rFonts w:ascii="David" w:hAnsi="David" w:cs="David"/>
            <w:sz w:val="24"/>
            <w:szCs w:val="24"/>
            <w:rtl/>
          </w:rPr>
          <w:t>סעיף 77(א)</w:t>
        </w:r>
      </w:hyperlink>
      <w:r>
        <w:rPr>
          <w:rFonts w:ascii="David" w:hAnsi="David" w:cs="David"/>
          <w:sz w:val="24"/>
          <w:szCs w:val="24"/>
          <w:rtl/>
        </w:rPr>
        <w:t xml:space="preserve"> ל</w:t>
      </w:r>
      <w:hyperlink r:id="rId143"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כפי שנקבע ב</w:t>
      </w:r>
      <w:hyperlink r:id="rId144" w:history="1">
        <w:r w:rsidR="006739BB" w:rsidRPr="006739BB">
          <w:rPr>
            <w:rFonts w:ascii="David" w:hAnsi="David" w:cs="David"/>
            <w:color w:val="0000FF"/>
            <w:sz w:val="24"/>
            <w:szCs w:val="24"/>
            <w:u w:val="single"/>
            <w:rtl/>
          </w:rPr>
          <w:t>רע"פ 9727/05</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סב(2) 802 (2007): </w:t>
      </w:r>
    </w:p>
    <w:p w14:paraId="56998FDA" w14:textId="77777777" w:rsidR="00B66DBB" w:rsidRDefault="00B66DBB" w:rsidP="00B66DBB">
      <w:pPr>
        <w:pStyle w:val="a9"/>
        <w:shd w:val="clear" w:color="auto" w:fill="FFFFFF"/>
        <w:spacing w:after="0" w:line="360" w:lineRule="auto"/>
        <w:ind w:left="1080"/>
        <w:jc w:val="both"/>
        <w:rPr>
          <w:rFonts w:ascii="David" w:hAnsi="David" w:cs="David"/>
          <w:sz w:val="24"/>
          <w:szCs w:val="24"/>
          <w:rtl/>
        </w:rPr>
      </w:pPr>
    </w:p>
    <w:p w14:paraId="5C309495" w14:textId="77777777" w:rsidR="00B66DBB" w:rsidRDefault="00B66DBB" w:rsidP="00B66DBB">
      <w:pPr>
        <w:pStyle w:val="a9"/>
        <w:shd w:val="clear" w:color="auto" w:fill="FFFFFF"/>
        <w:spacing w:after="0" w:line="360" w:lineRule="auto"/>
        <w:ind w:left="1080"/>
        <w:jc w:val="both"/>
        <w:rPr>
          <w:rFonts w:ascii="David" w:hAnsi="David" w:cs="David"/>
          <w:sz w:val="24"/>
          <w:szCs w:val="24"/>
        </w:rPr>
      </w:pPr>
      <w:r>
        <w:rPr>
          <w:rFonts w:ascii="David" w:hAnsi="David" w:cs="David"/>
          <w:sz w:val="24"/>
          <w:szCs w:val="24"/>
          <w:rtl/>
        </w:rPr>
        <w:t>"</w:t>
      </w:r>
      <w:r>
        <w:rPr>
          <w:rFonts w:ascii="David" w:hAnsi="David" w:cs="David"/>
          <w:b/>
          <w:bCs/>
          <w:sz w:val="24"/>
          <w:szCs w:val="24"/>
          <w:rtl/>
        </w:rPr>
        <w:t>לסמכות הפיצוי לפי סעיף 77 תכליות חשובות נוספות, ובהן: מתן סעד מיידי לנפגע מבלי שייאלץ להמתין עד לסיומם של ההליכים האזרחיים בעניינו, אשר עלולים להתמשך על-פני שנים ארוכות; הכרה חברתית בסבלו של הנפגע ושיתופו, במידת מה, בהליך הפלילי המתנהל נגד תוקפו; ואף קיים בו יסוד של היטהרות לעבריין עצמו, שכן חיובו בפיצוי לטובת קורבנו עשוי לתרום לשיקומו (ראו פרשת אסף, בעמ' 465). תכלית נוספת אותה משרת הדיון בפיצוי האזרחי לנפגע אגב הכרעת הדין בנושא הפלילי, הינה העלאת מעמדו של קורבן העבירה בהליך הפלילי</w:t>
      </w:r>
      <w:r>
        <w:rPr>
          <w:rFonts w:ascii="David" w:hAnsi="David" w:cs="David"/>
          <w:sz w:val="24"/>
          <w:szCs w:val="24"/>
          <w:rtl/>
        </w:rPr>
        <w:t>..."</w:t>
      </w:r>
    </w:p>
    <w:p w14:paraId="4EC0F1AB" w14:textId="77777777" w:rsidR="00B66DBB" w:rsidRDefault="00B66DBB" w:rsidP="00B66DBB">
      <w:pPr>
        <w:pStyle w:val="a9"/>
        <w:shd w:val="clear" w:color="auto" w:fill="FFFFFF"/>
        <w:spacing w:after="0" w:line="360" w:lineRule="auto"/>
        <w:ind w:left="1080"/>
        <w:jc w:val="both"/>
        <w:rPr>
          <w:rFonts w:ascii="David" w:hAnsi="David" w:cs="David"/>
          <w:b/>
          <w:bCs/>
          <w:sz w:val="24"/>
          <w:szCs w:val="24"/>
          <w:rtl/>
        </w:rPr>
      </w:pPr>
    </w:p>
    <w:p w14:paraId="5B040948" w14:textId="77777777" w:rsidR="00B66DBB" w:rsidRDefault="00B66DBB" w:rsidP="00B66DBB">
      <w:pPr>
        <w:pStyle w:val="a9"/>
        <w:shd w:val="clear" w:color="auto" w:fill="FFFFFF"/>
        <w:spacing w:after="0" w:line="360" w:lineRule="auto"/>
        <w:ind w:left="1080"/>
        <w:jc w:val="both"/>
        <w:rPr>
          <w:rFonts w:ascii="David" w:hAnsi="David" w:cs="David"/>
          <w:sz w:val="24"/>
          <w:szCs w:val="24"/>
        </w:rPr>
      </w:pPr>
      <w:r>
        <w:rPr>
          <w:rFonts w:ascii="David" w:hAnsi="David" w:cs="David"/>
          <w:sz w:val="24"/>
          <w:szCs w:val="24"/>
          <w:rtl/>
        </w:rPr>
        <w:t>באשר לשיעור הפיצוי נפסק, כי אינו קשור ואינו מושפע בשום אספקט מיכולתו הכלכלית של הנאשם ועליו לשאת בו גם אם מצבו הכלכלי של הנאשם לא משופר ועליו לשאת בו גם אם מצבו הכלכלי אינו מאפשר לו לשאת בו (</w:t>
      </w:r>
      <w:hyperlink r:id="rId145" w:history="1">
        <w:r w:rsidR="006739BB" w:rsidRPr="006739BB">
          <w:rPr>
            <w:rFonts w:ascii="David" w:hAnsi="David" w:cs="David"/>
            <w:color w:val="0000FF"/>
            <w:sz w:val="24"/>
            <w:szCs w:val="24"/>
            <w:u w:val="single"/>
            <w:rtl/>
          </w:rPr>
          <w:t>ע"פ 2661/12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(19.11.12)).</w:t>
      </w:r>
    </w:p>
    <w:p w14:paraId="44E4F908" w14:textId="77777777" w:rsidR="00B66DBB" w:rsidRDefault="00B66DBB" w:rsidP="00B66DBB">
      <w:pPr>
        <w:pStyle w:val="a9"/>
        <w:shd w:val="clear" w:color="auto" w:fill="FFFFFF"/>
        <w:spacing w:after="0" w:line="360" w:lineRule="auto"/>
        <w:ind w:left="1080"/>
        <w:jc w:val="both"/>
        <w:rPr>
          <w:rFonts w:ascii="David" w:hAnsi="David" w:cs="David"/>
          <w:sz w:val="24"/>
          <w:szCs w:val="24"/>
        </w:rPr>
      </w:pPr>
    </w:p>
    <w:p w14:paraId="1F3274A3" w14:textId="77777777" w:rsidR="00B66DBB" w:rsidRDefault="00B66DBB" w:rsidP="00B66DBB">
      <w:pPr>
        <w:pStyle w:val="a9"/>
        <w:numPr>
          <w:ilvl w:val="0"/>
          <w:numId w:val="1"/>
        </w:numPr>
        <w:shd w:val="clear" w:color="auto" w:fill="FFFFFF"/>
        <w:spacing w:after="0" w:line="360" w:lineRule="auto"/>
        <w:jc w:val="both"/>
        <w:rPr>
          <w:rFonts w:ascii="David" w:hAnsi="David" w:cs="David"/>
          <w:sz w:val="24"/>
          <w:szCs w:val="24"/>
        </w:rPr>
      </w:pPr>
      <w:r>
        <w:rPr>
          <w:rFonts w:ascii="David" w:hAnsi="David" w:cs="David"/>
          <w:sz w:val="24"/>
          <w:szCs w:val="24"/>
          <w:rtl/>
        </w:rPr>
        <w:t>נקבע ב</w:t>
      </w:r>
      <w:hyperlink r:id="rId146" w:history="1">
        <w:r w:rsidR="006739BB" w:rsidRPr="006739BB">
          <w:rPr>
            <w:rFonts w:ascii="David" w:hAnsi="David" w:cs="David"/>
            <w:color w:val="0000FF"/>
            <w:sz w:val="24"/>
            <w:szCs w:val="24"/>
            <w:u w:val="single"/>
            <w:rtl/>
          </w:rPr>
          <w:t>ע"פ 2104/18</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(20.03.2019)‏‏:</w:t>
      </w:r>
    </w:p>
    <w:p w14:paraId="6DB144B0" w14:textId="77777777" w:rsidR="00B66DBB" w:rsidRDefault="00B66DBB" w:rsidP="00B66DBB">
      <w:pPr>
        <w:pStyle w:val="a9"/>
        <w:spacing w:line="360" w:lineRule="auto"/>
        <w:jc w:val="both"/>
        <w:rPr>
          <w:rFonts w:ascii="David" w:hAnsi="David" w:cs="David"/>
          <w:sz w:val="24"/>
          <w:szCs w:val="24"/>
        </w:rPr>
      </w:pPr>
      <w:r>
        <w:rPr>
          <w:rFonts w:ascii="David" w:hAnsi="David" w:cs="David"/>
          <w:sz w:val="24"/>
          <w:szCs w:val="24"/>
          <w:rtl/>
        </w:rPr>
        <w:t>"</w:t>
      </w:r>
      <w:r>
        <w:rPr>
          <w:rFonts w:ascii="David" w:hAnsi="David" w:cs="David"/>
          <w:b/>
          <w:bCs/>
          <w:sz w:val="24"/>
          <w:szCs w:val="24"/>
          <w:rtl/>
        </w:rPr>
        <w:t xml:space="preserve">כבר נפסק כי שיעור הפיצוי שנפסק לטובת נפגע עבירה אינו נקבע בהתחשב ביכולתו הכלכלית של הנאשם (ראו: </w:t>
      </w:r>
      <w:hyperlink r:id="rId147" w:history="1">
        <w:r w:rsidR="006739BB" w:rsidRPr="006739BB">
          <w:rPr>
            <w:rFonts w:ascii="David" w:hAnsi="David" w:cs="David"/>
            <w:b/>
            <w:bCs/>
            <w:color w:val="0000FF"/>
            <w:sz w:val="24"/>
            <w:szCs w:val="24"/>
            <w:u w:val="single"/>
            <w:rtl/>
          </w:rPr>
          <w:t>ע"פ 10102/07</w:t>
        </w:r>
      </w:hyperlink>
      <w:r>
        <w:rPr>
          <w:rFonts w:ascii="David" w:hAnsi="David" w:cs="David"/>
          <w:b/>
          <w:bCs/>
          <w:sz w:val="24"/>
          <w:szCs w:val="24"/>
          <w:rtl/>
        </w:rPr>
        <w:t xml:space="preserve"> פלוני נ' מדינת ישראל, פסקה 81 (7.9.2005) [פורסם בנבו] ; </w:t>
      </w:r>
      <w:hyperlink r:id="rId148" w:history="1">
        <w:r w:rsidR="006739BB" w:rsidRPr="006739BB">
          <w:rPr>
            <w:rFonts w:ascii="David" w:hAnsi="David" w:cs="David"/>
            <w:b/>
            <w:bCs/>
            <w:color w:val="0000FF"/>
            <w:sz w:val="24"/>
            <w:szCs w:val="24"/>
            <w:u w:val="single"/>
            <w:rtl/>
          </w:rPr>
          <w:t>ע"פ 5761/05</w:t>
        </w:r>
      </w:hyperlink>
      <w:r>
        <w:rPr>
          <w:rFonts w:ascii="David" w:hAnsi="David" w:cs="David"/>
          <w:b/>
          <w:bCs/>
          <w:sz w:val="24"/>
          <w:szCs w:val="24"/>
          <w:rtl/>
        </w:rPr>
        <w:t xml:space="preserve"> מג'דלאוי נ' מדינת ישראל, פסקה ט' (24.7.2006)[פורסם בנבו]), וכן לא נועד, בהכרח, לבטא את השיפוי הדרוש לנפגע העבירה לשם כיסוי ההוצאות הנובעות מן הפגיעה שנגרמה לו (ראו: </w:t>
      </w:r>
      <w:hyperlink r:id="rId149" w:history="1">
        <w:r w:rsidR="006739BB" w:rsidRPr="006739BB">
          <w:rPr>
            <w:rFonts w:ascii="David" w:hAnsi="David" w:cs="David"/>
            <w:b/>
            <w:bCs/>
            <w:color w:val="0000FF"/>
            <w:sz w:val="24"/>
            <w:szCs w:val="24"/>
            <w:u w:val="single"/>
            <w:rtl/>
          </w:rPr>
          <w:t>ע"פ 5518/17</w:t>
        </w:r>
      </w:hyperlink>
      <w:r>
        <w:rPr>
          <w:rFonts w:ascii="David" w:hAnsi="David" w:cs="David"/>
          <w:b/>
          <w:bCs/>
          <w:sz w:val="24"/>
          <w:szCs w:val="24"/>
          <w:rtl/>
        </w:rPr>
        <w:t xml:space="preserve"> פלוני נ' מדינת ישראל, פסקה 18 (17.6.2018))</w:t>
      </w:r>
      <w:r>
        <w:rPr>
          <w:rFonts w:ascii="David" w:hAnsi="David" w:cs="David"/>
          <w:sz w:val="24"/>
          <w:szCs w:val="24"/>
          <w:rtl/>
        </w:rPr>
        <w:t xml:space="preserve">". </w:t>
      </w:r>
    </w:p>
    <w:p w14:paraId="44A50BF9" w14:textId="77777777" w:rsidR="00B66DBB" w:rsidRDefault="00B66DBB" w:rsidP="00B66DBB">
      <w:pPr>
        <w:pStyle w:val="a9"/>
        <w:spacing w:line="360" w:lineRule="auto"/>
        <w:jc w:val="both"/>
        <w:rPr>
          <w:rFonts w:ascii="David" w:hAnsi="David" w:cs="David"/>
          <w:sz w:val="24"/>
          <w:szCs w:val="24"/>
        </w:rPr>
      </w:pPr>
      <w:r>
        <w:rPr>
          <w:rFonts w:ascii="David" w:hAnsi="David" w:cs="David"/>
          <w:sz w:val="24"/>
          <w:szCs w:val="24"/>
          <w:rtl/>
        </w:rPr>
        <w:t xml:space="preserve">עוד נוסיף שלעמדתנו שיש לה ביטוי גם בפסיקת בית המשפט העליון, כאשר עסקינן בעבירות המתה הולם וראוי לפסוק את הפיצוי המרבי, שאינו גבוה, על פי </w:t>
      </w:r>
      <w:hyperlink r:id="rId150"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w:t>
      </w:r>
    </w:p>
    <w:p w14:paraId="0AC92900" w14:textId="77777777" w:rsidR="00B66DBB" w:rsidRDefault="00B66DBB" w:rsidP="00B66DBB">
      <w:pPr>
        <w:pStyle w:val="a9"/>
        <w:shd w:val="clear" w:color="auto" w:fill="FFFFFF"/>
        <w:spacing w:after="0" w:line="360" w:lineRule="auto"/>
        <w:ind w:left="1080"/>
        <w:jc w:val="both"/>
        <w:rPr>
          <w:rFonts w:ascii="David" w:hAnsi="David" w:cs="David"/>
          <w:sz w:val="24"/>
          <w:szCs w:val="24"/>
        </w:rPr>
      </w:pPr>
    </w:p>
    <w:p w14:paraId="62369ACC" w14:textId="77777777" w:rsidR="00B66DBB" w:rsidRDefault="00B66DBB" w:rsidP="00B66DBB">
      <w:pPr>
        <w:pStyle w:val="a9"/>
        <w:spacing w:line="360" w:lineRule="auto"/>
        <w:ind w:left="1080"/>
        <w:jc w:val="both"/>
        <w:rPr>
          <w:rFonts w:ascii="David" w:hAnsi="David" w:cs="David"/>
          <w:sz w:val="24"/>
          <w:szCs w:val="24"/>
        </w:rPr>
      </w:pPr>
    </w:p>
    <w:p w14:paraId="63DD6DFB" w14:textId="77777777" w:rsidR="00B66DBB" w:rsidRDefault="00B66DBB" w:rsidP="00B66DBB">
      <w:pPr>
        <w:pStyle w:val="a9"/>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151" w:history="1">
        <w:r w:rsidR="006739BB" w:rsidRPr="006739BB">
          <w:rPr>
            <w:rFonts w:ascii="David" w:hAnsi="David" w:cs="David"/>
            <w:color w:val="0000FF"/>
            <w:sz w:val="24"/>
            <w:szCs w:val="24"/>
            <w:u w:val="single"/>
            <w:rtl/>
          </w:rPr>
          <w:t>ע"פ 4018/20</w:t>
        </w:r>
      </w:hyperlink>
      <w:r>
        <w:rPr>
          <w:rFonts w:ascii="David" w:hAnsi="David" w:cs="David"/>
          <w:sz w:val="24"/>
          <w:szCs w:val="24"/>
          <w:rtl/>
        </w:rPr>
        <w:t xml:space="preserve"> </w:t>
      </w:r>
      <w:r>
        <w:rPr>
          <w:rFonts w:ascii="David" w:hAnsi="David" w:cs="David"/>
          <w:b/>
          <w:bCs/>
          <w:sz w:val="24"/>
          <w:szCs w:val="24"/>
          <w:rtl/>
        </w:rPr>
        <w:t>לוגסי נ' מדינת ישראל</w:t>
      </w:r>
      <w:r>
        <w:rPr>
          <w:rFonts w:ascii="David" w:hAnsi="David" w:cs="David"/>
          <w:sz w:val="24"/>
          <w:szCs w:val="24"/>
          <w:rtl/>
        </w:rPr>
        <w:t xml:space="preserve"> שצוין לעיל אמר בית המשפט העליון (מפי כב' השופט י. עמית) בעניינו של נאשם שנדון, כאמור, בעבירות מסוג אחר "</w:t>
      </w:r>
      <w:r>
        <w:rPr>
          <w:rFonts w:ascii="David" w:hAnsi="David" w:cs="David"/>
          <w:b/>
          <w:bCs/>
          <w:sz w:val="24"/>
          <w:szCs w:val="24"/>
          <w:rtl/>
        </w:rPr>
        <w:t>יש המאבד עולמו תוך מספר שעות, המערער יליד 1977</w:t>
      </w:r>
      <w:r>
        <w:rPr>
          <w:rFonts w:ascii="David" w:hAnsi="David" w:cs="David"/>
          <w:sz w:val="24"/>
          <w:szCs w:val="24"/>
          <w:rtl/>
        </w:rPr>
        <w:t xml:space="preserve"> ... </w:t>
      </w:r>
      <w:r>
        <w:rPr>
          <w:rFonts w:ascii="David" w:hAnsi="David" w:cs="David"/>
          <w:b/>
          <w:bCs/>
          <w:sz w:val="24"/>
          <w:szCs w:val="24"/>
          <w:rtl/>
        </w:rPr>
        <w:t>המערער אינו מפלצת</w:t>
      </w:r>
      <w:r>
        <w:rPr>
          <w:rFonts w:ascii="David" w:hAnsi="David" w:cs="David"/>
          <w:sz w:val="24"/>
          <w:szCs w:val="24"/>
          <w:rtl/>
        </w:rPr>
        <w:t xml:space="preserve"> ... </w:t>
      </w:r>
      <w:r>
        <w:rPr>
          <w:rFonts w:ascii="David" w:hAnsi="David" w:cs="David"/>
          <w:b/>
          <w:bCs/>
          <w:sz w:val="24"/>
          <w:szCs w:val="24"/>
          <w:rtl/>
        </w:rPr>
        <w:t>בן אנוש  אינו מפלצת, גם לא נאשם שחטא במעשים קשים – שנים ארוכות עוד לפני המערער גמול על שעולל למתלונן. יש לקוות כי המערער ינצל שנים אלה למירוק חטאיו ולבניה עצמית ויתמקד בהליכי השיקום, כך שבבוא היום כאשר יחזור אל חיק החברה יתאפשר לו לפתוח "דף חדש" בחייו</w:t>
      </w:r>
      <w:r>
        <w:rPr>
          <w:rFonts w:ascii="David" w:hAnsi="David" w:cs="David"/>
          <w:sz w:val="24"/>
          <w:szCs w:val="24"/>
          <w:rtl/>
        </w:rPr>
        <w:t xml:space="preserve">". </w:t>
      </w:r>
    </w:p>
    <w:p w14:paraId="40D12946" w14:textId="77777777" w:rsidR="00B66DBB" w:rsidRDefault="00B66DBB" w:rsidP="00B66DBB">
      <w:pPr>
        <w:pStyle w:val="a9"/>
        <w:spacing w:line="360" w:lineRule="auto"/>
        <w:jc w:val="both"/>
        <w:rPr>
          <w:rFonts w:ascii="David" w:hAnsi="David" w:cs="David"/>
          <w:sz w:val="24"/>
          <w:szCs w:val="24"/>
        </w:rPr>
      </w:pPr>
    </w:p>
    <w:p w14:paraId="33293C45" w14:textId="77777777" w:rsidR="00B66DBB" w:rsidRDefault="00B66DBB" w:rsidP="00B66DBB">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 xml:space="preserve">סוף דבר  </w:t>
      </w:r>
    </w:p>
    <w:p w14:paraId="4FF9F4BD" w14:textId="77777777" w:rsidR="00B66DBB" w:rsidRDefault="00B66DBB" w:rsidP="00B66DBB">
      <w:pPr>
        <w:pStyle w:val="a9"/>
        <w:spacing w:line="360" w:lineRule="auto"/>
        <w:jc w:val="both"/>
        <w:rPr>
          <w:rFonts w:ascii="David" w:hAnsi="David" w:cs="David"/>
          <w:sz w:val="24"/>
          <w:szCs w:val="24"/>
        </w:rPr>
      </w:pPr>
      <w:r>
        <w:rPr>
          <w:rFonts w:ascii="David" w:hAnsi="David" w:cs="David"/>
          <w:sz w:val="24"/>
          <w:szCs w:val="24"/>
          <w:rtl/>
        </w:rPr>
        <w:t xml:space="preserve">לאחר שקלול ואיזון כלל השיקולים אותם פרטנו לעיל הננו גוזרים על הנאשם את העונשים הבאים: </w:t>
      </w:r>
    </w:p>
    <w:p w14:paraId="432ED00D" w14:textId="77777777" w:rsidR="00B66DBB" w:rsidRDefault="00B66DBB" w:rsidP="00B66DBB">
      <w:pPr>
        <w:pStyle w:val="a9"/>
        <w:numPr>
          <w:ilvl w:val="0"/>
          <w:numId w:val="3"/>
        </w:numPr>
        <w:spacing w:line="360" w:lineRule="auto"/>
        <w:jc w:val="both"/>
        <w:rPr>
          <w:rFonts w:ascii="David" w:hAnsi="David" w:cs="David"/>
          <w:sz w:val="24"/>
          <w:szCs w:val="24"/>
          <w:rtl/>
        </w:rPr>
      </w:pPr>
      <w:r>
        <w:rPr>
          <w:rFonts w:ascii="David" w:hAnsi="David" w:cs="David"/>
          <w:sz w:val="24"/>
          <w:szCs w:val="24"/>
          <w:rtl/>
        </w:rPr>
        <w:t xml:space="preserve">26 שנות מאסר בפועל החל מיום מעצרו, 14.02.19. </w:t>
      </w:r>
    </w:p>
    <w:p w14:paraId="75F050F2" w14:textId="77777777" w:rsidR="00B66DBB" w:rsidRDefault="00B66DBB" w:rsidP="00B66DBB">
      <w:pPr>
        <w:pStyle w:val="a9"/>
        <w:numPr>
          <w:ilvl w:val="0"/>
          <w:numId w:val="3"/>
        </w:numPr>
        <w:spacing w:line="360" w:lineRule="auto"/>
        <w:jc w:val="both"/>
        <w:rPr>
          <w:rFonts w:ascii="David" w:hAnsi="David" w:cs="David"/>
          <w:sz w:val="24"/>
          <w:szCs w:val="24"/>
        </w:rPr>
      </w:pPr>
      <w:r>
        <w:rPr>
          <w:rFonts w:ascii="David" w:hAnsi="David" w:cs="David"/>
          <w:sz w:val="24"/>
          <w:szCs w:val="24"/>
          <w:rtl/>
        </w:rPr>
        <w:t xml:space="preserve">מאסר מותנה של 18 חודשים אותם ירצה אם תוך 3 שנים מיום שחרורו ממאסר יעבור עבירות שעל פי סימנים </w:t>
      </w:r>
      <w:hyperlink r:id="rId152" w:history="1">
        <w:r w:rsidR="003E0C32" w:rsidRPr="003E0C32">
          <w:rPr>
            <w:rStyle w:val="Hyperlink"/>
            <w:rFonts w:ascii="David" w:hAnsi="David" w:cs="David"/>
            <w:sz w:val="24"/>
            <w:szCs w:val="24"/>
            <w:rtl/>
          </w:rPr>
          <w:t>א', ד' ו-ח' לפרק י'</w:t>
        </w:r>
      </w:hyperlink>
      <w:r>
        <w:rPr>
          <w:rFonts w:ascii="David" w:hAnsi="David" w:cs="David"/>
          <w:sz w:val="24"/>
          <w:szCs w:val="24"/>
          <w:rtl/>
        </w:rPr>
        <w:t xml:space="preserve">; סימן </w:t>
      </w:r>
      <w:hyperlink r:id="rId153" w:history="1">
        <w:r w:rsidR="003E0C32" w:rsidRPr="003E0C32">
          <w:rPr>
            <w:rStyle w:val="Hyperlink"/>
            <w:rFonts w:ascii="David" w:hAnsi="David" w:cs="David"/>
            <w:sz w:val="24"/>
            <w:szCs w:val="24"/>
            <w:rtl/>
          </w:rPr>
          <w:t>א' לפרק ט'</w:t>
        </w:r>
      </w:hyperlink>
      <w:r>
        <w:rPr>
          <w:rFonts w:ascii="David" w:hAnsi="David" w:cs="David"/>
          <w:sz w:val="24"/>
          <w:szCs w:val="24"/>
          <w:rtl/>
        </w:rPr>
        <w:t xml:space="preserve"> וסעיפים </w:t>
      </w:r>
      <w:hyperlink r:id="rId154" w:history="1">
        <w:r w:rsidR="003E0C32" w:rsidRPr="003E0C32">
          <w:rPr>
            <w:rStyle w:val="Hyperlink"/>
            <w:rFonts w:ascii="David" w:hAnsi="David" w:cs="David"/>
            <w:sz w:val="24"/>
            <w:szCs w:val="24"/>
            <w:rtl/>
          </w:rPr>
          <w:t>144 ו-186</w:t>
        </w:r>
      </w:hyperlink>
      <w:r>
        <w:rPr>
          <w:rFonts w:ascii="David" w:hAnsi="David" w:cs="David"/>
          <w:sz w:val="24"/>
          <w:szCs w:val="24"/>
          <w:rtl/>
        </w:rPr>
        <w:t xml:space="preserve"> ל</w:t>
      </w:r>
      <w:hyperlink r:id="rId155" w:history="1">
        <w:r w:rsidR="006739BB" w:rsidRPr="006739BB">
          <w:rPr>
            <w:rFonts w:ascii="David" w:hAnsi="David" w:cs="David"/>
            <w:color w:val="0000FF"/>
            <w:sz w:val="24"/>
            <w:szCs w:val="24"/>
            <w:u w:val="single"/>
            <w:rtl/>
          </w:rPr>
          <w:t>חוק העונשין</w:t>
        </w:r>
      </w:hyperlink>
      <w:r>
        <w:rPr>
          <w:rFonts w:ascii="David" w:hAnsi="David" w:cs="David"/>
          <w:sz w:val="24"/>
          <w:szCs w:val="24"/>
          <w:rtl/>
        </w:rPr>
        <w:t xml:space="preserve"> או ניסיון או סיוע או שידול לביצוען. </w:t>
      </w:r>
    </w:p>
    <w:p w14:paraId="1F5E4608" w14:textId="77777777" w:rsidR="00B66DBB" w:rsidRDefault="00B66DBB" w:rsidP="00B66DBB">
      <w:pPr>
        <w:pStyle w:val="a9"/>
        <w:numPr>
          <w:ilvl w:val="0"/>
          <w:numId w:val="3"/>
        </w:numPr>
        <w:spacing w:line="360" w:lineRule="auto"/>
        <w:jc w:val="both"/>
        <w:rPr>
          <w:rFonts w:ascii="David" w:hAnsi="David" w:cs="David"/>
          <w:sz w:val="24"/>
          <w:szCs w:val="24"/>
        </w:rPr>
      </w:pPr>
      <w:r>
        <w:rPr>
          <w:rFonts w:ascii="David" w:hAnsi="David" w:cs="David"/>
          <w:sz w:val="24"/>
          <w:szCs w:val="24"/>
          <w:rtl/>
        </w:rPr>
        <w:t xml:space="preserve">מאסר מותנה של 9 חודשים אותם ירצה אם תוך 3 שנים מיום שחרורו ממאסר יעבור עבירות עוון על פי סימן ח' לפרק י', או על פי סימן א' לפרק ט' או ניסיון או סיוע או שידול לביצוען. </w:t>
      </w:r>
    </w:p>
    <w:p w14:paraId="7EB16CF4" w14:textId="77777777" w:rsidR="00B66DBB" w:rsidRDefault="00B66DBB" w:rsidP="00B66DBB">
      <w:pPr>
        <w:pStyle w:val="a9"/>
        <w:numPr>
          <w:ilvl w:val="0"/>
          <w:numId w:val="3"/>
        </w:numPr>
        <w:spacing w:line="360" w:lineRule="auto"/>
        <w:jc w:val="both"/>
        <w:rPr>
          <w:rFonts w:ascii="David" w:hAnsi="David" w:cs="David"/>
          <w:sz w:val="24"/>
          <w:szCs w:val="24"/>
        </w:rPr>
      </w:pPr>
      <w:r>
        <w:rPr>
          <w:rFonts w:ascii="David" w:hAnsi="David" w:cs="David"/>
          <w:sz w:val="24"/>
          <w:szCs w:val="24"/>
          <w:rtl/>
        </w:rPr>
        <w:t xml:space="preserve">הנאשם יפצה את משפחת המנוח יורי פודובני ז"ל בסכום של 258,000 ₪, את סימון עזרא בסכום של 5,000 ₪, וכל אחד משני הסוהרים נפגעי תיק הצירוף בסכום של 1,000 ₪ כל אחד. הפיצויים ישולמו עד יום </w:t>
      </w:r>
      <w:r>
        <w:rPr>
          <w:rFonts w:ascii="David" w:hAnsi="David" w:cs="David"/>
          <w:b/>
          <w:bCs/>
          <w:sz w:val="24"/>
          <w:szCs w:val="24"/>
          <w:rtl/>
        </w:rPr>
        <w:t>01.06.23</w:t>
      </w:r>
      <w:r>
        <w:rPr>
          <w:rFonts w:ascii="David" w:hAnsi="David" w:cs="David"/>
          <w:sz w:val="24"/>
          <w:szCs w:val="24"/>
          <w:rtl/>
        </w:rPr>
        <w:t xml:space="preserve">. </w:t>
      </w:r>
    </w:p>
    <w:p w14:paraId="77ADDADA" w14:textId="77777777" w:rsidR="00B66DBB" w:rsidRDefault="00B66DBB" w:rsidP="00B66DBB">
      <w:pPr>
        <w:pStyle w:val="a9"/>
        <w:numPr>
          <w:ilvl w:val="0"/>
          <w:numId w:val="3"/>
        </w:numPr>
        <w:spacing w:line="360" w:lineRule="auto"/>
        <w:jc w:val="both"/>
        <w:rPr>
          <w:rFonts w:ascii="David" w:hAnsi="David" w:cs="David"/>
          <w:sz w:val="24"/>
          <w:szCs w:val="24"/>
        </w:rPr>
      </w:pPr>
      <w:r>
        <w:rPr>
          <w:rFonts w:ascii="David" w:hAnsi="David" w:cs="David"/>
          <w:sz w:val="24"/>
          <w:szCs w:val="24"/>
          <w:rtl/>
        </w:rPr>
        <w:t xml:space="preserve">שירות בתי הסוהר יבחן התאמתו של הנאשם להליך שיקומי טיפולי בין כתלי הכלא ויעשה מאמץ לשילובו בהליך כזה. </w:t>
      </w:r>
    </w:p>
    <w:p w14:paraId="63B1D41B" w14:textId="77777777" w:rsidR="00B66DBB" w:rsidRDefault="00B66DBB" w:rsidP="00B66DBB">
      <w:pPr>
        <w:spacing w:line="360" w:lineRule="auto"/>
        <w:ind w:left="720"/>
        <w:jc w:val="both"/>
        <w:rPr>
          <w:rFonts w:ascii="David" w:hAnsi="David"/>
        </w:rPr>
      </w:pPr>
      <w:r>
        <w:rPr>
          <w:rFonts w:ascii="David" w:hAnsi="David"/>
          <w:rtl/>
        </w:rPr>
        <w:t xml:space="preserve">זכות ערעור תוך 45 יום. </w:t>
      </w:r>
    </w:p>
    <w:p w14:paraId="3822F3D7" w14:textId="77777777" w:rsidR="00B66DBB" w:rsidRPr="00B05847" w:rsidRDefault="00B66DBB" w:rsidP="00B66DBB">
      <w:pPr>
        <w:rPr>
          <w:rtl/>
        </w:rPr>
      </w:pPr>
    </w:p>
    <w:p w14:paraId="2FF14564" w14:textId="77777777" w:rsidR="00B66DBB" w:rsidRDefault="006739BB" w:rsidP="00B66DBB">
      <w:pPr>
        <w:rPr>
          <w:rtl/>
        </w:rPr>
      </w:pPr>
      <w:bookmarkStart w:id="8" w:name="Nitan"/>
      <w:r w:rsidRPr="006739BB">
        <w:rPr>
          <w:rFonts w:ascii="Arial" w:hAnsi="Arial"/>
          <w:b/>
          <w:bCs/>
          <w:color w:val="FFFFFF"/>
          <w:sz w:val="2"/>
          <w:szCs w:val="2"/>
          <w:rtl/>
        </w:rPr>
        <w:t>5129371</w:t>
      </w:r>
      <w:r>
        <w:rPr>
          <w:rFonts w:ascii="Arial" w:hAnsi="Arial"/>
          <w:b/>
          <w:bCs/>
          <w:rtl/>
        </w:rPr>
        <w:t xml:space="preserve">ניתן והודע היום ט' שבט התשפ"ג 31 ינואר 2023, במעמד הנוכחים.  </w:t>
      </w:r>
      <w:bookmarkEnd w:id="8"/>
    </w:p>
    <w:tbl>
      <w:tblPr>
        <w:bidiVisual/>
        <w:tblW w:w="0" w:type="auto"/>
        <w:tblLayout w:type="fixed"/>
        <w:tblLook w:val="01E0" w:firstRow="1" w:lastRow="1" w:firstColumn="1" w:lastColumn="1" w:noHBand="0" w:noVBand="0"/>
      </w:tblPr>
      <w:tblGrid>
        <w:gridCol w:w="2537"/>
        <w:gridCol w:w="236"/>
        <w:gridCol w:w="2646"/>
        <w:gridCol w:w="236"/>
        <w:gridCol w:w="2512"/>
      </w:tblGrid>
      <w:tr w:rsidR="00B66DBB" w:rsidRPr="00FD13E5" w14:paraId="043B6F92" w14:textId="77777777" w:rsidTr="00B66DBB">
        <w:trPr>
          <w:trHeight w:val="1492"/>
        </w:trPr>
        <w:tc>
          <w:tcPr>
            <w:tcW w:w="2537" w:type="dxa"/>
            <w:tcBorders>
              <w:top w:val="nil"/>
              <w:left w:val="nil"/>
              <w:bottom w:val="single" w:sz="4" w:space="0" w:color="auto"/>
              <w:right w:val="nil"/>
            </w:tcBorders>
            <w:shd w:val="clear" w:color="auto" w:fill="auto"/>
            <w:vAlign w:val="center"/>
          </w:tcPr>
          <w:p w14:paraId="55FFCF57" w14:textId="77777777" w:rsidR="00B66DBB" w:rsidRPr="006739BB" w:rsidRDefault="006739BB" w:rsidP="00B66DBB">
            <w:pPr>
              <w:tabs>
                <w:tab w:val="left" w:pos="5426"/>
              </w:tabs>
              <w:jc w:val="center"/>
              <w:rPr>
                <w:color w:val="FFFFFF"/>
                <w:sz w:val="2"/>
                <w:szCs w:val="2"/>
              </w:rPr>
            </w:pPr>
            <w:r w:rsidRPr="006739BB">
              <w:rPr>
                <w:color w:val="FFFFFF"/>
                <w:sz w:val="2"/>
                <w:szCs w:val="2"/>
                <w:rtl/>
              </w:rPr>
              <w:t>54678313</w:t>
            </w:r>
          </w:p>
        </w:tc>
        <w:tc>
          <w:tcPr>
            <w:tcW w:w="236" w:type="dxa"/>
            <w:shd w:val="clear" w:color="auto" w:fill="auto"/>
          </w:tcPr>
          <w:p w14:paraId="51C2176B" w14:textId="77777777" w:rsidR="00B66DBB" w:rsidRPr="00FD13E5" w:rsidRDefault="00B66DBB" w:rsidP="00B66DBB">
            <w:pPr>
              <w:tabs>
                <w:tab w:val="left" w:pos="5426"/>
              </w:tabs>
              <w:rPr>
                <w:rtl/>
              </w:rPr>
            </w:pPr>
          </w:p>
        </w:tc>
        <w:tc>
          <w:tcPr>
            <w:tcW w:w="2646" w:type="dxa"/>
            <w:tcBorders>
              <w:top w:val="nil"/>
              <w:left w:val="nil"/>
              <w:bottom w:val="single" w:sz="4" w:space="0" w:color="auto"/>
              <w:right w:val="nil"/>
            </w:tcBorders>
            <w:shd w:val="clear" w:color="auto" w:fill="auto"/>
            <w:vAlign w:val="center"/>
          </w:tcPr>
          <w:p w14:paraId="1E094368" w14:textId="77777777" w:rsidR="00B66DBB" w:rsidRPr="00FD13E5" w:rsidRDefault="006A7422" w:rsidP="00B66DBB">
            <w:pPr>
              <w:tabs>
                <w:tab w:val="left" w:pos="5426"/>
              </w:tabs>
              <w:jc w:val="center"/>
              <w:rPr>
                <w:rtl/>
              </w:rPr>
            </w:pPr>
            <w:r>
              <w:rPr>
                <w:noProof/>
                <w:rtl/>
              </w:rPr>
              <w:pict w14:anchorId="754A2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6" type="#_x0000_t75" style="position:absolute;left:0;text-align:left;margin-left:17.15pt;margin-top:7pt;width:75pt;height:39pt;z-index:-251658752;visibility:visible;mso-position-horizontal-relative:text;mso-position-vertical-relative:text;mso-width-relative:margin;mso-height-relative:margin" wrapcoords="-216 0 -216 21185 21600 21185 21600 0 -216 0">
                  <v:imagedata r:id="rId156" o:title="060367836 (2)"/>
                  <w10:wrap type="tight"/>
                </v:shape>
              </w:pict>
            </w:r>
          </w:p>
        </w:tc>
        <w:tc>
          <w:tcPr>
            <w:tcW w:w="236" w:type="dxa"/>
            <w:shd w:val="clear" w:color="auto" w:fill="auto"/>
          </w:tcPr>
          <w:p w14:paraId="646BB6F5" w14:textId="77777777" w:rsidR="00B66DBB" w:rsidRPr="00FD13E5" w:rsidRDefault="00B66DBB" w:rsidP="00B66DBB">
            <w:pPr>
              <w:tabs>
                <w:tab w:val="left" w:pos="5426"/>
              </w:tabs>
              <w:rPr>
                <w:rtl/>
              </w:rPr>
            </w:pPr>
          </w:p>
        </w:tc>
        <w:tc>
          <w:tcPr>
            <w:tcW w:w="2512" w:type="dxa"/>
            <w:tcBorders>
              <w:top w:val="nil"/>
              <w:left w:val="nil"/>
              <w:bottom w:val="single" w:sz="4" w:space="0" w:color="auto"/>
              <w:right w:val="nil"/>
            </w:tcBorders>
            <w:shd w:val="clear" w:color="auto" w:fill="auto"/>
          </w:tcPr>
          <w:p w14:paraId="1356CE77" w14:textId="77777777" w:rsidR="00B66DBB" w:rsidRPr="00FD13E5" w:rsidRDefault="00B66DBB" w:rsidP="00B66DBB">
            <w:pPr>
              <w:tabs>
                <w:tab w:val="left" w:pos="5426"/>
              </w:tabs>
              <w:jc w:val="center"/>
              <w:rPr>
                <w:rtl/>
              </w:rPr>
            </w:pPr>
          </w:p>
        </w:tc>
      </w:tr>
      <w:tr w:rsidR="00B66DBB" w:rsidRPr="00FD13E5" w14:paraId="6294578F" w14:textId="77777777" w:rsidTr="00B66DBB">
        <w:trPr>
          <w:trHeight w:val="473"/>
        </w:trPr>
        <w:tc>
          <w:tcPr>
            <w:tcW w:w="2537" w:type="dxa"/>
            <w:tcBorders>
              <w:top w:val="single" w:sz="4" w:space="0" w:color="auto"/>
              <w:left w:val="nil"/>
              <w:bottom w:val="nil"/>
              <w:right w:val="nil"/>
            </w:tcBorders>
            <w:shd w:val="clear" w:color="auto" w:fill="auto"/>
          </w:tcPr>
          <w:p w14:paraId="7733DA53" w14:textId="77777777" w:rsidR="00B66DBB" w:rsidRPr="00B66DBB" w:rsidRDefault="00B66DBB" w:rsidP="00B66DBB">
            <w:pPr>
              <w:jc w:val="center"/>
              <w:rPr>
                <w:rFonts w:ascii="Courier New" w:hAnsi="Courier New"/>
                <w:b/>
                <w:bCs/>
                <w:rtl/>
              </w:rPr>
            </w:pPr>
            <w:r w:rsidRPr="00B66DBB">
              <w:rPr>
                <w:rFonts w:ascii="Courier New" w:hAnsi="Courier New"/>
                <w:b/>
                <w:bCs/>
                <w:rtl/>
              </w:rPr>
              <w:t>רענן בן יוסף, שופט</w:t>
            </w:r>
          </w:p>
          <w:p w14:paraId="1B4B9B64" w14:textId="77777777" w:rsidR="00B66DBB" w:rsidRPr="00B66DBB" w:rsidRDefault="00B66DBB" w:rsidP="00B66DBB">
            <w:pPr>
              <w:jc w:val="center"/>
              <w:rPr>
                <w:rFonts w:ascii="Courier New" w:hAnsi="Courier New"/>
                <w:b/>
                <w:bCs/>
                <w:rtl/>
              </w:rPr>
            </w:pPr>
            <w:r w:rsidRPr="00B66DBB">
              <w:rPr>
                <w:rFonts w:ascii="Courier New" w:hAnsi="Courier New"/>
                <w:b/>
                <w:bCs/>
                <w:rtl/>
              </w:rPr>
              <w:t xml:space="preserve">אב"ד </w:t>
            </w:r>
          </w:p>
        </w:tc>
        <w:tc>
          <w:tcPr>
            <w:tcW w:w="236" w:type="dxa"/>
            <w:shd w:val="clear" w:color="auto" w:fill="auto"/>
          </w:tcPr>
          <w:p w14:paraId="3E94FAE8" w14:textId="77777777" w:rsidR="00B66DBB" w:rsidRPr="00FD13E5" w:rsidRDefault="00B66DBB" w:rsidP="00B66DBB">
            <w:pPr>
              <w:tabs>
                <w:tab w:val="left" w:pos="5426"/>
              </w:tabs>
            </w:pPr>
          </w:p>
        </w:tc>
        <w:tc>
          <w:tcPr>
            <w:tcW w:w="2646" w:type="dxa"/>
            <w:tcBorders>
              <w:top w:val="single" w:sz="4" w:space="0" w:color="auto"/>
              <w:left w:val="nil"/>
              <w:bottom w:val="nil"/>
              <w:right w:val="nil"/>
            </w:tcBorders>
            <w:shd w:val="clear" w:color="auto" w:fill="auto"/>
          </w:tcPr>
          <w:p w14:paraId="746A7D3B" w14:textId="77777777" w:rsidR="00B66DBB" w:rsidRPr="00B66DBB" w:rsidRDefault="00B66DBB" w:rsidP="00B66DBB">
            <w:pPr>
              <w:jc w:val="center"/>
              <w:rPr>
                <w:rFonts w:ascii="Courier New" w:hAnsi="Courier New"/>
                <w:b/>
                <w:bCs/>
                <w:rtl/>
              </w:rPr>
            </w:pPr>
            <w:r w:rsidRPr="00B66DBB">
              <w:rPr>
                <w:rFonts w:ascii="Courier New" w:hAnsi="Courier New"/>
                <w:b/>
                <w:bCs/>
                <w:rtl/>
              </w:rPr>
              <w:t>אברהם הימן, שופט</w:t>
            </w:r>
          </w:p>
        </w:tc>
        <w:tc>
          <w:tcPr>
            <w:tcW w:w="236" w:type="dxa"/>
            <w:shd w:val="clear" w:color="auto" w:fill="auto"/>
          </w:tcPr>
          <w:p w14:paraId="3453304D" w14:textId="77777777" w:rsidR="00B66DBB" w:rsidRPr="00FD13E5" w:rsidRDefault="00B66DBB" w:rsidP="00B66DBB">
            <w:pPr>
              <w:tabs>
                <w:tab w:val="left" w:pos="5426"/>
              </w:tabs>
            </w:pPr>
          </w:p>
        </w:tc>
        <w:tc>
          <w:tcPr>
            <w:tcW w:w="2512" w:type="dxa"/>
            <w:tcBorders>
              <w:top w:val="single" w:sz="4" w:space="0" w:color="auto"/>
              <w:left w:val="nil"/>
              <w:bottom w:val="nil"/>
              <w:right w:val="nil"/>
            </w:tcBorders>
            <w:shd w:val="clear" w:color="auto" w:fill="auto"/>
          </w:tcPr>
          <w:p w14:paraId="7670DB27" w14:textId="77777777" w:rsidR="00B66DBB" w:rsidRPr="00B66DBB" w:rsidRDefault="00B66DBB" w:rsidP="00B66DBB">
            <w:pPr>
              <w:jc w:val="center"/>
              <w:rPr>
                <w:rFonts w:ascii="Courier New" w:hAnsi="Courier New"/>
                <w:b/>
                <w:bCs/>
              </w:rPr>
            </w:pPr>
            <w:r w:rsidRPr="00B66DBB">
              <w:rPr>
                <w:rFonts w:ascii="Courier New" w:hAnsi="Courier New" w:hint="cs"/>
                <w:b/>
                <w:bCs/>
                <w:rtl/>
              </w:rPr>
              <w:t>שרית זמיר</w:t>
            </w:r>
            <w:r w:rsidRPr="00B66DBB">
              <w:rPr>
                <w:rFonts w:ascii="Courier New" w:hAnsi="Courier New"/>
                <w:b/>
                <w:bCs/>
                <w:rtl/>
              </w:rPr>
              <w:t>, שופט</w:t>
            </w:r>
            <w:r w:rsidRPr="00B66DBB">
              <w:rPr>
                <w:rFonts w:ascii="Courier New" w:hAnsi="Courier New" w:hint="cs"/>
                <w:b/>
                <w:bCs/>
                <w:rtl/>
              </w:rPr>
              <w:t>ת</w:t>
            </w:r>
          </w:p>
        </w:tc>
      </w:tr>
    </w:tbl>
    <w:p w14:paraId="6FEFF478" w14:textId="77777777" w:rsidR="00B66DBB" w:rsidRPr="00250B83" w:rsidRDefault="00B66DBB" w:rsidP="00B66DBB">
      <w:pPr>
        <w:rPr>
          <w:rtl/>
        </w:rPr>
      </w:pPr>
    </w:p>
    <w:p w14:paraId="63829288" w14:textId="77777777" w:rsidR="00B66DBB" w:rsidRPr="003E0C32" w:rsidRDefault="003E0C32" w:rsidP="00B66DBB">
      <w:pPr>
        <w:pStyle w:val="a3"/>
        <w:jc w:val="center"/>
        <w:rPr>
          <w:color w:val="FFFFFF"/>
          <w:sz w:val="2"/>
          <w:szCs w:val="2"/>
          <w:rtl/>
        </w:rPr>
      </w:pPr>
      <w:r w:rsidRPr="003E0C32">
        <w:rPr>
          <w:color w:val="FFFFFF"/>
          <w:sz w:val="2"/>
          <w:szCs w:val="2"/>
          <w:rtl/>
        </w:rPr>
        <w:t>5129371</w:t>
      </w:r>
    </w:p>
    <w:p w14:paraId="233C5DD3" w14:textId="77777777" w:rsidR="00CF464A" w:rsidRPr="003E0C32" w:rsidRDefault="003E0C32" w:rsidP="006739BB">
      <w:pPr>
        <w:keepNext/>
        <w:rPr>
          <w:rFonts w:ascii="David" w:hAnsi="David"/>
          <w:color w:val="FFFFFF"/>
          <w:sz w:val="2"/>
          <w:szCs w:val="2"/>
          <w:rtl/>
        </w:rPr>
      </w:pPr>
      <w:r w:rsidRPr="003E0C32">
        <w:rPr>
          <w:rFonts w:ascii="David" w:hAnsi="David"/>
          <w:color w:val="FFFFFF"/>
          <w:sz w:val="2"/>
          <w:szCs w:val="2"/>
          <w:rtl/>
        </w:rPr>
        <w:t>54678313</w:t>
      </w:r>
    </w:p>
    <w:p w14:paraId="5DE82923" w14:textId="77777777" w:rsidR="006739BB" w:rsidRDefault="006739BB" w:rsidP="006739BB">
      <w:pPr>
        <w:rPr>
          <w:rtl/>
        </w:rPr>
      </w:pPr>
    </w:p>
    <w:p w14:paraId="2E7F1A7A" w14:textId="77777777" w:rsidR="006739BB" w:rsidRDefault="006739BB" w:rsidP="006739BB">
      <w:pPr>
        <w:jc w:val="center"/>
        <w:rPr>
          <w:color w:val="0000FF"/>
          <w:u w:val="single"/>
        </w:rPr>
      </w:pPr>
      <w:hyperlink r:id="rId157" w:history="1">
        <w:r>
          <w:rPr>
            <w:color w:val="0000FF"/>
            <w:u w:val="single"/>
            <w:rtl/>
          </w:rPr>
          <w:t>בעניין עריכה ושינויים במסמכי פסיקה, חקיקה ועוד באתר נבו – הקש כאן</w:t>
        </w:r>
      </w:hyperlink>
    </w:p>
    <w:p w14:paraId="5D279056" w14:textId="77777777" w:rsidR="003E0C32" w:rsidRPr="003E0C32" w:rsidRDefault="003E0C32" w:rsidP="003E0C32">
      <w:pPr>
        <w:keepNext/>
        <w:rPr>
          <w:rFonts w:ascii="David" w:hAnsi="David"/>
          <w:color w:val="000000"/>
          <w:sz w:val="22"/>
          <w:szCs w:val="22"/>
          <w:rtl/>
        </w:rPr>
      </w:pPr>
    </w:p>
    <w:p w14:paraId="51D92129" w14:textId="77777777" w:rsidR="003E0C32" w:rsidRPr="003E0C32" w:rsidRDefault="003E0C32" w:rsidP="003E0C32">
      <w:pPr>
        <w:keepNext/>
        <w:rPr>
          <w:rFonts w:ascii="David" w:hAnsi="David"/>
          <w:color w:val="000000"/>
          <w:sz w:val="22"/>
          <w:szCs w:val="22"/>
          <w:rtl/>
        </w:rPr>
      </w:pPr>
      <w:r w:rsidRPr="003E0C32">
        <w:rPr>
          <w:rFonts w:ascii="David" w:hAnsi="David"/>
          <w:color w:val="000000"/>
          <w:sz w:val="22"/>
          <w:szCs w:val="22"/>
          <w:rtl/>
        </w:rPr>
        <w:t>ר. בן יוסף 54678313-/</w:t>
      </w:r>
    </w:p>
    <w:p w14:paraId="11DA0DA5" w14:textId="77777777" w:rsidR="006739BB" w:rsidRPr="006739BB" w:rsidRDefault="003E0C32" w:rsidP="003E0C32">
      <w:pPr>
        <w:rPr>
          <w:color w:val="0000FF"/>
          <w:u w:val="single"/>
        </w:rPr>
      </w:pPr>
      <w:r w:rsidRPr="003E0C32">
        <w:rPr>
          <w:color w:val="000000"/>
          <w:u w:val="single"/>
          <w:rtl/>
        </w:rPr>
        <w:t>נוסח מסמך זה כפוף לשינויי ניסוח ועריכה</w:t>
      </w:r>
    </w:p>
    <w:sectPr w:rsidR="006739BB" w:rsidRPr="006739BB" w:rsidSect="003E0C32">
      <w:headerReference w:type="even" r:id="rId158"/>
      <w:headerReference w:type="default" r:id="rId159"/>
      <w:footerReference w:type="even" r:id="rId160"/>
      <w:footerReference w:type="default" r:id="rId1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34874" w14:textId="77777777" w:rsidR="00DE2434" w:rsidRDefault="00DE2434" w:rsidP="006A7422">
      <w:r>
        <w:separator/>
      </w:r>
    </w:p>
  </w:endnote>
  <w:endnote w:type="continuationSeparator" w:id="0">
    <w:p w14:paraId="474DC518" w14:textId="77777777" w:rsidR="00DE2434" w:rsidRDefault="00DE2434" w:rsidP="006A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C869A" w14:textId="77777777" w:rsidR="003E0C32" w:rsidRDefault="003E0C32" w:rsidP="003E0C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747A24" w14:textId="77777777" w:rsidR="00D71B7A" w:rsidRPr="003E0C32" w:rsidRDefault="003E0C32" w:rsidP="003E0C32">
    <w:pPr>
      <w:pStyle w:val="a5"/>
      <w:pBdr>
        <w:top w:val="single" w:sz="4" w:space="1" w:color="auto"/>
        <w:between w:val="single" w:sz="4" w:space="0" w:color="auto"/>
      </w:pBdr>
      <w:spacing w:after="60"/>
      <w:jc w:val="center"/>
      <w:rPr>
        <w:rFonts w:ascii="FrankRuehl" w:hAnsi="FrankRuehl" w:cs="FrankRuehl"/>
        <w:color w:val="000000"/>
      </w:rPr>
    </w:pPr>
    <w:r w:rsidRPr="003E0C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D89C8" w14:textId="77777777" w:rsidR="003E0C32" w:rsidRDefault="003E0C32" w:rsidP="003E0C3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122E">
      <w:rPr>
        <w:rFonts w:ascii="FrankRuehl" w:hAnsi="FrankRuehl" w:cs="FrankRuehl"/>
        <w:noProof/>
        <w:rtl/>
      </w:rPr>
      <w:t>1</w:t>
    </w:r>
    <w:r>
      <w:rPr>
        <w:rFonts w:ascii="FrankRuehl" w:hAnsi="FrankRuehl" w:cs="FrankRuehl"/>
        <w:rtl/>
      </w:rPr>
      <w:fldChar w:fldCharType="end"/>
    </w:r>
  </w:p>
  <w:p w14:paraId="7EFBA37B" w14:textId="77777777" w:rsidR="00D71B7A" w:rsidRPr="003E0C32" w:rsidRDefault="003E0C32" w:rsidP="003E0C32">
    <w:pPr>
      <w:pStyle w:val="a5"/>
      <w:pBdr>
        <w:top w:val="single" w:sz="4" w:space="1" w:color="auto"/>
        <w:between w:val="single" w:sz="4" w:space="0" w:color="auto"/>
      </w:pBdr>
      <w:spacing w:after="60"/>
      <w:jc w:val="center"/>
      <w:rPr>
        <w:rFonts w:ascii="FrankRuehl" w:hAnsi="FrankRuehl" w:cs="FrankRuehl"/>
        <w:color w:val="000000"/>
      </w:rPr>
    </w:pPr>
    <w:r w:rsidRPr="003E0C32">
      <w:rPr>
        <w:rFonts w:ascii="FrankRuehl" w:hAnsi="FrankRuehl" w:cs="FrankRuehl"/>
        <w:color w:val="000000"/>
      </w:rPr>
      <w:pict w14:anchorId="40D7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CE6BB" w14:textId="77777777" w:rsidR="00DE2434" w:rsidRDefault="00DE2434" w:rsidP="006A7422">
      <w:r>
        <w:separator/>
      </w:r>
    </w:p>
  </w:footnote>
  <w:footnote w:type="continuationSeparator" w:id="0">
    <w:p w14:paraId="664888B0" w14:textId="77777777" w:rsidR="00DE2434" w:rsidRDefault="00DE2434" w:rsidP="006A7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2145A" w14:textId="77777777" w:rsidR="006739BB" w:rsidRPr="003E0C32" w:rsidRDefault="003E0C32" w:rsidP="003E0C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15217-03-19</w:t>
    </w:r>
    <w:r>
      <w:rPr>
        <w:rFonts w:ascii="David" w:hAnsi="David"/>
        <w:color w:val="000000"/>
        <w:sz w:val="22"/>
        <w:szCs w:val="22"/>
        <w:rtl/>
      </w:rPr>
      <w:tab/>
      <w:t xml:space="preserve"> מדינת ישראל נ' אוראל זוית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C0B20" w14:textId="77777777" w:rsidR="006739BB" w:rsidRPr="003E0C32" w:rsidRDefault="003E0C32" w:rsidP="003E0C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15217-03-19</w:t>
    </w:r>
    <w:r>
      <w:rPr>
        <w:rFonts w:ascii="David" w:hAnsi="David"/>
        <w:color w:val="000000"/>
        <w:sz w:val="22"/>
        <w:szCs w:val="22"/>
        <w:rtl/>
      </w:rPr>
      <w:tab/>
      <w:t xml:space="preserve"> מדינת ישראל נ' אוראל זוית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F5BBE"/>
    <w:multiLevelType w:val="hybridMultilevel"/>
    <w:tmpl w:val="22128D50"/>
    <w:lvl w:ilvl="0" w:tplc="A8A449AC">
      <w:start w:val="1"/>
      <w:numFmt w:val="hebrew1"/>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3EE7AA4"/>
    <w:multiLevelType w:val="hybridMultilevel"/>
    <w:tmpl w:val="0478C95E"/>
    <w:lvl w:ilvl="0" w:tplc="D18C842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E77168A"/>
    <w:multiLevelType w:val="hybridMultilevel"/>
    <w:tmpl w:val="C37CF85C"/>
    <w:lvl w:ilvl="0" w:tplc="7232551A">
      <w:start w:val="1"/>
      <w:numFmt w:val="hebrew1"/>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15220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576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4030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6DBB"/>
    <w:rsid w:val="001B5A3B"/>
    <w:rsid w:val="003E0C32"/>
    <w:rsid w:val="00423D8C"/>
    <w:rsid w:val="00554D9F"/>
    <w:rsid w:val="006739BB"/>
    <w:rsid w:val="006A7422"/>
    <w:rsid w:val="007A6F4E"/>
    <w:rsid w:val="0088122E"/>
    <w:rsid w:val="00935064"/>
    <w:rsid w:val="009840F9"/>
    <w:rsid w:val="00B66DBB"/>
    <w:rsid w:val="00CE0A37"/>
    <w:rsid w:val="00CF464A"/>
    <w:rsid w:val="00D71B7A"/>
    <w:rsid w:val="00DE2434"/>
    <w:rsid w:val="00E34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5CEB04"/>
  <w15:chartTrackingRefBased/>
  <w15:docId w15:val="{897885BF-125C-491F-B252-F503A8D6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6DB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6DBB"/>
    <w:pPr>
      <w:tabs>
        <w:tab w:val="center" w:pos="4153"/>
        <w:tab w:val="right" w:pos="8306"/>
      </w:tabs>
    </w:pPr>
  </w:style>
  <w:style w:type="character" w:customStyle="1" w:styleId="a4">
    <w:name w:val="כותרת עליונה תו"/>
    <w:link w:val="a3"/>
    <w:rsid w:val="00B66DBB"/>
    <w:rPr>
      <w:rFonts w:ascii="Times New Roman" w:eastAsia="Times New Roman" w:hAnsi="Times New Roman" w:cs="David"/>
      <w:sz w:val="24"/>
      <w:szCs w:val="24"/>
    </w:rPr>
  </w:style>
  <w:style w:type="paragraph" w:styleId="a5">
    <w:name w:val="footer"/>
    <w:basedOn w:val="a"/>
    <w:link w:val="a6"/>
    <w:rsid w:val="00B66DBB"/>
    <w:pPr>
      <w:tabs>
        <w:tab w:val="center" w:pos="4153"/>
        <w:tab w:val="right" w:pos="8306"/>
      </w:tabs>
    </w:pPr>
  </w:style>
  <w:style w:type="character" w:customStyle="1" w:styleId="a6">
    <w:name w:val="כותרת תחתונה תו"/>
    <w:link w:val="a5"/>
    <w:rsid w:val="00B66DBB"/>
    <w:rPr>
      <w:rFonts w:ascii="Times New Roman" w:eastAsia="Times New Roman" w:hAnsi="Times New Roman" w:cs="David"/>
      <w:sz w:val="24"/>
      <w:szCs w:val="24"/>
    </w:rPr>
  </w:style>
  <w:style w:type="table" w:styleId="a7">
    <w:name w:val="Table Grid"/>
    <w:basedOn w:val="a1"/>
    <w:rsid w:val="00B66D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6DBB"/>
  </w:style>
  <w:style w:type="paragraph" w:styleId="a9">
    <w:name w:val="List Paragraph"/>
    <w:basedOn w:val="a"/>
    <w:qFormat/>
    <w:rsid w:val="00B66DBB"/>
    <w:pPr>
      <w:spacing w:after="160" w:line="256" w:lineRule="auto"/>
      <w:ind w:left="720"/>
      <w:contextualSpacing/>
    </w:pPr>
    <w:rPr>
      <w:rFonts w:ascii="Calibri" w:eastAsia="Calibri" w:hAnsi="Calibri" w:cs="Arial"/>
      <w:sz w:val="22"/>
      <w:szCs w:val="22"/>
    </w:rPr>
  </w:style>
  <w:style w:type="paragraph" w:customStyle="1" w:styleId="Ruller4">
    <w:name w:val="Ruller 4 ממוספר"/>
    <w:basedOn w:val="a"/>
    <w:rsid w:val="00B66DBB"/>
    <w:pPr>
      <w:overflowPunct w:val="0"/>
      <w:autoSpaceDE w:val="0"/>
      <w:autoSpaceDN w:val="0"/>
      <w:spacing w:after="160" w:line="480" w:lineRule="auto"/>
      <w:ind w:left="357"/>
      <w:jc w:val="both"/>
    </w:pPr>
    <w:rPr>
      <w:rFonts w:ascii="David" w:hAnsi="David"/>
      <w:spacing w:val="6"/>
    </w:rPr>
  </w:style>
  <w:style w:type="character" w:styleId="Hyperlink">
    <w:name w:val="Hyperlink"/>
    <w:rsid w:val="00673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68b" TargetMode="External"/><Relationship Id="rId21" Type="http://schemas.openxmlformats.org/officeDocument/2006/relationships/hyperlink" Target="http://www.nevo.co.il/law/70301/287.b" TargetMode="External"/><Relationship Id="rId42" Type="http://schemas.openxmlformats.org/officeDocument/2006/relationships/hyperlink" Target="http://www.nevo.co.il/law/70301/198" TargetMode="External"/><Relationship Id="rId63" Type="http://schemas.openxmlformats.org/officeDocument/2006/relationships/hyperlink" Target="http://www.nevo.co.il/case/26995434" TargetMode="External"/><Relationship Id="rId84" Type="http://schemas.openxmlformats.org/officeDocument/2006/relationships/hyperlink" Target="http://www.nevo.co.il/case/25824863" TargetMode="External"/><Relationship Id="rId138" Type="http://schemas.openxmlformats.org/officeDocument/2006/relationships/hyperlink" Target="http://www.nevo.co.il/law/70301/40jc" TargetMode="External"/><Relationship Id="rId159" Type="http://schemas.openxmlformats.org/officeDocument/2006/relationships/header" Target="header2.xml"/><Relationship Id="rId107"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32" Type="http://schemas.openxmlformats.org/officeDocument/2006/relationships/hyperlink" Target="http://www.nevo.co.il/law/70301/382a.a" TargetMode="External"/><Relationship Id="rId53" Type="http://schemas.openxmlformats.org/officeDocument/2006/relationships/hyperlink" Target="http://www.nevo.co.il/law/70301/382a.a" TargetMode="External"/><Relationship Id="rId74" Type="http://schemas.openxmlformats.org/officeDocument/2006/relationships/hyperlink" Target="http://www.nevo.co.il/case/28697227" TargetMode="External"/><Relationship Id="rId128" Type="http://schemas.openxmlformats.org/officeDocument/2006/relationships/hyperlink" Target="http://www.nevo.co.il/law/70301/300.a.2" TargetMode="External"/><Relationship Id="rId149" Type="http://schemas.openxmlformats.org/officeDocument/2006/relationships/hyperlink" Target="http://www.nevo.co.il/case/22853229" TargetMode="External"/><Relationship Id="rId5" Type="http://schemas.openxmlformats.org/officeDocument/2006/relationships/footnotes" Target="footnotes.xml"/><Relationship Id="rId95" Type="http://schemas.openxmlformats.org/officeDocument/2006/relationships/hyperlink" Target="http://www.nevo.co.il/case/18654019" TargetMode="External"/><Relationship Id="rId160" Type="http://schemas.openxmlformats.org/officeDocument/2006/relationships/footer" Target="footer1.xml"/><Relationship Id="rId22" Type="http://schemas.openxmlformats.org/officeDocument/2006/relationships/hyperlink" Target="http://www.nevo.co.il/law/70301/298" TargetMode="External"/><Relationship Id="rId43" Type="http://schemas.openxmlformats.org/officeDocument/2006/relationships/hyperlink" Target="http://www.nevo.co.il/law/70301" TargetMode="External"/><Relationship Id="rId64" Type="http://schemas.openxmlformats.org/officeDocument/2006/relationships/hyperlink" Target="http://www.nevo.co.il/law/70301/40jc" TargetMode="External"/><Relationship Id="rId118" Type="http://schemas.openxmlformats.org/officeDocument/2006/relationships/hyperlink" Target="http://www.nevo.co.il/law/70301/368b" TargetMode="External"/><Relationship Id="rId139" Type="http://schemas.openxmlformats.org/officeDocument/2006/relationships/hyperlink" Target="http://www.nevo.co.il/law/70301" TargetMode="External"/><Relationship Id="rId85" Type="http://schemas.openxmlformats.org/officeDocument/2006/relationships/hyperlink" Target="http://www.nevo.co.il/case/27309272" TargetMode="External"/><Relationship Id="rId150"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192" TargetMode="External"/><Relationship Id="rId33" Type="http://schemas.openxmlformats.org/officeDocument/2006/relationships/hyperlink" Target="http://www.nevo.co.il/law/70301/402.b" TargetMode="External"/><Relationship Id="rId38" Type="http://schemas.openxmlformats.org/officeDocument/2006/relationships/hyperlink" Target="http://www.nevo.co.il/law/70301/iCaS" TargetMode="External"/><Relationship Id="rId59" Type="http://schemas.openxmlformats.org/officeDocument/2006/relationships/hyperlink" Target="http://www.nevo.co.il/law/74918" TargetMode="External"/><Relationship Id="rId103" Type="http://schemas.openxmlformats.org/officeDocument/2006/relationships/hyperlink" Target="http://www.nevo.co.il/law/70301/186.a" TargetMode="External"/><Relationship Id="rId108" Type="http://schemas.openxmlformats.org/officeDocument/2006/relationships/hyperlink" Target="http://www.nevo.co.il/case/26142556" TargetMode="External"/><Relationship Id="rId124" Type="http://schemas.openxmlformats.org/officeDocument/2006/relationships/hyperlink" Target="http://www.nevo.co.il/law/70301/305.1" TargetMode="External"/><Relationship Id="rId129" Type="http://schemas.openxmlformats.org/officeDocument/2006/relationships/hyperlink" Target="http://www.nevo.co.il/law/70301/20.c.2" TargetMode="External"/><Relationship Id="rId54" Type="http://schemas.openxmlformats.org/officeDocument/2006/relationships/hyperlink" Target="http://www.nevo.co.il/law/70301" TargetMode="External"/><Relationship Id="rId70" Type="http://schemas.openxmlformats.org/officeDocument/2006/relationships/hyperlink" Target="http://www.nevo.co.il/case/27309272" TargetMode="External"/><Relationship Id="rId75" Type="http://schemas.openxmlformats.org/officeDocument/2006/relationships/hyperlink" Target="http://www.nevo.co.il/case/27894608" TargetMode="External"/><Relationship Id="rId91" Type="http://schemas.openxmlformats.org/officeDocument/2006/relationships/hyperlink" Target="http://www.nevo.co.il/case/18653755" TargetMode="External"/><Relationship Id="rId96" Type="http://schemas.openxmlformats.org/officeDocument/2006/relationships/hyperlink" Target="http://www.nevo.co.il/law/70301/298" TargetMode="External"/><Relationship Id="rId140" Type="http://schemas.openxmlformats.org/officeDocument/2006/relationships/hyperlink" Target="http://www.nevo.co.il/law/70301" TargetMode="External"/><Relationship Id="rId145" Type="http://schemas.openxmlformats.org/officeDocument/2006/relationships/hyperlink" Target="http://www.nevo.co.il/case/6244398" TargetMode="External"/><Relationship Id="rId16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00.a.2" TargetMode="External"/><Relationship Id="rId28" Type="http://schemas.openxmlformats.org/officeDocument/2006/relationships/hyperlink" Target="http://www.nevo.co.il/law/70301/329.a.2" TargetMode="External"/><Relationship Id="rId49" Type="http://schemas.openxmlformats.org/officeDocument/2006/relationships/hyperlink" Target="http://www.nevo.co.il/law/70301" TargetMode="External"/><Relationship Id="rId114" Type="http://schemas.openxmlformats.org/officeDocument/2006/relationships/hyperlink" Target="http://www.nevo.co.il/case/13070531" TargetMode="External"/><Relationship Id="rId119" Type="http://schemas.openxmlformats.org/officeDocument/2006/relationships/hyperlink" Target="http://www.nevo.co.il/law/70301/192" TargetMode="External"/><Relationship Id="rId44" Type="http://schemas.openxmlformats.org/officeDocument/2006/relationships/hyperlink" Target="http://www.nevo.co.il/law/70301/329.a.2" TargetMode="External"/><Relationship Id="rId60" Type="http://schemas.openxmlformats.org/officeDocument/2006/relationships/hyperlink" Target="http://www.nevo.co.il/law/70301/40jc"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27734980" TargetMode="External"/><Relationship Id="rId86" Type="http://schemas.openxmlformats.org/officeDocument/2006/relationships/hyperlink" Target="http://www.nevo.co.il/case/27911655" TargetMode="External"/><Relationship Id="rId130" Type="http://schemas.openxmlformats.org/officeDocument/2006/relationships/hyperlink" Target="http://www.nevo.co.il/law/70301" TargetMode="External"/><Relationship Id="rId135" Type="http://schemas.openxmlformats.org/officeDocument/2006/relationships/hyperlink" Target="http://www.nevo.co.il/law/70301/402.b" TargetMode="External"/><Relationship Id="rId151" Type="http://schemas.openxmlformats.org/officeDocument/2006/relationships/hyperlink" Target="http://www.nevo.co.il/case/26773045" TargetMode="External"/><Relationship Id="rId156" Type="http://schemas.openxmlformats.org/officeDocument/2006/relationships/image" Target="media/image1.png"/><Relationship Id="rId13" Type="http://schemas.openxmlformats.org/officeDocument/2006/relationships/hyperlink" Target="http://www.nevo.co.il/law/70301/144.b" TargetMode="External"/><Relationship Id="rId18" Type="http://schemas.openxmlformats.org/officeDocument/2006/relationships/hyperlink" Target="http://www.nevo.co.il/law/70301/198" TargetMode="External"/><Relationship Id="rId39" Type="http://schemas.openxmlformats.org/officeDocument/2006/relationships/hyperlink" Target="http://www.nevo.co.il/law/70301/jCa" TargetMode="External"/><Relationship Id="rId109" Type="http://schemas.openxmlformats.org/officeDocument/2006/relationships/hyperlink" Target="http://www.nevo.co.il/case/5580830" TargetMode="External"/><Relationship Id="rId34" Type="http://schemas.openxmlformats.org/officeDocument/2006/relationships/hyperlink" Target="http://www.nevo.co.il/law/70301/40jc" TargetMode="External"/><Relationship Id="rId50" Type="http://schemas.openxmlformats.org/officeDocument/2006/relationships/hyperlink" Target="http://www.nevo.co.il/law/70301/305.1" TargetMode="External"/><Relationship Id="rId55" Type="http://schemas.openxmlformats.org/officeDocument/2006/relationships/hyperlink" Target="http://www.nevo.co.il/law/70301/275" TargetMode="External"/><Relationship Id="rId76" Type="http://schemas.openxmlformats.org/officeDocument/2006/relationships/hyperlink" Target="http://www.nevo.co.il/case/23750625" TargetMode="External"/><Relationship Id="rId97" Type="http://schemas.openxmlformats.org/officeDocument/2006/relationships/hyperlink" Target="http://www.nevo.co.il/law/70301" TargetMode="External"/><Relationship Id="rId104" Type="http://schemas.openxmlformats.org/officeDocument/2006/relationships/hyperlink" Target="http://www.nevo.co.il/case/7712134" TargetMode="External"/><Relationship Id="rId120" Type="http://schemas.openxmlformats.org/officeDocument/2006/relationships/hyperlink" Target="http://www.nevo.co.il/law/70301/287.b" TargetMode="External"/><Relationship Id="rId125" Type="http://schemas.openxmlformats.org/officeDocument/2006/relationships/hyperlink" Target="http://www.nevo.co.il/law/70301/333" TargetMode="External"/><Relationship Id="rId141" Type="http://schemas.openxmlformats.org/officeDocument/2006/relationships/hyperlink" Target="http://www.nevo.co.il/case/23762313" TargetMode="External"/><Relationship Id="rId146" Type="http://schemas.openxmlformats.org/officeDocument/2006/relationships/hyperlink" Target="http://www.nevo.co.il/case/23781222"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4140670" TargetMode="External"/><Relationship Id="rId92" Type="http://schemas.openxmlformats.org/officeDocument/2006/relationships/hyperlink" Target="http://www.nevo.co.il/case/5770174"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70301/333" TargetMode="External"/><Relationship Id="rId24" Type="http://schemas.openxmlformats.org/officeDocument/2006/relationships/hyperlink" Target="http://www.nevo.co.il/law/70301/300.a.3" TargetMode="External"/><Relationship Id="rId40" Type="http://schemas.openxmlformats.org/officeDocument/2006/relationships/hyperlink" Target="http://www.nevo.co.il/law/74918" TargetMode="External"/><Relationship Id="rId45" Type="http://schemas.openxmlformats.org/officeDocument/2006/relationships/hyperlink" Target="http://www.nevo.co.il/law/70301/144.a.;144.b" TargetMode="External"/><Relationship Id="rId66" Type="http://schemas.openxmlformats.org/officeDocument/2006/relationships/hyperlink" Target="http://www.nevo.co.il/law/70301/40c.a" TargetMode="External"/><Relationship Id="rId87" Type="http://schemas.openxmlformats.org/officeDocument/2006/relationships/hyperlink" Target="http://www.nevo.co.il/case/28243273" TargetMode="External"/><Relationship Id="rId110" Type="http://schemas.openxmlformats.org/officeDocument/2006/relationships/hyperlink" Target="http://www.nevo.co.il/law/70301/300.a.2" TargetMode="External"/><Relationship Id="rId115" Type="http://schemas.openxmlformats.org/officeDocument/2006/relationships/hyperlink" Target="http://www.nevo.co.il/law/70301/305" TargetMode="External"/><Relationship Id="rId131" Type="http://schemas.openxmlformats.org/officeDocument/2006/relationships/hyperlink" Target="http://www.nevo.co.il/law/70301/305" TargetMode="External"/><Relationship Id="rId136" Type="http://schemas.openxmlformats.org/officeDocument/2006/relationships/hyperlink" Target="http://www.nevo.co.il/law/70301/329.a.1" TargetMode="External"/><Relationship Id="rId157" Type="http://schemas.openxmlformats.org/officeDocument/2006/relationships/hyperlink" Target="http://www.nevo.co.il/advertisements/nevo-100.doc"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28266138" TargetMode="External"/><Relationship Id="rId152" Type="http://schemas.openxmlformats.org/officeDocument/2006/relationships/hyperlink" Target="http://www.nevo.co.il/law/70301/jCa;d;hS" TargetMode="External"/><Relationship Id="rId19" Type="http://schemas.openxmlformats.org/officeDocument/2006/relationships/hyperlink" Target="http://www.nevo.co.il/law/70301/244" TargetMode="External"/><Relationship Id="rId14" Type="http://schemas.openxmlformats.org/officeDocument/2006/relationships/hyperlink" Target="http://www.nevo.co.il/law/70301/186" TargetMode="External"/><Relationship Id="rId30" Type="http://schemas.openxmlformats.org/officeDocument/2006/relationships/hyperlink" Target="http://www.nevo.co.il/law/70301/335.a.1" TargetMode="External"/><Relationship Id="rId35" Type="http://schemas.openxmlformats.org/officeDocument/2006/relationships/hyperlink" Target="http://www.nevo.co.il/law/70301/448"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17954235" TargetMode="External"/><Relationship Id="rId100" Type="http://schemas.openxmlformats.org/officeDocument/2006/relationships/hyperlink" Target="http://www.nevo.co.il/law/70301/305.1" TargetMode="External"/><Relationship Id="rId105" Type="http://schemas.openxmlformats.org/officeDocument/2006/relationships/hyperlink" Target="http://www.nevo.co.il/law/70301/329.a.1" TargetMode="External"/><Relationship Id="rId126" Type="http://schemas.openxmlformats.org/officeDocument/2006/relationships/hyperlink" Target="http://www.nevo.co.il/law/70301/335.a.1" TargetMode="External"/><Relationship Id="rId147" Type="http://schemas.openxmlformats.org/officeDocument/2006/relationships/hyperlink" Target="http://www.nevo.co.il/case/6241065" TargetMode="External"/><Relationship Id="rId8" Type="http://schemas.openxmlformats.org/officeDocument/2006/relationships/hyperlink" Target="http://www.nevo.co.il/law/70301/20.c.2"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6051748" TargetMode="External"/><Relationship Id="rId98" Type="http://schemas.openxmlformats.org/officeDocument/2006/relationships/hyperlink" Target="http://www.nevo.co.il/case/5741085" TargetMode="External"/><Relationship Id="rId121" Type="http://schemas.openxmlformats.org/officeDocument/2006/relationships/hyperlink" Target="http://www.nevo.co.il/case/5701622" TargetMode="External"/><Relationship Id="rId142" Type="http://schemas.openxmlformats.org/officeDocument/2006/relationships/hyperlink" Target="http://www.nevo.co.il/law/70301/77.a"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nevo.co.il/law/70301/305" TargetMode="External"/><Relationship Id="rId46" Type="http://schemas.openxmlformats.org/officeDocument/2006/relationships/hyperlink" Target="http://www.nevo.co.il/law/70301/244" TargetMode="External"/><Relationship Id="rId67" Type="http://schemas.openxmlformats.org/officeDocument/2006/relationships/hyperlink" Target="http://www.nevo.co.il/law/70301/40c.a" TargetMode="External"/><Relationship Id="rId116" Type="http://schemas.openxmlformats.org/officeDocument/2006/relationships/hyperlink" Target="http://www.nevo.co.il/law/70301" TargetMode="External"/><Relationship Id="rId137" Type="http://schemas.openxmlformats.org/officeDocument/2006/relationships/hyperlink" Target="http://www.nevo.co.il/case/26773045" TargetMode="External"/><Relationship Id="rId158" Type="http://schemas.openxmlformats.org/officeDocument/2006/relationships/header" Target="header1.xml"/><Relationship Id="rId20" Type="http://schemas.openxmlformats.org/officeDocument/2006/relationships/hyperlink" Target="http://www.nevo.co.il/law/70301/275" TargetMode="External"/><Relationship Id="rId41" Type="http://schemas.openxmlformats.org/officeDocument/2006/relationships/hyperlink" Target="http://www.nevo.co.il/law/74918/47.a" TargetMode="External"/><Relationship Id="rId62" Type="http://schemas.openxmlformats.org/officeDocument/2006/relationships/hyperlink" Target="http://www.nevo.co.il/case/7012276" TargetMode="External"/><Relationship Id="rId83" Type="http://schemas.openxmlformats.org/officeDocument/2006/relationships/hyperlink" Target="http://www.nevo.co.il/case/28200855"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 TargetMode="External"/><Relationship Id="rId132" Type="http://schemas.openxmlformats.org/officeDocument/2006/relationships/hyperlink" Target="http://www.nevo.co.il/case/5610457" TargetMode="External"/><Relationship Id="rId153" Type="http://schemas.openxmlformats.org/officeDocument/2006/relationships/hyperlink" Target="http://www.nevo.co.il/law/70301/iCaS" TargetMode="External"/><Relationship Id="rId15" Type="http://schemas.openxmlformats.org/officeDocument/2006/relationships/hyperlink" Target="http://www.nevo.co.il/law/70301/186.a" TargetMode="External"/><Relationship Id="rId36" Type="http://schemas.openxmlformats.org/officeDocument/2006/relationships/hyperlink" Target="http://www.nevo.co.il/law/70301/d" TargetMode="External"/><Relationship Id="rId57" Type="http://schemas.openxmlformats.org/officeDocument/2006/relationships/hyperlink" Target="http://www.nevo.co.il/law/70301/191" TargetMode="External"/><Relationship Id="rId106" Type="http://schemas.openxmlformats.org/officeDocument/2006/relationships/hyperlink" Target="http://www.nevo.co.il/law/70301/402.b" TargetMode="External"/><Relationship Id="rId127" Type="http://schemas.openxmlformats.org/officeDocument/2006/relationships/hyperlink" Target="http://www.nevo.co.il/case/5598801" TargetMode="External"/><Relationship Id="rId10" Type="http://schemas.openxmlformats.org/officeDocument/2006/relationships/hyperlink" Target="http://www.nevo.co.il/law/70301/77.a" TargetMode="External"/><Relationship Id="rId31" Type="http://schemas.openxmlformats.org/officeDocument/2006/relationships/hyperlink" Target="http://www.nevo.co.il/law/70301/368b" TargetMode="External"/><Relationship Id="rId52" Type="http://schemas.openxmlformats.org/officeDocument/2006/relationships/hyperlink" Target="http://www.nevo.co.il/case/26606318" TargetMode="External"/><Relationship Id="rId73" Type="http://schemas.openxmlformats.org/officeDocument/2006/relationships/hyperlink" Target="http://www.nevo.co.il/case/5573417" TargetMode="External"/><Relationship Id="rId78" Type="http://schemas.openxmlformats.org/officeDocument/2006/relationships/hyperlink" Target="http://www.nevo.co.il/case/27305799" TargetMode="External"/><Relationship Id="rId94" Type="http://schemas.openxmlformats.org/officeDocument/2006/relationships/hyperlink" Target="http://www.nevo.co.il/case/6177581" TargetMode="External"/><Relationship Id="rId99" Type="http://schemas.openxmlformats.org/officeDocument/2006/relationships/hyperlink" Target="http://www.nevo.co.il/law/70301/402.b" TargetMode="External"/><Relationship Id="rId101" Type="http://schemas.openxmlformats.org/officeDocument/2006/relationships/hyperlink" Target="http://www.nevo.co.il/law/70301/333" TargetMode="External"/><Relationship Id="rId122" Type="http://schemas.openxmlformats.org/officeDocument/2006/relationships/hyperlink" Target="http://www.nevo.co.il/law/70301/300.a.2" TargetMode="External"/><Relationship Id="rId143" Type="http://schemas.openxmlformats.org/officeDocument/2006/relationships/hyperlink" Target="http://www.nevo.co.il/law/70301" TargetMode="External"/><Relationship Id="rId148" Type="http://schemas.openxmlformats.org/officeDocument/2006/relationships/hyperlink" Target="http://www.nevo.co.il/case/6031891"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26" Type="http://schemas.openxmlformats.org/officeDocument/2006/relationships/hyperlink" Target="http://www.nevo.co.il/law/70301/305.1" TargetMode="External"/><Relationship Id="rId47" Type="http://schemas.openxmlformats.org/officeDocument/2006/relationships/hyperlink" Target="http://www.nevo.co.il/law/70301/186.a" TargetMode="External"/><Relationship Id="rId68" Type="http://schemas.openxmlformats.org/officeDocument/2006/relationships/hyperlink" Target="http://www.nevo.co.il/case/13093721" TargetMode="External"/><Relationship Id="rId89" Type="http://schemas.openxmlformats.org/officeDocument/2006/relationships/hyperlink" Target="http://www.nevo.co.il/case/13087555" TargetMode="External"/><Relationship Id="rId112" Type="http://schemas.openxmlformats.org/officeDocument/2006/relationships/hyperlink" Target="http://www.nevo.co.il/law/70301/305" TargetMode="External"/><Relationship Id="rId133" Type="http://schemas.openxmlformats.org/officeDocument/2006/relationships/hyperlink" Target="http://www.nevo.co.il/law/70301/300.a.3" TargetMode="External"/><Relationship Id="rId154" Type="http://schemas.openxmlformats.org/officeDocument/2006/relationships/hyperlink" Target="http://www.nevo.co.il/law/70301/144;186" TargetMode="External"/><Relationship Id="rId16" Type="http://schemas.openxmlformats.org/officeDocument/2006/relationships/hyperlink" Target="http://www.nevo.co.il/law/70301/191" TargetMode="External"/><Relationship Id="rId37" Type="http://schemas.openxmlformats.org/officeDocument/2006/relationships/hyperlink" Target="http://www.nevo.co.il/law/70301/hS" TargetMode="External"/><Relationship Id="rId58" Type="http://schemas.openxmlformats.org/officeDocument/2006/relationships/hyperlink" Target="http://www.nevo.co.il/law/74918/47.a" TargetMode="External"/><Relationship Id="rId79" Type="http://schemas.openxmlformats.org/officeDocument/2006/relationships/hyperlink" Target="http://www.nevo.co.il/case/28268880" TargetMode="External"/><Relationship Id="rId102" Type="http://schemas.openxmlformats.org/officeDocument/2006/relationships/hyperlink" Target="http://www.nevo.co.il/law/70301/335.a.1" TargetMode="External"/><Relationship Id="rId123" Type="http://schemas.openxmlformats.org/officeDocument/2006/relationships/hyperlink" Target="http://www.nevo.co.il/law/70301" TargetMode="External"/><Relationship Id="rId144" Type="http://schemas.openxmlformats.org/officeDocument/2006/relationships/hyperlink" Target="http://www.nevo.co.il/case/6158650" TargetMode="External"/><Relationship Id="rId90" Type="http://schemas.openxmlformats.org/officeDocument/2006/relationships/hyperlink" Target="http://www.nevo.co.il/case/5670020" TargetMode="External"/><Relationship Id="rId27" Type="http://schemas.openxmlformats.org/officeDocument/2006/relationships/hyperlink" Target="http://www.nevo.co.il/law/70301/329.a.1" TargetMode="External"/><Relationship Id="rId48" Type="http://schemas.openxmlformats.org/officeDocument/2006/relationships/hyperlink" Target="http://www.nevo.co.il/law/70301/300.a.2" TargetMode="External"/><Relationship Id="rId69" Type="http://schemas.openxmlformats.org/officeDocument/2006/relationships/hyperlink" Target="http://www.nevo.co.il/case/21473042" TargetMode="External"/><Relationship Id="rId113" Type="http://schemas.openxmlformats.org/officeDocument/2006/relationships/hyperlink" Target="http://www.nevo.co.il/law/70301/448" TargetMode="External"/><Relationship Id="rId134" Type="http://schemas.openxmlformats.org/officeDocument/2006/relationships/hyperlink" Target="http://www.nevo.co.il/law/70301" TargetMode="External"/><Relationship Id="rId80" Type="http://schemas.openxmlformats.org/officeDocument/2006/relationships/hyperlink" Target="http://www.nevo.co.il/case/27305799" TargetMode="External"/><Relationship Id="rId1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5446</Words>
  <Characters>27232</Characters>
  <Application>Microsoft Office Word</Application>
  <DocSecurity>0</DocSecurity>
  <Lines>226</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32613</CharactersWithSpaces>
  <SharedDoc>false</SharedDoc>
  <HLinks>
    <vt:vector size="900" baseType="variant">
      <vt:variant>
        <vt:i4>393283</vt:i4>
      </vt:variant>
      <vt:variant>
        <vt:i4>447</vt:i4>
      </vt:variant>
      <vt:variant>
        <vt:i4>0</vt:i4>
      </vt:variant>
      <vt:variant>
        <vt:i4>5</vt:i4>
      </vt:variant>
      <vt:variant>
        <vt:lpwstr>http://www.nevo.co.il/advertisements/nevo-100.doc</vt:lpwstr>
      </vt:variant>
      <vt:variant>
        <vt:lpwstr/>
      </vt:variant>
      <vt:variant>
        <vt:i4>7995492</vt:i4>
      </vt:variant>
      <vt:variant>
        <vt:i4>444</vt:i4>
      </vt:variant>
      <vt:variant>
        <vt:i4>0</vt:i4>
      </vt:variant>
      <vt:variant>
        <vt:i4>5</vt:i4>
      </vt:variant>
      <vt:variant>
        <vt:lpwstr>http://www.nevo.co.il/law/70301</vt:lpwstr>
      </vt:variant>
      <vt:variant>
        <vt:lpwstr/>
      </vt:variant>
      <vt:variant>
        <vt:i4>6422625</vt:i4>
      </vt:variant>
      <vt:variant>
        <vt:i4>441</vt:i4>
      </vt:variant>
      <vt:variant>
        <vt:i4>0</vt:i4>
      </vt:variant>
      <vt:variant>
        <vt:i4>5</vt:i4>
      </vt:variant>
      <vt:variant>
        <vt:lpwstr>http://www.nevo.co.il/law/70301/144;186</vt:lpwstr>
      </vt:variant>
      <vt:variant>
        <vt:lpwstr/>
      </vt:variant>
      <vt:variant>
        <vt:i4>4522077</vt:i4>
      </vt:variant>
      <vt:variant>
        <vt:i4>438</vt:i4>
      </vt:variant>
      <vt:variant>
        <vt:i4>0</vt:i4>
      </vt:variant>
      <vt:variant>
        <vt:i4>5</vt:i4>
      </vt:variant>
      <vt:variant>
        <vt:lpwstr>http://www.nevo.co.il/law/70301/iCaS</vt:lpwstr>
      </vt:variant>
      <vt:variant>
        <vt:lpwstr/>
      </vt:variant>
      <vt:variant>
        <vt:i4>4522066</vt:i4>
      </vt:variant>
      <vt:variant>
        <vt:i4>435</vt:i4>
      </vt:variant>
      <vt:variant>
        <vt:i4>0</vt:i4>
      </vt:variant>
      <vt:variant>
        <vt:i4>5</vt:i4>
      </vt:variant>
      <vt:variant>
        <vt:lpwstr>http://www.nevo.co.il/law/70301/jCa;d;hS</vt:lpwstr>
      </vt:variant>
      <vt:variant>
        <vt:lpwstr/>
      </vt:variant>
      <vt:variant>
        <vt:i4>3276917</vt:i4>
      </vt:variant>
      <vt:variant>
        <vt:i4>432</vt:i4>
      </vt:variant>
      <vt:variant>
        <vt:i4>0</vt:i4>
      </vt:variant>
      <vt:variant>
        <vt:i4>5</vt:i4>
      </vt:variant>
      <vt:variant>
        <vt:lpwstr>http://www.nevo.co.il/case/26773045</vt:lpwstr>
      </vt:variant>
      <vt:variant>
        <vt:lpwstr/>
      </vt:variant>
      <vt:variant>
        <vt:i4>7995492</vt:i4>
      </vt:variant>
      <vt:variant>
        <vt:i4>429</vt:i4>
      </vt:variant>
      <vt:variant>
        <vt:i4>0</vt:i4>
      </vt:variant>
      <vt:variant>
        <vt:i4>5</vt:i4>
      </vt:variant>
      <vt:variant>
        <vt:lpwstr>http://www.nevo.co.il/law/70301</vt:lpwstr>
      </vt:variant>
      <vt:variant>
        <vt:lpwstr/>
      </vt:variant>
      <vt:variant>
        <vt:i4>3866737</vt:i4>
      </vt:variant>
      <vt:variant>
        <vt:i4>426</vt:i4>
      </vt:variant>
      <vt:variant>
        <vt:i4>0</vt:i4>
      </vt:variant>
      <vt:variant>
        <vt:i4>5</vt:i4>
      </vt:variant>
      <vt:variant>
        <vt:lpwstr>http://www.nevo.co.il/case/22853229</vt:lpwstr>
      </vt:variant>
      <vt:variant>
        <vt:lpwstr/>
      </vt:variant>
      <vt:variant>
        <vt:i4>3932284</vt:i4>
      </vt:variant>
      <vt:variant>
        <vt:i4>423</vt:i4>
      </vt:variant>
      <vt:variant>
        <vt:i4>0</vt:i4>
      </vt:variant>
      <vt:variant>
        <vt:i4>5</vt:i4>
      </vt:variant>
      <vt:variant>
        <vt:lpwstr>http://www.nevo.co.il/case/6031891</vt:lpwstr>
      </vt:variant>
      <vt:variant>
        <vt:lpwstr/>
      </vt:variant>
      <vt:variant>
        <vt:i4>3604593</vt:i4>
      </vt:variant>
      <vt:variant>
        <vt:i4>420</vt:i4>
      </vt:variant>
      <vt:variant>
        <vt:i4>0</vt:i4>
      </vt:variant>
      <vt:variant>
        <vt:i4>5</vt:i4>
      </vt:variant>
      <vt:variant>
        <vt:lpwstr>http://www.nevo.co.il/case/6241065</vt:lpwstr>
      </vt:variant>
      <vt:variant>
        <vt:lpwstr/>
      </vt:variant>
      <vt:variant>
        <vt:i4>3539069</vt:i4>
      </vt:variant>
      <vt:variant>
        <vt:i4>417</vt:i4>
      </vt:variant>
      <vt:variant>
        <vt:i4>0</vt:i4>
      </vt:variant>
      <vt:variant>
        <vt:i4>5</vt:i4>
      </vt:variant>
      <vt:variant>
        <vt:lpwstr>http://www.nevo.co.il/case/23781222</vt:lpwstr>
      </vt:variant>
      <vt:variant>
        <vt:lpwstr/>
      </vt:variant>
      <vt:variant>
        <vt:i4>3735675</vt:i4>
      </vt:variant>
      <vt:variant>
        <vt:i4>414</vt:i4>
      </vt:variant>
      <vt:variant>
        <vt:i4>0</vt:i4>
      </vt:variant>
      <vt:variant>
        <vt:i4>5</vt:i4>
      </vt:variant>
      <vt:variant>
        <vt:lpwstr>http://www.nevo.co.il/case/6244398</vt:lpwstr>
      </vt:variant>
      <vt:variant>
        <vt:lpwstr/>
      </vt:variant>
      <vt:variant>
        <vt:i4>3473528</vt:i4>
      </vt:variant>
      <vt:variant>
        <vt:i4>411</vt:i4>
      </vt:variant>
      <vt:variant>
        <vt:i4>0</vt:i4>
      </vt:variant>
      <vt:variant>
        <vt:i4>5</vt:i4>
      </vt:variant>
      <vt:variant>
        <vt:lpwstr>http://www.nevo.co.il/case/6158650</vt:lpwstr>
      </vt:variant>
      <vt:variant>
        <vt:lpwstr/>
      </vt:variant>
      <vt:variant>
        <vt:i4>7995492</vt:i4>
      </vt:variant>
      <vt:variant>
        <vt:i4>408</vt:i4>
      </vt:variant>
      <vt:variant>
        <vt:i4>0</vt:i4>
      </vt:variant>
      <vt:variant>
        <vt:i4>5</vt:i4>
      </vt:variant>
      <vt:variant>
        <vt:lpwstr>http://www.nevo.co.il/law/70301</vt:lpwstr>
      </vt:variant>
      <vt:variant>
        <vt:lpwstr/>
      </vt:variant>
      <vt:variant>
        <vt:i4>196684</vt:i4>
      </vt:variant>
      <vt:variant>
        <vt:i4>405</vt:i4>
      </vt:variant>
      <vt:variant>
        <vt:i4>0</vt:i4>
      </vt:variant>
      <vt:variant>
        <vt:i4>5</vt:i4>
      </vt:variant>
      <vt:variant>
        <vt:lpwstr>http://www.nevo.co.il/law/70301/77.a</vt:lpwstr>
      </vt:variant>
      <vt:variant>
        <vt:lpwstr/>
      </vt:variant>
      <vt:variant>
        <vt:i4>3539058</vt:i4>
      </vt:variant>
      <vt:variant>
        <vt:i4>402</vt:i4>
      </vt:variant>
      <vt:variant>
        <vt:i4>0</vt:i4>
      </vt:variant>
      <vt:variant>
        <vt:i4>5</vt:i4>
      </vt:variant>
      <vt:variant>
        <vt:lpwstr>http://www.nevo.co.il/case/23762313</vt:lpwstr>
      </vt:variant>
      <vt:variant>
        <vt:lpwstr/>
      </vt:variant>
      <vt:variant>
        <vt:i4>7995492</vt:i4>
      </vt:variant>
      <vt:variant>
        <vt:i4>399</vt:i4>
      </vt:variant>
      <vt:variant>
        <vt:i4>0</vt:i4>
      </vt:variant>
      <vt:variant>
        <vt:i4>5</vt:i4>
      </vt:variant>
      <vt:variant>
        <vt:lpwstr>http://www.nevo.co.il/law/70301</vt:lpwstr>
      </vt:variant>
      <vt:variant>
        <vt:lpwstr/>
      </vt:variant>
      <vt:variant>
        <vt:i4>7995492</vt:i4>
      </vt:variant>
      <vt:variant>
        <vt:i4>396</vt:i4>
      </vt:variant>
      <vt:variant>
        <vt:i4>0</vt:i4>
      </vt:variant>
      <vt:variant>
        <vt:i4>5</vt:i4>
      </vt:variant>
      <vt:variant>
        <vt:lpwstr>http://www.nevo.co.il/law/70301</vt:lpwstr>
      </vt:variant>
      <vt:variant>
        <vt:lpwstr/>
      </vt:variant>
      <vt:variant>
        <vt:i4>393227</vt:i4>
      </vt:variant>
      <vt:variant>
        <vt:i4>393</vt:i4>
      </vt:variant>
      <vt:variant>
        <vt:i4>0</vt:i4>
      </vt:variant>
      <vt:variant>
        <vt:i4>5</vt:i4>
      </vt:variant>
      <vt:variant>
        <vt:lpwstr>http://www.nevo.co.il/law/70301/40jc</vt:lpwstr>
      </vt:variant>
      <vt:variant>
        <vt:lpwstr/>
      </vt:variant>
      <vt:variant>
        <vt:i4>3276917</vt:i4>
      </vt:variant>
      <vt:variant>
        <vt:i4>390</vt:i4>
      </vt:variant>
      <vt:variant>
        <vt:i4>0</vt:i4>
      </vt:variant>
      <vt:variant>
        <vt:i4>5</vt:i4>
      </vt:variant>
      <vt:variant>
        <vt:lpwstr>http://www.nevo.co.il/case/26773045</vt:lpwstr>
      </vt:variant>
      <vt:variant>
        <vt:lpwstr/>
      </vt:variant>
      <vt:variant>
        <vt:i4>6750270</vt:i4>
      </vt:variant>
      <vt:variant>
        <vt:i4>387</vt:i4>
      </vt:variant>
      <vt:variant>
        <vt:i4>0</vt:i4>
      </vt:variant>
      <vt:variant>
        <vt:i4>5</vt:i4>
      </vt:variant>
      <vt:variant>
        <vt:lpwstr>http://www.nevo.co.il/law/70301/329.a.1</vt:lpwstr>
      </vt:variant>
      <vt:variant>
        <vt:lpwstr/>
      </vt:variant>
      <vt:variant>
        <vt:i4>4915283</vt:i4>
      </vt:variant>
      <vt:variant>
        <vt:i4>384</vt:i4>
      </vt:variant>
      <vt:variant>
        <vt:i4>0</vt:i4>
      </vt:variant>
      <vt:variant>
        <vt:i4>5</vt:i4>
      </vt:variant>
      <vt:variant>
        <vt:lpwstr>http://www.nevo.co.il/law/70301/402.b</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6619191</vt:i4>
      </vt:variant>
      <vt:variant>
        <vt:i4>378</vt:i4>
      </vt:variant>
      <vt:variant>
        <vt:i4>0</vt:i4>
      </vt:variant>
      <vt:variant>
        <vt:i4>5</vt:i4>
      </vt:variant>
      <vt:variant>
        <vt:lpwstr>http://www.nevo.co.il/law/70301/300.a.3</vt:lpwstr>
      </vt:variant>
      <vt:variant>
        <vt:lpwstr/>
      </vt:variant>
      <vt:variant>
        <vt:i4>3604599</vt:i4>
      </vt:variant>
      <vt:variant>
        <vt:i4>375</vt:i4>
      </vt:variant>
      <vt:variant>
        <vt:i4>0</vt:i4>
      </vt:variant>
      <vt:variant>
        <vt:i4>5</vt:i4>
      </vt:variant>
      <vt:variant>
        <vt:lpwstr>http://www.nevo.co.il/case/5610457</vt:lpwstr>
      </vt:variant>
      <vt:variant>
        <vt:lpwstr/>
      </vt:variant>
      <vt:variant>
        <vt:i4>6619238</vt:i4>
      </vt:variant>
      <vt:variant>
        <vt:i4>372</vt:i4>
      </vt:variant>
      <vt:variant>
        <vt:i4>0</vt:i4>
      </vt:variant>
      <vt:variant>
        <vt:i4>5</vt:i4>
      </vt:variant>
      <vt:variant>
        <vt:lpwstr>http://www.nevo.co.il/law/70301/305</vt:lpwstr>
      </vt:variant>
      <vt:variant>
        <vt:lpwstr/>
      </vt:variant>
      <vt:variant>
        <vt:i4>7995492</vt:i4>
      </vt:variant>
      <vt:variant>
        <vt:i4>369</vt:i4>
      </vt:variant>
      <vt:variant>
        <vt:i4>0</vt:i4>
      </vt:variant>
      <vt:variant>
        <vt:i4>5</vt:i4>
      </vt:variant>
      <vt:variant>
        <vt:lpwstr>http://www.nevo.co.il/law/70301</vt:lpwstr>
      </vt:variant>
      <vt:variant>
        <vt:lpwstr/>
      </vt:variant>
      <vt:variant>
        <vt:i4>3407975</vt:i4>
      </vt:variant>
      <vt:variant>
        <vt:i4>366</vt:i4>
      </vt:variant>
      <vt:variant>
        <vt:i4>0</vt:i4>
      </vt:variant>
      <vt:variant>
        <vt:i4>5</vt:i4>
      </vt:variant>
      <vt:variant>
        <vt:lpwstr>http://www.nevo.co.il/law/70301/20.c.2</vt:lpwstr>
      </vt:variant>
      <vt:variant>
        <vt:lpwstr/>
      </vt:variant>
      <vt:variant>
        <vt:i4>6619191</vt:i4>
      </vt:variant>
      <vt:variant>
        <vt:i4>363</vt:i4>
      </vt:variant>
      <vt:variant>
        <vt:i4>0</vt:i4>
      </vt:variant>
      <vt:variant>
        <vt:i4>5</vt:i4>
      </vt:variant>
      <vt:variant>
        <vt:lpwstr>http://www.nevo.co.il/law/70301/300.a.2</vt:lpwstr>
      </vt:variant>
      <vt:variant>
        <vt:lpwstr/>
      </vt:variant>
      <vt:variant>
        <vt:i4>3473529</vt:i4>
      </vt:variant>
      <vt:variant>
        <vt:i4>360</vt:i4>
      </vt:variant>
      <vt:variant>
        <vt:i4>0</vt:i4>
      </vt:variant>
      <vt:variant>
        <vt:i4>5</vt:i4>
      </vt:variant>
      <vt:variant>
        <vt:lpwstr>http://www.nevo.co.il/case/5598801</vt:lpwstr>
      </vt:variant>
      <vt:variant>
        <vt:lpwstr/>
      </vt:variant>
      <vt:variant>
        <vt:i4>6684722</vt:i4>
      </vt:variant>
      <vt:variant>
        <vt:i4>357</vt:i4>
      </vt:variant>
      <vt:variant>
        <vt:i4>0</vt:i4>
      </vt:variant>
      <vt:variant>
        <vt:i4>5</vt:i4>
      </vt:variant>
      <vt:variant>
        <vt:lpwstr>http://www.nevo.co.il/law/70301/335.a.1</vt:lpwstr>
      </vt:variant>
      <vt:variant>
        <vt:lpwstr/>
      </vt:variant>
      <vt:variant>
        <vt:i4>6684774</vt:i4>
      </vt:variant>
      <vt:variant>
        <vt:i4>354</vt:i4>
      </vt:variant>
      <vt:variant>
        <vt:i4>0</vt:i4>
      </vt:variant>
      <vt:variant>
        <vt:i4>5</vt:i4>
      </vt:variant>
      <vt:variant>
        <vt:lpwstr>http://www.nevo.co.il/law/70301/333</vt:lpwstr>
      </vt:variant>
      <vt:variant>
        <vt:lpwstr/>
      </vt:variant>
      <vt:variant>
        <vt:i4>4915283</vt:i4>
      </vt:variant>
      <vt:variant>
        <vt:i4>351</vt:i4>
      </vt:variant>
      <vt:variant>
        <vt:i4>0</vt:i4>
      </vt:variant>
      <vt:variant>
        <vt:i4>5</vt:i4>
      </vt:variant>
      <vt:variant>
        <vt:lpwstr>http://www.nevo.co.il/law/70301/305.1</vt:lpwstr>
      </vt:variant>
      <vt:variant>
        <vt:lpwstr/>
      </vt:variant>
      <vt:variant>
        <vt:i4>7995492</vt:i4>
      </vt:variant>
      <vt:variant>
        <vt:i4>348</vt:i4>
      </vt:variant>
      <vt:variant>
        <vt:i4>0</vt:i4>
      </vt:variant>
      <vt:variant>
        <vt:i4>5</vt:i4>
      </vt:variant>
      <vt:variant>
        <vt:lpwstr>http://www.nevo.co.il/law/70301</vt:lpwstr>
      </vt:variant>
      <vt:variant>
        <vt:lpwstr/>
      </vt:variant>
      <vt:variant>
        <vt:i4>6619191</vt:i4>
      </vt:variant>
      <vt:variant>
        <vt:i4>345</vt:i4>
      </vt:variant>
      <vt:variant>
        <vt:i4>0</vt:i4>
      </vt:variant>
      <vt:variant>
        <vt:i4>5</vt:i4>
      </vt:variant>
      <vt:variant>
        <vt:lpwstr>http://www.nevo.co.il/law/70301/300.a.2</vt:lpwstr>
      </vt:variant>
      <vt:variant>
        <vt:lpwstr/>
      </vt:variant>
      <vt:variant>
        <vt:i4>3211376</vt:i4>
      </vt:variant>
      <vt:variant>
        <vt:i4>342</vt:i4>
      </vt:variant>
      <vt:variant>
        <vt:i4>0</vt:i4>
      </vt:variant>
      <vt:variant>
        <vt:i4>5</vt:i4>
      </vt:variant>
      <vt:variant>
        <vt:lpwstr>http://www.nevo.co.il/case/5701622</vt:lpwstr>
      </vt:variant>
      <vt:variant>
        <vt:lpwstr/>
      </vt:variant>
      <vt:variant>
        <vt:i4>4390992</vt:i4>
      </vt:variant>
      <vt:variant>
        <vt:i4>339</vt:i4>
      </vt:variant>
      <vt:variant>
        <vt:i4>0</vt:i4>
      </vt:variant>
      <vt:variant>
        <vt:i4>5</vt:i4>
      </vt:variant>
      <vt:variant>
        <vt:lpwstr>http://www.nevo.co.il/law/70301/287.b</vt:lpwstr>
      </vt:variant>
      <vt:variant>
        <vt:lpwstr/>
      </vt:variant>
      <vt:variant>
        <vt:i4>7077988</vt:i4>
      </vt:variant>
      <vt:variant>
        <vt:i4>336</vt:i4>
      </vt:variant>
      <vt:variant>
        <vt:i4>0</vt:i4>
      </vt:variant>
      <vt:variant>
        <vt:i4>5</vt:i4>
      </vt:variant>
      <vt:variant>
        <vt:lpwstr>http://www.nevo.co.il/law/70301/192</vt:lpwstr>
      </vt:variant>
      <vt:variant>
        <vt:lpwstr/>
      </vt:variant>
      <vt:variant>
        <vt:i4>65630</vt:i4>
      </vt:variant>
      <vt:variant>
        <vt:i4>333</vt:i4>
      </vt:variant>
      <vt:variant>
        <vt:i4>0</vt:i4>
      </vt:variant>
      <vt:variant>
        <vt:i4>5</vt:i4>
      </vt:variant>
      <vt:variant>
        <vt:lpwstr>http://www.nevo.co.il/law/70301/368b</vt:lpwstr>
      </vt:variant>
      <vt:variant>
        <vt:lpwstr/>
      </vt:variant>
      <vt:variant>
        <vt:i4>65630</vt:i4>
      </vt:variant>
      <vt:variant>
        <vt:i4>330</vt:i4>
      </vt:variant>
      <vt:variant>
        <vt:i4>0</vt:i4>
      </vt:variant>
      <vt:variant>
        <vt:i4>5</vt:i4>
      </vt:variant>
      <vt:variant>
        <vt:lpwstr>http://www.nevo.co.il/law/70301/368b</vt:lpwstr>
      </vt:variant>
      <vt:variant>
        <vt:lpwstr/>
      </vt:variant>
      <vt:variant>
        <vt:i4>7995492</vt:i4>
      </vt:variant>
      <vt:variant>
        <vt:i4>327</vt:i4>
      </vt:variant>
      <vt:variant>
        <vt:i4>0</vt:i4>
      </vt:variant>
      <vt:variant>
        <vt:i4>5</vt:i4>
      </vt:variant>
      <vt:variant>
        <vt:lpwstr>http://www.nevo.co.il/law/70301</vt:lpwstr>
      </vt:variant>
      <vt:variant>
        <vt:lpwstr/>
      </vt:variant>
      <vt:variant>
        <vt:i4>6619238</vt:i4>
      </vt:variant>
      <vt:variant>
        <vt:i4>324</vt:i4>
      </vt:variant>
      <vt:variant>
        <vt:i4>0</vt:i4>
      </vt:variant>
      <vt:variant>
        <vt:i4>5</vt:i4>
      </vt:variant>
      <vt:variant>
        <vt:lpwstr>http://www.nevo.co.il/law/70301/305</vt:lpwstr>
      </vt:variant>
      <vt:variant>
        <vt:lpwstr/>
      </vt:variant>
      <vt:variant>
        <vt:i4>3276917</vt:i4>
      </vt:variant>
      <vt:variant>
        <vt:i4>321</vt:i4>
      </vt:variant>
      <vt:variant>
        <vt:i4>0</vt:i4>
      </vt:variant>
      <vt:variant>
        <vt:i4>5</vt:i4>
      </vt:variant>
      <vt:variant>
        <vt:lpwstr>http://www.nevo.co.il/case/13070531</vt:lpwstr>
      </vt:variant>
      <vt:variant>
        <vt:lpwstr/>
      </vt:variant>
      <vt:variant>
        <vt:i4>6357089</vt:i4>
      </vt:variant>
      <vt:variant>
        <vt:i4>318</vt:i4>
      </vt:variant>
      <vt:variant>
        <vt:i4>0</vt:i4>
      </vt:variant>
      <vt:variant>
        <vt:i4>5</vt:i4>
      </vt:variant>
      <vt:variant>
        <vt:lpwstr>http://www.nevo.co.il/law/70301/448</vt:lpwstr>
      </vt:variant>
      <vt:variant>
        <vt:lpwstr/>
      </vt:variant>
      <vt:variant>
        <vt:i4>6619238</vt:i4>
      </vt:variant>
      <vt:variant>
        <vt:i4>315</vt:i4>
      </vt:variant>
      <vt:variant>
        <vt:i4>0</vt:i4>
      </vt:variant>
      <vt:variant>
        <vt:i4>5</vt:i4>
      </vt:variant>
      <vt:variant>
        <vt:lpwstr>http://www.nevo.co.il/law/70301/305</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6619191</vt:i4>
      </vt:variant>
      <vt:variant>
        <vt:i4>309</vt:i4>
      </vt:variant>
      <vt:variant>
        <vt:i4>0</vt:i4>
      </vt:variant>
      <vt:variant>
        <vt:i4>5</vt:i4>
      </vt:variant>
      <vt:variant>
        <vt:lpwstr>http://www.nevo.co.il/law/70301/300.a.2</vt:lpwstr>
      </vt:variant>
      <vt:variant>
        <vt:lpwstr/>
      </vt:variant>
      <vt:variant>
        <vt:i4>3473522</vt:i4>
      </vt:variant>
      <vt:variant>
        <vt:i4>306</vt:i4>
      </vt:variant>
      <vt:variant>
        <vt:i4>0</vt:i4>
      </vt:variant>
      <vt:variant>
        <vt:i4>5</vt:i4>
      </vt:variant>
      <vt:variant>
        <vt:lpwstr>http://www.nevo.co.il/case/5580830</vt:lpwstr>
      </vt:variant>
      <vt:variant>
        <vt:lpwstr/>
      </vt:variant>
      <vt:variant>
        <vt:i4>3407987</vt:i4>
      </vt:variant>
      <vt:variant>
        <vt:i4>303</vt:i4>
      </vt:variant>
      <vt:variant>
        <vt:i4>0</vt:i4>
      </vt:variant>
      <vt:variant>
        <vt:i4>5</vt:i4>
      </vt:variant>
      <vt:variant>
        <vt:lpwstr>http://www.nevo.co.il/case/26142556</vt:lpwstr>
      </vt:variant>
      <vt:variant>
        <vt:lpwstr/>
      </vt:variant>
      <vt:variant>
        <vt:i4>7995492</vt:i4>
      </vt:variant>
      <vt:variant>
        <vt:i4>300</vt:i4>
      </vt:variant>
      <vt:variant>
        <vt:i4>0</vt:i4>
      </vt:variant>
      <vt:variant>
        <vt:i4>5</vt:i4>
      </vt:variant>
      <vt:variant>
        <vt:lpwstr>http://www.nevo.co.il/law/70301</vt:lpwstr>
      </vt:variant>
      <vt:variant>
        <vt:lpwstr/>
      </vt:variant>
      <vt:variant>
        <vt:i4>4915283</vt:i4>
      </vt:variant>
      <vt:variant>
        <vt:i4>297</vt:i4>
      </vt:variant>
      <vt:variant>
        <vt:i4>0</vt:i4>
      </vt:variant>
      <vt:variant>
        <vt:i4>5</vt:i4>
      </vt:variant>
      <vt:variant>
        <vt:lpwstr>http://www.nevo.co.il/law/70301/402.b</vt:lpwstr>
      </vt:variant>
      <vt:variant>
        <vt:lpwstr/>
      </vt:variant>
      <vt:variant>
        <vt:i4>6750270</vt:i4>
      </vt:variant>
      <vt:variant>
        <vt:i4>294</vt:i4>
      </vt:variant>
      <vt:variant>
        <vt:i4>0</vt:i4>
      </vt:variant>
      <vt:variant>
        <vt:i4>5</vt:i4>
      </vt:variant>
      <vt:variant>
        <vt:lpwstr>http://www.nevo.co.il/law/70301/329.a.1</vt:lpwstr>
      </vt:variant>
      <vt:variant>
        <vt:lpwstr/>
      </vt:variant>
      <vt:variant>
        <vt:i4>3342450</vt:i4>
      </vt:variant>
      <vt:variant>
        <vt:i4>291</vt:i4>
      </vt:variant>
      <vt:variant>
        <vt:i4>0</vt:i4>
      </vt:variant>
      <vt:variant>
        <vt:i4>5</vt:i4>
      </vt:variant>
      <vt:variant>
        <vt:lpwstr>http://www.nevo.co.il/case/7712134</vt:lpwstr>
      </vt:variant>
      <vt:variant>
        <vt:lpwstr/>
      </vt:variant>
      <vt:variant>
        <vt:i4>4390994</vt:i4>
      </vt:variant>
      <vt:variant>
        <vt:i4>288</vt:i4>
      </vt:variant>
      <vt:variant>
        <vt:i4>0</vt:i4>
      </vt:variant>
      <vt:variant>
        <vt:i4>5</vt:i4>
      </vt:variant>
      <vt:variant>
        <vt:lpwstr>http://www.nevo.co.il/law/70301/186.a</vt:lpwstr>
      </vt:variant>
      <vt:variant>
        <vt:lpwstr/>
      </vt:variant>
      <vt:variant>
        <vt:i4>6684722</vt:i4>
      </vt:variant>
      <vt:variant>
        <vt:i4>285</vt:i4>
      </vt:variant>
      <vt:variant>
        <vt:i4>0</vt:i4>
      </vt:variant>
      <vt:variant>
        <vt:i4>5</vt:i4>
      </vt:variant>
      <vt:variant>
        <vt:lpwstr>http://www.nevo.co.il/law/70301/335.a.1</vt:lpwstr>
      </vt:variant>
      <vt:variant>
        <vt:lpwstr/>
      </vt:variant>
      <vt:variant>
        <vt:i4>6684774</vt:i4>
      </vt:variant>
      <vt:variant>
        <vt:i4>282</vt:i4>
      </vt:variant>
      <vt:variant>
        <vt:i4>0</vt:i4>
      </vt:variant>
      <vt:variant>
        <vt:i4>5</vt:i4>
      </vt:variant>
      <vt:variant>
        <vt:lpwstr>http://www.nevo.co.il/law/70301/333</vt:lpwstr>
      </vt:variant>
      <vt:variant>
        <vt:lpwstr/>
      </vt:variant>
      <vt:variant>
        <vt:i4>4915283</vt:i4>
      </vt:variant>
      <vt:variant>
        <vt:i4>279</vt:i4>
      </vt:variant>
      <vt:variant>
        <vt:i4>0</vt:i4>
      </vt:variant>
      <vt:variant>
        <vt:i4>5</vt:i4>
      </vt:variant>
      <vt:variant>
        <vt:lpwstr>http://www.nevo.co.il/law/70301/305.1</vt:lpwstr>
      </vt:variant>
      <vt:variant>
        <vt:lpwstr/>
      </vt:variant>
      <vt:variant>
        <vt:i4>4915283</vt:i4>
      </vt:variant>
      <vt:variant>
        <vt:i4>276</vt:i4>
      </vt:variant>
      <vt:variant>
        <vt:i4>0</vt:i4>
      </vt:variant>
      <vt:variant>
        <vt:i4>5</vt:i4>
      </vt:variant>
      <vt:variant>
        <vt:lpwstr>http://www.nevo.co.il/law/70301/402.b</vt:lpwstr>
      </vt:variant>
      <vt:variant>
        <vt:lpwstr/>
      </vt:variant>
      <vt:variant>
        <vt:i4>3407994</vt:i4>
      </vt:variant>
      <vt:variant>
        <vt:i4>273</vt:i4>
      </vt:variant>
      <vt:variant>
        <vt:i4>0</vt:i4>
      </vt:variant>
      <vt:variant>
        <vt:i4>5</vt:i4>
      </vt:variant>
      <vt:variant>
        <vt:lpwstr>http://www.nevo.co.il/case/5741085</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7077991</vt:i4>
      </vt:variant>
      <vt:variant>
        <vt:i4>267</vt:i4>
      </vt:variant>
      <vt:variant>
        <vt:i4>0</vt:i4>
      </vt:variant>
      <vt:variant>
        <vt:i4>5</vt:i4>
      </vt:variant>
      <vt:variant>
        <vt:lpwstr>http://www.nevo.co.il/law/70301/298</vt:lpwstr>
      </vt:variant>
      <vt:variant>
        <vt:lpwstr/>
      </vt:variant>
      <vt:variant>
        <vt:i4>3276921</vt:i4>
      </vt:variant>
      <vt:variant>
        <vt:i4>264</vt:i4>
      </vt:variant>
      <vt:variant>
        <vt:i4>0</vt:i4>
      </vt:variant>
      <vt:variant>
        <vt:i4>5</vt:i4>
      </vt:variant>
      <vt:variant>
        <vt:lpwstr>http://www.nevo.co.il/case/18654019</vt:lpwstr>
      </vt:variant>
      <vt:variant>
        <vt:lpwstr/>
      </vt:variant>
      <vt:variant>
        <vt:i4>3473530</vt:i4>
      </vt:variant>
      <vt:variant>
        <vt:i4>261</vt:i4>
      </vt:variant>
      <vt:variant>
        <vt:i4>0</vt:i4>
      </vt:variant>
      <vt:variant>
        <vt:i4>5</vt:i4>
      </vt:variant>
      <vt:variant>
        <vt:lpwstr>http://www.nevo.co.il/case/6177581</vt:lpwstr>
      </vt:variant>
      <vt:variant>
        <vt:lpwstr/>
      </vt:variant>
      <vt:variant>
        <vt:i4>3932273</vt:i4>
      </vt:variant>
      <vt:variant>
        <vt:i4>258</vt:i4>
      </vt:variant>
      <vt:variant>
        <vt:i4>0</vt:i4>
      </vt:variant>
      <vt:variant>
        <vt:i4>5</vt:i4>
      </vt:variant>
      <vt:variant>
        <vt:lpwstr>http://www.nevo.co.il/case/6051748</vt:lpwstr>
      </vt:variant>
      <vt:variant>
        <vt:lpwstr/>
      </vt:variant>
      <vt:variant>
        <vt:i4>3604596</vt:i4>
      </vt:variant>
      <vt:variant>
        <vt:i4>255</vt:i4>
      </vt:variant>
      <vt:variant>
        <vt:i4>0</vt:i4>
      </vt:variant>
      <vt:variant>
        <vt:i4>5</vt:i4>
      </vt:variant>
      <vt:variant>
        <vt:lpwstr>http://www.nevo.co.il/case/5770174</vt:lpwstr>
      </vt:variant>
      <vt:variant>
        <vt:lpwstr/>
      </vt:variant>
      <vt:variant>
        <vt:i4>3211390</vt:i4>
      </vt:variant>
      <vt:variant>
        <vt:i4>252</vt:i4>
      </vt:variant>
      <vt:variant>
        <vt:i4>0</vt:i4>
      </vt:variant>
      <vt:variant>
        <vt:i4>5</vt:i4>
      </vt:variant>
      <vt:variant>
        <vt:lpwstr>http://www.nevo.co.il/case/18653755</vt:lpwstr>
      </vt:variant>
      <vt:variant>
        <vt:lpwstr/>
      </vt:variant>
      <vt:variant>
        <vt:i4>3276912</vt:i4>
      </vt:variant>
      <vt:variant>
        <vt:i4>249</vt:i4>
      </vt:variant>
      <vt:variant>
        <vt:i4>0</vt:i4>
      </vt:variant>
      <vt:variant>
        <vt:i4>5</vt:i4>
      </vt:variant>
      <vt:variant>
        <vt:lpwstr>http://www.nevo.co.il/case/5670020</vt:lpwstr>
      </vt:variant>
      <vt:variant>
        <vt:lpwstr/>
      </vt:variant>
      <vt:variant>
        <vt:i4>3342458</vt:i4>
      </vt:variant>
      <vt:variant>
        <vt:i4>246</vt:i4>
      </vt:variant>
      <vt:variant>
        <vt:i4>0</vt:i4>
      </vt:variant>
      <vt:variant>
        <vt:i4>5</vt:i4>
      </vt:variant>
      <vt:variant>
        <vt:lpwstr>http://www.nevo.co.il/case/13087555</vt:lpwstr>
      </vt:variant>
      <vt:variant>
        <vt:lpwstr/>
      </vt:variant>
      <vt:variant>
        <vt:i4>7995492</vt:i4>
      </vt:variant>
      <vt:variant>
        <vt:i4>243</vt:i4>
      </vt:variant>
      <vt:variant>
        <vt:i4>0</vt:i4>
      </vt:variant>
      <vt:variant>
        <vt:i4>5</vt:i4>
      </vt:variant>
      <vt:variant>
        <vt:lpwstr>http://www.nevo.co.il/law/70301</vt:lpwstr>
      </vt:variant>
      <vt:variant>
        <vt:lpwstr/>
      </vt:variant>
      <vt:variant>
        <vt:i4>3407994</vt:i4>
      </vt:variant>
      <vt:variant>
        <vt:i4>240</vt:i4>
      </vt:variant>
      <vt:variant>
        <vt:i4>0</vt:i4>
      </vt:variant>
      <vt:variant>
        <vt:i4>5</vt:i4>
      </vt:variant>
      <vt:variant>
        <vt:lpwstr>http://www.nevo.co.il/case/28243273</vt:lpwstr>
      </vt:variant>
      <vt:variant>
        <vt:lpwstr/>
      </vt:variant>
      <vt:variant>
        <vt:i4>4128884</vt:i4>
      </vt:variant>
      <vt:variant>
        <vt:i4>237</vt:i4>
      </vt:variant>
      <vt:variant>
        <vt:i4>0</vt:i4>
      </vt:variant>
      <vt:variant>
        <vt:i4>5</vt:i4>
      </vt:variant>
      <vt:variant>
        <vt:lpwstr>http://www.nevo.co.il/case/27911655</vt:lpwstr>
      </vt:variant>
      <vt:variant>
        <vt:lpwstr/>
      </vt:variant>
      <vt:variant>
        <vt:i4>4128881</vt:i4>
      </vt:variant>
      <vt:variant>
        <vt:i4>234</vt:i4>
      </vt:variant>
      <vt:variant>
        <vt:i4>0</vt:i4>
      </vt:variant>
      <vt:variant>
        <vt:i4>5</vt:i4>
      </vt:variant>
      <vt:variant>
        <vt:lpwstr>http://www.nevo.co.il/case/27309272</vt:lpwstr>
      </vt:variant>
      <vt:variant>
        <vt:lpwstr/>
      </vt:variant>
      <vt:variant>
        <vt:i4>3670139</vt:i4>
      </vt:variant>
      <vt:variant>
        <vt:i4>231</vt:i4>
      </vt:variant>
      <vt:variant>
        <vt:i4>0</vt:i4>
      </vt:variant>
      <vt:variant>
        <vt:i4>5</vt:i4>
      </vt:variant>
      <vt:variant>
        <vt:lpwstr>http://www.nevo.co.il/case/25824863</vt:lpwstr>
      </vt:variant>
      <vt:variant>
        <vt:lpwstr/>
      </vt:variant>
      <vt:variant>
        <vt:i4>3473524</vt:i4>
      </vt:variant>
      <vt:variant>
        <vt:i4>228</vt:i4>
      </vt:variant>
      <vt:variant>
        <vt:i4>0</vt:i4>
      </vt:variant>
      <vt:variant>
        <vt:i4>5</vt:i4>
      </vt:variant>
      <vt:variant>
        <vt:lpwstr>http://www.nevo.co.il/case/28200855</vt:lpwstr>
      </vt:variant>
      <vt:variant>
        <vt:lpwstr/>
      </vt:variant>
      <vt:variant>
        <vt:i4>3473531</vt:i4>
      </vt:variant>
      <vt:variant>
        <vt:i4>225</vt:i4>
      </vt:variant>
      <vt:variant>
        <vt:i4>0</vt:i4>
      </vt:variant>
      <vt:variant>
        <vt:i4>5</vt:i4>
      </vt:variant>
      <vt:variant>
        <vt:lpwstr>http://www.nevo.co.il/case/28266138</vt:lpwstr>
      </vt:variant>
      <vt:variant>
        <vt:lpwstr/>
      </vt:variant>
      <vt:variant>
        <vt:i4>3735673</vt:i4>
      </vt:variant>
      <vt:variant>
        <vt:i4>222</vt:i4>
      </vt:variant>
      <vt:variant>
        <vt:i4>0</vt:i4>
      </vt:variant>
      <vt:variant>
        <vt:i4>5</vt:i4>
      </vt:variant>
      <vt:variant>
        <vt:lpwstr>http://www.nevo.co.il/case/27734980</vt:lpwstr>
      </vt:variant>
      <vt:variant>
        <vt:lpwstr/>
      </vt:variant>
      <vt:variant>
        <vt:i4>3997812</vt:i4>
      </vt:variant>
      <vt:variant>
        <vt:i4>219</vt:i4>
      </vt:variant>
      <vt:variant>
        <vt:i4>0</vt:i4>
      </vt:variant>
      <vt:variant>
        <vt:i4>5</vt:i4>
      </vt:variant>
      <vt:variant>
        <vt:lpwstr>http://www.nevo.co.il/case/27305799</vt:lpwstr>
      </vt:variant>
      <vt:variant>
        <vt:lpwstr/>
      </vt:variant>
      <vt:variant>
        <vt:i4>3145842</vt:i4>
      </vt:variant>
      <vt:variant>
        <vt:i4>216</vt:i4>
      </vt:variant>
      <vt:variant>
        <vt:i4>0</vt:i4>
      </vt:variant>
      <vt:variant>
        <vt:i4>5</vt:i4>
      </vt:variant>
      <vt:variant>
        <vt:lpwstr>http://www.nevo.co.il/case/28268880</vt:lpwstr>
      </vt:variant>
      <vt:variant>
        <vt:lpwstr/>
      </vt:variant>
      <vt:variant>
        <vt:i4>3997812</vt:i4>
      </vt:variant>
      <vt:variant>
        <vt:i4>213</vt:i4>
      </vt:variant>
      <vt:variant>
        <vt:i4>0</vt:i4>
      </vt:variant>
      <vt:variant>
        <vt:i4>5</vt:i4>
      </vt:variant>
      <vt:variant>
        <vt:lpwstr>http://www.nevo.co.il/case/27305799</vt:lpwstr>
      </vt:variant>
      <vt:variant>
        <vt:lpwstr/>
      </vt:variant>
      <vt:variant>
        <vt:i4>4128884</vt:i4>
      </vt:variant>
      <vt:variant>
        <vt:i4>210</vt:i4>
      </vt:variant>
      <vt:variant>
        <vt:i4>0</vt:i4>
      </vt:variant>
      <vt:variant>
        <vt:i4>5</vt:i4>
      </vt:variant>
      <vt:variant>
        <vt:lpwstr>http://www.nevo.co.il/case/17954235</vt:lpwstr>
      </vt:variant>
      <vt:variant>
        <vt:lpwstr/>
      </vt:variant>
      <vt:variant>
        <vt:i4>3604596</vt:i4>
      </vt:variant>
      <vt:variant>
        <vt:i4>207</vt:i4>
      </vt:variant>
      <vt:variant>
        <vt:i4>0</vt:i4>
      </vt:variant>
      <vt:variant>
        <vt:i4>5</vt:i4>
      </vt:variant>
      <vt:variant>
        <vt:lpwstr>http://www.nevo.co.il/case/23750625</vt:lpwstr>
      </vt:variant>
      <vt:variant>
        <vt:lpwstr/>
      </vt:variant>
      <vt:variant>
        <vt:i4>4063356</vt:i4>
      </vt:variant>
      <vt:variant>
        <vt:i4>204</vt:i4>
      </vt:variant>
      <vt:variant>
        <vt:i4>0</vt:i4>
      </vt:variant>
      <vt:variant>
        <vt:i4>5</vt:i4>
      </vt:variant>
      <vt:variant>
        <vt:lpwstr>http://www.nevo.co.il/case/27894608</vt:lpwstr>
      </vt:variant>
      <vt:variant>
        <vt:lpwstr/>
      </vt:variant>
      <vt:variant>
        <vt:i4>3211383</vt:i4>
      </vt:variant>
      <vt:variant>
        <vt:i4>201</vt:i4>
      </vt:variant>
      <vt:variant>
        <vt:i4>0</vt:i4>
      </vt:variant>
      <vt:variant>
        <vt:i4>5</vt:i4>
      </vt:variant>
      <vt:variant>
        <vt:lpwstr>http://www.nevo.co.il/case/28697227</vt:lpwstr>
      </vt:variant>
      <vt:variant>
        <vt:lpwstr/>
      </vt:variant>
      <vt:variant>
        <vt:i4>3211379</vt:i4>
      </vt:variant>
      <vt:variant>
        <vt:i4>198</vt:i4>
      </vt:variant>
      <vt:variant>
        <vt:i4>0</vt:i4>
      </vt:variant>
      <vt:variant>
        <vt:i4>5</vt:i4>
      </vt:variant>
      <vt:variant>
        <vt:lpwstr>http://www.nevo.co.il/case/5573417</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3407986</vt:i4>
      </vt:variant>
      <vt:variant>
        <vt:i4>192</vt:i4>
      </vt:variant>
      <vt:variant>
        <vt:i4>0</vt:i4>
      </vt:variant>
      <vt:variant>
        <vt:i4>5</vt:i4>
      </vt:variant>
      <vt:variant>
        <vt:lpwstr>http://www.nevo.co.il/case/24140670</vt:lpwstr>
      </vt:variant>
      <vt:variant>
        <vt:lpwstr/>
      </vt:variant>
      <vt:variant>
        <vt:i4>4128881</vt:i4>
      </vt:variant>
      <vt:variant>
        <vt:i4>189</vt:i4>
      </vt:variant>
      <vt:variant>
        <vt:i4>0</vt:i4>
      </vt:variant>
      <vt:variant>
        <vt:i4>5</vt:i4>
      </vt:variant>
      <vt:variant>
        <vt:lpwstr>http://www.nevo.co.il/case/27309272</vt:lpwstr>
      </vt:variant>
      <vt:variant>
        <vt:lpwstr/>
      </vt:variant>
      <vt:variant>
        <vt:i4>3211378</vt:i4>
      </vt:variant>
      <vt:variant>
        <vt:i4>186</vt:i4>
      </vt:variant>
      <vt:variant>
        <vt:i4>0</vt:i4>
      </vt:variant>
      <vt:variant>
        <vt:i4>5</vt:i4>
      </vt:variant>
      <vt:variant>
        <vt:lpwstr>http://www.nevo.co.il/case/21473042</vt:lpwstr>
      </vt:variant>
      <vt:variant>
        <vt:lpwstr/>
      </vt:variant>
      <vt:variant>
        <vt:i4>3145849</vt:i4>
      </vt:variant>
      <vt:variant>
        <vt:i4>183</vt:i4>
      </vt:variant>
      <vt:variant>
        <vt:i4>0</vt:i4>
      </vt:variant>
      <vt:variant>
        <vt:i4>5</vt:i4>
      </vt:variant>
      <vt:variant>
        <vt:lpwstr>http://www.nevo.co.il/case/13093721</vt:lpwstr>
      </vt:variant>
      <vt:variant>
        <vt:lpwstr/>
      </vt:variant>
      <vt:variant>
        <vt:i4>4915202</vt:i4>
      </vt:variant>
      <vt:variant>
        <vt:i4>180</vt:i4>
      </vt:variant>
      <vt:variant>
        <vt:i4>0</vt:i4>
      </vt:variant>
      <vt:variant>
        <vt:i4>5</vt:i4>
      </vt:variant>
      <vt:variant>
        <vt:lpwstr>http://www.nevo.co.il/law/70301/40c.a</vt:lpwstr>
      </vt:variant>
      <vt:variant>
        <vt:lpwstr/>
      </vt:variant>
      <vt:variant>
        <vt:i4>4915202</vt:i4>
      </vt:variant>
      <vt:variant>
        <vt:i4>177</vt:i4>
      </vt:variant>
      <vt:variant>
        <vt:i4>0</vt:i4>
      </vt:variant>
      <vt:variant>
        <vt:i4>5</vt:i4>
      </vt:variant>
      <vt:variant>
        <vt:lpwstr>http://www.nevo.co.il/law/70301/40c.a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393227</vt:i4>
      </vt:variant>
      <vt:variant>
        <vt:i4>171</vt:i4>
      </vt:variant>
      <vt:variant>
        <vt:i4>0</vt:i4>
      </vt:variant>
      <vt:variant>
        <vt:i4>5</vt:i4>
      </vt:variant>
      <vt:variant>
        <vt:lpwstr>http://www.nevo.co.il/law/70301/40jc</vt:lpwstr>
      </vt:variant>
      <vt:variant>
        <vt:lpwstr/>
      </vt:variant>
      <vt:variant>
        <vt:i4>3997823</vt:i4>
      </vt:variant>
      <vt:variant>
        <vt:i4>168</vt:i4>
      </vt:variant>
      <vt:variant>
        <vt:i4>0</vt:i4>
      </vt:variant>
      <vt:variant>
        <vt:i4>5</vt:i4>
      </vt:variant>
      <vt:variant>
        <vt:lpwstr>http://www.nevo.co.il/case/26995434</vt:lpwstr>
      </vt:variant>
      <vt:variant>
        <vt:lpwstr/>
      </vt:variant>
      <vt:variant>
        <vt:i4>3276913</vt:i4>
      </vt:variant>
      <vt:variant>
        <vt:i4>165</vt:i4>
      </vt:variant>
      <vt:variant>
        <vt:i4>0</vt:i4>
      </vt:variant>
      <vt:variant>
        <vt:i4>5</vt:i4>
      </vt:variant>
      <vt:variant>
        <vt:lpwstr>http://www.nevo.co.il/case/7012276</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393227</vt:i4>
      </vt:variant>
      <vt:variant>
        <vt:i4>159</vt:i4>
      </vt:variant>
      <vt:variant>
        <vt:i4>0</vt:i4>
      </vt:variant>
      <vt:variant>
        <vt:i4>5</vt:i4>
      </vt:variant>
      <vt:variant>
        <vt:lpwstr>http://www.nevo.co.il/law/70301/40jc</vt:lpwstr>
      </vt:variant>
      <vt:variant>
        <vt:lpwstr/>
      </vt:variant>
      <vt:variant>
        <vt:i4>8323182</vt:i4>
      </vt:variant>
      <vt:variant>
        <vt:i4>156</vt:i4>
      </vt:variant>
      <vt:variant>
        <vt:i4>0</vt:i4>
      </vt:variant>
      <vt:variant>
        <vt:i4>5</vt:i4>
      </vt:variant>
      <vt:variant>
        <vt:lpwstr>http://www.nevo.co.il/law/74918</vt:lpwstr>
      </vt:variant>
      <vt:variant>
        <vt:lpwstr/>
      </vt:variant>
      <vt:variant>
        <vt:i4>393292</vt:i4>
      </vt:variant>
      <vt:variant>
        <vt:i4>153</vt:i4>
      </vt:variant>
      <vt:variant>
        <vt:i4>0</vt:i4>
      </vt:variant>
      <vt:variant>
        <vt:i4>5</vt:i4>
      </vt:variant>
      <vt:variant>
        <vt:lpwstr>http://www.nevo.co.il/law/74918/47.a</vt:lpwstr>
      </vt:variant>
      <vt:variant>
        <vt:lpwstr/>
      </vt:variant>
      <vt:variant>
        <vt:i4>7077988</vt:i4>
      </vt:variant>
      <vt:variant>
        <vt:i4>150</vt:i4>
      </vt:variant>
      <vt:variant>
        <vt:i4>0</vt:i4>
      </vt:variant>
      <vt:variant>
        <vt:i4>5</vt:i4>
      </vt:variant>
      <vt:variant>
        <vt:lpwstr>http://www.nevo.co.il/law/70301/191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6422631</vt:i4>
      </vt:variant>
      <vt:variant>
        <vt:i4>144</vt:i4>
      </vt:variant>
      <vt:variant>
        <vt:i4>0</vt:i4>
      </vt:variant>
      <vt:variant>
        <vt:i4>5</vt:i4>
      </vt:variant>
      <vt:variant>
        <vt:lpwstr>http://www.nevo.co.il/law/70301/275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7143546</vt:i4>
      </vt:variant>
      <vt:variant>
        <vt:i4>138</vt:i4>
      </vt:variant>
      <vt:variant>
        <vt:i4>0</vt:i4>
      </vt:variant>
      <vt:variant>
        <vt:i4>5</vt:i4>
      </vt:variant>
      <vt:variant>
        <vt:lpwstr>http://www.nevo.co.il/law/70301/382a.a</vt:lpwstr>
      </vt:variant>
      <vt:variant>
        <vt:lpwstr/>
      </vt:variant>
      <vt:variant>
        <vt:i4>3342449</vt:i4>
      </vt:variant>
      <vt:variant>
        <vt:i4>135</vt:i4>
      </vt:variant>
      <vt:variant>
        <vt:i4>0</vt:i4>
      </vt:variant>
      <vt:variant>
        <vt:i4>5</vt:i4>
      </vt:variant>
      <vt:variant>
        <vt:lpwstr>http://www.nevo.co.il/case/26606318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4915283</vt:i4>
      </vt:variant>
      <vt:variant>
        <vt:i4>129</vt:i4>
      </vt:variant>
      <vt:variant>
        <vt:i4>0</vt:i4>
      </vt:variant>
      <vt:variant>
        <vt:i4>5</vt:i4>
      </vt:variant>
      <vt:variant>
        <vt:lpwstr>http://www.nevo.co.il/law/70301/305.1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6619191</vt:i4>
      </vt:variant>
      <vt:variant>
        <vt:i4>123</vt:i4>
      </vt:variant>
      <vt:variant>
        <vt:i4>0</vt:i4>
      </vt:variant>
      <vt:variant>
        <vt:i4>5</vt:i4>
      </vt:variant>
      <vt:variant>
        <vt:lpwstr>http://www.nevo.co.il/law/70301/300.a.2</vt:lpwstr>
      </vt:variant>
      <vt:variant>
        <vt:lpwstr/>
      </vt:variant>
      <vt:variant>
        <vt:i4>4390994</vt:i4>
      </vt:variant>
      <vt:variant>
        <vt:i4>120</vt:i4>
      </vt:variant>
      <vt:variant>
        <vt:i4>0</vt:i4>
      </vt:variant>
      <vt:variant>
        <vt:i4>5</vt:i4>
      </vt:variant>
      <vt:variant>
        <vt:lpwstr>http://www.nevo.co.il/law/70301/186.a</vt:lpwstr>
      </vt:variant>
      <vt:variant>
        <vt:lpwstr/>
      </vt:variant>
      <vt:variant>
        <vt:i4>6357095</vt:i4>
      </vt:variant>
      <vt:variant>
        <vt:i4>117</vt:i4>
      </vt:variant>
      <vt:variant>
        <vt:i4>0</vt:i4>
      </vt:variant>
      <vt:variant>
        <vt:i4>5</vt:i4>
      </vt:variant>
      <vt:variant>
        <vt:lpwstr>http://www.nevo.co.il/law/70301/244</vt:lpwstr>
      </vt:variant>
      <vt:variant>
        <vt:lpwstr/>
      </vt:variant>
      <vt:variant>
        <vt:i4>393232</vt:i4>
      </vt:variant>
      <vt:variant>
        <vt:i4>114</vt:i4>
      </vt:variant>
      <vt:variant>
        <vt:i4>0</vt:i4>
      </vt:variant>
      <vt:variant>
        <vt:i4>5</vt:i4>
      </vt:variant>
      <vt:variant>
        <vt:lpwstr>http://www.nevo.co.il/law/70301/144.a.;144.b</vt:lpwstr>
      </vt:variant>
      <vt:variant>
        <vt:lpwstr/>
      </vt:variant>
      <vt:variant>
        <vt:i4>6750270</vt:i4>
      </vt:variant>
      <vt:variant>
        <vt:i4>111</vt:i4>
      </vt:variant>
      <vt:variant>
        <vt:i4>0</vt:i4>
      </vt:variant>
      <vt:variant>
        <vt:i4>5</vt:i4>
      </vt:variant>
      <vt:variant>
        <vt:lpwstr>http://www.nevo.co.il/law/70301/329.a.2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7077988</vt:i4>
      </vt:variant>
      <vt:variant>
        <vt:i4>105</vt:i4>
      </vt:variant>
      <vt:variant>
        <vt:i4>0</vt:i4>
      </vt:variant>
      <vt:variant>
        <vt:i4>5</vt:i4>
      </vt:variant>
      <vt:variant>
        <vt:lpwstr>http://www.nevo.co.il/law/70301/198</vt:lpwstr>
      </vt:variant>
      <vt:variant>
        <vt:lpwstr/>
      </vt:variant>
      <vt:variant>
        <vt:i4>393292</vt:i4>
      </vt:variant>
      <vt:variant>
        <vt:i4>102</vt:i4>
      </vt:variant>
      <vt:variant>
        <vt:i4>0</vt:i4>
      </vt:variant>
      <vt:variant>
        <vt:i4>5</vt:i4>
      </vt:variant>
      <vt:variant>
        <vt:lpwstr>http://www.nevo.co.il/law/74918/47.a</vt:lpwstr>
      </vt:variant>
      <vt:variant>
        <vt:lpwstr/>
      </vt:variant>
      <vt:variant>
        <vt:i4>8323182</vt:i4>
      </vt:variant>
      <vt:variant>
        <vt:i4>99</vt:i4>
      </vt:variant>
      <vt:variant>
        <vt:i4>0</vt:i4>
      </vt:variant>
      <vt:variant>
        <vt:i4>5</vt:i4>
      </vt:variant>
      <vt:variant>
        <vt:lpwstr>http://www.nevo.co.il/law/74918</vt:lpwstr>
      </vt:variant>
      <vt:variant>
        <vt:lpwstr/>
      </vt:variant>
      <vt:variant>
        <vt:i4>3539007</vt:i4>
      </vt:variant>
      <vt:variant>
        <vt:i4>96</vt:i4>
      </vt:variant>
      <vt:variant>
        <vt:i4>0</vt:i4>
      </vt:variant>
      <vt:variant>
        <vt:i4>5</vt:i4>
      </vt:variant>
      <vt:variant>
        <vt:lpwstr>http://www.nevo.co.il/law/70301/jCa</vt:lpwstr>
      </vt:variant>
      <vt:variant>
        <vt:lpwstr/>
      </vt:variant>
      <vt:variant>
        <vt:i4>4522077</vt:i4>
      </vt:variant>
      <vt:variant>
        <vt:i4>93</vt:i4>
      </vt:variant>
      <vt:variant>
        <vt:i4>0</vt:i4>
      </vt:variant>
      <vt:variant>
        <vt:i4>5</vt:i4>
      </vt:variant>
      <vt:variant>
        <vt:lpwstr>http://www.nevo.co.il/law/70301/iCaS</vt:lpwstr>
      </vt:variant>
      <vt:variant>
        <vt:lpwstr/>
      </vt:variant>
      <vt:variant>
        <vt:i4>2490429</vt:i4>
      </vt:variant>
      <vt:variant>
        <vt:i4>90</vt:i4>
      </vt:variant>
      <vt:variant>
        <vt:i4>0</vt:i4>
      </vt:variant>
      <vt:variant>
        <vt:i4>5</vt:i4>
      </vt:variant>
      <vt:variant>
        <vt:lpwstr>http://www.nevo.co.il/law/70301/hS</vt:lpwstr>
      </vt:variant>
      <vt:variant>
        <vt:lpwstr/>
      </vt:variant>
      <vt:variant>
        <vt:i4>5570645</vt:i4>
      </vt:variant>
      <vt:variant>
        <vt:i4>87</vt:i4>
      </vt:variant>
      <vt:variant>
        <vt:i4>0</vt:i4>
      </vt:variant>
      <vt:variant>
        <vt:i4>5</vt:i4>
      </vt:variant>
      <vt:variant>
        <vt:lpwstr>http://www.nevo.co.il/law/70301/d</vt:lpwstr>
      </vt:variant>
      <vt:variant>
        <vt:lpwstr/>
      </vt:variant>
      <vt:variant>
        <vt:i4>6357089</vt:i4>
      </vt:variant>
      <vt:variant>
        <vt:i4>84</vt:i4>
      </vt:variant>
      <vt:variant>
        <vt:i4>0</vt:i4>
      </vt:variant>
      <vt:variant>
        <vt:i4>5</vt:i4>
      </vt:variant>
      <vt:variant>
        <vt:lpwstr>http://www.nevo.co.il/law/70301/448</vt:lpwstr>
      </vt:variant>
      <vt:variant>
        <vt:lpwstr/>
      </vt:variant>
      <vt:variant>
        <vt:i4>393227</vt:i4>
      </vt:variant>
      <vt:variant>
        <vt:i4>81</vt:i4>
      </vt:variant>
      <vt:variant>
        <vt:i4>0</vt:i4>
      </vt:variant>
      <vt:variant>
        <vt:i4>5</vt:i4>
      </vt:variant>
      <vt:variant>
        <vt:lpwstr>http://www.nevo.co.il/law/70301/40jc</vt:lpwstr>
      </vt:variant>
      <vt:variant>
        <vt:lpwstr/>
      </vt:variant>
      <vt:variant>
        <vt:i4>4915283</vt:i4>
      </vt:variant>
      <vt:variant>
        <vt:i4>78</vt:i4>
      </vt:variant>
      <vt:variant>
        <vt:i4>0</vt:i4>
      </vt:variant>
      <vt:variant>
        <vt:i4>5</vt:i4>
      </vt:variant>
      <vt:variant>
        <vt:lpwstr>http://www.nevo.co.il/law/70301/402.b</vt:lpwstr>
      </vt:variant>
      <vt:variant>
        <vt:lpwstr/>
      </vt:variant>
      <vt:variant>
        <vt:i4>7143546</vt:i4>
      </vt:variant>
      <vt:variant>
        <vt:i4>75</vt:i4>
      </vt:variant>
      <vt:variant>
        <vt:i4>0</vt:i4>
      </vt:variant>
      <vt:variant>
        <vt:i4>5</vt:i4>
      </vt:variant>
      <vt:variant>
        <vt:lpwstr>http://www.nevo.co.il/law/70301/382a.a</vt:lpwstr>
      </vt:variant>
      <vt:variant>
        <vt:lpwstr/>
      </vt:variant>
      <vt:variant>
        <vt:i4>65630</vt:i4>
      </vt:variant>
      <vt:variant>
        <vt:i4>72</vt:i4>
      </vt:variant>
      <vt:variant>
        <vt:i4>0</vt:i4>
      </vt:variant>
      <vt:variant>
        <vt:i4>5</vt:i4>
      </vt:variant>
      <vt:variant>
        <vt:lpwstr>http://www.nevo.co.il/law/70301/368b</vt:lpwstr>
      </vt:variant>
      <vt:variant>
        <vt:lpwstr/>
      </vt:variant>
      <vt:variant>
        <vt:i4>6684722</vt:i4>
      </vt:variant>
      <vt:variant>
        <vt:i4>69</vt:i4>
      </vt:variant>
      <vt:variant>
        <vt:i4>0</vt:i4>
      </vt:variant>
      <vt:variant>
        <vt:i4>5</vt:i4>
      </vt:variant>
      <vt:variant>
        <vt:lpwstr>http://www.nevo.co.il/law/70301/335.a.1</vt:lpwstr>
      </vt:variant>
      <vt:variant>
        <vt:lpwstr/>
      </vt:variant>
      <vt:variant>
        <vt:i4>6684774</vt:i4>
      </vt:variant>
      <vt:variant>
        <vt:i4>66</vt:i4>
      </vt:variant>
      <vt:variant>
        <vt:i4>0</vt:i4>
      </vt:variant>
      <vt:variant>
        <vt:i4>5</vt:i4>
      </vt:variant>
      <vt:variant>
        <vt:lpwstr>http://www.nevo.co.il/law/70301/333</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6750270</vt:i4>
      </vt:variant>
      <vt:variant>
        <vt:i4>60</vt:i4>
      </vt:variant>
      <vt:variant>
        <vt:i4>0</vt:i4>
      </vt:variant>
      <vt:variant>
        <vt:i4>5</vt:i4>
      </vt:variant>
      <vt:variant>
        <vt:lpwstr>http://www.nevo.co.il/law/70301/329.a.1</vt:lpwstr>
      </vt:variant>
      <vt:variant>
        <vt:lpwstr/>
      </vt:variant>
      <vt:variant>
        <vt:i4>4915283</vt:i4>
      </vt:variant>
      <vt:variant>
        <vt:i4>57</vt:i4>
      </vt:variant>
      <vt:variant>
        <vt:i4>0</vt:i4>
      </vt:variant>
      <vt:variant>
        <vt:i4>5</vt:i4>
      </vt:variant>
      <vt:variant>
        <vt:lpwstr>http://www.nevo.co.il/law/70301/305.1</vt:lpwstr>
      </vt:variant>
      <vt:variant>
        <vt:lpwstr/>
      </vt:variant>
      <vt:variant>
        <vt:i4>6619238</vt:i4>
      </vt:variant>
      <vt:variant>
        <vt:i4>54</vt:i4>
      </vt:variant>
      <vt:variant>
        <vt:i4>0</vt:i4>
      </vt:variant>
      <vt:variant>
        <vt:i4>5</vt:i4>
      </vt:variant>
      <vt:variant>
        <vt:lpwstr>http://www.nevo.co.il/law/70301/305</vt:lpwstr>
      </vt:variant>
      <vt:variant>
        <vt:lpwstr/>
      </vt:variant>
      <vt:variant>
        <vt:i4>6619191</vt:i4>
      </vt:variant>
      <vt:variant>
        <vt:i4>51</vt:i4>
      </vt:variant>
      <vt:variant>
        <vt:i4>0</vt:i4>
      </vt:variant>
      <vt:variant>
        <vt:i4>5</vt:i4>
      </vt:variant>
      <vt:variant>
        <vt:lpwstr>http://www.nevo.co.il/law/70301/300.a.3</vt:lpwstr>
      </vt:variant>
      <vt:variant>
        <vt:lpwstr/>
      </vt:variant>
      <vt:variant>
        <vt:i4>6619191</vt:i4>
      </vt:variant>
      <vt:variant>
        <vt:i4>48</vt:i4>
      </vt:variant>
      <vt:variant>
        <vt:i4>0</vt:i4>
      </vt:variant>
      <vt:variant>
        <vt:i4>5</vt:i4>
      </vt:variant>
      <vt:variant>
        <vt:lpwstr>http://www.nevo.co.il/law/70301/300.a.2</vt:lpwstr>
      </vt:variant>
      <vt:variant>
        <vt:lpwstr/>
      </vt:variant>
      <vt:variant>
        <vt:i4>7077991</vt:i4>
      </vt:variant>
      <vt:variant>
        <vt:i4>45</vt:i4>
      </vt:variant>
      <vt:variant>
        <vt:i4>0</vt:i4>
      </vt:variant>
      <vt:variant>
        <vt:i4>5</vt:i4>
      </vt:variant>
      <vt:variant>
        <vt:lpwstr>http://www.nevo.co.il/law/70301/298</vt:lpwstr>
      </vt:variant>
      <vt:variant>
        <vt:lpwstr/>
      </vt:variant>
      <vt:variant>
        <vt:i4>4390992</vt:i4>
      </vt:variant>
      <vt:variant>
        <vt:i4>42</vt:i4>
      </vt:variant>
      <vt:variant>
        <vt:i4>0</vt:i4>
      </vt:variant>
      <vt:variant>
        <vt:i4>5</vt:i4>
      </vt:variant>
      <vt:variant>
        <vt:lpwstr>http://www.nevo.co.il/law/70301/287.b</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7077988</vt:i4>
      </vt:variant>
      <vt:variant>
        <vt:i4>33</vt:i4>
      </vt:variant>
      <vt:variant>
        <vt:i4>0</vt:i4>
      </vt:variant>
      <vt:variant>
        <vt:i4>5</vt:i4>
      </vt:variant>
      <vt:variant>
        <vt:lpwstr>http://www.nevo.co.il/law/70301/198</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7077988</vt:i4>
      </vt:variant>
      <vt:variant>
        <vt:i4>27</vt:i4>
      </vt:variant>
      <vt:variant>
        <vt:i4>0</vt:i4>
      </vt:variant>
      <vt:variant>
        <vt:i4>5</vt:i4>
      </vt:variant>
      <vt:variant>
        <vt:lpwstr>http://www.nevo.co.il/law/70301/191</vt:lpwstr>
      </vt:variant>
      <vt:variant>
        <vt:lpwstr/>
      </vt:variant>
      <vt:variant>
        <vt:i4>4390994</vt:i4>
      </vt:variant>
      <vt:variant>
        <vt:i4>24</vt:i4>
      </vt:variant>
      <vt:variant>
        <vt:i4>0</vt:i4>
      </vt:variant>
      <vt:variant>
        <vt:i4>5</vt:i4>
      </vt:variant>
      <vt:variant>
        <vt:lpwstr>http://www.nevo.co.il/law/70301/186.a</vt:lpwstr>
      </vt:variant>
      <vt:variant>
        <vt:lpwstr/>
      </vt:variant>
      <vt:variant>
        <vt:i4>7143524</vt:i4>
      </vt:variant>
      <vt:variant>
        <vt:i4>21</vt:i4>
      </vt:variant>
      <vt:variant>
        <vt:i4>0</vt:i4>
      </vt:variant>
      <vt:variant>
        <vt:i4>5</vt:i4>
      </vt:variant>
      <vt:variant>
        <vt:lpwstr>http://www.nevo.co.il/law/70301/186</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196684</vt:i4>
      </vt:variant>
      <vt:variant>
        <vt:i4>9</vt:i4>
      </vt:variant>
      <vt:variant>
        <vt:i4>0</vt:i4>
      </vt:variant>
      <vt:variant>
        <vt:i4>5</vt:i4>
      </vt:variant>
      <vt:variant>
        <vt:lpwstr>http://www.nevo.co.il/law/70301/77.a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3407975</vt:i4>
      </vt:variant>
      <vt:variant>
        <vt:i4>3</vt:i4>
      </vt:variant>
      <vt:variant>
        <vt:i4>0</vt:i4>
      </vt:variant>
      <vt:variant>
        <vt:i4>5</vt:i4>
      </vt:variant>
      <vt:variant>
        <vt:lpwstr>http://www.nevo.co.il/law/70301/20.c.2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15217</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אוראל זוית  </vt:lpwstr>
  </property>
  <property fmtid="{D5CDD505-2E9C-101B-9397-08002B2CF9AE}" pid="10" name="LAWYER">
    <vt:lpwstr>צחי הבדלי;משה אלון;דיאנה שומסקי</vt:lpwstr>
  </property>
  <property fmtid="{D5CDD505-2E9C-101B-9397-08002B2CF9AE}" pid="11" name="JUDGE">
    <vt:lpwstr>ר. בן יוסף;א. הימן;ש. זמיר</vt:lpwstr>
  </property>
  <property fmtid="{D5CDD505-2E9C-101B-9397-08002B2CF9AE}" pid="12" name="CITY">
    <vt:lpwstr>ת"א</vt:lpwstr>
  </property>
  <property fmtid="{D5CDD505-2E9C-101B-9397-08002B2CF9AE}" pid="13" name="DATE">
    <vt:lpwstr>20230131</vt:lpwstr>
  </property>
  <property fmtid="{D5CDD505-2E9C-101B-9397-08002B2CF9AE}" pid="14" name="TYPE_N_DATE">
    <vt:lpwstr>39020230131</vt:lpwstr>
  </property>
  <property fmtid="{D5CDD505-2E9C-101B-9397-08002B2CF9AE}" pid="15" name="WORDNUMPAGES">
    <vt:lpwstr>13</vt:lpwstr>
  </property>
  <property fmtid="{D5CDD505-2E9C-101B-9397-08002B2CF9AE}" pid="16" name="TYPE_ABS_DATE">
    <vt:lpwstr>390020230131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26606318;7012276;26995434;13093721;21473042;27309272:2;24140670;5573417;28697227;27894608;23750625;17954235;27305799:2;28268880;27734980;28266138;28200855;25824863;27911655;28243273;13087555;5670020;18653755;5770174;6051748;6177581;18654019;5741085</vt:lpwstr>
  </property>
  <property fmtid="{D5CDD505-2E9C-101B-9397-08002B2CF9AE}" pid="36" name="CASESLISTTMP2">
    <vt:lpwstr>7712134;26142556;5580830;13070531;5701622;5598801;5610457;26773045:2;23762313;6158650;6244398;23781222;6241065;6031891;22853229</vt:lpwstr>
  </property>
  <property fmtid="{D5CDD505-2E9C-101B-9397-08002B2CF9AE}" pid="37" name="LAWLISTTMP1">
    <vt:lpwstr>70301/198;329.a.2;144.a;144.b;244;186.a:2;300.a.2:4;305.1:3;382a.a;275;191;40jc:3;040c.a:2;298;402.b:3;333:2;335.a.1:2;329.a.1:2;305:3;448;368b:2;192;287.b;020.c.2;300.a.3;077.a;jCa;d;hS;iCaS;144;186</vt:lpwstr>
  </property>
  <property fmtid="{D5CDD505-2E9C-101B-9397-08002B2CF9AE}" pid="38" name="LAWLISTTMP2">
    <vt:lpwstr>74918/047.a</vt:lpwstr>
  </property>
</Properties>
</file>