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F014C" w:rsidRPr="00236544" w14:paraId="0D2C16B8" w14:textId="77777777" w:rsidTr="002A10BF">
        <w:trPr>
          <w:trHeight w:hRule="exact" w:val="418"/>
          <w:jc w:val="center"/>
        </w:trPr>
        <w:tc>
          <w:tcPr>
            <w:tcW w:w="8721" w:type="dxa"/>
            <w:gridSpan w:val="2"/>
          </w:tcPr>
          <w:p w14:paraId="04069FC6" w14:textId="77777777" w:rsidR="00CF014C" w:rsidRPr="00236544" w:rsidRDefault="00CF014C" w:rsidP="005C5894">
            <w:pPr>
              <w:pStyle w:val="a3"/>
              <w:jc w:val="center"/>
              <w:rPr>
                <w:rFonts w:ascii="Tahoma" w:hAnsi="Tahoma" w:cs="Tahoma"/>
                <w:color w:val="000080"/>
                <w:rtl/>
              </w:rPr>
            </w:pPr>
            <w:r w:rsidRPr="00236544">
              <w:rPr>
                <w:rFonts w:ascii="Tahoma" w:hAnsi="Tahoma" w:cs="Tahoma"/>
                <w:b/>
                <w:bCs/>
                <w:color w:val="000080"/>
                <w:rtl/>
              </w:rPr>
              <w:t>בית המשפט המחוזי בחיפה</w:t>
            </w:r>
          </w:p>
        </w:tc>
      </w:tr>
      <w:tr w:rsidR="00CF014C" w:rsidRPr="00236544" w14:paraId="5A33DFE9" w14:textId="77777777" w:rsidTr="002A10BF">
        <w:trPr>
          <w:trHeight w:val="337"/>
          <w:jc w:val="center"/>
        </w:trPr>
        <w:tc>
          <w:tcPr>
            <w:tcW w:w="5058" w:type="dxa"/>
          </w:tcPr>
          <w:p w14:paraId="6F7055A0" w14:textId="77777777" w:rsidR="00CF014C" w:rsidRPr="00236544" w:rsidRDefault="00CF014C" w:rsidP="005C5894">
            <w:pPr>
              <w:rPr>
                <w:rFonts w:cs="FrankRuehl"/>
                <w:sz w:val="28"/>
                <w:szCs w:val="28"/>
                <w:rtl/>
              </w:rPr>
            </w:pPr>
            <w:r w:rsidRPr="00236544">
              <w:rPr>
                <w:rFonts w:cs="FrankRuehl"/>
                <w:sz w:val="28"/>
                <w:szCs w:val="28"/>
                <w:rtl/>
              </w:rPr>
              <w:t>ת"פ</w:t>
            </w:r>
            <w:r w:rsidRPr="00236544">
              <w:rPr>
                <w:rFonts w:cs="FrankRuehl" w:hint="cs"/>
                <w:sz w:val="28"/>
                <w:szCs w:val="28"/>
                <w:rtl/>
              </w:rPr>
              <w:t xml:space="preserve"> </w:t>
            </w:r>
            <w:r w:rsidRPr="00236544">
              <w:rPr>
                <w:rFonts w:cs="FrankRuehl"/>
                <w:sz w:val="28"/>
                <w:szCs w:val="28"/>
                <w:rtl/>
              </w:rPr>
              <w:t>1641-04-19</w:t>
            </w:r>
            <w:r w:rsidRPr="00236544">
              <w:rPr>
                <w:rFonts w:cs="FrankRuehl" w:hint="cs"/>
                <w:sz w:val="28"/>
                <w:szCs w:val="28"/>
                <w:rtl/>
              </w:rPr>
              <w:t xml:space="preserve"> </w:t>
            </w:r>
            <w:r w:rsidRPr="00236544">
              <w:rPr>
                <w:rFonts w:cs="FrankRuehl"/>
                <w:sz w:val="28"/>
                <w:szCs w:val="28"/>
                <w:rtl/>
              </w:rPr>
              <w:t>מדינת ישראל נ' זידאן(עציר)</w:t>
            </w:r>
          </w:p>
          <w:p w14:paraId="4391D196" w14:textId="77777777" w:rsidR="00CF014C" w:rsidRPr="00236544" w:rsidRDefault="00CF014C" w:rsidP="005C5894">
            <w:pPr>
              <w:pStyle w:val="a3"/>
              <w:rPr>
                <w:rFonts w:cs="FrankRuehl"/>
                <w:sz w:val="28"/>
                <w:szCs w:val="28"/>
                <w:rtl/>
              </w:rPr>
            </w:pPr>
          </w:p>
        </w:tc>
        <w:tc>
          <w:tcPr>
            <w:tcW w:w="3663" w:type="dxa"/>
          </w:tcPr>
          <w:p w14:paraId="4C224813" w14:textId="77777777" w:rsidR="00CF014C" w:rsidRPr="00236544" w:rsidRDefault="00CF014C" w:rsidP="005C5894">
            <w:pPr>
              <w:pStyle w:val="a3"/>
              <w:jc w:val="right"/>
              <w:rPr>
                <w:rFonts w:cs="FrankRuehl"/>
                <w:sz w:val="28"/>
                <w:szCs w:val="28"/>
                <w:rtl/>
              </w:rPr>
            </w:pPr>
          </w:p>
        </w:tc>
      </w:tr>
    </w:tbl>
    <w:p w14:paraId="1321D3C6" w14:textId="77777777" w:rsidR="00CF014C" w:rsidRPr="00236544" w:rsidRDefault="00CF014C" w:rsidP="00CF014C">
      <w:pPr>
        <w:pStyle w:val="a3"/>
        <w:rPr>
          <w:rtl/>
        </w:rPr>
      </w:pPr>
      <w:r w:rsidRPr="00236544">
        <w:rPr>
          <w:rFonts w:hint="cs"/>
          <w:rtl/>
        </w:rPr>
        <w:t xml:space="preserve"> </w:t>
      </w:r>
    </w:p>
    <w:p w14:paraId="13C61C83" w14:textId="77777777" w:rsidR="00CF014C" w:rsidRPr="00236544" w:rsidRDefault="00CF014C" w:rsidP="00CF014C">
      <w:pPr>
        <w:spacing w:line="360" w:lineRule="auto"/>
        <w:jc w:val="both"/>
        <w:rPr>
          <w:rFonts w:ascii="David" w:hAnsi="David"/>
          <w:rtl/>
        </w:rPr>
      </w:pPr>
    </w:p>
    <w:p w14:paraId="32408F4E" w14:textId="77777777" w:rsidR="00CF014C" w:rsidRPr="00236544" w:rsidRDefault="00CF014C" w:rsidP="00CF014C">
      <w:pPr>
        <w:spacing w:line="360" w:lineRule="auto"/>
        <w:jc w:val="both"/>
        <w:rPr>
          <w:rFonts w:ascii="David" w:hAnsi="David"/>
          <w:rtl/>
        </w:rPr>
      </w:pPr>
    </w:p>
    <w:tbl>
      <w:tblPr>
        <w:bidiVisual/>
        <w:tblW w:w="0" w:type="dxa"/>
        <w:tblInd w:w="-28" w:type="dxa"/>
        <w:tblLayout w:type="fixed"/>
        <w:tblLook w:val="01E0" w:firstRow="1" w:lastRow="1" w:firstColumn="1" w:lastColumn="1" w:noHBand="0" w:noVBand="0"/>
      </w:tblPr>
      <w:tblGrid>
        <w:gridCol w:w="3240"/>
        <w:gridCol w:w="5562"/>
      </w:tblGrid>
      <w:tr w:rsidR="00CF014C" w:rsidRPr="00236544" w14:paraId="55EB8F88" w14:textId="77777777" w:rsidTr="00CF014C">
        <w:trPr>
          <w:trHeight w:val="692"/>
        </w:trPr>
        <w:tc>
          <w:tcPr>
            <w:tcW w:w="8802" w:type="dxa"/>
            <w:gridSpan w:val="2"/>
            <w:shd w:val="clear" w:color="auto" w:fill="auto"/>
          </w:tcPr>
          <w:p w14:paraId="71C66246" w14:textId="77777777" w:rsidR="00CF014C" w:rsidRPr="00236544" w:rsidRDefault="00CF014C" w:rsidP="005C5894">
            <w:pPr>
              <w:rPr>
                <w:rFonts w:ascii="Arial" w:hAnsi="Arial"/>
                <w:b/>
                <w:bCs/>
                <w:sz w:val="26"/>
                <w:szCs w:val="26"/>
              </w:rPr>
            </w:pPr>
            <w:r w:rsidRPr="00236544">
              <w:rPr>
                <w:rFonts w:ascii="Arial" w:eastAsia="David" w:hAnsi="Arial" w:hint="cs"/>
                <w:b/>
                <w:bCs/>
                <w:sz w:val="26"/>
                <w:szCs w:val="26"/>
                <w:rtl/>
              </w:rPr>
              <w:t>לפני כבוד השופט אברהם אליקים, סגן נשיא</w:t>
            </w:r>
          </w:p>
          <w:p w14:paraId="62B50772" w14:textId="77777777" w:rsidR="00CF014C" w:rsidRPr="00236544" w:rsidRDefault="00CF014C" w:rsidP="00CF014C">
            <w:pPr>
              <w:jc w:val="center"/>
              <w:rPr>
                <w:rFonts w:ascii="Arial" w:eastAsia="David" w:hAnsi="Arial"/>
                <w:b/>
                <w:bCs/>
                <w:sz w:val="26"/>
                <w:szCs w:val="26"/>
                <w:rtl/>
              </w:rPr>
            </w:pPr>
          </w:p>
        </w:tc>
      </w:tr>
      <w:tr w:rsidR="00CF014C" w:rsidRPr="00236544" w14:paraId="5ED2318F" w14:textId="77777777" w:rsidTr="00CF014C">
        <w:tc>
          <w:tcPr>
            <w:tcW w:w="3240" w:type="dxa"/>
            <w:shd w:val="clear" w:color="auto" w:fill="auto"/>
          </w:tcPr>
          <w:p w14:paraId="48EE3C8E" w14:textId="77777777" w:rsidR="00CF014C" w:rsidRPr="00236544" w:rsidRDefault="00CF014C" w:rsidP="00CF014C">
            <w:pPr>
              <w:ind w:left="26"/>
              <w:rPr>
                <w:b/>
                <w:bCs/>
                <w:sz w:val="26"/>
                <w:szCs w:val="26"/>
              </w:rPr>
            </w:pPr>
            <w:bookmarkStart w:id="0" w:name="FirstAppellant"/>
            <w:bookmarkStart w:id="1" w:name="LastJudge"/>
            <w:bookmarkEnd w:id="1"/>
            <w:r w:rsidRPr="00236544">
              <w:rPr>
                <w:rFonts w:hint="cs"/>
                <w:b/>
                <w:bCs/>
                <w:sz w:val="26"/>
                <w:szCs w:val="26"/>
                <w:rtl/>
              </w:rPr>
              <w:t>המאשימה</w:t>
            </w:r>
          </w:p>
        </w:tc>
        <w:tc>
          <w:tcPr>
            <w:tcW w:w="5562" w:type="dxa"/>
            <w:shd w:val="clear" w:color="auto" w:fill="auto"/>
          </w:tcPr>
          <w:p w14:paraId="7695FFDB" w14:textId="77777777" w:rsidR="00CF014C" w:rsidRPr="00236544" w:rsidRDefault="00CF014C" w:rsidP="005C5894">
            <w:pPr>
              <w:rPr>
                <w:rtl/>
              </w:rPr>
            </w:pPr>
            <w:r w:rsidRPr="00236544">
              <w:rPr>
                <w:rFonts w:hint="cs"/>
                <w:b/>
                <w:bCs/>
                <w:sz w:val="26"/>
                <w:szCs w:val="26"/>
                <w:rtl/>
              </w:rPr>
              <w:t xml:space="preserve">מדינת ישראל  </w:t>
            </w:r>
          </w:p>
          <w:p w14:paraId="73856074" w14:textId="77777777" w:rsidR="00CF014C" w:rsidRPr="00236544" w:rsidRDefault="00CF014C" w:rsidP="005C5894">
            <w:pPr>
              <w:rPr>
                <w:b/>
                <w:bCs/>
                <w:sz w:val="26"/>
                <w:szCs w:val="26"/>
              </w:rPr>
            </w:pPr>
          </w:p>
        </w:tc>
      </w:tr>
      <w:bookmarkEnd w:id="0"/>
      <w:tr w:rsidR="00CF014C" w:rsidRPr="00236544" w14:paraId="103DBE18" w14:textId="77777777" w:rsidTr="00CF014C">
        <w:tc>
          <w:tcPr>
            <w:tcW w:w="8802" w:type="dxa"/>
            <w:gridSpan w:val="2"/>
            <w:shd w:val="clear" w:color="auto" w:fill="auto"/>
          </w:tcPr>
          <w:p w14:paraId="40C418AF" w14:textId="77777777" w:rsidR="00CF014C" w:rsidRPr="00236544" w:rsidRDefault="00CF014C" w:rsidP="00CF014C">
            <w:pPr>
              <w:jc w:val="both"/>
              <w:rPr>
                <w:rFonts w:ascii="Arial" w:hAnsi="Arial"/>
                <w:b/>
                <w:bCs/>
                <w:sz w:val="26"/>
                <w:szCs w:val="26"/>
                <w:rtl/>
              </w:rPr>
            </w:pPr>
          </w:p>
          <w:p w14:paraId="3DF3D455" w14:textId="77777777" w:rsidR="00CF014C" w:rsidRPr="00236544" w:rsidRDefault="00CF014C" w:rsidP="00CF014C">
            <w:pPr>
              <w:jc w:val="center"/>
              <w:rPr>
                <w:rFonts w:ascii="Arial" w:hAnsi="Arial"/>
                <w:b/>
                <w:bCs/>
                <w:sz w:val="26"/>
                <w:szCs w:val="26"/>
                <w:rtl/>
              </w:rPr>
            </w:pPr>
            <w:r w:rsidRPr="00236544">
              <w:rPr>
                <w:rFonts w:ascii="Arial" w:hAnsi="Arial" w:hint="cs"/>
                <w:b/>
                <w:bCs/>
                <w:sz w:val="26"/>
                <w:szCs w:val="26"/>
                <w:rtl/>
              </w:rPr>
              <w:t>נגד</w:t>
            </w:r>
          </w:p>
          <w:p w14:paraId="4E2583CA" w14:textId="77777777" w:rsidR="00CF014C" w:rsidRPr="00236544" w:rsidRDefault="00CF014C" w:rsidP="00CF014C">
            <w:pPr>
              <w:jc w:val="center"/>
              <w:rPr>
                <w:rFonts w:ascii="Arial" w:hAnsi="Arial"/>
                <w:b/>
                <w:bCs/>
                <w:sz w:val="26"/>
                <w:szCs w:val="26"/>
                <w:rtl/>
              </w:rPr>
            </w:pPr>
          </w:p>
        </w:tc>
      </w:tr>
      <w:tr w:rsidR="00CF014C" w:rsidRPr="00236544" w14:paraId="15063802" w14:textId="77777777" w:rsidTr="00CF014C">
        <w:tc>
          <w:tcPr>
            <w:tcW w:w="3240" w:type="dxa"/>
            <w:shd w:val="clear" w:color="auto" w:fill="auto"/>
          </w:tcPr>
          <w:p w14:paraId="2BB24CCD" w14:textId="77777777" w:rsidR="00CF014C" w:rsidRPr="00236544" w:rsidRDefault="00CF014C" w:rsidP="00CF014C">
            <w:pPr>
              <w:ind w:left="26"/>
              <w:rPr>
                <w:b/>
                <w:bCs/>
                <w:sz w:val="26"/>
                <w:szCs w:val="26"/>
              </w:rPr>
            </w:pPr>
            <w:r w:rsidRPr="00236544">
              <w:rPr>
                <w:rFonts w:hint="cs"/>
                <w:b/>
                <w:bCs/>
                <w:sz w:val="26"/>
                <w:szCs w:val="26"/>
                <w:rtl/>
              </w:rPr>
              <w:t>הנאשם</w:t>
            </w:r>
          </w:p>
        </w:tc>
        <w:tc>
          <w:tcPr>
            <w:tcW w:w="5562" w:type="dxa"/>
            <w:shd w:val="clear" w:color="auto" w:fill="auto"/>
          </w:tcPr>
          <w:p w14:paraId="72392325" w14:textId="77777777" w:rsidR="00CF014C" w:rsidRPr="00236544" w:rsidRDefault="00CF014C" w:rsidP="005C5894">
            <w:pPr>
              <w:rPr>
                <w:b/>
                <w:bCs/>
                <w:sz w:val="26"/>
                <w:szCs w:val="26"/>
                <w:rtl/>
              </w:rPr>
            </w:pPr>
            <w:r w:rsidRPr="00236544">
              <w:rPr>
                <w:rFonts w:hint="cs"/>
                <w:b/>
                <w:bCs/>
                <w:sz w:val="26"/>
                <w:szCs w:val="26"/>
                <w:rtl/>
              </w:rPr>
              <w:t xml:space="preserve"> זידאן זידאן (עציר) ת.ז. </w:t>
            </w:r>
            <w:r w:rsidR="00236544">
              <w:rPr>
                <w:b/>
                <w:bCs/>
                <w:sz w:val="26"/>
                <w:szCs w:val="26"/>
              </w:rPr>
              <w:t>xxxxxxxxxxxxx</w:t>
            </w:r>
          </w:p>
        </w:tc>
      </w:tr>
    </w:tbl>
    <w:p w14:paraId="2A9F580E" w14:textId="77777777" w:rsidR="002A10BF" w:rsidRDefault="002A10BF" w:rsidP="00CF014C">
      <w:pPr>
        <w:spacing w:line="360" w:lineRule="auto"/>
        <w:jc w:val="both"/>
        <w:rPr>
          <w:rFonts w:ascii="David" w:hAnsi="David"/>
          <w:rtl/>
        </w:rPr>
      </w:pPr>
      <w:bookmarkStart w:id="2" w:name="LawTable"/>
      <w:bookmarkEnd w:id="2"/>
    </w:p>
    <w:p w14:paraId="3E01D4D2" w14:textId="77777777" w:rsidR="002A10BF" w:rsidRPr="002A10BF" w:rsidRDefault="002A10BF" w:rsidP="002A10BF">
      <w:pPr>
        <w:spacing w:after="120" w:line="240" w:lineRule="exact"/>
        <w:ind w:left="283" w:hanging="283"/>
        <w:jc w:val="both"/>
        <w:rPr>
          <w:rFonts w:ascii="FrankRuehl" w:hAnsi="FrankRuehl" w:cs="FrankRuehl"/>
          <w:rtl/>
        </w:rPr>
      </w:pPr>
      <w:r w:rsidRPr="002A10BF">
        <w:rPr>
          <w:rFonts w:ascii="FrankRuehl" w:hAnsi="FrankRuehl" w:cs="FrankRuehl"/>
          <w:rtl/>
        </w:rPr>
        <w:t xml:space="preserve">חקיקה שאוזכרה: </w:t>
      </w:r>
    </w:p>
    <w:p w14:paraId="674E5DEB" w14:textId="77777777" w:rsidR="002A10BF" w:rsidRPr="002A10BF" w:rsidRDefault="002A10BF" w:rsidP="002A10BF">
      <w:pPr>
        <w:spacing w:after="120" w:line="240" w:lineRule="exact"/>
        <w:ind w:left="283" w:hanging="283"/>
        <w:jc w:val="both"/>
        <w:rPr>
          <w:rFonts w:ascii="FrankRuehl" w:hAnsi="FrankRuehl" w:cs="FrankRuehl"/>
          <w:rtl/>
        </w:rPr>
      </w:pPr>
      <w:hyperlink r:id="rId7" w:history="1">
        <w:r w:rsidRPr="002A10BF">
          <w:rPr>
            <w:rFonts w:ascii="FrankRuehl" w:hAnsi="FrankRuehl" w:cs="FrankRuehl"/>
            <w:color w:val="0000FF"/>
            <w:u w:val="single"/>
            <w:rtl/>
          </w:rPr>
          <w:t>חוק העונשין, תשל"ז-1977</w:t>
        </w:r>
      </w:hyperlink>
      <w:r w:rsidRPr="002A10BF">
        <w:rPr>
          <w:rFonts w:ascii="FrankRuehl" w:hAnsi="FrankRuehl" w:cs="FrankRuehl"/>
          <w:rtl/>
        </w:rPr>
        <w:t xml:space="preserve">: סע'  </w:t>
      </w:r>
      <w:hyperlink r:id="rId8" w:history="1">
        <w:r w:rsidRPr="002A10BF">
          <w:rPr>
            <w:rFonts w:ascii="FrankRuehl" w:hAnsi="FrankRuehl" w:cs="FrankRuehl"/>
            <w:color w:val="0000FF"/>
            <w:u w:val="single"/>
            <w:rtl/>
          </w:rPr>
          <w:t>40ב'</w:t>
        </w:r>
      </w:hyperlink>
      <w:r w:rsidRPr="002A10BF">
        <w:rPr>
          <w:rFonts w:ascii="FrankRuehl" w:hAnsi="FrankRuehl" w:cs="FrankRuehl"/>
          <w:rtl/>
        </w:rPr>
        <w:t xml:space="preserve">, </w:t>
      </w:r>
      <w:hyperlink r:id="rId9" w:history="1">
        <w:r w:rsidRPr="002A10BF">
          <w:rPr>
            <w:rFonts w:ascii="FrankRuehl" w:hAnsi="FrankRuehl" w:cs="FrankRuehl"/>
            <w:color w:val="0000FF"/>
            <w:u w:val="single"/>
            <w:rtl/>
          </w:rPr>
          <w:t>40ו</w:t>
        </w:r>
      </w:hyperlink>
      <w:r w:rsidRPr="002A10BF">
        <w:rPr>
          <w:rFonts w:ascii="FrankRuehl" w:hAnsi="FrankRuehl" w:cs="FrankRuehl"/>
          <w:rtl/>
        </w:rPr>
        <w:t xml:space="preserve">, </w:t>
      </w:r>
      <w:hyperlink r:id="rId10" w:history="1">
        <w:r w:rsidRPr="002A10BF">
          <w:rPr>
            <w:rFonts w:ascii="FrankRuehl" w:hAnsi="FrankRuehl" w:cs="FrankRuehl"/>
            <w:color w:val="0000FF"/>
            <w:u w:val="single"/>
            <w:rtl/>
          </w:rPr>
          <w:t>40ז</w:t>
        </w:r>
      </w:hyperlink>
      <w:r w:rsidRPr="002A10BF">
        <w:rPr>
          <w:rFonts w:ascii="FrankRuehl" w:hAnsi="FrankRuehl" w:cs="FrankRuehl"/>
          <w:rtl/>
        </w:rPr>
        <w:t xml:space="preserve">, </w:t>
      </w:r>
      <w:hyperlink r:id="rId11" w:history="1">
        <w:r w:rsidRPr="002A10BF">
          <w:rPr>
            <w:rFonts w:ascii="FrankRuehl" w:hAnsi="FrankRuehl" w:cs="FrankRuehl"/>
            <w:color w:val="0000FF"/>
            <w:u w:val="single"/>
            <w:rtl/>
          </w:rPr>
          <w:t>40י (ד)</w:t>
        </w:r>
      </w:hyperlink>
      <w:r w:rsidRPr="002A10BF">
        <w:rPr>
          <w:rFonts w:ascii="FrankRuehl" w:hAnsi="FrankRuehl" w:cs="FrankRuehl"/>
          <w:rtl/>
        </w:rPr>
        <w:t xml:space="preserve">, </w:t>
      </w:r>
      <w:hyperlink r:id="rId12" w:history="1">
        <w:r w:rsidRPr="002A10BF">
          <w:rPr>
            <w:rFonts w:ascii="FrankRuehl" w:hAnsi="FrankRuehl" w:cs="FrankRuehl"/>
            <w:color w:val="0000FF"/>
            <w:u w:val="single"/>
            <w:rtl/>
          </w:rPr>
          <w:t>144(ב)</w:t>
        </w:r>
      </w:hyperlink>
      <w:r w:rsidRPr="002A10BF">
        <w:rPr>
          <w:rFonts w:ascii="FrankRuehl" w:hAnsi="FrankRuehl" w:cs="FrankRuehl"/>
          <w:rtl/>
        </w:rPr>
        <w:t xml:space="preserve">, </w:t>
      </w:r>
      <w:hyperlink r:id="rId13" w:history="1">
        <w:r w:rsidRPr="002A10BF">
          <w:rPr>
            <w:rFonts w:ascii="FrankRuehl" w:hAnsi="FrankRuehl" w:cs="FrankRuehl"/>
            <w:color w:val="0000FF"/>
            <w:u w:val="single"/>
            <w:rtl/>
          </w:rPr>
          <w:t>340א</w:t>
        </w:r>
      </w:hyperlink>
      <w:r w:rsidRPr="002A10BF">
        <w:rPr>
          <w:rFonts w:ascii="FrankRuehl" w:hAnsi="FrankRuehl" w:cs="FrankRuehl"/>
          <w:rtl/>
        </w:rPr>
        <w:t xml:space="preserve">, </w:t>
      </w:r>
      <w:hyperlink r:id="rId14" w:history="1">
        <w:r w:rsidRPr="002A10BF">
          <w:rPr>
            <w:rFonts w:ascii="FrankRuehl" w:hAnsi="FrankRuehl" w:cs="FrankRuehl"/>
            <w:color w:val="0000FF"/>
            <w:u w:val="single"/>
            <w:rtl/>
          </w:rPr>
          <w:t>340א(ב)(1)</w:t>
        </w:r>
      </w:hyperlink>
      <w:r w:rsidRPr="002A10BF">
        <w:rPr>
          <w:rFonts w:ascii="FrankRuehl" w:hAnsi="FrankRuehl" w:cs="FrankRuehl"/>
          <w:rtl/>
        </w:rPr>
        <w:t xml:space="preserve">, </w:t>
      </w:r>
      <w:hyperlink r:id="rId15" w:history="1">
        <w:r w:rsidRPr="002A10BF">
          <w:rPr>
            <w:rFonts w:ascii="FrankRuehl" w:hAnsi="FrankRuehl" w:cs="FrankRuehl"/>
            <w:color w:val="0000FF"/>
            <w:u w:val="single"/>
            <w:rtl/>
          </w:rPr>
          <w:t>40יא'</w:t>
        </w:r>
      </w:hyperlink>
    </w:p>
    <w:p w14:paraId="4475F436" w14:textId="77777777" w:rsidR="002A10BF" w:rsidRPr="002A10BF" w:rsidRDefault="002A10BF" w:rsidP="002A10B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014C" w14:paraId="19E76504" w14:textId="77777777" w:rsidTr="00CF014C">
        <w:trPr>
          <w:trHeight w:val="355"/>
          <w:jc w:val="center"/>
        </w:trPr>
        <w:tc>
          <w:tcPr>
            <w:tcW w:w="8820" w:type="dxa"/>
            <w:tcBorders>
              <w:top w:val="nil"/>
              <w:left w:val="nil"/>
              <w:bottom w:val="nil"/>
              <w:right w:val="nil"/>
            </w:tcBorders>
            <w:shd w:val="clear" w:color="auto" w:fill="auto"/>
          </w:tcPr>
          <w:p w14:paraId="7C268E69" w14:textId="77777777" w:rsidR="00236544" w:rsidRPr="00236544" w:rsidRDefault="00236544" w:rsidP="00236544">
            <w:pPr>
              <w:jc w:val="center"/>
              <w:rPr>
                <w:rFonts w:ascii="Arial" w:hAnsi="Arial" w:cs="FrankRuehl"/>
                <w:b/>
                <w:bCs/>
                <w:sz w:val="32"/>
                <w:szCs w:val="32"/>
                <w:u w:val="single"/>
                <w:rtl/>
              </w:rPr>
            </w:pPr>
            <w:bookmarkStart w:id="3" w:name="LawTable_End"/>
            <w:bookmarkStart w:id="4" w:name="PsakDin" w:colFirst="0" w:colLast="0"/>
            <w:bookmarkEnd w:id="3"/>
            <w:r w:rsidRPr="00236544">
              <w:rPr>
                <w:rFonts w:ascii="Arial" w:hAnsi="Arial" w:cs="FrankRuehl"/>
                <w:b/>
                <w:bCs/>
                <w:sz w:val="32"/>
                <w:szCs w:val="32"/>
                <w:u w:val="single"/>
                <w:rtl/>
              </w:rPr>
              <w:t>גזר דין</w:t>
            </w:r>
          </w:p>
          <w:p w14:paraId="6E324754" w14:textId="77777777" w:rsidR="00CF014C" w:rsidRPr="00236544" w:rsidRDefault="00CF014C" w:rsidP="00236544">
            <w:pPr>
              <w:jc w:val="center"/>
              <w:rPr>
                <w:rFonts w:ascii="Arial" w:hAnsi="Arial" w:cs="FrankRuehl"/>
                <w:bCs/>
                <w:sz w:val="32"/>
                <w:szCs w:val="32"/>
                <w:u w:val="single"/>
                <w:rtl/>
              </w:rPr>
            </w:pPr>
          </w:p>
        </w:tc>
      </w:tr>
      <w:bookmarkEnd w:id="4"/>
    </w:tbl>
    <w:p w14:paraId="5D1B1BE6" w14:textId="77777777" w:rsidR="00CF014C" w:rsidRPr="00B05847" w:rsidRDefault="00CF014C" w:rsidP="00CF014C">
      <w:pPr>
        <w:rPr>
          <w:rFonts w:ascii="Arial" w:hAnsi="Arial"/>
          <w:rtl/>
        </w:rPr>
      </w:pPr>
    </w:p>
    <w:p w14:paraId="740A3166" w14:textId="77777777" w:rsidR="00CF014C" w:rsidRPr="00B05847" w:rsidRDefault="00CF014C" w:rsidP="00CF014C">
      <w:pPr>
        <w:rPr>
          <w:rFonts w:ascii="Arial" w:hAnsi="Arial"/>
          <w:rtl/>
        </w:rPr>
      </w:pPr>
    </w:p>
    <w:p w14:paraId="46161702" w14:textId="77777777" w:rsidR="00CF014C" w:rsidRDefault="00CF014C" w:rsidP="00CF014C">
      <w:pPr>
        <w:spacing w:line="360" w:lineRule="auto"/>
        <w:ind w:left="360" w:firstLine="360"/>
        <w:contextualSpacing/>
        <w:jc w:val="both"/>
        <w:rPr>
          <w:rFonts w:ascii="Miriam" w:hAnsi="Miriam" w:cs="Miriam"/>
        </w:rPr>
      </w:pPr>
      <w:r>
        <w:rPr>
          <w:rFonts w:ascii="Miriam" w:hAnsi="Miriam" w:cs="Miriam"/>
          <w:rtl/>
        </w:rPr>
        <w:t>מבוא</w:t>
      </w:r>
    </w:p>
    <w:p w14:paraId="587D726E" w14:textId="77777777" w:rsidR="00CF014C" w:rsidRPr="00565F1F" w:rsidRDefault="00CF014C" w:rsidP="00CF014C">
      <w:pPr>
        <w:numPr>
          <w:ilvl w:val="0"/>
          <w:numId w:val="2"/>
        </w:numPr>
        <w:spacing w:line="360" w:lineRule="auto"/>
        <w:jc w:val="both"/>
        <w:rPr>
          <w:rFonts w:ascii="FrankRuehl" w:hAnsi="FrankRuehl" w:cs="FrankRuehl"/>
          <w:sz w:val="28"/>
          <w:szCs w:val="28"/>
        </w:rPr>
      </w:pPr>
      <w:bookmarkStart w:id="5" w:name="ABSTRACT_START"/>
      <w:bookmarkEnd w:id="5"/>
      <w:r w:rsidRPr="00565F1F">
        <w:rPr>
          <w:rFonts w:ascii="FrankRuehl" w:hAnsi="FrankRuehl" w:cs="FrankRuehl"/>
          <w:sz w:val="28"/>
          <w:szCs w:val="28"/>
          <w:rtl/>
        </w:rPr>
        <w:t>הנאשם הורשע לאחר הודאתו בעובדות כתב אישום שתוקן במסגרת הסדר טיעון שלא כלל הסכמה לעונש</w:t>
      </w:r>
      <w:r>
        <w:rPr>
          <w:rFonts w:ascii="FrankRuehl" w:hAnsi="FrankRuehl" w:cs="FrankRuehl" w:hint="cs"/>
          <w:sz w:val="28"/>
          <w:szCs w:val="28"/>
          <w:rtl/>
        </w:rPr>
        <w:t>,</w:t>
      </w:r>
      <w:r w:rsidRPr="00565F1F">
        <w:rPr>
          <w:rFonts w:ascii="FrankRuehl" w:hAnsi="FrankRuehl" w:cs="FrankRuehl"/>
          <w:sz w:val="28"/>
          <w:szCs w:val="28"/>
          <w:rtl/>
        </w:rPr>
        <w:t xml:space="preserve"> בעבירה של נשיאת נשק ותחמושת- עבירה לפי </w:t>
      </w:r>
      <w:hyperlink r:id="rId16" w:history="1">
        <w:r w:rsidR="002A10BF" w:rsidRPr="002A10BF">
          <w:rPr>
            <w:rFonts w:ascii="FrankRuehl" w:hAnsi="FrankRuehl" w:cs="FrankRuehl"/>
            <w:color w:val="0000FF"/>
            <w:sz w:val="28"/>
            <w:szCs w:val="28"/>
            <w:u w:val="single"/>
            <w:rtl/>
          </w:rPr>
          <w:t>סעיף 144(ב)</w:t>
        </w:r>
      </w:hyperlink>
      <w:r w:rsidRPr="00565F1F">
        <w:rPr>
          <w:rFonts w:ascii="FrankRuehl" w:hAnsi="FrankRuehl" w:cs="FrankRuehl"/>
          <w:sz w:val="28"/>
          <w:szCs w:val="28"/>
          <w:rtl/>
        </w:rPr>
        <w:t xml:space="preserve"> רישא וסיפא</w:t>
      </w:r>
      <w:r>
        <w:rPr>
          <w:rtl/>
        </w:rPr>
        <w:t xml:space="preserve"> ל</w:t>
      </w:r>
      <w:hyperlink r:id="rId17" w:history="1">
        <w:r w:rsidR="00236544" w:rsidRPr="00236544">
          <w:rPr>
            <w:rFonts w:cs="Miriam"/>
            <w:color w:val="0000FF"/>
            <w:u w:val="single"/>
            <w:rtl/>
          </w:rPr>
          <w:t>חוק העונשין</w:t>
        </w:r>
      </w:hyperlink>
      <w:r>
        <w:rPr>
          <w:rFonts w:cs="Miriam"/>
          <w:rtl/>
        </w:rPr>
        <w:t xml:space="preserve">, התשל"ז-1977 </w:t>
      </w:r>
      <w:r w:rsidRPr="00565F1F">
        <w:rPr>
          <w:rFonts w:ascii="FrankRuehl" w:hAnsi="FrankRuehl" w:cs="FrankRuehl"/>
          <w:sz w:val="28"/>
          <w:szCs w:val="28"/>
          <w:rtl/>
        </w:rPr>
        <w:t>(להלן- החוק) ועבירה של ירי מנשק חם באזור מגורים- עבירה לפי</w:t>
      </w:r>
      <w:r>
        <w:rPr>
          <w:rtl/>
        </w:rPr>
        <w:t xml:space="preserve"> </w:t>
      </w:r>
      <w:hyperlink r:id="rId18" w:history="1">
        <w:r w:rsidR="002A10BF" w:rsidRPr="002A10BF">
          <w:rPr>
            <w:rFonts w:ascii="FrankRuehl" w:hAnsi="FrankRuehl" w:cs="FrankRuehl"/>
            <w:color w:val="0000FF"/>
            <w:sz w:val="28"/>
            <w:szCs w:val="28"/>
            <w:u w:val="single"/>
            <w:rtl/>
          </w:rPr>
          <w:t>סעיף 340א(ב)(1)</w:t>
        </w:r>
      </w:hyperlink>
      <w:r w:rsidRPr="00565F1F">
        <w:rPr>
          <w:rFonts w:ascii="FrankRuehl" w:hAnsi="FrankRuehl" w:cs="FrankRuehl"/>
          <w:sz w:val="28"/>
          <w:szCs w:val="28"/>
          <w:rtl/>
        </w:rPr>
        <w:t xml:space="preserve"> לחוק</w:t>
      </w:r>
      <w:r w:rsidRPr="00565F1F">
        <w:rPr>
          <w:rFonts w:ascii="FrankRuehl" w:hAnsi="FrankRuehl" w:cs="FrankRuehl" w:hint="cs"/>
          <w:sz w:val="28"/>
          <w:szCs w:val="28"/>
          <w:rtl/>
        </w:rPr>
        <w:t>.</w:t>
      </w:r>
    </w:p>
    <w:p w14:paraId="5F9BC378" w14:textId="77777777" w:rsidR="00CF014C" w:rsidRDefault="00CF014C" w:rsidP="00CF014C">
      <w:pPr>
        <w:spacing w:line="360" w:lineRule="auto"/>
        <w:ind w:left="720"/>
        <w:jc w:val="both"/>
        <w:rPr>
          <w:rFonts w:ascii="Arial" w:hAnsi="Arial" w:cs="FrankRuehl"/>
          <w:szCs w:val="28"/>
          <w:rtl/>
        </w:rPr>
      </w:pPr>
      <w:bookmarkStart w:id="6" w:name="ABSTRACT_END"/>
      <w:bookmarkEnd w:id="6"/>
    </w:p>
    <w:p w14:paraId="75A6C6CE" w14:textId="77777777" w:rsidR="00CF014C" w:rsidRPr="00565F1F" w:rsidRDefault="00CF014C" w:rsidP="00CF014C">
      <w:pPr>
        <w:numPr>
          <w:ilvl w:val="0"/>
          <w:numId w:val="2"/>
        </w:numPr>
        <w:spacing w:line="360" w:lineRule="auto"/>
        <w:jc w:val="both"/>
        <w:rPr>
          <w:rFonts w:ascii="FrankRuehl" w:hAnsi="FrankRuehl" w:cs="FrankRuehl"/>
          <w:sz w:val="28"/>
          <w:szCs w:val="28"/>
        </w:rPr>
      </w:pPr>
      <w:r w:rsidRPr="00565F1F">
        <w:rPr>
          <w:rFonts w:ascii="FrankRuehl" w:hAnsi="FrankRuehl" w:cs="FrankRuehl"/>
          <w:sz w:val="28"/>
          <w:szCs w:val="28"/>
          <w:rtl/>
        </w:rPr>
        <w:t>על פי כתב האישום המתוקן (סומן א</w:t>
      </w:r>
      <w:r>
        <w:rPr>
          <w:rFonts w:ascii="FrankRuehl" w:hAnsi="FrankRuehl" w:cs="FrankRuehl" w:hint="cs"/>
          <w:sz w:val="28"/>
          <w:szCs w:val="28"/>
          <w:rtl/>
        </w:rPr>
        <w:t>)</w:t>
      </w:r>
      <w:r w:rsidRPr="00565F1F">
        <w:rPr>
          <w:rFonts w:ascii="FrankRuehl" w:hAnsi="FrankRuehl" w:cs="FrankRuehl"/>
          <w:sz w:val="28"/>
          <w:szCs w:val="28"/>
          <w:rtl/>
        </w:rPr>
        <w:t>, ביום 22.3.2019, בסמוך לחצות הלילה, נשא הנאשם שלא כדין נשק מסוג תת-מקלע מאולתר שסוגל לירות קליע או כדור שבכוחם להמית אדם (להלן- הנשק) ושלוש מחסניות תואמות לנשק וכדורים תואמים לנשק. באותו מועד, בין השעה 00:30 לערך ועד השעה 3:00, התהלך הנאשם בתוך מתחם ביתו, שהינו מתחם המורכב ממספר בתים מאוכלסים, בין החצר הקדמית ל</w:t>
      </w:r>
      <w:r>
        <w:rPr>
          <w:rFonts w:ascii="FrankRuehl" w:hAnsi="FrankRuehl" w:cs="FrankRuehl" w:hint="cs"/>
          <w:sz w:val="28"/>
          <w:szCs w:val="28"/>
          <w:rtl/>
        </w:rPr>
        <w:t>בין החצר ה</w:t>
      </w:r>
      <w:r w:rsidRPr="00565F1F">
        <w:rPr>
          <w:rFonts w:ascii="FrankRuehl" w:hAnsi="FrankRuehl" w:cs="FrankRuehl"/>
          <w:sz w:val="28"/>
          <w:szCs w:val="28"/>
          <w:rtl/>
        </w:rPr>
        <w:t>אחורית, כשהוא נושא את הנשק, טען מחסניות בכדורים וטען את הנשק במחסניות. תוך כדי כך, במספר הזדמנויות, דרך הנאשם את הנשק וירה באוויר ארבע יריות בתוך המתחם, וניסה לירות פעמים נוספות</w:t>
      </w:r>
      <w:r>
        <w:rPr>
          <w:rFonts w:ascii="FrankRuehl" w:hAnsi="FrankRuehl" w:cs="FrankRuehl" w:hint="cs"/>
          <w:sz w:val="28"/>
          <w:szCs w:val="28"/>
          <w:rtl/>
        </w:rPr>
        <w:t xml:space="preserve">. </w:t>
      </w:r>
      <w:r w:rsidRPr="00565F1F">
        <w:rPr>
          <w:rFonts w:ascii="FrankRuehl" w:hAnsi="FrankRuehl" w:cs="FrankRuehl"/>
          <w:sz w:val="28"/>
          <w:szCs w:val="28"/>
          <w:rtl/>
        </w:rPr>
        <w:t xml:space="preserve">לאחר הירי שביצע, אסף את התרמילים והניח בתוך שקית את </w:t>
      </w:r>
      <w:r w:rsidRPr="00565F1F">
        <w:rPr>
          <w:rFonts w:ascii="FrankRuehl" w:hAnsi="FrankRuehl" w:cs="FrankRuehl"/>
          <w:sz w:val="28"/>
          <w:szCs w:val="28"/>
          <w:rtl/>
        </w:rPr>
        <w:lastRenderedPageBreak/>
        <w:t>הנשק שהיה טעון בכדור בבית הבליעה ובמחסנית ריקה, והניח שתי מחסניות נוספות, אחת טעונה בכדור, והשנ</w:t>
      </w:r>
      <w:r w:rsidRPr="00565F1F">
        <w:rPr>
          <w:rFonts w:ascii="FrankRuehl" w:hAnsi="FrankRuehl" w:cs="FrankRuehl" w:hint="cs"/>
          <w:sz w:val="28"/>
          <w:szCs w:val="28"/>
          <w:rtl/>
        </w:rPr>
        <w:t>י</w:t>
      </w:r>
      <w:r w:rsidRPr="00565F1F">
        <w:rPr>
          <w:rFonts w:ascii="FrankRuehl" w:hAnsi="FrankRuehl" w:cs="FrankRuehl"/>
          <w:sz w:val="28"/>
          <w:szCs w:val="28"/>
          <w:rtl/>
        </w:rPr>
        <w:t xml:space="preserve">יה ריקה, בין שיחים בחצר האחורית במתחם. לאחר מכן, עזב הנאשם את המקום. שוטרים שהוזעקו למקום בעקבות דיווח על </w:t>
      </w:r>
      <w:r>
        <w:rPr>
          <w:rFonts w:ascii="FrankRuehl" w:hAnsi="FrankRuehl" w:cs="FrankRuehl" w:hint="cs"/>
          <w:sz w:val="28"/>
          <w:szCs w:val="28"/>
          <w:rtl/>
        </w:rPr>
        <w:t>ה</w:t>
      </w:r>
      <w:r w:rsidRPr="00565F1F">
        <w:rPr>
          <w:rFonts w:ascii="FrankRuehl" w:hAnsi="FrankRuehl" w:cs="FrankRuehl"/>
          <w:sz w:val="28"/>
          <w:szCs w:val="28"/>
          <w:rtl/>
        </w:rPr>
        <w:t>ירי איתרו ותפסו את הנש</w:t>
      </w:r>
      <w:r>
        <w:rPr>
          <w:rFonts w:ascii="FrankRuehl" w:hAnsi="FrankRuehl" w:cs="FrankRuehl" w:hint="cs"/>
          <w:sz w:val="28"/>
          <w:szCs w:val="28"/>
          <w:rtl/>
        </w:rPr>
        <w:t>ק</w:t>
      </w:r>
      <w:r w:rsidRPr="00565F1F">
        <w:rPr>
          <w:rFonts w:ascii="FrankRuehl" w:hAnsi="FrankRuehl" w:cs="FrankRuehl"/>
          <w:sz w:val="28"/>
          <w:szCs w:val="28"/>
          <w:rtl/>
        </w:rPr>
        <w:t>, המחסניות והכדורים.</w:t>
      </w:r>
    </w:p>
    <w:p w14:paraId="1A25C27A" w14:textId="77777777" w:rsidR="00CF014C" w:rsidRDefault="00CF014C" w:rsidP="00CF014C">
      <w:pPr>
        <w:spacing w:line="360" w:lineRule="auto"/>
        <w:ind w:left="720"/>
        <w:contextualSpacing/>
        <w:jc w:val="both"/>
        <w:rPr>
          <w:rtl/>
        </w:rPr>
      </w:pPr>
    </w:p>
    <w:p w14:paraId="35A27CB1" w14:textId="77777777" w:rsidR="00CF014C" w:rsidRPr="00AB52BD" w:rsidRDefault="00CF014C" w:rsidP="00CF014C">
      <w:pPr>
        <w:spacing w:line="360" w:lineRule="auto"/>
        <w:ind w:left="720"/>
        <w:contextualSpacing/>
        <w:jc w:val="both"/>
      </w:pPr>
    </w:p>
    <w:p w14:paraId="359658E2" w14:textId="77777777" w:rsidR="00CF014C" w:rsidRDefault="00CF014C" w:rsidP="00CF014C">
      <w:pPr>
        <w:pStyle w:val="a9"/>
        <w:spacing w:line="360" w:lineRule="auto"/>
        <w:jc w:val="both"/>
        <w:rPr>
          <w:u w:val="single"/>
        </w:rPr>
      </w:pPr>
      <w:r>
        <w:rPr>
          <w:rFonts w:cs="Miriam"/>
          <w:szCs w:val="24"/>
          <w:rtl/>
        </w:rPr>
        <w:t>ראיות לעונש</w:t>
      </w:r>
    </w:p>
    <w:p w14:paraId="63DCB3FC" w14:textId="77777777" w:rsidR="00CF014C" w:rsidRPr="00957A70" w:rsidRDefault="00CF014C" w:rsidP="00CF014C">
      <w:pPr>
        <w:numPr>
          <w:ilvl w:val="0"/>
          <w:numId w:val="2"/>
        </w:numPr>
        <w:spacing w:line="360" w:lineRule="auto"/>
        <w:contextualSpacing/>
        <w:jc w:val="both"/>
        <w:rPr>
          <w:rFonts w:ascii="FrankRuehl" w:hAnsi="FrankRuehl" w:cs="FrankRuehl"/>
          <w:sz w:val="28"/>
          <w:szCs w:val="28"/>
          <w:rtl/>
        </w:rPr>
      </w:pPr>
      <w:r w:rsidRPr="00957A70">
        <w:rPr>
          <w:rFonts w:ascii="FrankRuehl" w:hAnsi="FrankRuehl" w:cs="FrankRuehl"/>
          <w:sz w:val="28"/>
          <w:szCs w:val="28"/>
          <w:rtl/>
        </w:rPr>
        <w:t>ב"כ המאשימה לא הגישה ראיות לעונש. לנאשם אין רישום פלילי.</w:t>
      </w:r>
    </w:p>
    <w:p w14:paraId="24F1BB3E" w14:textId="77777777" w:rsidR="00CF014C" w:rsidRDefault="00CF014C" w:rsidP="00CF014C">
      <w:pPr>
        <w:pStyle w:val="a9"/>
        <w:spacing w:line="360" w:lineRule="auto"/>
        <w:jc w:val="both"/>
      </w:pPr>
    </w:p>
    <w:p w14:paraId="68A8F431" w14:textId="77777777" w:rsidR="00CF014C" w:rsidRDefault="00CF014C" w:rsidP="00CF014C">
      <w:pPr>
        <w:pStyle w:val="a9"/>
        <w:numPr>
          <w:ilvl w:val="0"/>
          <w:numId w:val="2"/>
        </w:numPr>
        <w:spacing w:line="360" w:lineRule="auto"/>
        <w:jc w:val="both"/>
      </w:pPr>
      <w:r>
        <w:rPr>
          <w:rtl/>
        </w:rPr>
        <w:t>מטעם הנאשם הוגשו המסמכים הבאים:</w:t>
      </w:r>
    </w:p>
    <w:p w14:paraId="34ACDE42" w14:textId="77777777" w:rsidR="00CF014C" w:rsidRDefault="00CF014C" w:rsidP="00CF014C">
      <w:pPr>
        <w:pStyle w:val="a9"/>
        <w:numPr>
          <w:ilvl w:val="2"/>
          <w:numId w:val="2"/>
        </w:numPr>
        <w:spacing w:line="360" w:lineRule="auto"/>
        <w:ind w:left="1218"/>
        <w:jc w:val="both"/>
      </w:pPr>
      <w:r>
        <w:rPr>
          <w:rtl/>
        </w:rPr>
        <w:t>היתר בניה (ס/1) לדירה אותה הנאשם בונה בעזרת משפחתו, דירה אשר בנייתה טרם הושלמה.</w:t>
      </w:r>
    </w:p>
    <w:p w14:paraId="66D75760" w14:textId="77777777" w:rsidR="00CF014C" w:rsidRDefault="00CF014C" w:rsidP="00CF014C">
      <w:pPr>
        <w:pStyle w:val="a9"/>
        <w:numPr>
          <w:ilvl w:val="2"/>
          <w:numId w:val="2"/>
        </w:numPr>
        <w:spacing w:line="360" w:lineRule="auto"/>
        <w:ind w:left="1218"/>
        <w:jc w:val="both"/>
      </w:pPr>
      <w:r>
        <w:rPr>
          <w:rtl/>
        </w:rPr>
        <w:t xml:space="preserve">תעודת </w:t>
      </w:r>
      <w:r>
        <w:rPr>
          <w:rFonts w:hint="cs"/>
          <w:rtl/>
        </w:rPr>
        <w:t xml:space="preserve">גמר ותעודת </w:t>
      </w:r>
      <w:r>
        <w:rPr>
          <w:rtl/>
        </w:rPr>
        <w:t xml:space="preserve">מקצוע </w:t>
      </w:r>
      <w:r>
        <w:rPr>
          <w:rFonts w:hint="cs"/>
          <w:rtl/>
        </w:rPr>
        <w:t>ל</w:t>
      </w:r>
      <w:r>
        <w:rPr>
          <w:rtl/>
        </w:rPr>
        <w:t>מכונאות רכב (ס/2</w:t>
      </w:r>
      <w:r>
        <w:rPr>
          <w:rFonts w:hint="cs"/>
          <w:rtl/>
        </w:rPr>
        <w:t>, ס/3</w:t>
      </w:r>
      <w:r>
        <w:rPr>
          <w:rtl/>
        </w:rPr>
        <w:t>).</w:t>
      </w:r>
    </w:p>
    <w:p w14:paraId="6E3FF010" w14:textId="77777777" w:rsidR="00CF014C" w:rsidRDefault="00CF014C" w:rsidP="00CF014C">
      <w:pPr>
        <w:pStyle w:val="a9"/>
        <w:numPr>
          <w:ilvl w:val="2"/>
          <w:numId w:val="2"/>
        </w:numPr>
        <w:spacing w:line="360" w:lineRule="auto"/>
        <w:ind w:left="1218"/>
        <w:jc w:val="both"/>
      </w:pPr>
      <w:r>
        <w:rPr>
          <w:rtl/>
        </w:rPr>
        <w:t>מכתב המלצה (ס/4) מטאהא טאהא זידאן אחד ממנהיגי משפחת זידאן, אשר כיהן בעבר כראש המועצה המקומית כפר מנדא. לטענתו הנאשם בחור צעיר שעבד עם אביו לאחר סיום לימודים תיכוניים, מעולם לא הסתבך בפלילים, מתעתד להינשא בקרוב ולהיכנס לביתו החדש,  ביקש כי בית המשפט יתחשב בעובדה כי לא נגרם נזק לגוף או לרכוש כתוצאה מהאירוע ולהימנע מהטלת עונש של מאסר בפועל על הנאשם.</w:t>
      </w:r>
    </w:p>
    <w:p w14:paraId="25E98F20" w14:textId="77777777" w:rsidR="00CF014C" w:rsidRDefault="00CF014C" w:rsidP="00CF014C">
      <w:pPr>
        <w:pStyle w:val="a9"/>
        <w:spacing w:line="360" w:lineRule="auto"/>
        <w:ind w:left="1218"/>
        <w:jc w:val="both"/>
      </w:pPr>
    </w:p>
    <w:p w14:paraId="0C24751A" w14:textId="77777777" w:rsidR="00CF014C" w:rsidRDefault="00CF014C" w:rsidP="00CF014C">
      <w:pPr>
        <w:pStyle w:val="a9"/>
        <w:autoSpaceDE w:val="0"/>
        <w:autoSpaceDN w:val="0"/>
        <w:adjustRightInd w:val="0"/>
        <w:spacing w:line="360" w:lineRule="auto"/>
        <w:jc w:val="both"/>
        <w:rPr>
          <w:rFonts w:ascii="Miriam" w:hAnsi="Miriam" w:cs="Miriam"/>
          <w:szCs w:val="24"/>
        </w:rPr>
      </w:pPr>
      <w:r>
        <w:rPr>
          <w:rFonts w:ascii="Miriam" w:hAnsi="Miriam" w:cs="Miriam"/>
          <w:szCs w:val="24"/>
          <w:rtl/>
        </w:rPr>
        <w:t>תסקירי שירות המבחן</w:t>
      </w:r>
    </w:p>
    <w:p w14:paraId="6DAD1BF1" w14:textId="77777777" w:rsidR="00CF014C" w:rsidRDefault="00CF014C" w:rsidP="00CF014C">
      <w:pPr>
        <w:pStyle w:val="a9"/>
        <w:numPr>
          <w:ilvl w:val="0"/>
          <w:numId w:val="2"/>
        </w:numPr>
        <w:autoSpaceDE w:val="0"/>
        <w:autoSpaceDN w:val="0"/>
        <w:adjustRightInd w:val="0"/>
        <w:spacing w:line="360" w:lineRule="auto"/>
        <w:jc w:val="both"/>
        <w:rPr>
          <w:rtl/>
        </w:rPr>
      </w:pPr>
      <w:r>
        <w:rPr>
          <w:rtl/>
        </w:rPr>
        <w:t>שירות המבחן למבוגרים נמנע מלהציע בעניין הנאשם המלצה טיפולית או המלצה על חלופת ענישה או שיקום אשר יש בה כדי להפחית את הסיכון להישנות מעורבות נוספת בפלילים בעתיד.</w:t>
      </w:r>
    </w:p>
    <w:p w14:paraId="2515E0EB" w14:textId="77777777" w:rsidR="00CF014C" w:rsidRDefault="00CF014C" w:rsidP="00CF014C">
      <w:pPr>
        <w:pStyle w:val="a9"/>
        <w:autoSpaceDE w:val="0"/>
        <w:autoSpaceDN w:val="0"/>
        <w:adjustRightInd w:val="0"/>
        <w:spacing w:line="360" w:lineRule="auto"/>
        <w:jc w:val="both"/>
      </w:pPr>
    </w:p>
    <w:p w14:paraId="53624E4B" w14:textId="77777777" w:rsidR="00CF014C" w:rsidRDefault="00CF014C" w:rsidP="00CF014C">
      <w:pPr>
        <w:pStyle w:val="a9"/>
        <w:autoSpaceDE w:val="0"/>
        <w:autoSpaceDN w:val="0"/>
        <w:adjustRightInd w:val="0"/>
        <w:spacing w:line="360" w:lineRule="auto"/>
        <w:jc w:val="both"/>
        <w:rPr>
          <w:rtl/>
        </w:rPr>
      </w:pPr>
      <w:r>
        <w:rPr>
          <w:rtl/>
        </w:rPr>
        <w:t xml:space="preserve">שירות המבחן התרשם כי מדובר בצעיר נעדר עבר פלילי שקיבל על מעשיו אחריות פורמאלית והביע רצון לשקם את חייו. קצינת המבחן התרשמה כי התנהגותו מעידה על קושי בהפעלת שיקול דעת אחראי ובחינת הסיכונים הכרוכים בהחזקת הנשק ובשימוש בנשק באזור מגורים, ועל קשיים במתן אמון בגורמי תמיכה וסמכות, גורמים אשר ביחד </w:t>
      </w:r>
      <w:r>
        <w:rPr>
          <w:rtl/>
        </w:rPr>
        <w:lastRenderedPageBreak/>
        <w:t xml:space="preserve">עם גורמים נוספים מעלים את הסיכון להתנהגות עוברת חוק בעתיד. הנאשם שולב בטיפול במסגרת קבוצת </w:t>
      </w:r>
      <w:r>
        <w:rPr>
          <w:rFonts w:hint="cs"/>
          <w:rtl/>
        </w:rPr>
        <w:t>'</w:t>
      </w:r>
      <w:r>
        <w:rPr>
          <w:rtl/>
        </w:rPr>
        <w:t>עצורי בית</w:t>
      </w:r>
      <w:r>
        <w:rPr>
          <w:rFonts w:hint="cs"/>
          <w:rtl/>
        </w:rPr>
        <w:t>'</w:t>
      </w:r>
      <w:r>
        <w:rPr>
          <w:rtl/>
        </w:rPr>
        <w:t>, השתתף בחמישה מפגשים עד שנעצר בגין הפרת תנאים ביום 15.8.2019, בפגישה התקשה לשתף מעולמו הנפשי.</w:t>
      </w:r>
    </w:p>
    <w:p w14:paraId="7D62728D" w14:textId="77777777" w:rsidR="00CF014C" w:rsidRDefault="00CF014C" w:rsidP="00CF014C">
      <w:pPr>
        <w:spacing w:line="360" w:lineRule="auto"/>
        <w:ind w:left="360" w:firstLine="360"/>
        <w:contextualSpacing/>
        <w:jc w:val="both"/>
        <w:rPr>
          <w:rFonts w:cs="Miriam"/>
          <w:rtl/>
        </w:rPr>
      </w:pPr>
    </w:p>
    <w:p w14:paraId="44D18D39" w14:textId="77777777" w:rsidR="00CF014C" w:rsidRDefault="00CF014C" w:rsidP="00CF014C">
      <w:pPr>
        <w:spacing w:line="360" w:lineRule="auto"/>
        <w:ind w:left="360" w:firstLine="360"/>
        <w:contextualSpacing/>
        <w:jc w:val="both"/>
        <w:rPr>
          <w:rFonts w:cs="Miriam"/>
          <w:rtl/>
        </w:rPr>
      </w:pPr>
    </w:p>
    <w:p w14:paraId="3623A33E" w14:textId="77777777" w:rsidR="00CF014C" w:rsidRDefault="00CF014C" w:rsidP="00CF014C">
      <w:pPr>
        <w:spacing w:line="360" w:lineRule="auto"/>
        <w:ind w:left="360" w:firstLine="360"/>
        <w:contextualSpacing/>
        <w:jc w:val="both"/>
        <w:rPr>
          <w:rFonts w:cs="Miriam"/>
          <w:rtl/>
        </w:rPr>
      </w:pPr>
      <w:r>
        <w:rPr>
          <w:rFonts w:cs="Miriam"/>
          <w:rtl/>
        </w:rPr>
        <w:t>תמצית טענות הצדדים</w:t>
      </w:r>
    </w:p>
    <w:p w14:paraId="103A4BB5" w14:textId="77777777" w:rsidR="00CF014C" w:rsidRDefault="00CF014C" w:rsidP="00CF014C">
      <w:pPr>
        <w:pStyle w:val="a9"/>
        <w:numPr>
          <w:ilvl w:val="0"/>
          <w:numId w:val="2"/>
        </w:numPr>
        <w:spacing w:line="360" w:lineRule="auto"/>
        <w:jc w:val="both"/>
        <w:rPr>
          <w:rtl/>
        </w:rPr>
      </w:pPr>
      <w:r>
        <w:rPr>
          <w:rtl/>
        </w:rPr>
        <w:t>ב"כ המאשימה בטיעוניה בכתב (ט/1) ובפניי, ביקשה כי בעניינו של הנאשם ייקבע מתחם ענישה שנע בין 36 ל- 60 חודשי מאסר בפועל ועונשו של הנאשם יוטל, נוכח גילו הצעיר, הודאתו והחיסכון בזמן שיפוטי, במקום תחתון במתחם לצד מאסר על תנאי מרתיע.</w:t>
      </w:r>
    </w:p>
    <w:p w14:paraId="27770B7D" w14:textId="77777777" w:rsidR="00CF014C" w:rsidRDefault="00CF014C" w:rsidP="00CF014C">
      <w:pPr>
        <w:pStyle w:val="a9"/>
        <w:spacing w:line="360" w:lineRule="auto"/>
        <w:jc w:val="both"/>
        <w:rPr>
          <w:rtl/>
        </w:rPr>
      </w:pPr>
    </w:p>
    <w:p w14:paraId="1D007EBF" w14:textId="77777777" w:rsidR="00CF014C" w:rsidRDefault="00CF014C" w:rsidP="00CF014C">
      <w:pPr>
        <w:pStyle w:val="a9"/>
        <w:spacing w:line="360" w:lineRule="auto"/>
        <w:jc w:val="both"/>
        <w:rPr>
          <w:rtl/>
        </w:rPr>
      </w:pPr>
      <w:r>
        <w:rPr>
          <w:rtl/>
        </w:rPr>
        <w:t>לטענתה, המתואר בכתב האישום מהווה אירוע אחד, הגם שמדובר בשתי עבירות נוכח העובדה כי מדובר במסכת עובדתית אחת, צמודה בזמן ובמקום.</w:t>
      </w:r>
    </w:p>
    <w:p w14:paraId="370B320A" w14:textId="77777777" w:rsidR="00CF014C" w:rsidRDefault="00CF014C" w:rsidP="00CF014C">
      <w:pPr>
        <w:pStyle w:val="a9"/>
        <w:spacing w:line="360" w:lineRule="auto"/>
        <w:jc w:val="both"/>
        <w:rPr>
          <w:rtl/>
        </w:rPr>
      </w:pPr>
      <w:r>
        <w:rPr>
          <w:rtl/>
        </w:rPr>
        <w:t>לעניין הנסיבות הקשורות לביצוע העבירה, טענה כי עובדות כתב האישום מעידות על חומרת המעשים, הנאשם נשא את הנשק וביצע ירי במקום מגורים מאוכלס, ואין להכביר מילים על הנזק שמעשיו יכלו לגרום. עוד טענה כי הנאשם הינו בגיר ויכול היה להבין את אשר הוא עושה.</w:t>
      </w:r>
    </w:p>
    <w:p w14:paraId="438B7C81" w14:textId="77777777" w:rsidR="00CF014C" w:rsidRDefault="00CF014C" w:rsidP="00CF014C">
      <w:pPr>
        <w:pStyle w:val="a9"/>
        <w:spacing w:line="360" w:lineRule="auto"/>
        <w:jc w:val="both"/>
        <w:rPr>
          <w:rtl/>
        </w:rPr>
      </w:pPr>
    </w:p>
    <w:p w14:paraId="593436A8" w14:textId="77777777" w:rsidR="00CF014C" w:rsidRDefault="00CF014C" w:rsidP="00CF014C">
      <w:pPr>
        <w:pStyle w:val="a9"/>
        <w:spacing w:line="360" w:lineRule="auto"/>
        <w:jc w:val="both"/>
        <w:rPr>
          <w:rtl/>
        </w:rPr>
      </w:pPr>
      <w:r>
        <w:rPr>
          <w:rtl/>
        </w:rPr>
        <w:t>באשר למדיניות הענישה בעבירות מסוג זה, הפנתה למספר פסקי דין אשר לטענתה מתאימים למקרה זה ויכולים לשמש פרמטר לקביעת מתחם העונש ההולם והדגישה כי בפסקי דין נקבע לא אחת כי יש להחמיר בעונשם של עברייני נשק, וזאת בשים לב לסיכון הגלום בעצם החזקת הנשק וקל וחומר בשימוש בו.</w:t>
      </w:r>
    </w:p>
    <w:p w14:paraId="4321A40C" w14:textId="77777777" w:rsidR="00CF014C" w:rsidRDefault="00CF014C" w:rsidP="00CF014C">
      <w:pPr>
        <w:spacing w:line="360" w:lineRule="auto"/>
        <w:jc w:val="both"/>
        <w:rPr>
          <w:rtl/>
        </w:rPr>
      </w:pPr>
    </w:p>
    <w:p w14:paraId="7C9F321A" w14:textId="77777777" w:rsidR="00CF014C" w:rsidRDefault="00CF014C" w:rsidP="00CF014C">
      <w:pPr>
        <w:pStyle w:val="a9"/>
        <w:numPr>
          <w:ilvl w:val="0"/>
          <w:numId w:val="2"/>
        </w:numPr>
        <w:spacing w:line="360" w:lineRule="auto"/>
        <w:jc w:val="both"/>
        <w:rPr>
          <w:rtl/>
        </w:rPr>
      </w:pPr>
      <w:r>
        <w:rPr>
          <w:rtl/>
        </w:rPr>
        <w:t>ב"כ הנאשם ביקש שלא למצות את הדין עם הנאשם, להסתפק בעניינו בעונש צופה פני עתיד ולהסתפק בתקופת מעצרו, עוד טען כי במידה ויוטל על הנאשם עונש מאסר, אזי שיהיה במתחם של עד 9 חודשי מאסר שירוצו בעבודות שירות וזאת לפי פסיקה אותה צירף.</w:t>
      </w:r>
    </w:p>
    <w:p w14:paraId="0252162C" w14:textId="77777777" w:rsidR="00CF014C" w:rsidRDefault="00CF014C" w:rsidP="00CF014C">
      <w:pPr>
        <w:pStyle w:val="a9"/>
        <w:spacing w:line="360" w:lineRule="auto"/>
        <w:jc w:val="both"/>
      </w:pPr>
    </w:p>
    <w:p w14:paraId="222939E1" w14:textId="77777777" w:rsidR="00CF014C" w:rsidRDefault="00CF014C" w:rsidP="00CF014C">
      <w:pPr>
        <w:pStyle w:val="a9"/>
        <w:spacing w:line="360" w:lineRule="auto"/>
        <w:jc w:val="both"/>
        <w:rPr>
          <w:rtl/>
        </w:rPr>
      </w:pPr>
      <w:r>
        <w:rPr>
          <w:rtl/>
        </w:rPr>
        <w:t>כך טען כי הנאשם צעיר בן 22, הוא בגיר צעיר, ללא עבר פלילי, שהודה במעשיו בפני בית המשפט ובחקירתו במשטרה בהזדמנות הראשונה, וחסך מזמנו של בית המשפט.</w:t>
      </w:r>
    </w:p>
    <w:p w14:paraId="229E2071" w14:textId="77777777" w:rsidR="00CF014C" w:rsidRDefault="00CF014C" w:rsidP="00CF014C">
      <w:pPr>
        <w:pStyle w:val="a9"/>
        <w:spacing w:line="360" w:lineRule="auto"/>
        <w:jc w:val="both"/>
        <w:rPr>
          <w:rtl/>
        </w:rPr>
      </w:pPr>
      <w:r>
        <w:rPr>
          <w:rtl/>
        </w:rPr>
        <w:t>לעניין המעשים טען כי הנאשם מצא את הנשק, וכי הירי נעשה בחוסר שליטה מוחלט בשל כך כי שתה אלכוהול.</w:t>
      </w:r>
      <w:r>
        <w:rPr>
          <w:rFonts w:hint="cs"/>
          <w:rtl/>
        </w:rPr>
        <w:t xml:space="preserve"> </w:t>
      </w:r>
      <w:r>
        <w:rPr>
          <w:rtl/>
        </w:rPr>
        <w:t xml:space="preserve">עוד טען כי הנאשם בונה בעזרת משפחתו דירת מגורים, הוא מאורס ובעל תעודת גמר בענף מכונאות הרכב. </w:t>
      </w:r>
    </w:p>
    <w:p w14:paraId="274F6645" w14:textId="77777777" w:rsidR="00CF014C" w:rsidRDefault="00CF014C" w:rsidP="00CF014C">
      <w:pPr>
        <w:pStyle w:val="a9"/>
        <w:spacing w:line="360" w:lineRule="auto"/>
        <w:jc w:val="both"/>
        <w:rPr>
          <w:rtl/>
        </w:rPr>
      </w:pPr>
    </w:p>
    <w:p w14:paraId="2C132907" w14:textId="77777777" w:rsidR="00CF014C" w:rsidRDefault="00CF014C" w:rsidP="00CF014C">
      <w:pPr>
        <w:pStyle w:val="a9"/>
        <w:spacing w:line="360" w:lineRule="auto"/>
        <w:jc w:val="both"/>
        <w:rPr>
          <w:rtl/>
        </w:rPr>
      </w:pPr>
      <w:r>
        <w:rPr>
          <w:rtl/>
        </w:rPr>
        <w:t xml:space="preserve">לעניין תסקיר שירות המבחן טען, כי הנאשם השתתף במפגשים של שירות המבחן, וקיבל אחריות מלאה על מעשיו, לטענתו הנאשם הבין כי עשה טעות, ומעשהו נבע מילדותיות </w:t>
      </w:r>
      <w:r w:rsidRPr="00076EC1">
        <w:rPr>
          <w:rtl/>
        </w:rPr>
        <w:t>נוכח קשריו החברתיים התקינים והעובדה כי אין לו אויבים.</w:t>
      </w:r>
    </w:p>
    <w:p w14:paraId="7619C1B7" w14:textId="77777777" w:rsidR="00CF014C" w:rsidRDefault="00CF014C" w:rsidP="00CF014C">
      <w:pPr>
        <w:pStyle w:val="a9"/>
        <w:spacing w:line="360" w:lineRule="auto"/>
        <w:jc w:val="both"/>
        <w:rPr>
          <w:rtl/>
        </w:rPr>
      </w:pPr>
      <w:r>
        <w:rPr>
          <w:rtl/>
        </w:rPr>
        <w:t xml:space="preserve"> עוד טען כי הנשק לא נועד כדי לבצע נקמה, אלא הנאשם מצא אותו בדרכו הביתה, הנשק לא גרם נזק לאדם או לרכוש.</w:t>
      </w:r>
    </w:p>
    <w:p w14:paraId="552970F5" w14:textId="77777777" w:rsidR="00CF014C" w:rsidRDefault="00CF014C" w:rsidP="00CF014C">
      <w:pPr>
        <w:pStyle w:val="a9"/>
        <w:spacing w:line="360" w:lineRule="auto"/>
        <w:jc w:val="both"/>
        <w:rPr>
          <w:rtl/>
        </w:rPr>
      </w:pPr>
    </w:p>
    <w:p w14:paraId="31DF3B00" w14:textId="77777777" w:rsidR="00CF014C" w:rsidRDefault="00CF014C" w:rsidP="00CF014C">
      <w:pPr>
        <w:pStyle w:val="a9"/>
        <w:numPr>
          <w:ilvl w:val="0"/>
          <w:numId w:val="2"/>
        </w:numPr>
        <w:spacing w:line="360" w:lineRule="auto"/>
        <w:jc w:val="both"/>
        <w:rPr>
          <w:rtl/>
        </w:rPr>
      </w:pPr>
      <w:r>
        <w:rPr>
          <w:rtl/>
        </w:rPr>
        <w:t>בתום דברי בא כוחו, הנאשם הביע חרטה על הטעות שעשה, טען כי היה במעצר כ</w:t>
      </w:r>
      <w:r>
        <w:rPr>
          <w:rFonts w:hint="cs"/>
          <w:rtl/>
        </w:rPr>
        <w:t xml:space="preserve">שלושה </w:t>
      </w:r>
      <w:r>
        <w:rPr>
          <w:rtl/>
        </w:rPr>
        <w:t>חודשים, למד לקח וביקש כי בית המשפט יתחשב ברצונו לצאת לעבוד, להתחתן ולהמשיך בבניית דירתו.</w:t>
      </w:r>
    </w:p>
    <w:p w14:paraId="5BE73A3A" w14:textId="77777777" w:rsidR="00CF014C" w:rsidRDefault="00CF014C" w:rsidP="00CF014C">
      <w:pPr>
        <w:pStyle w:val="a9"/>
        <w:spacing w:line="360" w:lineRule="auto"/>
        <w:jc w:val="both"/>
      </w:pPr>
    </w:p>
    <w:p w14:paraId="50B1AAFF" w14:textId="77777777" w:rsidR="00CF014C" w:rsidRDefault="00CF014C" w:rsidP="00CF014C">
      <w:pPr>
        <w:pStyle w:val="a9"/>
        <w:spacing w:line="360" w:lineRule="auto"/>
        <w:jc w:val="both"/>
        <w:rPr>
          <w:rFonts w:cs="Miriam"/>
          <w:szCs w:val="24"/>
        </w:rPr>
      </w:pPr>
      <w:r>
        <w:rPr>
          <w:rFonts w:cs="Miriam"/>
          <w:szCs w:val="24"/>
          <w:rtl/>
        </w:rPr>
        <w:t>דיון</w:t>
      </w:r>
    </w:p>
    <w:p w14:paraId="4AF9D001" w14:textId="77777777" w:rsidR="00CF014C" w:rsidRDefault="00CF014C" w:rsidP="00CF014C">
      <w:pPr>
        <w:pStyle w:val="a9"/>
        <w:autoSpaceDE w:val="0"/>
        <w:autoSpaceDN w:val="0"/>
        <w:adjustRightInd w:val="0"/>
        <w:spacing w:line="360" w:lineRule="auto"/>
        <w:jc w:val="both"/>
        <w:rPr>
          <w:rFonts w:ascii="Miriam" w:hAnsi="Miriam" w:cs="Miriam"/>
          <w:szCs w:val="24"/>
        </w:rPr>
      </w:pPr>
      <w:r>
        <w:rPr>
          <w:rFonts w:ascii="Miriam" w:hAnsi="Miriam" w:cs="Miriam"/>
          <w:szCs w:val="24"/>
          <w:rtl/>
        </w:rPr>
        <w:t>אקדמת מילין</w:t>
      </w:r>
    </w:p>
    <w:p w14:paraId="6CAD8842" w14:textId="77777777" w:rsidR="00CF014C" w:rsidRDefault="00CF014C" w:rsidP="00CF014C">
      <w:pPr>
        <w:pStyle w:val="a9"/>
        <w:numPr>
          <w:ilvl w:val="0"/>
          <w:numId w:val="2"/>
        </w:numPr>
        <w:spacing w:line="360" w:lineRule="auto"/>
        <w:jc w:val="both"/>
        <w:rPr>
          <w:color w:val="000000"/>
          <w:sz w:val="28"/>
          <w:rtl/>
        </w:rPr>
      </w:pPr>
      <w:r>
        <w:rPr>
          <w:color w:val="000000"/>
          <w:sz w:val="28"/>
          <w:rtl/>
        </w:rPr>
        <w:t>במקרה זה חל תיקון 113 לחוק שקובע כי "</w:t>
      </w:r>
      <w:r>
        <w:rPr>
          <w:sz w:val="28"/>
          <w:rtl/>
        </w:rPr>
        <w:t xml:space="preserve">העיקרון המנחה בענישה הוא קיומו של יחס הולם בין חומרת מעשה העבירה בנסיבותיו ומידת אשמו של הנאשם ובין סוג ומידת העונש המוטל </w:t>
      </w:r>
      <w:r>
        <w:rPr>
          <w:color w:val="000000"/>
          <w:sz w:val="28"/>
          <w:rtl/>
        </w:rPr>
        <w:t>עליו" (</w:t>
      </w:r>
      <w:hyperlink r:id="rId19" w:history="1">
        <w:r w:rsidR="002A10BF" w:rsidRPr="002A10BF">
          <w:rPr>
            <w:color w:val="0000FF"/>
            <w:sz w:val="28"/>
            <w:u w:val="single"/>
            <w:rtl/>
          </w:rPr>
          <w:t>סעיף 40ב'</w:t>
        </w:r>
      </w:hyperlink>
      <w:r>
        <w:rPr>
          <w:color w:val="000000"/>
          <w:sz w:val="28"/>
          <w:rtl/>
        </w:rPr>
        <w:t xml:space="preserve"> לחוק).</w:t>
      </w:r>
    </w:p>
    <w:p w14:paraId="58513A45" w14:textId="77777777" w:rsidR="00CF014C" w:rsidRDefault="00CF014C" w:rsidP="00CF014C">
      <w:pPr>
        <w:pStyle w:val="a9"/>
        <w:autoSpaceDE w:val="0"/>
        <w:autoSpaceDN w:val="0"/>
        <w:adjustRightInd w:val="0"/>
        <w:spacing w:line="360" w:lineRule="auto"/>
        <w:jc w:val="both"/>
        <w:rPr>
          <w:rFonts w:ascii="FrankRuehl" w:hAnsi="FrankRuehl"/>
          <w:sz w:val="28"/>
        </w:rPr>
      </w:pPr>
    </w:p>
    <w:p w14:paraId="3F35514B" w14:textId="77777777" w:rsidR="00CF014C" w:rsidRDefault="00CF014C" w:rsidP="00CF014C">
      <w:pPr>
        <w:pStyle w:val="a9"/>
        <w:autoSpaceDE w:val="0"/>
        <w:autoSpaceDN w:val="0"/>
        <w:adjustRightInd w:val="0"/>
        <w:spacing w:line="360" w:lineRule="auto"/>
        <w:jc w:val="both"/>
        <w:rPr>
          <w:rFonts w:ascii="FrankRuehl" w:hAnsi="FrankRuehl"/>
          <w:sz w:val="28"/>
        </w:rPr>
      </w:pPr>
      <w:r>
        <w:rPr>
          <w:rFonts w:ascii="FrankRuehl" w:hAnsi="FrankRuehl"/>
          <w:sz w:val="28"/>
          <w:rtl/>
        </w:rPr>
        <w:t xml:space="preserve">בזמן הטיעונים לעונש טען ב"כ הנאשם טענות שונות הקשורות לנסיבות ביצוע העבירות, אשר לא בא זכרן בעובדות כתב האישום המתוקן, כך טען כי הנאשם מצא את הנשק או כי הנאשם ביצע את מעשיו תחת השפעת אלכוהול, על כן אבהיר כי כאשר מדובר בכתב אישום שהוא תוצר של הסדר טיעון, אל לו לבית המשפט להיזקק לעובדות או לנסיבות שלא נכללו בעובדות כתב האישום המתוקן, שבעובדותיו הודה הנאשם  (ראו: </w:t>
      </w:r>
      <w:hyperlink r:id="rId20" w:history="1">
        <w:r w:rsidR="00236544" w:rsidRPr="00236544">
          <w:rPr>
            <w:rFonts w:ascii="FrankRuehl" w:hAnsi="FrankRuehl"/>
            <w:color w:val="0000FF"/>
            <w:sz w:val="28"/>
            <w:u w:val="single"/>
            <w:rtl/>
          </w:rPr>
          <w:t>ע"פ 3060/15</w:t>
        </w:r>
      </w:hyperlink>
      <w:r>
        <w:rPr>
          <w:rFonts w:ascii="FrankRuehl" w:hAnsi="FrankRuehl"/>
          <w:sz w:val="28"/>
          <w:rtl/>
        </w:rPr>
        <w:t xml:space="preserve"> </w:t>
      </w:r>
      <w:r>
        <w:rPr>
          <w:rFonts w:ascii="Miriam" w:hAnsi="Miriam" w:cs="Miriam"/>
          <w:szCs w:val="24"/>
          <w:rtl/>
        </w:rPr>
        <w:t>אבו רגייג נגד מדינת ישראל</w:t>
      </w:r>
      <w:r>
        <w:rPr>
          <w:rFonts w:ascii="FrankRuehl" w:hAnsi="FrankRuehl"/>
          <w:sz w:val="28"/>
          <w:rtl/>
        </w:rPr>
        <w:t xml:space="preserve"> (21.7.2015); </w:t>
      </w:r>
      <w:hyperlink r:id="rId21" w:history="1">
        <w:r w:rsidR="00236544" w:rsidRPr="00236544">
          <w:rPr>
            <w:rFonts w:ascii="FrankRuehl" w:hAnsi="FrankRuehl"/>
            <w:color w:val="0000FF"/>
            <w:sz w:val="28"/>
            <w:u w:val="single"/>
            <w:rtl/>
          </w:rPr>
          <w:t>ע"פ 4301/15</w:t>
        </w:r>
      </w:hyperlink>
      <w:r>
        <w:rPr>
          <w:rFonts w:ascii="FrankRuehl" w:hAnsi="FrankRuehl"/>
          <w:sz w:val="28"/>
          <w:rtl/>
        </w:rPr>
        <w:t xml:space="preserve"> </w:t>
      </w:r>
      <w:r>
        <w:rPr>
          <w:rFonts w:ascii="Miriam" w:hAnsi="Miriam" w:cs="Miriam"/>
          <w:szCs w:val="24"/>
          <w:rtl/>
        </w:rPr>
        <w:t>פינטו נ' מדינת ישראל</w:t>
      </w:r>
      <w:r>
        <w:rPr>
          <w:rFonts w:ascii="FrankRuehl" w:hAnsi="FrankRuehl"/>
          <w:sz w:val="28"/>
          <w:rtl/>
        </w:rPr>
        <w:t xml:space="preserve"> (5.1.2016) ו</w:t>
      </w:r>
      <w:hyperlink r:id="rId22" w:history="1">
        <w:r w:rsidR="00236544" w:rsidRPr="00236544">
          <w:rPr>
            <w:rFonts w:ascii="FrankRuehl" w:hAnsi="FrankRuehl"/>
            <w:color w:val="0000FF"/>
            <w:sz w:val="28"/>
            <w:u w:val="single"/>
            <w:rtl/>
          </w:rPr>
          <w:t>דנ"פ 5140/15</w:t>
        </w:r>
      </w:hyperlink>
      <w:r>
        <w:rPr>
          <w:rFonts w:ascii="FrankRuehl" w:hAnsi="FrankRuehl"/>
          <w:sz w:val="28"/>
          <w:rtl/>
        </w:rPr>
        <w:t xml:space="preserve"> </w:t>
      </w:r>
      <w:r>
        <w:rPr>
          <w:rFonts w:ascii="Miriam" w:hAnsi="Miriam" w:cs="Miriam"/>
          <w:szCs w:val="24"/>
          <w:rtl/>
        </w:rPr>
        <w:t>בדיר נ' מדינת ישראל</w:t>
      </w:r>
      <w:r>
        <w:rPr>
          <w:rFonts w:ascii="FrankRuehl" w:hAnsi="FrankRuehl"/>
          <w:sz w:val="28"/>
          <w:rtl/>
        </w:rPr>
        <w:t xml:space="preserve"> (19.11.2015) ואזכיר כי  נסיבות ביצוע העבירה נקבעות בהתאם למסגרת הדיונית הקבועה בסעיף </w:t>
      </w:r>
      <w:hyperlink r:id="rId23" w:history="1">
        <w:r w:rsidR="002A10BF" w:rsidRPr="002A10BF">
          <w:rPr>
            <w:rFonts w:ascii="FrankRuehl" w:hAnsi="FrankRuehl"/>
            <w:color w:val="0000FF"/>
            <w:sz w:val="28"/>
            <w:u w:val="single"/>
            <w:rtl/>
          </w:rPr>
          <w:t>40י (ד)</w:t>
        </w:r>
      </w:hyperlink>
      <w:r>
        <w:rPr>
          <w:rFonts w:ascii="FrankRuehl" w:hAnsi="FrankRuehl"/>
          <w:sz w:val="28"/>
          <w:rtl/>
        </w:rPr>
        <w:t xml:space="preserve"> לחוק: </w:t>
      </w:r>
    </w:p>
    <w:p w14:paraId="7B7C771F"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ind w:left="1021" w:right="567"/>
        <w:jc w:val="both"/>
        <w:rPr>
          <w:rFonts w:ascii="FrankRuehl" w:hAnsi="FrankRuehl"/>
          <w:sz w:val="28"/>
          <w:rtl/>
          <w:lang w:eastAsia="he-IL"/>
        </w:rPr>
      </w:pPr>
      <w:r>
        <w:rPr>
          <w:rFonts w:ascii="FrankRuehl" w:hAnsi="FrankRuehl"/>
          <w:sz w:val="28"/>
          <w:rtl/>
        </w:rPr>
        <w:t>"הודה הנאשם בעובדות כתב האישום, בין לאחר שמיעת הראיות ובין לפני כן, יכלול כתב האישום שבו הודה את כל העובדות והנסיבות הקשורות בביצוע</w:t>
      </w:r>
      <w:r>
        <w:rPr>
          <w:rFonts w:ascii="FrankRuehl" w:hAnsi="FrankRuehl"/>
          <w:sz w:val="28"/>
          <w:rtl/>
          <w:lang w:eastAsia="he-IL"/>
        </w:rPr>
        <w:t xml:space="preserve"> העבירה".</w:t>
      </w:r>
    </w:p>
    <w:p w14:paraId="70F2C809" w14:textId="77777777" w:rsidR="00CF014C" w:rsidRDefault="00CF014C" w:rsidP="00CF014C">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624" w:right="567"/>
        <w:jc w:val="both"/>
        <w:rPr>
          <w:rFonts w:ascii="FrankRuehl" w:hAnsi="FrankRuehl"/>
          <w:sz w:val="28"/>
          <w:rtl/>
          <w:lang w:eastAsia="he-IL"/>
        </w:rPr>
      </w:pPr>
    </w:p>
    <w:p w14:paraId="2CF0F124" w14:textId="77777777" w:rsidR="00CF014C" w:rsidRPr="00957A70" w:rsidRDefault="00CF014C" w:rsidP="00CF014C">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624"/>
        <w:jc w:val="both"/>
        <w:rPr>
          <w:rFonts w:ascii="FrankRuehl" w:hAnsi="FrankRuehl" w:cs="FrankRuehl"/>
          <w:sz w:val="28"/>
          <w:szCs w:val="28"/>
          <w:rtl/>
          <w:lang w:eastAsia="he-IL"/>
        </w:rPr>
      </w:pPr>
      <w:r w:rsidRPr="00957A70">
        <w:rPr>
          <w:rFonts w:ascii="FrankRuehl" w:hAnsi="FrankRuehl" w:cs="FrankRuehl"/>
          <w:sz w:val="28"/>
          <w:szCs w:val="28"/>
          <w:rtl/>
          <w:lang w:eastAsia="he-IL"/>
        </w:rPr>
        <w:t>לכן  ככל שמדובר בנסיבות ביצוע העבירות אתייחס רק לעובדות כתב האישום המתוקן.</w:t>
      </w:r>
    </w:p>
    <w:p w14:paraId="325FACE6"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1021" w:right="567"/>
        <w:jc w:val="both"/>
        <w:rPr>
          <w:rFonts w:ascii="FrankRuehl" w:hAnsi="FrankRuehl"/>
          <w:sz w:val="28"/>
          <w:rtl/>
          <w:lang w:eastAsia="he-IL"/>
        </w:rPr>
      </w:pPr>
    </w:p>
    <w:p w14:paraId="1B78BD96" w14:textId="77777777" w:rsidR="00CF014C" w:rsidRDefault="00CF014C" w:rsidP="00CF014C">
      <w:pPr>
        <w:spacing w:line="360" w:lineRule="auto"/>
        <w:ind w:left="360" w:firstLine="360"/>
        <w:contextualSpacing/>
        <w:rPr>
          <w:rFonts w:ascii="Arial" w:hAnsi="Arial" w:cs="Miriam"/>
          <w:rtl/>
        </w:rPr>
      </w:pPr>
      <w:r>
        <w:rPr>
          <w:rFonts w:cs="Miriam"/>
          <w:rtl/>
        </w:rPr>
        <w:t>מתחם העונש ההולם</w:t>
      </w:r>
    </w:p>
    <w:p w14:paraId="020DE8A8" w14:textId="77777777" w:rsidR="00CF014C" w:rsidRDefault="00CF014C" w:rsidP="00CF014C">
      <w:pPr>
        <w:pStyle w:val="a9"/>
        <w:widowControl w:val="0"/>
        <w:numPr>
          <w:ilvl w:val="0"/>
          <w:numId w:val="2"/>
        </w:numPr>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142"/>
        <w:jc w:val="both"/>
        <w:rPr>
          <w:rFonts w:ascii="FrankRuehl" w:hAnsi="FrankRuehl"/>
          <w:sz w:val="28"/>
          <w:rtl/>
          <w:lang w:eastAsia="he-IL"/>
        </w:rPr>
      </w:pPr>
      <w:r>
        <w:rPr>
          <w:color w:val="000000"/>
          <w:sz w:val="28"/>
          <w:rtl/>
        </w:rPr>
        <w:t xml:space="preserve">אין מחלוקת בין הצדדים כי מדובר באירוע אחד, המורכב משתי עבירות. </w:t>
      </w:r>
    </w:p>
    <w:p w14:paraId="6AA31B3E"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142"/>
        <w:jc w:val="both"/>
        <w:rPr>
          <w:color w:val="000000"/>
          <w:sz w:val="28"/>
        </w:rPr>
      </w:pPr>
    </w:p>
    <w:p w14:paraId="0E590BCB"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142"/>
        <w:jc w:val="both"/>
        <w:rPr>
          <w:rFonts w:ascii="FrankRuehl" w:hAnsi="FrankRuehl"/>
          <w:sz w:val="28"/>
          <w:rtl/>
          <w:lang w:eastAsia="he-IL"/>
        </w:rPr>
      </w:pPr>
      <w:r>
        <w:rPr>
          <w:color w:val="000000"/>
          <w:sz w:val="28"/>
          <w:rtl/>
        </w:rPr>
        <w:t>בשעת לילה מאוחרת, נשא הנאשם כלי נשק מסוג תת מקלע מאולתר עם מחסניות וכדורים התואמים לנשק בתוך מתחם מגורים מאוכלס, טען מחסניות בכדורים ו</w:t>
      </w:r>
      <w:r>
        <w:rPr>
          <w:rFonts w:hint="cs"/>
          <w:color w:val="000000"/>
          <w:sz w:val="28"/>
          <w:rtl/>
        </w:rPr>
        <w:t>הכניס ל</w:t>
      </w:r>
      <w:r>
        <w:rPr>
          <w:color w:val="000000"/>
          <w:sz w:val="28"/>
          <w:rtl/>
        </w:rPr>
        <w:t>נשק מחסנית, ובמספר הזדמנויות ירה 4 יריות וניסה לירות פעמים נוספות בתוך המתחם,  לאחר הירי החביא הנאשם את הנשק והתחמושת, כאשר הנשק טעון בכדור בבית הבליעה.</w:t>
      </w:r>
    </w:p>
    <w:p w14:paraId="0926354E"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567"/>
        <w:jc w:val="both"/>
        <w:rPr>
          <w:rFonts w:ascii="FrankRuehl" w:hAnsi="FrankRuehl"/>
          <w:sz w:val="28"/>
          <w:lang w:eastAsia="he-IL"/>
        </w:rPr>
      </w:pPr>
    </w:p>
    <w:p w14:paraId="19D79A8D" w14:textId="77777777" w:rsidR="00CF014C" w:rsidRDefault="00CF014C" w:rsidP="00CF014C">
      <w:pPr>
        <w:pStyle w:val="a9"/>
        <w:spacing w:line="360" w:lineRule="auto"/>
        <w:jc w:val="both"/>
        <w:rPr>
          <w:sz w:val="28"/>
        </w:rPr>
      </w:pPr>
      <w:r>
        <w:rPr>
          <w:rtl/>
        </w:rPr>
        <w:t xml:space="preserve">בכל עבירה בנשק יש </w:t>
      </w:r>
      <w:r>
        <w:rPr>
          <w:sz w:val="28"/>
          <w:rtl/>
        </w:rPr>
        <w:t xml:space="preserve">פוטנציאל פגיעה משמעותי בערך החברתי של שלום הציבור וביטחונו וסיכון ממשי לחיי אדם, על אחת כמה וכמה כאשר מדובר גם בעבירה של יריות באזור מגורים מאוכלס. במקרה זה הפגיעה בערכים אלו בינונית, הירי בוצע בתוך מתחם מגורים מאוכלס, והביא להזעקת המשטרה למקום, רק בנס לא נגרם נזק מהירי או משמוש לאחר מכן בתת המקלע שהושאר במקום כשהוא טעון בכדור בבית הבליעה. </w:t>
      </w:r>
    </w:p>
    <w:p w14:paraId="7F50C2F3" w14:textId="77777777" w:rsidR="00CF014C" w:rsidRDefault="00CF014C" w:rsidP="00CF014C">
      <w:pPr>
        <w:pStyle w:val="a9"/>
        <w:spacing w:line="360" w:lineRule="auto"/>
        <w:jc w:val="both"/>
        <w:rPr>
          <w:sz w:val="28"/>
          <w:rtl/>
        </w:rPr>
      </w:pPr>
    </w:p>
    <w:p w14:paraId="5853D92A" w14:textId="77777777" w:rsidR="00CF014C" w:rsidRPr="00957A70" w:rsidRDefault="00CF014C" w:rsidP="00CF014C">
      <w:pPr>
        <w:numPr>
          <w:ilvl w:val="0"/>
          <w:numId w:val="2"/>
        </w:numPr>
        <w:spacing w:line="360" w:lineRule="auto"/>
        <w:jc w:val="both"/>
        <w:rPr>
          <w:rFonts w:ascii="FrankRuehl" w:hAnsi="FrankRuehl" w:cs="FrankRuehl"/>
          <w:sz w:val="28"/>
          <w:szCs w:val="28"/>
          <w:rtl/>
        </w:rPr>
      </w:pPr>
      <w:r w:rsidRPr="00957A70">
        <w:rPr>
          <w:rFonts w:ascii="FrankRuehl" w:hAnsi="FrankRuehl" w:cs="FrankRuehl"/>
          <w:sz w:val="28"/>
          <w:szCs w:val="28"/>
          <w:rtl/>
        </w:rPr>
        <w:t xml:space="preserve">אזכיר כי העונש המרבי הקבוע בחוק לעבירה לפי </w:t>
      </w:r>
      <w:hyperlink r:id="rId24" w:history="1">
        <w:r w:rsidR="002A10BF" w:rsidRPr="002A10BF">
          <w:rPr>
            <w:rFonts w:ascii="FrankRuehl" w:hAnsi="FrankRuehl" w:cs="FrankRuehl"/>
            <w:color w:val="0000FF"/>
            <w:sz w:val="28"/>
            <w:szCs w:val="28"/>
            <w:u w:val="single"/>
            <w:rtl/>
          </w:rPr>
          <w:t>סעיף 144(ב)</w:t>
        </w:r>
      </w:hyperlink>
      <w:r w:rsidRPr="00957A70">
        <w:rPr>
          <w:rFonts w:ascii="FrankRuehl" w:hAnsi="FrankRuehl" w:cs="FrankRuehl"/>
          <w:sz w:val="28"/>
          <w:szCs w:val="28"/>
          <w:rtl/>
        </w:rPr>
        <w:t xml:space="preserve"> רישה עומד על 10 שנות מאסר, וכי על עבירה של ירי באזור מגורים לפי </w:t>
      </w:r>
      <w:hyperlink r:id="rId25" w:history="1">
        <w:r w:rsidR="002A10BF" w:rsidRPr="002A10BF">
          <w:rPr>
            <w:rFonts w:ascii="FrankRuehl" w:hAnsi="FrankRuehl" w:cs="FrankRuehl"/>
            <w:color w:val="0000FF"/>
            <w:sz w:val="28"/>
            <w:szCs w:val="28"/>
            <w:u w:val="single"/>
            <w:rtl/>
          </w:rPr>
          <w:t>סעיף 340א(ב)1</w:t>
        </w:r>
      </w:hyperlink>
      <w:r w:rsidRPr="00957A70">
        <w:rPr>
          <w:rFonts w:ascii="FrankRuehl" w:hAnsi="FrankRuehl" w:cs="FrankRuehl"/>
          <w:sz w:val="28"/>
          <w:szCs w:val="28"/>
          <w:rtl/>
        </w:rPr>
        <w:t xml:space="preserve"> לחוק העונש המרבי עומד על 5 שנות מאסר (עבירה שהתווספה ל</w:t>
      </w:r>
      <w:hyperlink r:id="rId26" w:history="1">
        <w:r w:rsidR="00236544" w:rsidRPr="00236544">
          <w:rPr>
            <w:rFonts w:ascii="FrankRuehl" w:hAnsi="FrankRuehl" w:cs="FrankRuehl"/>
            <w:color w:val="0000FF"/>
            <w:sz w:val="28"/>
            <w:szCs w:val="28"/>
            <w:u w:val="single"/>
            <w:rtl/>
          </w:rPr>
          <w:t>חוק העונשין</w:t>
        </w:r>
      </w:hyperlink>
      <w:r w:rsidRPr="00957A70">
        <w:rPr>
          <w:rFonts w:ascii="FrankRuehl" w:hAnsi="FrankRuehl" w:cs="FrankRuehl"/>
          <w:sz w:val="28"/>
          <w:szCs w:val="28"/>
          <w:rtl/>
        </w:rPr>
        <w:t xml:space="preserve"> במסגרת תיקון 134 מיום 27.6.2018)</w:t>
      </w:r>
      <w:r>
        <w:rPr>
          <w:rFonts w:ascii="FrankRuehl" w:hAnsi="FrankRuehl" w:cs="FrankRuehl" w:hint="cs"/>
          <w:sz w:val="28"/>
          <w:szCs w:val="28"/>
          <w:rtl/>
        </w:rPr>
        <w:t>.</w:t>
      </w:r>
    </w:p>
    <w:p w14:paraId="23BF07E3" w14:textId="77777777" w:rsidR="00CF014C" w:rsidRDefault="00CF014C" w:rsidP="00CF014C">
      <w:pPr>
        <w:pStyle w:val="a9"/>
        <w:spacing w:line="360" w:lineRule="auto"/>
        <w:jc w:val="both"/>
        <w:rPr>
          <w:sz w:val="28"/>
        </w:rPr>
      </w:pPr>
    </w:p>
    <w:p w14:paraId="729E4AF5" w14:textId="77777777" w:rsidR="00CF014C" w:rsidRDefault="00CF014C" w:rsidP="00CF014C">
      <w:pPr>
        <w:pStyle w:val="a9"/>
        <w:spacing w:line="360" w:lineRule="auto"/>
        <w:jc w:val="both"/>
        <w:rPr>
          <w:rFonts w:ascii="Arial TUR" w:hAnsi="Arial TUR"/>
          <w:spacing w:val="10"/>
          <w:sz w:val="28"/>
          <w:rtl/>
        </w:rPr>
      </w:pPr>
      <w:r>
        <w:rPr>
          <w:rFonts w:ascii="FrankRuehl" w:hAnsi="FrankRuehl"/>
          <w:sz w:val="28"/>
          <w:rtl/>
        </w:rPr>
        <w:t xml:space="preserve">לכך יש להוסיף כי במקרה זה מדובר בתת מקלע שפגיעתו עלולה להיות חמורה ונרחבת  (ראו </w:t>
      </w:r>
      <w:hyperlink r:id="rId27" w:history="1">
        <w:r w:rsidR="00236544" w:rsidRPr="00236544">
          <w:rPr>
            <w:rFonts w:ascii="FrankRuehl" w:hAnsi="FrankRuehl"/>
            <w:color w:val="0000FF"/>
            <w:sz w:val="28"/>
            <w:u w:val="single"/>
            <w:rtl/>
          </w:rPr>
          <w:t>ע"פ 1397/16</w:t>
        </w:r>
      </w:hyperlink>
      <w:r>
        <w:rPr>
          <w:rFonts w:ascii="FrankRuehl" w:hAnsi="FrankRuehl"/>
          <w:sz w:val="28"/>
          <w:rtl/>
        </w:rPr>
        <w:t xml:space="preserve"> </w:t>
      </w:r>
      <w:r>
        <w:rPr>
          <w:rFonts w:ascii="Miriam" w:hAnsi="Miriam" w:cs="Miriam"/>
          <w:szCs w:val="24"/>
          <w:rtl/>
        </w:rPr>
        <w:t>מדינת ישראל נ' חמאיל</w:t>
      </w:r>
      <w:r>
        <w:rPr>
          <w:rFonts w:ascii="Miriam" w:hAnsi="Miriam" w:cs="Miriam"/>
          <w:rtl/>
        </w:rPr>
        <w:t>,</w:t>
      </w:r>
      <w:r>
        <w:rPr>
          <w:rFonts w:ascii="Miriam" w:hAnsi="Miriam" w:cs="Miriam"/>
          <w:b/>
          <w:bCs/>
          <w:rtl/>
        </w:rPr>
        <w:t xml:space="preserve"> </w:t>
      </w:r>
      <w:r>
        <w:rPr>
          <w:rFonts w:ascii="FrankRuehl" w:hAnsi="FrankRuehl"/>
          <w:sz w:val="28"/>
          <w:rtl/>
        </w:rPr>
        <w:t>(12.9.2016)</w:t>
      </w:r>
      <w:r>
        <w:rPr>
          <w:rFonts w:ascii="Arial TUR" w:hAnsi="Arial TUR"/>
          <w:spacing w:val="10"/>
          <w:sz w:val="28"/>
          <w:rtl/>
        </w:rPr>
        <w:t>).</w:t>
      </w:r>
    </w:p>
    <w:p w14:paraId="3DAE7B63" w14:textId="77777777" w:rsidR="00CF014C" w:rsidRDefault="00CF014C" w:rsidP="00CF014C">
      <w:pPr>
        <w:pStyle w:val="a9"/>
        <w:spacing w:line="360" w:lineRule="auto"/>
        <w:jc w:val="both"/>
        <w:rPr>
          <w:rFonts w:ascii="Arial TUR" w:hAnsi="Arial TUR"/>
          <w:spacing w:val="10"/>
          <w:sz w:val="28"/>
          <w:rtl/>
        </w:rPr>
      </w:pPr>
    </w:p>
    <w:p w14:paraId="69C04B78" w14:textId="77777777" w:rsidR="00CF014C" w:rsidRDefault="00CF014C" w:rsidP="00CF014C">
      <w:pPr>
        <w:pStyle w:val="a9"/>
        <w:spacing w:line="360" w:lineRule="auto"/>
        <w:jc w:val="both"/>
        <w:rPr>
          <w:rFonts w:ascii="Arial TUR" w:hAnsi="Arial TUR"/>
          <w:spacing w:val="10"/>
          <w:sz w:val="28"/>
          <w:rtl/>
        </w:rPr>
      </w:pPr>
      <w:r>
        <w:rPr>
          <w:rFonts w:ascii="Garamond" w:hAnsi="Garamond"/>
          <w:spacing w:val="10"/>
          <w:rtl/>
        </w:rPr>
        <w:t>ב</w:t>
      </w:r>
      <w:hyperlink r:id="rId28" w:history="1">
        <w:r w:rsidR="00236544" w:rsidRPr="00236544">
          <w:rPr>
            <w:rFonts w:ascii="Garamond" w:hAnsi="Garamond" w:hint="eastAsia"/>
            <w:color w:val="0000FF"/>
            <w:spacing w:val="10"/>
            <w:u w:val="single"/>
            <w:rtl/>
          </w:rPr>
          <w:t>ע</w:t>
        </w:r>
        <w:r w:rsidR="00236544" w:rsidRPr="00236544">
          <w:rPr>
            <w:rFonts w:ascii="Garamond" w:hAnsi="Garamond"/>
            <w:color w:val="0000FF"/>
            <w:spacing w:val="10"/>
            <w:u w:val="single"/>
            <w:rtl/>
          </w:rPr>
          <w:t>"</w:t>
        </w:r>
        <w:r w:rsidR="00236544" w:rsidRPr="00236544">
          <w:rPr>
            <w:rFonts w:ascii="Garamond" w:hAnsi="Garamond" w:hint="eastAsia"/>
            <w:color w:val="0000FF"/>
            <w:spacing w:val="10"/>
            <w:u w:val="single"/>
            <w:rtl/>
          </w:rPr>
          <w:t>פ</w:t>
        </w:r>
        <w:r w:rsidR="00236544" w:rsidRPr="00236544">
          <w:rPr>
            <w:rFonts w:ascii="Garamond" w:hAnsi="Garamond"/>
            <w:color w:val="0000FF"/>
            <w:spacing w:val="10"/>
            <w:u w:val="single"/>
            <w:rtl/>
          </w:rPr>
          <w:t xml:space="preserve"> 4595/13</w:t>
        </w:r>
      </w:hyperlink>
      <w:r>
        <w:rPr>
          <w:rFonts w:ascii="Garamond" w:hAnsi="Garamond"/>
          <w:spacing w:val="10"/>
          <w:rtl/>
        </w:rPr>
        <w:t xml:space="preserve"> </w:t>
      </w:r>
      <w:r>
        <w:rPr>
          <w:rFonts w:ascii="Miriam" w:hAnsi="Miriam" w:cs="Miriam"/>
          <w:szCs w:val="24"/>
          <w:rtl/>
        </w:rPr>
        <w:t>זובידאת נ' מדינת ישראל</w:t>
      </w:r>
      <w:r>
        <w:rPr>
          <w:rFonts w:ascii="Garamond" w:hAnsi="Garamond"/>
          <w:spacing w:val="10"/>
          <w:rtl/>
        </w:rPr>
        <w:t xml:space="preserve"> (6.7.2014) (להלן- עניין זובידאת) התייחס</w:t>
      </w:r>
      <w:r>
        <w:rPr>
          <w:rFonts w:ascii="Arial TUR" w:hAnsi="Arial TUR"/>
          <w:spacing w:val="10"/>
          <w:sz w:val="28"/>
          <w:rtl/>
        </w:rPr>
        <w:t xml:space="preserve"> כב' השופט ג'ובראן לעבירה של ירי המבוצעת במקום מגורים וכך קבע:</w:t>
      </w:r>
    </w:p>
    <w:p w14:paraId="111C37E1" w14:textId="77777777" w:rsidR="00CF014C" w:rsidRDefault="00CF014C" w:rsidP="00CF014C">
      <w:pPr>
        <w:pStyle w:val="Ruller4"/>
        <w:numPr>
          <w:ilvl w:val="0"/>
          <w:numId w:val="0"/>
        </w:numPr>
        <w:autoSpaceDE w:val="0"/>
        <w:autoSpaceDN w:val="0"/>
        <w:spacing w:line="240" w:lineRule="auto"/>
        <w:ind w:left="1440" w:right="426"/>
        <w:contextualSpacing/>
        <w:rPr>
          <w:rFonts w:ascii="Arial TUR" w:hAnsi="Arial TUR"/>
          <w:sz w:val="28"/>
          <w:rtl/>
        </w:rPr>
      </w:pPr>
      <w:r>
        <w:rPr>
          <w:rtl/>
        </w:rPr>
        <w:t xml:space="preserve">"אף כי בסעיף זה ניתן להרשיע גם בגין ירי במקום מגורים במסגרת </w:t>
      </w:r>
      <w:r>
        <w:rPr>
          <w:rFonts w:ascii="Arial TUR" w:hAnsi="Arial TUR"/>
          <w:sz w:val="28"/>
          <w:rtl/>
        </w:rPr>
        <w:t xml:space="preserve">חתונות או שמחות, כפי שמקובל במגזרים אחדים בחברה הישראלית, לא בכך עסקינן, אלא בירי שנועד לשמש כלי נוסף להפחדה ואיומים, ירי שמייצר סיכון ממשי לשלום הציבור ובטחונו. גם אם אינו מכוון לפגיעה, אין אנו יודעים מה יכול להיות סופו של ירי זה". </w:t>
      </w:r>
    </w:p>
    <w:p w14:paraId="02985AD4" w14:textId="77777777" w:rsidR="00CF014C" w:rsidRDefault="00CF014C" w:rsidP="00CF014C">
      <w:pPr>
        <w:pStyle w:val="Ruller41"/>
        <w:rPr>
          <w:rtl/>
        </w:rPr>
      </w:pPr>
    </w:p>
    <w:p w14:paraId="29E13150" w14:textId="77777777" w:rsidR="00CF014C" w:rsidRDefault="00CF014C" w:rsidP="00CF014C">
      <w:pPr>
        <w:pStyle w:val="a9"/>
        <w:numPr>
          <w:ilvl w:val="0"/>
          <w:numId w:val="2"/>
        </w:numPr>
        <w:spacing w:line="360" w:lineRule="auto"/>
        <w:jc w:val="both"/>
        <w:rPr>
          <w:sz w:val="28"/>
          <w:rtl/>
        </w:rPr>
      </w:pPr>
      <w:r>
        <w:rPr>
          <w:sz w:val="28"/>
          <w:rtl/>
        </w:rPr>
        <w:t xml:space="preserve">אשר למדיניות הענישה הנהוגה, מנעד הענישה בעבירות בנשק רחב, בין השאר בהתחשב בסוג העבירה (החזקה, נשיאה, סחר), סוג הנשק וכמותו, במקרה זה מתווספת לעבירת נשיאת נשק ותחמושת עבירה של יריות מהנשק באזור מגורים. הנאשם ירה 4 יריות, בשעת לילה מאוחרת במתחם ביתו המורכב ממספר בתים מאוכלסים,  מנשק מסוג תת מקלע מאולתר אשר נשא עם מחסנית וכדורים, מעשה זה הינו בעל פוטנציאל מסוכנות גבוה. </w:t>
      </w:r>
    </w:p>
    <w:p w14:paraId="3F2D89AE" w14:textId="77777777" w:rsidR="00CF014C" w:rsidRDefault="00CF014C" w:rsidP="00CF014C">
      <w:pPr>
        <w:spacing w:line="360" w:lineRule="auto"/>
        <w:jc w:val="both"/>
        <w:rPr>
          <w:sz w:val="28"/>
        </w:rPr>
      </w:pPr>
    </w:p>
    <w:p w14:paraId="5107AADB" w14:textId="77777777" w:rsidR="00CF014C" w:rsidRDefault="00CF014C" w:rsidP="00CF014C">
      <w:pPr>
        <w:pStyle w:val="Ruller4"/>
        <w:numPr>
          <w:ilvl w:val="0"/>
          <w:numId w:val="0"/>
        </w:numPr>
        <w:autoSpaceDE w:val="0"/>
        <w:autoSpaceDN w:val="0"/>
        <w:ind w:left="720" w:right="0"/>
        <w:contextualSpacing/>
        <w:rPr>
          <w:rtl/>
        </w:rPr>
      </w:pPr>
      <w:r>
        <w:rPr>
          <w:rtl/>
        </w:rPr>
        <w:t xml:space="preserve">אשר לעבירת נשיאת נשק, בתי המשפט חזרו לא אחת על חומרתה ועל הסכנה הנשקפת ממנה ומעבירות נשק אחרות לשלום הציבור ולביטחונו, אף אם הסיכון </w:t>
      </w:r>
      <w:r>
        <w:rPr>
          <w:rFonts w:hint="cs"/>
          <w:rtl/>
        </w:rPr>
        <w:t xml:space="preserve">מהנשק </w:t>
      </w:r>
      <w:r>
        <w:rPr>
          <w:rtl/>
        </w:rPr>
        <w:t xml:space="preserve">לא התממש בסופו של דבר (ראו: </w:t>
      </w:r>
      <w:hyperlink r:id="rId29" w:history="1">
        <w:r w:rsidR="00236544" w:rsidRPr="00236544">
          <w:rPr>
            <w:rFonts w:hint="cs"/>
            <w:color w:val="0000FF"/>
            <w:u w:val="single"/>
            <w:rtl/>
          </w:rPr>
          <w:t>ע</w:t>
        </w:r>
        <w:r w:rsidR="00236544" w:rsidRPr="00236544">
          <w:rPr>
            <w:color w:val="0000FF"/>
            <w:u w:val="single"/>
            <w:rtl/>
          </w:rPr>
          <w:t>"</w:t>
        </w:r>
        <w:r w:rsidR="00236544" w:rsidRPr="00236544">
          <w:rPr>
            <w:rFonts w:hint="cs"/>
            <w:color w:val="0000FF"/>
            <w:u w:val="single"/>
            <w:rtl/>
          </w:rPr>
          <w:t>פ</w:t>
        </w:r>
        <w:r w:rsidR="00236544" w:rsidRPr="00236544">
          <w:rPr>
            <w:color w:val="0000FF"/>
            <w:u w:val="single"/>
            <w:rtl/>
          </w:rPr>
          <w:t xml:space="preserve"> 4400/13</w:t>
        </w:r>
      </w:hyperlink>
      <w:r>
        <w:rPr>
          <w:rtl/>
        </w:rPr>
        <w:t xml:space="preserve"> </w:t>
      </w:r>
      <w:r>
        <w:rPr>
          <w:rFonts w:ascii="Miriam" w:hAnsi="Miriam" w:cs="Miriam"/>
          <w:spacing w:val="0"/>
          <w:szCs w:val="24"/>
          <w:rtl/>
        </w:rPr>
        <w:t>עבאסי נ' מדינת ישראל</w:t>
      </w:r>
      <w:r>
        <w:rPr>
          <w:rtl/>
        </w:rPr>
        <w:t xml:space="preserve"> (3.2.2014); </w:t>
      </w:r>
      <w:hyperlink r:id="rId30" w:history="1">
        <w:r w:rsidR="00236544" w:rsidRPr="00236544">
          <w:rPr>
            <w:rFonts w:hint="cs"/>
            <w:color w:val="0000FF"/>
            <w:u w:val="single"/>
            <w:rtl/>
          </w:rPr>
          <w:t>ע</w:t>
        </w:r>
        <w:r w:rsidR="00236544" w:rsidRPr="00236544">
          <w:rPr>
            <w:color w:val="0000FF"/>
            <w:u w:val="single"/>
            <w:rtl/>
          </w:rPr>
          <w:t>"</w:t>
        </w:r>
        <w:r w:rsidR="00236544" w:rsidRPr="00236544">
          <w:rPr>
            <w:rFonts w:hint="cs"/>
            <w:color w:val="0000FF"/>
            <w:u w:val="single"/>
            <w:rtl/>
          </w:rPr>
          <w:t>פ</w:t>
        </w:r>
        <w:r w:rsidR="00236544" w:rsidRPr="00236544">
          <w:rPr>
            <w:color w:val="0000FF"/>
            <w:u w:val="single"/>
            <w:rtl/>
          </w:rPr>
          <w:t xml:space="preserve"> 5323/12</w:t>
        </w:r>
      </w:hyperlink>
      <w:r>
        <w:rPr>
          <w:rtl/>
        </w:rPr>
        <w:t xml:space="preserve"> </w:t>
      </w:r>
      <w:r>
        <w:rPr>
          <w:rFonts w:ascii="Miriam" w:hAnsi="Miriam" w:cs="Miriam"/>
          <w:spacing w:val="0"/>
          <w:szCs w:val="24"/>
          <w:rtl/>
        </w:rPr>
        <w:t>אבו ליל נ' מדינת ישראל</w:t>
      </w:r>
      <w:r>
        <w:rPr>
          <w:rtl/>
        </w:rPr>
        <w:t xml:space="preserve"> (17.6.2014). בענייננו, המעשה לא הסתיים בנשיאת הנשק בלבד אלא בארבע יריות שנורו באזור מגורים. </w:t>
      </w:r>
    </w:p>
    <w:p w14:paraId="2E327AD0" w14:textId="77777777" w:rsidR="00CF014C" w:rsidRDefault="00CF014C" w:rsidP="00CF014C">
      <w:pPr>
        <w:pStyle w:val="Ruller41"/>
        <w:rPr>
          <w:rtl/>
        </w:rPr>
      </w:pPr>
    </w:p>
    <w:p w14:paraId="619E3C93" w14:textId="77777777" w:rsidR="00CF014C" w:rsidRDefault="00CF014C" w:rsidP="00CF014C">
      <w:pPr>
        <w:pStyle w:val="Ruller41"/>
        <w:ind w:left="720"/>
        <w:contextualSpacing/>
        <w:rPr>
          <w:rFonts w:ascii="Garamond" w:hAnsi="Garamond"/>
          <w:sz w:val="24"/>
          <w:rtl/>
        </w:rPr>
      </w:pPr>
      <w:r>
        <w:rPr>
          <w:rFonts w:ascii="Garamond" w:hAnsi="Garamond"/>
          <w:sz w:val="24"/>
          <w:rtl/>
        </w:rPr>
        <w:t>ב</w:t>
      </w:r>
      <w:hyperlink r:id="rId31" w:history="1">
        <w:r w:rsidR="00236544" w:rsidRPr="00236544">
          <w:rPr>
            <w:rFonts w:ascii="Garamond" w:hAnsi="Garamond" w:hint="cs"/>
            <w:color w:val="0000FF"/>
            <w:sz w:val="24"/>
            <w:u w:val="single"/>
            <w:rtl/>
          </w:rPr>
          <w:t>ע</w:t>
        </w:r>
        <w:r w:rsidR="00236544" w:rsidRPr="00236544">
          <w:rPr>
            <w:rFonts w:ascii="Garamond" w:hAnsi="Garamond"/>
            <w:color w:val="0000FF"/>
            <w:sz w:val="24"/>
            <w:u w:val="single"/>
            <w:rtl/>
          </w:rPr>
          <w:t>"</w:t>
        </w:r>
        <w:r w:rsidR="00236544" w:rsidRPr="00236544">
          <w:rPr>
            <w:rFonts w:ascii="Garamond" w:hAnsi="Garamond" w:hint="cs"/>
            <w:color w:val="0000FF"/>
            <w:sz w:val="24"/>
            <w:u w:val="single"/>
            <w:rtl/>
          </w:rPr>
          <w:t>פ</w:t>
        </w:r>
        <w:r w:rsidR="00236544" w:rsidRPr="00236544">
          <w:rPr>
            <w:rFonts w:ascii="Garamond" w:hAnsi="Garamond"/>
            <w:color w:val="0000FF"/>
            <w:sz w:val="24"/>
            <w:u w:val="single"/>
            <w:rtl/>
          </w:rPr>
          <w:t xml:space="preserve">  9830/17</w:t>
        </w:r>
      </w:hyperlink>
      <w:r>
        <w:rPr>
          <w:rFonts w:ascii="Garamond" w:hAnsi="Garamond"/>
          <w:sz w:val="24"/>
          <w:rtl/>
        </w:rPr>
        <w:t xml:space="preserve"> </w:t>
      </w:r>
      <w:r>
        <w:rPr>
          <w:rFonts w:ascii="Miriam" w:hAnsi="Miriam" w:cs="Miriam"/>
          <w:spacing w:val="0"/>
          <w:sz w:val="24"/>
          <w:szCs w:val="24"/>
          <w:rtl/>
        </w:rPr>
        <w:t>חמודה נ' מדינת ישראל</w:t>
      </w:r>
      <w:r>
        <w:rPr>
          <w:rFonts w:ascii="Garamond" w:hAnsi="Garamond"/>
          <w:sz w:val="24"/>
          <w:rtl/>
        </w:rPr>
        <w:t xml:space="preserve"> (8.3.2018) התייחס כב' הש' סולברג לחומרתן של עבירות מסוג זה ולעונש שראוי להטיל בגינן כדלקמן:</w:t>
      </w:r>
    </w:p>
    <w:p w14:paraId="0E86CA64" w14:textId="77777777" w:rsidR="00CF014C" w:rsidRPr="00957A70" w:rsidRDefault="00CF014C" w:rsidP="00CF014C">
      <w:pPr>
        <w:tabs>
          <w:tab w:val="left" w:pos="1643"/>
        </w:tabs>
        <w:ind w:left="1218" w:right="709"/>
        <w:contextualSpacing/>
        <w:jc w:val="both"/>
        <w:rPr>
          <w:rFonts w:ascii="FrankRuehl" w:hAnsi="FrankRuehl" w:cs="FrankRuehl"/>
          <w:spacing w:val="10"/>
          <w:sz w:val="28"/>
          <w:szCs w:val="28"/>
          <w:rtl/>
        </w:rPr>
      </w:pPr>
      <w:r w:rsidRPr="00957A70">
        <w:rPr>
          <w:rFonts w:ascii="FrankRuehl" w:hAnsi="FrankRuehl" w:cs="FrankRuehl"/>
          <w:spacing w:val="10"/>
          <w:sz w:val="28"/>
          <w:szCs w:val="28"/>
          <w:rtl/>
        </w:rPr>
        <w:t>"בית משפט זה עמד לא אחת על חומרתן של עבירות הנשק, ועל הסכנה הרבה הטמונה בביצוען, וזאת "בעיקר בשל כך שעבירות מסוג זה מקימות פוטנציאל להסלמה עבריינית ויוצרות סיכון ממשי וחמור לשלום הציבור וביטחונו" (</w:t>
      </w:r>
      <w:hyperlink r:id="rId32" w:history="1">
        <w:r w:rsidR="00236544" w:rsidRPr="00236544">
          <w:rPr>
            <w:rFonts w:ascii="FrankRuehl" w:hAnsi="FrankRuehl" w:cs="FrankRuehl"/>
            <w:color w:val="0000FF"/>
            <w:spacing w:val="10"/>
            <w:sz w:val="28"/>
            <w:szCs w:val="28"/>
            <w:u w:val="single"/>
            <w:rtl/>
          </w:rPr>
          <w:t>ע"פ 3156/11</w:t>
        </w:r>
      </w:hyperlink>
      <w:r w:rsidRPr="00957A70">
        <w:rPr>
          <w:rFonts w:ascii="FrankRuehl" w:hAnsi="FrankRuehl" w:cs="FrankRuehl"/>
          <w:spacing w:val="10"/>
          <w:sz w:val="28"/>
          <w:szCs w:val="28"/>
          <w:rtl/>
        </w:rPr>
        <w:t xml:space="preserve"> זראיעה נ' מדינת ישראל, פסקה 5 (21.2.2012); ראו גם: </w:t>
      </w:r>
      <w:hyperlink r:id="rId33" w:history="1">
        <w:r w:rsidR="00236544" w:rsidRPr="00236544">
          <w:rPr>
            <w:rFonts w:ascii="FrankRuehl" w:hAnsi="FrankRuehl" w:cs="FrankRuehl"/>
            <w:color w:val="0000FF"/>
            <w:spacing w:val="10"/>
            <w:sz w:val="28"/>
            <w:szCs w:val="28"/>
            <w:u w:val="single"/>
            <w:rtl/>
          </w:rPr>
          <w:t>ע"פ 27/17</w:t>
        </w:r>
      </w:hyperlink>
      <w:r w:rsidRPr="00957A70">
        <w:rPr>
          <w:rFonts w:ascii="FrankRuehl" w:hAnsi="FrankRuehl" w:cs="FrankRuehl"/>
          <w:spacing w:val="10"/>
          <w:sz w:val="28"/>
          <w:szCs w:val="28"/>
          <w:rtl/>
        </w:rPr>
        <w:t xml:space="preserve"> בסל נ' מדינת ישראל (פסקה 1 (12.12.2017)). בהתאם לכך, "מדיניות הענישה הנהוגה בעבירות אלה היא מדיניות של ענישה מחמירה המחייבת בדרך כלל הטלת עונשי מאסר לריצוי בפועל גם על מי שזו הרשעתו הראשונה". </w:t>
      </w:r>
    </w:p>
    <w:p w14:paraId="640F22E3" w14:textId="77777777" w:rsidR="00CF014C" w:rsidRDefault="00CF014C" w:rsidP="00CF014C">
      <w:pPr>
        <w:tabs>
          <w:tab w:val="left" w:pos="800"/>
        </w:tabs>
        <w:spacing w:line="360" w:lineRule="auto"/>
        <w:jc w:val="both"/>
        <w:rPr>
          <w:rFonts w:ascii="Garamond" w:hAnsi="Garamond"/>
          <w:spacing w:val="10"/>
          <w:rtl/>
        </w:rPr>
      </w:pPr>
    </w:p>
    <w:p w14:paraId="33BA4006" w14:textId="77777777" w:rsidR="00CF014C" w:rsidRDefault="00CF014C" w:rsidP="00CF014C">
      <w:pPr>
        <w:pStyle w:val="a9"/>
        <w:numPr>
          <w:ilvl w:val="0"/>
          <w:numId w:val="2"/>
        </w:numPr>
        <w:spacing w:line="360" w:lineRule="auto"/>
        <w:jc w:val="both"/>
        <w:rPr>
          <w:color w:val="000000"/>
          <w:rtl/>
        </w:rPr>
      </w:pPr>
      <w:r>
        <w:rPr>
          <w:color w:val="000000"/>
          <w:rtl/>
        </w:rPr>
        <w:t>שני הצדדים הפנו לפסקי דין מערכאות שונות העוסקים בעבירות אשר לטענתם דומות למקרה זה, אתייחס לפסקי הדין הרלבנטיים מתוכם.</w:t>
      </w:r>
    </w:p>
    <w:p w14:paraId="0B36ECB1" w14:textId="77777777" w:rsidR="00CF014C" w:rsidRDefault="00CF014C" w:rsidP="00CF014C">
      <w:pPr>
        <w:spacing w:line="360" w:lineRule="auto"/>
        <w:jc w:val="both"/>
        <w:rPr>
          <w:color w:val="000000"/>
        </w:rPr>
      </w:pPr>
    </w:p>
    <w:p w14:paraId="5522F2DA" w14:textId="77777777" w:rsidR="00CF014C" w:rsidRDefault="00CF014C" w:rsidP="00CF014C">
      <w:pPr>
        <w:pStyle w:val="a9"/>
        <w:spacing w:line="360" w:lineRule="auto"/>
        <w:jc w:val="both"/>
        <w:rPr>
          <w:color w:val="000000"/>
        </w:rPr>
      </w:pPr>
      <w:r>
        <w:rPr>
          <w:color w:val="000000"/>
          <w:rtl/>
        </w:rPr>
        <w:t xml:space="preserve">בעניין זובידאת שלעיל, אליו הפנתה ב"כ המאשימה, שני המערערים הורשעו בעבירה של נשיאה והובלת נשק, ירי באזור מגורים, איומים וקשירת קשר לביצוע פשע על כך שהצטיידו, על רקע סכסוך משפחתי, באקדח ובתחמושת והגיעו ברכב אל חצר ביתו של המתלונן, ובעודם נוסעים ברכב ירה אחד מהם מבעד לחלון הרכב מספר יריות, אשר פגעו בקירות הבית ובחלון. בית המשפט המחוזי קבע מתחם ענישה שנע בין 30 חודשי מאסר בפועל ל- 5 שנות מאסר בפועל והטיל על המערערים 45 חודשי מאסר בפועל. בית משפט העליון אישר את המתחם שנקבע אך הפחית מעונשם והעמידו על 30 חודשי מאסר בפועל. </w:t>
      </w:r>
    </w:p>
    <w:p w14:paraId="38CB8A02" w14:textId="77777777" w:rsidR="00CF014C" w:rsidRDefault="00CF014C" w:rsidP="00CF014C">
      <w:pPr>
        <w:pStyle w:val="a9"/>
        <w:spacing w:line="360" w:lineRule="auto"/>
        <w:jc w:val="both"/>
        <w:rPr>
          <w:color w:val="000000"/>
          <w:rtl/>
        </w:rPr>
      </w:pPr>
    </w:p>
    <w:p w14:paraId="737A4F62"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jc w:val="both"/>
        <w:rPr>
          <w:rFonts w:ascii="FrankRuehl" w:hAnsi="FrankRuehl"/>
          <w:sz w:val="28"/>
          <w:rtl/>
          <w:lang w:eastAsia="he-IL"/>
        </w:rPr>
      </w:pPr>
      <w:r>
        <w:rPr>
          <w:color w:val="000000"/>
          <w:rtl/>
        </w:rPr>
        <w:t xml:space="preserve">ב"כ הנאשם הפנה </w:t>
      </w:r>
      <w:r>
        <w:rPr>
          <w:rFonts w:ascii="FrankRuehl" w:hAnsi="FrankRuehl"/>
          <w:sz w:val="28"/>
          <w:rtl/>
          <w:lang w:eastAsia="he-IL"/>
        </w:rPr>
        <w:t>ל</w:t>
      </w:r>
      <w:hyperlink r:id="rId34" w:history="1">
        <w:r w:rsidR="00236544" w:rsidRPr="00236544">
          <w:rPr>
            <w:rFonts w:ascii="FrankRuehl" w:hAnsi="FrankRuehl"/>
            <w:color w:val="0000FF"/>
            <w:sz w:val="28"/>
            <w:u w:val="single"/>
            <w:rtl/>
            <w:lang w:eastAsia="he-IL"/>
          </w:rPr>
          <w:t>ע"פ 5681/14</w:t>
        </w:r>
      </w:hyperlink>
      <w:r>
        <w:rPr>
          <w:rFonts w:ascii="FrankRuehl" w:hAnsi="FrankRuehl"/>
          <w:sz w:val="28"/>
          <w:rtl/>
          <w:lang w:eastAsia="he-IL"/>
        </w:rPr>
        <w:t xml:space="preserve"> </w:t>
      </w:r>
      <w:r>
        <w:rPr>
          <w:rFonts w:ascii="Miriam" w:hAnsi="Miriam" w:cs="Miriam"/>
          <w:szCs w:val="24"/>
          <w:rtl/>
          <w:lang w:eastAsia="he-IL"/>
        </w:rPr>
        <w:t>מדינת ישראל נ' טאטור</w:t>
      </w:r>
      <w:r>
        <w:rPr>
          <w:rFonts w:ascii="FrankRuehl" w:hAnsi="FrankRuehl"/>
          <w:sz w:val="28"/>
          <w:rtl/>
          <w:lang w:eastAsia="he-IL"/>
        </w:rPr>
        <w:t xml:space="preserve"> (1.2.2015), בו המדינה ערערה על קלות עונשו של משיב אשר הורשע בעקבות הודאתו ברכישה והחזקה של נשק, נשיאה והובלה של נשק ובהפרעה לשוטר במילוי תפקידו. המשיב רכש אקדח, כדורי סרק וכדור חי אחד והסתירם בחצר ביתו, הוא נתפס כאשר באקדח מצוי הכדור החי במצב "הכנס" ובמהלך מעצרו ניסה לברוח וגרם לשוטר חבלה ברגלו ודימום בברכו. בבית משפט השלום נקבע מתחם ענישה של 10 עד 36 חודשי מאסר בפועל, אולם נוכח נורמטיביות המשיב, חרטתו ונכונותו להשתתף בתכנית רווחה בכפרו סטה בית המשפט מהמתחם והטיל עליו 6 חודשי עבודות שירות. בית המשפט העליון קיבל את הערעור אולם לא מיצה את הדין עם המשיב והטיל עליו 8 חודשים בניכוי ימי מעצרו וקבע כי לדעתו זה המאסר הנמוך ביותר האפשרי בנסיבות העניין. באותו מקרה הנשק המדובר היה אקדח, והסיבה לביצוע העבירה היתה רצון לירות כדורי סרק בשמחות.</w:t>
      </w:r>
    </w:p>
    <w:p w14:paraId="36444894"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right="567"/>
        <w:jc w:val="both"/>
        <w:rPr>
          <w:rFonts w:ascii="FrankRuehl" w:hAnsi="FrankRuehl"/>
          <w:sz w:val="28"/>
          <w:rtl/>
          <w:lang w:eastAsia="he-IL"/>
        </w:rPr>
      </w:pPr>
    </w:p>
    <w:p w14:paraId="74A137D8" w14:textId="77777777" w:rsidR="00CF014C" w:rsidRDefault="00CF014C" w:rsidP="00CF014C">
      <w:pPr>
        <w:pStyle w:val="a9"/>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jc w:val="both"/>
        <w:rPr>
          <w:rFonts w:ascii="FrankRuehl" w:hAnsi="FrankRuehl"/>
          <w:sz w:val="28"/>
          <w:rtl/>
          <w:lang w:eastAsia="he-IL"/>
        </w:rPr>
      </w:pPr>
      <w:r>
        <w:rPr>
          <w:rFonts w:ascii="FrankRuehl" w:hAnsi="FrankRuehl"/>
          <w:sz w:val="28"/>
          <w:rtl/>
          <w:lang w:eastAsia="he-IL"/>
        </w:rPr>
        <w:t>ב</w:t>
      </w:r>
      <w:hyperlink r:id="rId35" w:history="1">
        <w:r w:rsidR="00236544" w:rsidRPr="00236544">
          <w:rPr>
            <w:rFonts w:ascii="FrankRuehl" w:hAnsi="FrankRuehl"/>
            <w:color w:val="0000FF"/>
            <w:sz w:val="28"/>
            <w:u w:val="single"/>
            <w:rtl/>
            <w:lang w:eastAsia="he-IL"/>
          </w:rPr>
          <w:t>ע"פ 4945/13</w:t>
        </w:r>
      </w:hyperlink>
      <w:r>
        <w:rPr>
          <w:rFonts w:ascii="FrankRuehl" w:hAnsi="FrankRuehl"/>
          <w:sz w:val="28"/>
          <w:rtl/>
          <w:lang w:eastAsia="he-IL"/>
        </w:rPr>
        <w:t xml:space="preserve"> </w:t>
      </w:r>
      <w:r>
        <w:rPr>
          <w:rFonts w:ascii="Miriam" w:hAnsi="Miriam" w:cs="Miriam"/>
          <w:szCs w:val="24"/>
          <w:rtl/>
          <w:lang w:eastAsia="he-IL"/>
        </w:rPr>
        <w:t>מדינת ישראל נ' סלימאן</w:t>
      </w:r>
      <w:r>
        <w:rPr>
          <w:rFonts w:ascii="FrankRuehl" w:hAnsi="FrankRuehl"/>
          <w:sz w:val="28"/>
          <w:rtl/>
          <w:lang w:eastAsia="he-IL"/>
        </w:rPr>
        <w:t xml:space="preserve"> (19.1.2014), הגישה המדינה ערעור על קולת עונשו של משיב בן 20 אשר הורשע בעבירה של רכישה והחזקה של נשק ותחמושת, נשיאה והובלת נשק ותחמושת, הפרעה לשוטר במילוי תפקידו, מעשה פזיזות ורשלנות והסתייעות ברכב לביצוע פשע. לפי הכרעת הדין המשיב רכש נשק מסוג קרל גוסטב, מחסנית וכדורים, הגיע לחורשה וירה שם ירייה אחת באוויר והטמין את הנשק במקום הסמוך לביתו, בהמשך נהג המשיב ברכב בעודו נושא את הנשק והתחמושת בתא המטען ומשהבחין בניידת משטרה, נטש את הרכב מונע ונמלט מהמקום. תסקיר שירות המבחן היה חיובי, הומלץ להטיל עליו צו מבחן לשנתיים, לשלבו בקבוצות טיפוליות ולהטיל עליו בנוסף עבודות שירות. נמצא כי הסיבה לרכישת הנשק היא חשש לביטחונו. בית משפט המחוזי קבע מתחם שנע בין מאסר שירוצה בעבודות שירות ל- 20 חודשי מאסר בפועל, נגזר על המבקש עונש של 6 חודשים לביצוע בעבודות שירות, מאסר על תנאי וקנס בסך 2,000 ₪. בית משפט העליון אומנם דחה את הערעור בנסיבות המיוחדות של אותו תיק (כאשר אחד משופטי ההרכב הגדיר זאת כ: "</w:t>
      </w:r>
      <w:r>
        <w:rPr>
          <w:rtl/>
        </w:rPr>
        <w:t xml:space="preserve"> </w:t>
      </w:r>
      <w:r>
        <w:rPr>
          <w:rFonts w:ascii="Miriam" w:hAnsi="Miriam" w:cs="Miriam"/>
          <w:szCs w:val="24"/>
          <w:rtl/>
        </w:rPr>
        <w:t>המשיב נמלט לטעמי מן המאסר אך בעור שיניו</w:t>
      </w:r>
      <w:r>
        <w:rPr>
          <w:rFonts w:ascii="FrankRuehl" w:hAnsi="FrankRuehl"/>
          <w:sz w:val="28"/>
          <w:rtl/>
          <w:lang w:eastAsia="he-IL"/>
        </w:rPr>
        <w:t>..."), אולם קבע כדלקמן:</w:t>
      </w:r>
    </w:p>
    <w:p w14:paraId="67E850C1" w14:textId="77777777" w:rsidR="00CF014C" w:rsidRDefault="00CF014C" w:rsidP="00CF014C">
      <w:pPr>
        <w:pStyle w:val="Ruller41"/>
        <w:spacing w:line="240" w:lineRule="auto"/>
        <w:ind w:left="1502" w:right="567"/>
        <w:contextualSpacing/>
        <w:rPr>
          <w:rtl/>
        </w:rPr>
      </w:pPr>
      <w:r>
        <w:rPr>
          <w:rtl/>
        </w:rPr>
        <w:t xml:space="preserve">"לטעמי,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אף שגזר-הדין מנומק, יסודי ורהוט, מדובר במתחם מקל ביותר – מקל מדי בענייננו. כפי שבית המשפט עצמו ציין,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566EDC8C" w14:textId="77777777" w:rsidR="00CF014C" w:rsidRDefault="00CF014C" w:rsidP="00CF014C">
      <w:pPr>
        <w:pStyle w:val="Ruller41"/>
        <w:ind w:left="1502" w:right="1276"/>
        <w:contextualSpacing/>
        <w:rPr>
          <w:rtl/>
        </w:rPr>
      </w:pPr>
    </w:p>
    <w:p w14:paraId="760FB7EE" w14:textId="77777777" w:rsidR="00CF014C" w:rsidRDefault="00CF014C" w:rsidP="00CF014C">
      <w:pPr>
        <w:pStyle w:val="Ruller41"/>
        <w:ind w:left="793"/>
        <w:contextualSpacing/>
        <w:rPr>
          <w:rtl/>
        </w:rPr>
      </w:pPr>
      <w:r>
        <w:rPr>
          <w:rtl/>
        </w:rPr>
        <w:t>בהמשך פסק הדין קבע בית המשפט העליון מתחם ענישה מתאים שנע בין 12</w:t>
      </w:r>
      <w:r>
        <w:rPr>
          <w:rFonts w:hint="cs"/>
          <w:rtl/>
        </w:rPr>
        <w:t xml:space="preserve">        </w:t>
      </w:r>
      <w:r>
        <w:rPr>
          <w:rtl/>
        </w:rPr>
        <w:t xml:space="preserve"> ל-36 חודשי מאסר בפועל וקבע:</w:t>
      </w:r>
    </w:p>
    <w:p w14:paraId="541013D4" w14:textId="77777777" w:rsidR="00CF014C" w:rsidRDefault="00CF014C" w:rsidP="00CF014C">
      <w:pPr>
        <w:pStyle w:val="Ruller41"/>
        <w:spacing w:line="240" w:lineRule="auto"/>
        <w:ind w:left="1502" w:right="567"/>
        <w:contextualSpacing/>
        <w:rPr>
          <w:rtl/>
        </w:rPr>
      </w:pPr>
      <w:r>
        <w:rPr>
          <w:rtl/>
        </w:rPr>
        <w:t>"מעבר לכך, עיון במקרים דומים (בסוג העבירות ובנסיבות ביצוען) בפסיקה העלה בחכתי ארבעה מקרים רלוונטיים לענייננו, אשר בכולם נגזרו עונשי מאסר לריצוי מאחורי סורג ובריח ורובם נעים סביב 20 חודשים...".</w:t>
      </w:r>
    </w:p>
    <w:p w14:paraId="07D59B4A" w14:textId="77777777" w:rsidR="00CF014C" w:rsidRDefault="00CF014C" w:rsidP="00CF014C">
      <w:pPr>
        <w:pStyle w:val="Ruller41"/>
        <w:ind w:right="1276"/>
        <w:contextualSpacing/>
        <w:rPr>
          <w:rtl/>
        </w:rPr>
      </w:pPr>
    </w:p>
    <w:p w14:paraId="28B30F3F" w14:textId="77777777" w:rsidR="00CF014C" w:rsidRDefault="00CF014C" w:rsidP="00CF014C">
      <w:pPr>
        <w:pStyle w:val="a9"/>
        <w:spacing w:line="360" w:lineRule="auto"/>
        <w:jc w:val="both"/>
        <w:rPr>
          <w:rFonts w:ascii="FrankRuehl" w:hAnsi="FrankRuehl"/>
          <w:sz w:val="28"/>
          <w:rtl/>
        </w:rPr>
      </w:pPr>
      <w:r>
        <w:rPr>
          <w:rFonts w:ascii="FrankRuehl" w:hAnsi="FrankRuehl"/>
          <w:sz w:val="28"/>
          <w:rtl/>
        </w:rPr>
        <w:t>ב</w:t>
      </w:r>
      <w:hyperlink r:id="rId36" w:history="1">
        <w:r w:rsidR="00236544" w:rsidRPr="00236544">
          <w:rPr>
            <w:rFonts w:ascii="FrankRuehl" w:hAnsi="FrankRuehl"/>
            <w:color w:val="0000FF"/>
            <w:sz w:val="28"/>
            <w:u w:val="single"/>
            <w:rtl/>
          </w:rPr>
          <w:t>ע"פ 3156/11</w:t>
        </w:r>
      </w:hyperlink>
      <w:r>
        <w:rPr>
          <w:rFonts w:ascii="FrankRuehl" w:hAnsi="FrankRuehl"/>
          <w:sz w:val="28"/>
          <w:rtl/>
        </w:rPr>
        <w:t xml:space="preserve"> </w:t>
      </w:r>
      <w:r>
        <w:rPr>
          <w:rFonts w:ascii="Arial TUR" w:hAnsi="Arial TUR" w:cs="Miriam"/>
          <w:spacing w:val="10"/>
          <w:szCs w:val="24"/>
          <w:rtl/>
        </w:rPr>
        <w:t>זראיעה נ' מדינת ישראל</w:t>
      </w:r>
      <w:r>
        <w:rPr>
          <w:rFonts w:ascii="FrankRuehl" w:hAnsi="FrankRuehl"/>
          <w:sz w:val="28"/>
          <w:rtl/>
        </w:rPr>
        <w:t xml:space="preserve"> (21.2.2012),  המערער הורשע על פי הודאתו בעבירות של נשיאת והובלת נשק, והסתייעות ברכב לביצוע פשע, כאשר בעת חיפוש שגרתי של המשטרה ברכבו נתפסו אקדח, מחסנית טעונה בכדורי אקדח וקופסאות עם כדורי אקדח. בית המשפט המחוזי השית עליו עונש של 24 חודשי מאסר בפועל, ערעורו של הנאשם לבית המשפט העליון נדחה. למערער לא היה עבר פלילי.</w:t>
      </w:r>
    </w:p>
    <w:p w14:paraId="785CA18D" w14:textId="77777777" w:rsidR="00CF014C" w:rsidRDefault="00CF014C" w:rsidP="00CF014C">
      <w:pPr>
        <w:pStyle w:val="a9"/>
        <w:spacing w:line="360" w:lineRule="auto"/>
        <w:jc w:val="both"/>
        <w:rPr>
          <w:rFonts w:ascii="FrankRuehl" w:hAnsi="FrankRuehl"/>
          <w:sz w:val="28"/>
          <w:rtl/>
        </w:rPr>
      </w:pPr>
    </w:p>
    <w:p w14:paraId="14AE8ADF" w14:textId="77777777" w:rsidR="00CF014C" w:rsidRDefault="00CF014C" w:rsidP="00CF014C">
      <w:pPr>
        <w:pStyle w:val="a9"/>
        <w:spacing w:line="360" w:lineRule="auto"/>
        <w:jc w:val="both"/>
        <w:rPr>
          <w:rtl/>
        </w:rPr>
      </w:pPr>
      <w:r>
        <w:rPr>
          <w:rFonts w:ascii="FrankRuehl" w:hAnsi="FrankRuehl"/>
          <w:sz w:val="28"/>
          <w:rtl/>
        </w:rPr>
        <w:t>ב</w:t>
      </w:r>
      <w:hyperlink r:id="rId37" w:history="1">
        <w:r w:rsidR="00236544" w:rsidRPr="00236544">
          <w:rPr>
            <w:rFonts w:ascii="FrankRuehl" w:hAnsi="FrankRuehl"/>
            <w:color w:val="0000FF"/>
            <w:sz w:val="28"/>
            <w:u w:val="single"/>
            <w:rtl/>
          </w:rPr>
          <w:t>ע"פ 9702/16</w:t>
        </w:r>
      </w:hyperlink>
      <w:r>
        <w:rPr>
          <w:rFonts w:ascii="FrankRuehl" w:hAnsi="FrankRuehl"/>
          <w:sz w:val="28"/>
          <w:rtl/>
        </w:rPr>
        <w:t xml:space="preserve"> </w:t>
      </w:r>
      <w:r>
        <w:rPr>
          <w:rFonts w:ascii="Arial TUR" w:hAnsi="Arial TUR" w:cs="Miriam"/>
          <w:spacing w:val="10"/>
          <w:szCs w:val="24"/>
          <w:rtl/>
        </w:rPr>
        <w:t>אלוליאיה נ' מדינת ישראל</w:t>
      </w:r>
      <w:r>
        <w:rPr>
          <w:rFonts w:ascii="FrankRuehl" w:hAnsi="FrankRuehl"/>
          <w:sz w:val="28"/>
          <w:rtl/>
        </w:rPr>
        <w:t xml:space="preserve"> (13.9.2017), </w:t>
      </w:r>
      <w:r>
        <w:rPr>
          <w:rtl/>
        </w:rPr>
        <w:t xml:space="preserve"> הורשע המערער על יסוד הודאתו בעבירות של נשיאת והובלת נשק ותחמושת ללא רשות על כך </w:t>
      </w:r>
      <w:r>
        <w:rPr>
          <w:spacing w:val="10"/>
          <w:sz w:val="28"/>
          <w:rtl/>
        </w:rPr>
        <w:t xml:space="preserve">לאחר שמצא תיק ובתוכו תת מקלע מאולתר, קת מתכתית המתאימה לרובה סער </w:t>
      </w:r>
      <w:r>
        <w:rPr>
          <w:rFonts w:ascii="Arial TUR" w:hAnsi="Arial TUR" w:cs="Arial TUR"/>
          <w:spacing w:val="10"/>
          <w:sz w:val="22"/>
          <w:szCs w:val="22"/>
        </w:rPr>
        <w:t>M-16</w:t>
      </w:r>
      <w:r>
        <w:rPr>
          <w:spacing w:val="10"/>
          <w:sz w:val="28"/>
          <w:rtl/>
        </w:rPr>
        <w:t xml:space="preserve">, שתי מחסניות ריקות וקופסה של 50 כדורי 9 מ"מ, לקח והחביא את הנשק והתחמושת במשך כחצי שנה בחנותו. </w:t>
      </w:r>
      <w:r>
        <w:rPr>
          <w:rtl/>
        </w:rPr>
        <w:t>בית משפט המחוזי השית עליו 18 חודשי מאסר בפועל. בית משפט העליון קבע מתחם ענישה שנע בין 10 חודשים ל-30 חודשי מאסר בפועל אולם בדעת רוב דחה את הערעור ולא התערב בעונש שהושת.</w:t>
      </w:r>
    </w:p>
    <w:p w14:paraId="07124F2D" w14:textId="77777777" w:rsidR="00CF014C" w:rsidRDefault="00CF014C" w:rsidP="00CF014C">
      <w:pPr>
        <w:pStyle w:val="a9"/>
        <w:spacing w:line="360" w:lineRule="auto"/>
        <w:jc w:val="both"/>
        <w:rPr>
          <w:rtl/>
        </w:rPr>
      </w:pPr>
    </w:p>
    <w:p w14:paraId="647433BB" w14:textId="77777777" w:rsidR="00CF014C" w:rsidRDefault="00CF014C" w:rsidP="00CF014C">
      <w:pPr>
        <w:pStyle w:val="a9"/>
        <w:numPr>
          <w:ilvl w:val="0"/>
          <w:numId w:val="2"/>
        </w:numPr>
        <w:spacing w:line="360" w:lineRule="auto"/>
        <w:jc w:val="both"/>
        <w:rPr>
          <w:color w:val="000000"/>
          <w:rtl/>
        </w:rPr>
      </w:pPr>
      <w:r>
        <w:rPr>
          <w:color w:val="000000"/>
          <w:rtl/>
        </w:rPr>
        <w:t>לעניין הנסיבות הקשורות בביצוע העבירה, לעבירת נשיאת הנשק והתחמושת לא קדם תכנון מוקדם, ממעשיו של הנאשם, לא נגרם נזק ממשי, אולם פוטנציאל הנזק שמעשיו יכלו לגרום הוא לא מבוטל, הנאשם השתמש בנשקו באזור מגורים ואין זה תרחיש בדיוני כי אחת היריות יכלה גם לקפח חיים של אדם, וכפי שתואר לעיל בפסקי הדין של בית המשפט העליון, עצם קיומו של נשק ללא היתר מביא לפוטנציאל גדול מאוד לגרימת נזק משמעותי לחברה.</w:t>
      </w:r>
    </w:p>
    <w:p w14:paraId="58F18A96" w14:textId="77777777" w:rsidR="00CF014C" w:rsidRDefault="00CF014C" w:rsidP="00CF014C">
      <w:pPr>
        <w:spacing w:line="360" w:lineRule="auto"/>
        <w:ind w:left="720"/>
        <w:contextualSpacing/>
        <w:jc w:val="both"/>
        <w:rPr>
          <w:color w:val="000000"/>
          <w:rtl/>
        </w:rPr>
      </w:pPr>
    </w:p>
    <w:p w14:paraId="455E8DC9" w14:textId="77777777" w:rsidR="00CF014C" w:rsidRPr="00957A70" w:rsidRDefault="00CF014C" w:rsidP="00CF014C">
      <w:pPr>
        <w:spacing w:line="360" w:lineRule="auto"/>
        <w:ind w:left="720"/>
        <w:contextualSpacing/>
        <w:jc w:val="both"/>
        <w:rPr>
          <w:rFonts w:ascii="FrankRuehl" w:hAnsi="FrankRuehl" w:cs="FrankRuehl"/>
          <w:sz w:val="28"/>
          <w:szCs w:val="28"/>
          <w:u w:val="single"/>
          <w:rtl/>
        </w:rPr>
      </w:pPr>
      <w:r w:rsidRPr="00957A70">
        <w:rPr>
          <w:rFonts w:ascii="FrankRuehl" w:hAnsi="FrankRuehl" w:cs="FrankRuehl"/>
          <w:sz w:val="28"/>
          <w:szCs w:val="28"/>
          <w:rtl/>
        </w:rPr>
        <w:t xml:space="preserve">בהתחשב בערכים החברתיים שנפגעו מביצוע העבירות, במידת הפגיעה בהם, במדיניות הענישה הנהוגה ובנסיבות הקשורות בביצוע העבירות אני קובע כי העונש ההולם במקרה זה הוא מאסר במתחם שבין </w:t>
      </w:r>
      <w:r w:rsidRPr="00957A70">
        <w:rPr>
          <w:rFonts w:ascii="FrankRuehl" w:hAnsi="FrankRuehl" w:cs="FrankRuehl"/>
          <w:sz w:val="28"/>
          <w:szCs w:val="28"/>
          <w:u w:val="single"/>
          <w:rtl/>
        </w:rPr>
        <w:t>15</w:t>
      </w:r>
      <w:r w:rsidRPr="00957A70">
        <w:rPr>
          <w:rFonts w:ascii="FrankRuehl" w:hAnsi="FrankRuehl" w:cs="FrankRuehl"/>
          <w:sz w:val="28"/>
          <w:szCs w:val="28"/>
          <w:rtl/>
        </w:rPr>
        <w:t xml:space="preserve"> לבין </w:t>
      </w:r>
      <w:r w:rsidRPr="00957A70">
        <w:rPr>
          <w:rFonts w:ascii="FrankRuehl" w:hAnsi="FrankRuehl" w:cs="FrankRuehl"/>
          <w:sz w:val="28"/>
          <w:szCs w:val="28"/>
          <w:u w:val="single"/>
          <w:rtl/>
        </w:rPr>
        <w:t xml:space="preserve">36 </w:t>
      </w:r>
      <w:r w:rsidRPr="00957A70">
        <w:rPr>
          <w:rFonts w:ascii="FrankRuehl" w:hAnsi="FrankRuehl" w:cs="FrankRuehl"/>
          <w:sz w:val="28"/>
          <w:szCs w:val="28"/>
          <w:rtl/>
        </w:rPr>
        <w:t>חודשי מאסר בפועל.</w:t>
      </w:r>
    </w:p>
    <w:p w14:paraId="57722412" w14:textId="77777777" w:rsidR="00CF014C" w:rsidRDefault="00CF014C" w:rsidP="00CF014C">
      <w:pPr>
        <w:spacing w:line="360" w:lineRule="auto"/>
        <w:ind w:left="720"/>
        <w:contextualSpacing/>
        <w:jc w:val="both"/>
        <w:rPr>
          <w:u w:val="single"/>
          <w:rtl/>
        </w:rPr>
      </w:pPr>
    </w:p>
    <w:p w14:paraId="50DEAE64" w14:textId="77777777" w:rsidR="00CF014C" w:rsidRDefault="00CF014C" w:rsidP="00CF014C">
      <w:pPr>
        <w:spacing w:line="360" w:lineRule="auto"/>
        <w:ind w:left="720"/>
        <w:contextualSpacing/>
        <w:jc w:val="both"/>
        <w:rPr>
          <w:rFonts w:cs="Miriam"/>
          <w:rtl/>
        </w:rPr>
      </w:pPr>
      <w:r>
        <w:rPr>
          <w:rFonts w:cs="Miriam"/>
          <w:rtl/>
        </w:rPr>
        <w:t>העונש המתאים</w:t>
      </w:r>
    </w:p>
    <w:p w14:paraId="09D502BB" w14:textId="77777777" w:rsidR="00CF014C" w:rsidRDefault="00CF014C" w:rsidP="00CF014C">
      <w:pPr>
        <w:pStyle w:val="2"/>
        <w:numPr>
          <w:ilvl w:val="0"/>
          <w:numId w:val="2"/>
        </w:numPr>
        <w:spacing w:line="360" w:lineRule="auto"/>
        <w:jc w:val="both"/>
        <w:rPr>
          <w:rFonts w:ascii="Arial" w:hAnsi="Arial" w:cs="FrankRuehl"/>
          <w:szCs w:val="28"/>
          <w:rtl/>
        </w:rPr>
      </w:pPr>
      <w:r>
        <w:rPr>
          <w:rFonts w:ascii="Arial" w:hAnsi="Arial" w:cs="FrankRuehl"/>
          <w:szCs w:val="28"/>
          <w:rtl/>
        </w:rPr>
        <w:t>הנאשם יליד 1997, כבן 22, שירות המבחן נמנע מלה</w:t>
      </w:r>
      <w:r>
        <w:rPr>
          <w:rFonts w:ascii="Arial" w:hAnsi="Arial" w:cs="FrankRuehl" w:hint="cs"/>
          <w:szCs w:val="28"/>
          <w:rtl/>
        </w:rPr>
        <w:t xml:space="preserve">מליץ </w:t>
      </w:r>
      <w:r>
        <w:rPr>
          <w:rFonts w:ascii="Arial" w:hAnsi="Arial" w:cs="FrankRuehl"/>
          <w:szCs w:val="28"/>
          <w:rtl/>
        </w:rPr>
        <w:t>המלצה טיפולית או המלצה על חלופת ענישה או שיקום, בנוסף, לא מצאתי בטענות הסנגור או בתסקיר שירות המבחן סיבה לסטות ממתחם הענישה שקבעתי ועל כן העונש יהיה בתוך המתחם.</w:t>
      </w:r>
    </w:p>
    <w:p w14:paraId="4BD66F96" w14:textId="77777777" w:rsidR="00CF014C" w:rsidRDefault="00CF014C" w:rsidP="00CF014C">
      <w:pPr>
        <w:spacing w:line="360" w:lineRule="auto"/>
        <w:jc w:val="both"/>
        <w:rPr>
          <w:rFonts w:ascii="Arial" w:hAnsi="Arial" w:cs="FrankRuehl"/>
          <w:szCs w:val="28"/>
        </w:rPr>
      </w:pPr>
    </w:p>
    <w:p w14:paraId="7C83BB69" w14:textId="77777777" w:rsidR="00CF014C" w:rsidRDefault="00CF014C" w:rsidP="00CF014C">
      <w:pPr>
        <w:pStyle w:val="a9"/>
        <w:spacing w:line="360" w:lineRule="auto"/>
        <w:jc w:val="both"/>
      </w:pPr>
      <w:r>
        <w:rPr>
          <w:rtl/>
        </w:rPr>
        <w:t xml:space="preserve">לעניין הנסיבות שאינן קשורות בביצוע העבירה לפי </w:t>
      </w:r>
      <w:hyperlink r:id="rId38" w:history="1">
        <w:r w:rsidR="002A10BF" w:rsidRPr="002A10BF">
          <w:rPr>
            <w:color w:val="0000FF"/>
            <w:u w:val="single"/>
            <w:rtl/>
          </w:rPr>
          <w:t>סעיף 40יא'</w:t>
        </w:r>
      </w:hyperlink>
      <w:r>
        <w:rPr>
          <w:rtl/>
        </w:rPr>
        <w:t xml:space="preserve"> לחוק, אזקוף לזכות הנאשם את הודאתו בהזדמנות הראשונה שהביאה לחיסכון בזמן שיפוטי, כאשר ניתן ללמוד על חרטתו של הנאשם מהעובדה כי בחר להודות כבר בפתח ההליך (ראו בעניין זה </w:t>
      </w:r>
      <w:hyperlink r:id="rId39" w:history="1">
        <w:r w:rsidR="00236544" w:rsidRPr="00236544">
          <w:rPr>
            <w:color w:val="0000FF"/>
            <w:u w:val="single"/>
            <w:rtl/>
          </w:rPr>
          <w:t>ע"פ 2021/17</w:t>
        </w:r>
      </w:hyperlink>
      <w:r>
        <w:rPr>
          <w:rtl/>
        </w:rPr>
        <w:t xml:space="preserve"> </w:t>
      </w:r>
      <w:r>
        <w:rPr>
          <w:rFonts w:cs="Miriam"/>
          <w:szCs w:val="24"/>
          <w:rtl/>
        </w:rPr>
        <w:t>מצגר נ' מדינת ישראל</w:t>
      </w:r>
      <w:r>
        <w:rPr>
          <w:rtl/>
        </w:rPr>
        <w:t xml:space="preserve"> (30.4.2017).</w:t>
      </w:r>
    </w:p>
    <w:p w14:paraId="64B996E4" w14:textId="77777777" w:rsidR="00CF014C" w:rsidRDefault="00CF014C" w:rsidP="00CF014C">
      <w:pPr>
        <w:pStyle w:val="a9"/>
        <w:spacing w:line="360" w:lineRule="auto"/>
        <w:jc w:val="both"/>
        <w:rPr>
          <w:rtl/>
        </w:rPr>
      </w:pPr>
    </w:p>
    <w:p w14:paraId="3EDE8A76" w14:textId="77777777" w:rsidR="00CF014C" w:rsidRDefault="00CF014C" w:rsidP="00CF014C">
      <w:pPr>
        <w:pStyle w:val="a9"/>
        <w:spacing w:line="360" w:lineRule="auto"/>
        <w:jc w:val="both"/>
        <w:rPr>
          <w:rtl/>
        </w:rPr>
      </w:pPr>
      <w:r>
        <w:rPr>
          <w:rtl/>
        </w:rPr>
        <w:t xml:space="preserve"> בנוסף, אתחשב בגילו הצעיר יחסית של הנאשם, העומד להתארס ובכך שכל עתידו עוד לפניו, במיוחד עת ניהל עד ביצוע עבירה זו אורך חיים נורמטיבי, למד, עבד ובנה את ביתו העתידי ואת חייו, עוד יש לזקוף לזכותו את לימודיו בפנימייה צבאית על רקע רצונו להתגייס לצבא. </w:t>
      </w:r>
    </w:p>
    <w:p w14:paraId="7A729E57" w14:textId="77777777" w:rsidR="00CF014C" w:rsidRDefault="00CF014C" w:rsidP="00CF014C">
      <w:pPr>
        <w:pStyle w:val="a9"/>
        <w:spacing w:line="360" w:lineRule="auto"/>
        <w:jc w:val="both"/>
        <w:rPr>
          <w:rtl/>
        </w:rPr>
      </w:pPr>
    </w:p>
    <w:p w14:paraId="1A3168C4" w14:textId="77777777" w:rsidR="00CF014C" w:rsidRPr="00957A70" w:rsidRDefault="00CF014C" w:rsidP="00CF014C">
      <w:pPr>
        <w:numPr>
          <w:ilvl w:val="0"/>
          <w:numId w:val="2"/>
        </w:numPr>
        <w:spacing w:line="360" w:lineRule="auto"/>
        <w:jc w:val="both"/>
        <w:rPr>
          <w:rFonts w:ascii="FrankRuehl" w:hAnsi="FrankRuehl" w:cs="FrankRuehl"/>
          <w:sz w:val="28"/>
          <w:szCs w:val="28"/>
          <w:rtl/>
        </w:rPr>
      </w:pPr>
      <w:r w:rsidRPr="00957A70">
        <w:rPr>
          <w:rFonts w:ascii="FrankRuehl" w:hAnsi="FrankRuehl" w:cs="FrankRuehl"/>
          <w:sz w:val="28"/>
          <w:szCs w:val="28"/>
          <w:rtl/>
        </w:rPr>
        <w:t xml:space="preserve">שירות המבחן התרשם  כי יש במקרה זה סיכון להישנות התנהגות עוברת חוק בעתיד ואני סבור על פי תוכנו של תסקיר שירות המבחן וטיעוני הצדדים כי במקרה זה יש צורך  בהרתעת הנאשם מפני ביצוע עבירה נוספת שכזאת (לפי </w:t>
      </w:r>
      <w:hyperlink r:id="rId40" w:history="1">
        <w:r w:rsidR="002A10BF" w:rsidRPr="002A10BF">
          <w:rPr>
            <w:rFonts w:ascii="FrankRuehl" w:hAnsi="FrankRuehl" w:cs="FrankRuehl"/>
            <w:color w:val="0000FF"/>
            <w:sz w:val="28"/>
            <w:szCs w:val="28"/>
            <w:u w:val="single"/>
            <w:rtl/>
          </w:rPr>
          <w:t>סעיף 40ו</w:t>
        </w:r>
      </w:hyperlink>
      <w:r>
        <w:rPr>
          <w:rFonts w:ascii="FrankRuehl" w:hAnsi="FrankRuehl" w:cs="FrankRuehl" w:hint="cs"/>
          <w:sz w:val="28"/>
          <w:szCs w:val="28"/>
          <w:rtl/>
        </w:rPr>
        <w:t xml:space="preserve"> לחוק</w:t>
      </w:r>
      <w:r w:rsidRPr="00957A70">
        <w:rPr>
          <w:rFonts w:ascii="FrankRuehl" w:hAnsi="FrankRuehl" w:cs="FrankRuehl"/>
          <w:sz w:val="28"/>
          <w:szCs w:val="28"/>
          <w:rtl/>
        </w:rPr>
        <w:t>) וכי יש סיכוי של ממש כי העונש המתאים יביא להרתעתו.</w:t>
      </w:r>
    </w:p>
    <w:p w14:paraId="748CF61A" w14:textId="77777777" w:rsidR="00CF014C" w:rsidRPr="00957A70" w:rsidRDefault="00CF014C" w:rsidP="00CF014C">
      <w:pPr>
        <w:spacing w:line="360" w:lineRule="auto"/>
        <w:ind w:left="720"/>
        <w:contextualSpacing/>
        <w:jc w:val="both"/>
        <w:rPr>
          <w:rFonts w:ascii="FrankRuehl" w:hAnsi="FrankRuehl" w:cs="FrankRuehl"/>
          <w:sz w:val="28"/>
          <w:szCs w:val="28"/>
        </w:rPr>
      </w:pPr>
    </w:p>
    <w:p w14:paraId="5ECA278C" w14:textId="77777777" w:rsidR="00CF014C" w:rsidRDefault="00CF014C" w:rsidP="00CF014C">
      <w:pPr>
        <w:pStyle w:val="a9"/>
        <w:spacing w:line="360" w:lineRule="auto"/>
        <w:jc w:val="both"/>
      </w:pPr>
      <w:r>
        <w:rPr>
          <w:rtl/>
        </w:rPr>
        <w:t xml:space="preserve">בנוסף אני סבור כי יש צורך במקרה זה בהרתעת הרבים מפני ביצוע עבירה מסוג העבירה שביצע הנאשם (לפי </w:t>
      </w:r>
      <w:hyperlink r:id="rId41" w:history="1">
        <w:r w:rsidR="002A10BF" w:rsidRPr="002A10BF">
          <w:rPr>
            <w:color w:val="0000FF"/>
            <w:u w:val="single"/>
            <w:rtl/>
          </w:rPr>
          <w:t>סעיף 40ז</w:t>
        </w:r>
      </w:hyperlink>
      <w:r>
        <w:rPr>
          <w:rFonts w:hint="cs"/>
          <w:rtl/>
        </w:rPr>
        <w:t xml:space="preserve"> לחוק</w:t>
      </w:r>
      <w:r>
        <w:rPr>
          <w:rtl/>
        </w:rPr>
        <w:t>)  וכי יש סיכוי של ממש שהחמרה בעונשו של הנאשם תביא להרתעת הרבים ותגרום לכך שעבריינים פוטנציאלים ישקלו פעמיים לפני שייבחרו לבצע עבירה של נשיאת נשק ותחמושת וירי באזור מגורים</w:t>
      </w:r>
      <w:r>
        <w:rPr>
          <w:rFonts w:hint="cs"/>
          <w:rtl/>
        </w:rPr>
        <w:t>.</w:t>
      </w:r>
      <w:r>
        <w:rPr>
          <w:rtl/>
        </w:rPr>
        <w:t xml:space="preserve"> </w:t>
      </w:r>
    </w:p>
    <w:p w14:paraId="0C5C197A" w14:textId="77777777" w:rsidR="00CF014C" w:rsidRDefault="00CF014C" w:rsidP="00CF014C">
      <w:pPr>
        <w:pStyle w:val="a9"/>
        <w:spacing w:line="360" w:lineRule="auto"/>
        <w:jc w:val="both"/>
        <w:rPr>
          <w:rtl/>
        </w:rPr>
      </w:pPr>
    </w:p>
    <w:p w14:paraId="444A1B36" w14:textId="77777777" w:rsidR="00CF014C" w:rsidRDefault="00CF014C" w:rsidP="00CF014C">
      <w:pPr>
        <w:spacing w:line="360" w:lineRule="auto"/>
        <w:ind w:firstLine="720"/>
        <w:jc w:val="both"/>
        <w:rPr>
          <w:rFonts w:cs="Miriam"/>
        </w:rPr>
      </w:pPr>
      <w:r>
        <w:rPr>
          <w:rFonts w:cs="Miriam"/>
          <w:rtl/>
        </w:rPr>
        <w:t>סיכום</w:t>
      </w:r>
    </w:p>
    <w:p w14:paraId="6A02C1CD" w14:textId="77777777" w:rsidR="00CF014C" w:rsidRDefault="00CF014C" w:rsidP="00CF014C">
      <w:pPr>
        <w:pStyle w:val="a9"/>
        <w:spacing w:line="360" w:lineRule="auto"/>
        <w:jc w:val="both"/>
      </w:pPr>
      <w:r>
        <w:rPr>
          <w:rtl/>
        </w:rPr>
        <w:t>לאור האמור לעיל אני דן את הנאשם לעונשים הבאים:</w:t>
      </w:r>
    </w:p>
    <w:p w14:paraId="06D1D7DA" w14:textId="77777777" w:rsidR="00CF014C" w:rsidRDefault="00CF014C" w:rsidP="00CF014C">
      <w:pPr>
        <w:pStyle w:val="2"/>
        <w:numPr>
          <w:ilvl w:val="0"/>
          <w:numId w:val="3"/>
        </w:numPr>
        <w:spacing w:line="360" w:lineRule="auto"/>
        <w:jc w:val="both"/>
        <w:rPr>
          <w:rFonts w:ascii="Arial" w:hAnsi="Arial" w:cs="FrankRuehl"/>
          <w:szCs w:val="28"/>
        </w:rPr>
      </w:pPr>
      <w:r w:rsidRPr="00457407">
        <w:rPr>
          <w:rFonts w:ascii="Arial" w:hAnsi="Arial" w:cs="FrankRuehl"/>
          <w:szCs w:val="28"/>
          <w:u w:val="single"/>
          <w:rtl/>
        </w:rPr>
        <w:t xml:space="preserve">18 </w:t>
      </w:r>
      <w:r>
        <w:rPr>
          <w:rFonts w:ascii="Arial" w:hAnsi="Arial" w:cs="FrankRuehl"/>
          <w:szCs w:val="28"/>
          <w:rtl/>
        </w:rPr>
        <w:t>חודשי מאסר בפועל בניכוי ימי מעצרו: מיום 22.3.2019 ועד ליום 28.4.2019 ומיום 16.8.2019 ועד היום.</w:t>
      </w:r>
    </w:p>
    <w:p w14:paraId="3B527BC5" w14:textId="77777777" w:rsidR="00CF014C" w:rsidRDefault="00CF014C" w:rsidP="00CF014C">
      <w:pPr>
        <w:pStyle w:val="2"/>
        <w:numPr>
          <w:ilvl w:val="0"/>
          <w:numId w:val="3"/>
        </w:numPr>
        <w:spacing w:line="360" w:lineRule="auto"/>
        <w:jc w:val="both"/>
        <w:rPr>
          <w:rFonts w:ascii="Arial" w:hAnsi="Arial" w:cs="FrankRuehl"/>
          <w:szCs w:val="28"/>
        </w:rPr>
      </w:pPr>
      <w:r>
        <w:rPr>
          <w:rFonts w:ascii="Arial" w:hAnsi="Arial" w:cs="FrankRuehl"/>
          <w:szCs w:val="28"/>
          <w:u w:val="single"/>
          <w:rtl/>
        </w:rPr>
        <w:t>4</w:t>
      </w:r>
      <w:r>
        <w:rPr>
          <w:rFonts w:ascii="Arial" w:hAnsi="Arial" w:cs="FrankRuehl"/>
          <w:szCs w:val="28"/>
          <w:rtl/>
        </w:rPr>
        <w:t xml:space="preserve"> חודשי מאסר על תנאי,  הנאשם לא יישא את עונש המאסר על  תנאי </w:t>
      </w:r>
      <w:r>
        <w:rPr>
          <w:rFonts w:cs="Times New Roman" w:hint="cs"/>
          <w:sz w:val="26"/>
          <w:szCs w:val="26"/>
          <w:rtl/>
        </w:rPr>
        <w:t xml:space="preserve">אלא אם יעבור </w:t>
      </w:r>
      <w:r>
        <w:rPr>
          <w:rFonts w:ascii="Arial" w:hAnsi="Arial" w:cs="FrankRuehl"/>
          <w:szCs w:val="28"/>
          <w:rtl/>
        </w:rPr>
        <w:t xml:space="preserve">תוך שלוש שנים  עבירה בנשק או עבירה לפי </w:t>
      </w:r>
      <w:hyperlink r:id="rId42" w:history="1">
        <w:r w:rsidR="002A10BF" w:rsidRPr="002A10BF">
          <w:rPr>
            <w:rFonts w:ascii="Arial" w:hAnsi="Arial" w:cs="FrankRuehl"/>
            <w:color w:val="0000FF"/>
            <w:szCs w:val="28"/>
            <w:u w:val="single"/>
            <w:rtl/>
          </w:rPr>
          <w:t>סעיף 340א</w:t>
        </w:r>
      </w:hyperlink>
      <w:r>
        <w:rPr>
          <w:rFonts w:ascii="Arial" w:hAnsi="Arial" w:cs="FrankRuehl"/>
          <w:szCs w:val="28"/>
          <w:rtl/>
        </w:rPr>
        <w:t xml:space="preserve"> ל</w:t>
      </w:r>
      <w:hyperlink r:id="rId43" w:history="1">
        <w:r w:rsidR="00236544" w:rsidRPr="00236544">
          <w:rPr>
            <w:rFonts w:ascii="Arial" w:hAnsi="Arial" w:cs="FrankRuehl"/>
            <w:color w:val="0000FF"/>
            <w:szCs w:val="28"/>
            <w:u w:val="single"/>
            <w:rtl/>
          </w:rPr>
          <w:t>חוק העונשין</w:t>
        </w:r>
      </w:hyperlink>
      <w:r>
        <w:rPr>
          <w:rFonts w:ascii="Arial" w:hAnsi="Arial" w:cs="FrankRuehl"/>
          <w:szCs w:val="28"/>
          <w:rtl/>
        </w:rPr>
        <w:t>, התשל"ז-1977 ויורשע בשל עבירה כזאת תוך תקופת התנאי או לאחריה.</w:t>
      </w:r>
      <w:r>
        <w:rPr>
          <w:rFonts w:cs="Times New Roman" w:hint="cs"/>
          <w:sz w:val="26"/>
          <w:szCs w:val="26"/>
          <w:rtl/>
        </w:rPr>
        <w:t xml:space="preserve"> </w:t>
      </w:r>
    </w:p>
    <w:p w14:paraId="66630988" w14:textId="77777777" w:rsidR="00CF014C" w:rsidRPr="00957A70" w:rsidRDefault="00CF014C" w:rsidP="00CF014C">
      <w:pPr>
        <w:spacing w:line="360" w:lineRule="auto"/>
        <w:ind w:left="720"/>
        <w:contextualSpacing/>
        <w:jc w:val="both"/>
        <w:rPr>
          <w:rFonts w:ascii="FrankRuehl" w:hAnsi="FrankRuehl" w:cs="FrankRuehl"/>
          <w:sz w:val="28"/>
          <w:szCs w:val="28"/>
          <w:u w:val="single"/>
          <w:rtl/>
        </w:rPr>
      </w:pPr>
      <w:r w:rsidRPr="00957A70">
        <w:rPr>
          <w:rFonts w:ascii="FrankRuehl" w:hAnsi="FrankRuehl" w:cs="FrankRuehl"/>
          <w:sz w:val="28"/>
          <w:szCs w:val="28"/>
          <w:u w:val="single"/>
          <w:rtl/>
        </w:rPr>
        <w:t xml:space="preserve">המזכירות תשלח גזר הדין לשירות המבחן. </w:t>
      </w:r>
    </w:p>
    <w:p w14:paraId="0071A5DD" w14:textId="77777777" w:rsidR="00CF014C" w:rsidRPr="00957A70" w:rsidRDefault="00236544" w:rsidP="00CF014C">
      <w:pPr>
        <w:spacing w:line="360" w:lineRule="auto"/>
        <w:ind w:left="720"/>
        <w:contextualSpacing/>
        <w:jc w:val="both"/>
        <w:rPr>
          <w:rFonts w:ascii="FrankRuehl" w:hAnsi="FrankRuehl" w:cs="FrankRuehl"/>
          <w:sz w:val="28"/>
          <w:szCs w:val="28"/>
          <w:u w:val="single"/>
        </w:rPr>
      </w:pPr>
      <w:r w:rsidRPr="00236544">
        <w:rPr>
          <w:rFonts w:ascii="FrankRuehl" w:hAnsi="FrankRuehl" w:cs="FrankRuehl"/>
          <w:color w:val="FFFFFF"/>
          <w:sz w:val="2"/>
          <w:szCs w:val="2"/>
          <w:u w:val="single"/>
          <w:rtl/>
        </w:rPr>
        <w:t>5129371</w:t>
      </w:r>
      <w:r w:rsidR="00CF014C" w:rsidRPr="00957A70">
        <w:rPr>
          <w:rFonts w:ascii="FrankRuehl" w:hAnsi="FrankRuehl" w:cs="FrankRuehl"/>
          <w:sz w:val="28"/>
          <w:szCs w:val="28"/>
          <w:u w:val="single"/>
          <w:rtl/>
        </w:rPr>
        <w:t>זכות ערעור לבית המשפט העליון תוך 45 יום.</w:t>
      </w:r>
    </w:p>
    <w:p w14:paraId="22F4C1A4" w14:textId="77777777" w:rsidR="00CF014C" w:rsidRPr="00236544" w:rsidRDefault="00236544" w:rsidP="00CF014C">
      <w:pPr>
        <w:rPr>
          <w:color w:val="FFFFFF"/>
          <w:sz w:val="2"/>
          <w:szCs w:val="2"/>
          <w:rtl/>
        </w:rPr>
      </w:pPr>
      <w:r w:rsidRPr="00236544">
        <w:rPr>
          <w:color w:val="FFFFFF"/>
          <w:sz w:val="2"/>
          <w:szCs w:val="2"/>
          <w:rtl/>
        </w:rPr>
        <w:t>54678313</w:t>
      </w:r>
    </w:p>
    <w:p w14:paraId="22B56674" w14:textId="77777777" w:rsidR="00CF014C" w:rsidRDefault="00236544" w:rsidP="00CF014C">
      <w:pPr>
        <w:spacing w:line="360" w:lineRule="auto"/>
        <w:jc w:val="both"/>
        <w:rPr>
          <w:rFonts w:cs="FrankRuehl"/>
          <w:sz w:val="28"/>
          <w:szCs w:val="28"/>
          <w:rtl/>
        </w:rPr>
      </w:pPr>
      <w:bookmarkStart w:id="7" w:name="Nitan"/>
      <w:r>
        <w:rPr>
          <w:rFonts w:ascii="Arial" w:hAnsi="Arial"/>
          <w:rtl/>
        </w:rPr>
        <w:t xml:space="preserve">ניתן היום,  ז' תשרי תש"פ, 6 אוקטובר 2019, בנוכחות ב"כ המאשימה עו"ד אבי אורך זך, הסנגור </w:t>
      </w:r>
      <w:bookmarkEnd w:id="7"/>
      <w:r w:rsidR="00CF014C">
        <w:rPr>
          <w:rFonts w:ascii="Arial" w:hAnsi="Arial" w:hint="cs"/>
          <w:rtl/>
        </w:rPr>
        <w:t>עו"ד שאמי מחמוד והנאשם באמצעות שב"ס.</w:t>
      </w:r>
    </w:p>
    <w:p w14:paraId="2428461F" w14:textId="77777777" w:rsidR="00CF014C" w:rsidRDefault="00CF014C" w:rsidP="00CF014C">
      <w:pPr>
        <w:spacing w:line="360" w:lineRule="auto"/>
        <w:jc w:val="both"/>
        <w:rPr>
          <w:rFonts w:cs="FrankRuehl"/>
          <w:sz w:val="28"/>
          <w:szCs w:val="28"/>
          <w:rtl/>
        </w:rPr>
      </w:pPr>
    </w:p>
    <w:p w14:paraId="3816EA84" w14:textId="77777777" w:rsidR="00CF014C" w:rsidRDefault="00CF014C" w:rsidP="0023654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22FA494" w14:textId="77777777" w:rsidR="00CF014C" w:rsidRPr="002A10BF" w:rsidRDefault="002A10BF" w:rsidP="00CF014C">
      <w:pPr>
        <w:jc w:val="center"/>
        <w:rPr>
          <w:rFonts w:ascii="Arial" w:hAnsi="Arial" w:cs="FrankRuehl"/>
          <w:color w:val="FFFFFF"/>
          <w:sz w:val="2"/>
          <w:szCs w:val="2"/>
          <w:rtl/>
        </w:rPr>
      </w:pPr>
      <w:r w:rsidRPr="002A10BF">
        <w:rPr>
          <w:rFonts w:ascii="Arial" w:hAnsi="Arial" w:cs="FrankRuehl"/>
          <w:color w:val="FFFFFF"/>
          <w:sz w:val="2"/>
          <w:szCs w:val="2"/>
          <w:rtl/>
        </w:rPr>
        <w:t>5129371</w:t>
      </w:r>
    </w:p>
    <w:p w14:paraId="58C9A305" w14:textId="77777777" w:rsidR="0033194C" w:rsidRPr="002A10BF" w:rsidRDefault="002A10BF" w:rsidP="00236544">
      <w:pPr>
        <w:keepNext/>
        <w:rPr>
          <w:rFonts w:ascii="David" w:hAnsi="David"/>
          <w:color w:val="FFFFFF"/>
          <w:sz w:val="2"/>
          <w:szCs w:val="2"/>
          <w:rtl/>
        </w:rPr>
      </w:pPr>
      <w:r w:rsidRPr="002A10BF">
        <w:rPr>
          <w:rFonts w:ascii="David" w:hAnsi="David"/>
          <w:color w:val="FFFFFF"/>
          <w:sz w:val="2"/>
          <w:szCs w:val="2"/>
          <w:rtl/>
        </w:rPr>
        <w:t>54678313</w:t>
      </w:r>
    </w:p>
    <w:p w14:paraId="4A7FEE2D" w14:textId="77777777" w:rsidR="00236544" w:rsidRPr="00236544" w:rsidRDefault="00236544" w:rsidP="00236544">
      <w:pPr>
        <w:keepNext/>
        <w:rPr>
          <w:rFonts w:ascii="David" w:hAnsi="David"/>
          <w:color w:val="000000"/>
          <w:sz w:val="22"/>
          <w:szCs w:val="22"/>
          <w:rtl/>
        </w:rPr>
      </w:pPr>
      <w:r w:rsidRPr="00236544">
        <w:rPr>
          <w:rFonts w:ascii="David" w:hAnsi="David"/>
          <w:color w:val="000000"/>
          <w:sz w:val="22"/>
          <w:szCs w:val="22"/>
          <w:rtl/>
        </w:rPr>
        <w:t>אברהם אליקים 54678313</w:t>
      </w:r>
    </w:p>
    <w:p w14:paraId="28E11BC0" w14:textId="77777777" w:rsidR="00236544" w:rsidRDefault="00236544" w:rsidP="00236544">
      <w:r w:rsidRPr="00236544">
        <w:rPr>
          <w:color w:val="000000"/>
          <w:rtl/>
        </w:rPr>
        <w:t>נוסח מסמך זה כפוף לשינויי ניסוח ועריכה</w:t>
      </w:r>
    </w:p>
    <w:p w14:paraId="5EF261B3" w14:textId="77777777" w:rsidR="00236544" w:rsidRDefault="00236544" w:rsidP="00236544">
      <w:pPr>
        <w:rPr>
          <w:rtl/>
        </w:rPr>
      </w:pPr>
    </w:p>
    <w:p w14:paraId="139AFEC6" w14:textId="77777777" w:rsidR="00236544" w:rsidRDefault="00236544" w:rsidP="0023654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sectPr w:rsidR="00236544" w:rsidSect="002A10BF">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BB584" w14:textId="77777777" w:rsidR="00E26A27" w:rsidRDefault="00E26A27" w:rsidP="008F63F9">
      <w:r>
        <w:separator/>
      </w:r>
    </w:p>
  </w:endnote>
  <w:endnote w:type="continuationSeparator" w:id="0">
    <w:p w14:paraId="54702FE4" w14:textId="77777777" w:rsidR="00E26A27" w:rsidRDefault="00E26A27" w:rsidP="008F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BE78C" w14:textId="77777777" w:rsidR="002A10BF" w:rsidRDefault="002A10BF" w:rsidP="002A10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9E8D80" w14:textId="77777777" w:rsidR="005C5894" w:rsidRPr="002A10BF" w:rsidRDefault="002A10BF" w:rsidP="002A10BF">
    <w:pPr>
      <w:pStyle w:val="a5"/>
      <w:pBdr>
        <w:top w:val="single" w:sz="4" w:space="1" w:color="auto"/>
        <w:between w:val="single" w:sz="4" w:space="0" w:color="auto"/>
      </w:pBdr>
      <w:spacing w:after="60"/>
      <w:jc w:val="center"/>
      <w:rPr>
        <w:rFonts w:ascii="FrankRuehl" w:hAnsi="FrankRuehl" w:cs="FrankRuehl"/>
        <w:color w:val="000000"/>
      </w:rPr>
    </w:pPr>
    <w:r w:rsidRPr="002A10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414AD" w14:textId="77777777" w:rsidR="002A10BF" w:rsidRDefault="002A10BF" w:rsidP="002A10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5B4B">
      <w:rPr>
        <w:rFonts w:ascii="FrankRuehl" w:hAnsi="FrankRuehl" w:cs="FrankRuehl"/>
        <w:noProof/>
        <w:rtl/>
      </w:rPr>
      <w:t>1</w:t>
    </w:r>
    <w:r>
      <w:rPr>
        <w:rFonts w:ascii="FrankRuehl" w:hAnsi="FrankRuehl" w:cs="FrankRuehl"/>
        <w:rtl/>
      </w:rPr>
      <w:fldChar w:fldCharType="end"/>
    </w:r>
  </w:p>
  <w:p w14:paraId="58D9EA3E" w14:textId="77777777" w:rsidR="005C5894" w:rsidRPr="002A10BF" w:rsidRDefault="002A10BF" w:rsidP="002A10BF">
    <w:pPr>
      <w:pStyle w:val="a5"/>
      <w:pBdr>
        <w:top w:val="single" w:sz="4" w:space="1" w:color="auto"/>
        <w:between w:val="single" w:sz="4" w:space="0" w:color="auto"/>
      </w:pBdr>
      <w:spacing w:after="60"/>
      <w:jc w:val="center"/>
      <w:rPr>
        <w:rFonts w:ascii="FrankRuehl" w:hAnsi="FrankRuehl" w:cs="FrankRuehl"/>
        <w:color w:val="000000"/>
      </w:rPr>
    </w:pPr>
    <w:r w:rsidRPr="002A10BF">
      <w:rPr>
        <w:rFonts w:ascii="FrankRuehl" w:hAnsi="FrankRuehl" w:cs="FrankRuehl"/>
        <w:color w:val="000000"/>
      </w:rPr>
      <w:pict w14:anchorId="65C54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E79AD" w14:textId="77777777" w:rsidR="00E26A27" w:rsidRDefault="00E26A27" w:rsidP="008F63F9">
      <w:r>
        <w:separator/>
      </w:r>
    </w:p>
  </w:footnote>
  <w:footnote w:type="continuationSeparator" w:id="0">
    <w:p w14:paraId="29F046E4" w14:textId="77777777" w:rsidR="00E26A27" w:rsidRDefault="00E26A27" w:rsidP="008F6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4620" w14:textId="77777777" w:rsidR="00236544" w:rsidRPr="002A10BF" w:rsidRDefault="002A10BF" w:rsidP="002A10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1641-04-19</w:t>
    </w:r>
    <w:r>
      <w:rPr>
        <w:rFonts w:ascii="David" w:hAnsi="David"/>
        <w:color w:val="000000"/>
        <w:sz w:val="22"/>
        <w:szCs w:val="22"/>
        <w:rtl/>
      </w:rPr>
      <w:tab/>
      <w:t xml:space="preserve"> מדינת ישראל נ' זידאן זידאן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2D670" w14:textId="77777777" w:rsidR="00236544" w:rsidRPr="002A10BF" w:rsidRDefault="002A10BF" w:rsidP="002A10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1641-04-19</w:t>
    </w:r>
    <w:r>
      <w:rPr>
        <w:rFonts w:ascii="David" w:hAnsi="David"/>
        <w:color w:val="000000"/>
        <w:sz w:val="22"/>
        <w:szCs w:val="22"/>
        <w:rtl/>
      </w:rPr>
      <w:tab/>
      <w:t xml:space="preserve"> מדינת ישראל נ' זידאן זידאן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2BBAE7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6963374C"/>
    <w:multiLevelType w:val="multilevel"/>
    <w:tmpl w:val="4E42B04A"/>
    <w:lvl w:ilvl="0">
      <w:start w:val="1"/>
      <w:numFmt w:val="decimal"/>
      <w:pStyle w:val="Ruller4"/>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804080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170026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160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014C"/>
    <w:rsid w:val="00236544"/>
    <w:rsid w:val="002A10BF"/>
    <w:rsid w:val="002B5B4B"/>
    <w:rsid w:val="0033194C"/>
    <w:rsid w:val="00381020"/>
    <w:rsid w:val="005C5894"/>
    <w:rsid w:val="007454F3"/>
    <w:rsid w:val="00753AAD"/>
    <w:rsid w:val="008F63F9"/>
    <w:rsid w:val="00CF014C"/>
    <w:rsid w:val="00E26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BCCF53"/>
  <w15:chartTrackingRefBased/>
  <w15:docId w15:val="{292F4BEC-6A1C-4FA6-A348-C0FDFB7A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01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014C"/>
    <w:pPr>
      <w:tabs>
        <w:tab w:val="center" w:pos="4153"/>
        <w:tab w:val="right" w:pos="8306"/>
      </w:tabs>
    </w:pPr>
  </w:style>
  <w:style w:type="character" w:customStyle="1" w:styleId="a4">
    <w:name w:val="כותרת עליונה תו"/>
    <w:link w:val="a3"/>
    <w:rsid w:val="00CF014C"/>
    <w:rPr>
      <w:rFonts w:ascii="Times New Roman" w:eastAsia="Times New Roman" w:hAnsi="Times New Roman" w:cs="David"/>
      <w:sz w:val="24"/>
      <w:szCs w:val="24"/>
    </w:rPr>
  </w:style>
  <w:style w:type="paragraph" w:styleId="a5">
    <w:name w:val="footer"/>
    <w:basedOn w:val="a"/>
    <w:link w:val="a6"/>
    <w:rsid w:val="00CF014C"/>
    <w:pPr>
      <w:tabs>
        <w:tab w:val="center" w:pos="4153"/>
        <w:tab w:val="right" w:pos="8306"/>
      </w:tabs>
    </w:pPr>
  </w:style>
  <w:style w:type="character" w:customStyle="1" w:styleId="a6">
    <w:name w:val="כותרת תחתונה תו"/>
    <w:link w:val="a5"/>
    <w:rsid w:val="00CF014C"/>
    <w:rPr>
      <w:rFonts w:ascii="Times New Roman" w:eastAsia="Times New Roman" w:hAnsi="Times New Roman" w:cs="David"/>
      <w:sz w:val="24"/>
      <w:szCs w:val="24"/>
    </w:rPr>
  </w:style>
  <w:style w:type="table" w:styleId="a7">
    <w:name w:val="Table Grid"/>
    <w:basedOn w:val="a1"/>
    <w:rsid w:val="00CF01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014C"/>
  </w:style>
  <w:style w:type="paragraph" w:styleId="a9">
    <w:name w:val="List Paragraph"/>
    <w:basedOn w:val="a"/>
    <w:qFormat/>
    <w:rsid w:val="00CF014C"/>
    <w:pPr>
      <w:ind w:left="720"/>
      <w:contextualSpacing/>
    </w:pPr>
    <w:rPr>
      <w:rFonts w:ascii="Arial" w:hAnsi="Arial" w:cs="FrankRuehl"/>
      <w:szCs w:val="28"/>
    </w:rPr>
  </w:style>
  <w:style w:type="character" w:customStyle="1" w:styleId="Ruller40">
    <w:name w:val="Ruller4 תו"/>
    <w:link w:val="Ruller41"/>
    <w:locked/>
    <w:rsid w:val="00CF014C"/>
    <w:rPr>
      <w:rFonts w:ascii="Arial TUR" w:hAnsi="Arial TUR" w:cs="FrankRuehl"/>
      <w:spacing w:val="10"/>
      <w:szCs w:val="28"/>
    </w:rPr>
  </w:style>
  <w:style w:type="paragraph" w:customStyle="1" w:styleId="Ruller41">
    <w:name w:val="Ruller4"/>
    <w:basedOn w:val="a"/>
    <w:link w:val="Ruller40"/>
    <w:rsid w:val="00CF014C"/>
    <w:pPr>
      <w:tabs>
        <w:tab w:val="left" w:pos="800"/>
      </w:tabs>
      <w:overflowPunct w:val="0"/>
      <w:adjustRightInd w:val="0"/>
      <w:spacing w:line="360" w:lineRule="auto"/>
      <w:jc w:val="both"/>
    </w:pPr>
    <w:rPr>
      <w:rFonts w:ascii="Arial TUR" w:eastAsia="Calibri" w:hAnsi="Arial TUR" w:cs="FrankRuehl"/>
      <w:spacing w:val="10"/>
      <w:sz w:val="22"/>
      <w:szCs w:val="28"/>
    </w:rPr>
  </w:style>
  <w:style w:type="paragraph" w:customStyle="1" w:styleId="Ruller4">
    <w:name w:val="Ruller 4 ממוספר"/>
    <w:basedOn w:val="Ruller41"/>
    <w:next w:val="Ruller41"/>
    <w:rsid w:val="00CF014C"/>
    <w:pPr>
      <w:numPr>
        <w:numId w:val="1"/>
      </w:numPr>
      <w:tabs>
        <w:tab w:val="clear" w:pos="720"/>
        <w:tab w:val="num" w:pos="360"/>
        <w:tab w:val="num" w:pos="907"/>
        <w:tab w:val="num" w:pos="1080"/>
      </w:tabs>
      <w:ind w:left="0" w:right="720" w:firstLine="0"/>
    </w:pPr>
    <w:rPr>
      <w:rFonts w:ascii="Garamond" w:hAnsi="Garamond"/>
      <w:sz w:val="24"/>
    </w:rPr>
  </w:style>
  <w:style w:type="paragraph" w:customStyle="1" w:styleId="2">
    <w:name w:val="פיסקת רשימה2"/>
    <w:basedOn w:val="a"/>
    <w:rsid w:val="00CF014C"/>
    <w:pPr>
      <w:ind w:left="720"/>
      <w:contextualSpacing/>
    </w:pPr>
  </w:style>
  <w:style w:type="character" w:styleId="Hyperlink">
    <w:name w:val="Hyperlink"/>
    <w:rsid w:val="0023654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340a.b.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2294063" TargetMode="External"/><Relationship Id="rId21" Type="http://schemas.openxmlformats.org/officeDocument/2006/relationships/hyperlink" Target="http://www.nevo.co.il/case/20371840" TargetMode="External"/><Relationship Id="rId34" Type="http://schemas.openxmlformats.org/officeDocument/2006/relationships/hyperlink" Target="http://www.nevo.co.il/case/17954222" TargetMode="External"/><Relationship Id="rId42" Type="http://schemas.openxmlformats.org/officeDocument/2006/relationships/hyperlink" Target="http://www.nevo.co.il/law/70301/340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7681198" TargetMode="External"/><Relationship Id="rId11" Type="http://schemas.openxmlformats.org/officeDocument/2006/relationships/hyperlink" Target="http://www.nevo.co.il/law/70301/40j.d"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21771409" TargetMode="External"/><Relationship Id="rId40" Type="http://schemas.openxmlformats.org/officeDocument/2006/relationships/hyperlink" Target="http://www.nevo.co.il/law/70301/40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40j.d" TargetMode="External"/><Relationship Id="rId28" Type="http://schemas.openxmlformats.org/officeDocument/2006/relationships/hyperlink" Target="http://www.nevo.co.il/case/7697292" TargetMode="External"/><Relationship Id="rId36" Type="http://schemas.openxmlformats.org/officeDocument/2006/relationships/hyperlink" Target="http://www.nevo.co.il/case/5878682" TargetMode="External"/><Relationship Id="rId49" Type="http://schemas.openxmlformats.org/officeDocument/2006/relationships/fontTable" Target="fontTable.xml"/><Relationship Id="rId10" Type="http://schemas.openxmlformats.org/officeDocument/2006/relationships/hyperlink" Target="http://www.nevo.co.il/law/70301/40g"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3509035"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f"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20461999" TargetMode="External"/><Relationship Id="rId27" Type="http://schemas.openxmlformats.org/officeDocument/2006/relationships/hyperlink" Target="http://www.nevo.co.il/case/21472788" TargetMode="External"/><Relationship Id="rId30" Type="http://schemas.openxmlformats.org/officeDocument/2006/relationships/hyperlink" Target="http://www.nevo.co.il/case/5590091" TargetMode="External"/><Relationship Id="rId35" Type="http://schemas.openxmlformats.org/officeDocument/2006/relationships/hyperlink" Target="http://www.nevo.co.il/case/7791493"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40a.b.1" TargetMode="External"/><Relationship Id="rId33" Type="http://schemas.openxmlformats.org/officeDocument/2006/relationships/hyperlink" Target="http://www.nevo.co.il/case/21946424" TargetMode="External"/><Relationship Id="rId38" Type="http://schemas.openxmlformats.org/officeDocument/2006/relationships/hyperlink" Target="http://www.nevo.co.il/law/70301/40ja" TargetMode="External"/><Relationship Id="rId46" Type="http://schemas.openxmlformats.org/officeDocument/2006/relationships/header" Target="header2.xml"/><Relationship Id="rId20" Type="http://schemas.openxmlformats.org/officeDocument/2006/relationships/hyperlink" Target="http://www.nevo.co.il/case/20245898" TargetMode="External"/><Relationship Id="rId41" Type="http://schemas.openxmlformats.org/officeDocument/2006/relationships/hyperlink" Target="http://www.nevo.co.il/law/70301/40g"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2929</Words>
  <Characters>14648</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17542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86</vt:i4>
      </vt:variant>
      <vt:variant>
        <vt:i4>105</vt:i4>
      </vt:variant>
      <vt:variant>
        <vt:i4>0</vt:i4>
      </vt:variant>
      <vt:variant>
        <vt:i4>5</vt:i4>
      </vt:variant>
      <vt:variant>
        <vt:lpwstr>http://www.nevo.co.il/law/70301/340a</vt:lpwstr>
      </vt:variant>
      <vt:variant>
        <vt:lpwstr/>
      </vt:variant>
      <vt:variant>
        <vt:i4>6619233</vt:i4>
      </vt:variant>
      <vt:variant>
        <vt:i4>102</vt:i4>
      </vt:variant>
      <vt:variant>
        <vt:i4>0</vt:i4>
      </vt:variant>
      <vt:variant>
        <vt:i4>5</vt:i4>
      </vt:variant>
      <vt:variant>
        <vt:lpwstr>http://www.nevo.co.il/law/70301/40g</vt:lpwstr>
      </vt:variant>
      <vt:variant>
        <vt:lpwstr/>
      </vt:variant>
      <vt:variant>
        <vt:i4>6619233</vt:i4>
      </vt:variant>
      <vt:variant>
        <vt:i4>99</vt:i4>
      </vt:variant>
      <vt:variant>
        <vt:i4>0</vt:i4>
      </vt:variant>
      <vt:variant>
        <vt:i4>5</vt:i4>
      </vt:variant>
      <vt:variant>
        <vt:lpwstr>http://www.nevo.co.il/law/70301/40f</vt:lpwstr>
      </vt:variant>
      <vt:variant>
        <vt:lpwstr/>
      </vt:variant>
      <vt:variant>
        <vt:i4>3276927</vt:i4>
      </vt:variant>
      <vt:variant>
        <vt:i4>96</vt:i4>
      </vt:variant>
      <vt:variant>
        <vt:i4>0</vt:i4>
      </vt:variant>
      <vt:variant>
        <vt:i4>5</vt:i4>
      </vt:variant>
      <vt:variant>
        <vt:lpwstr>http://www.nevo.co.il/case/22294063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3407990</vt:i4>
      </vt:variant>
      <vt:variant>
        <vt:i4>90</vt:i4>
      </vt:variant>
      <vt:variant>
        <vt:i4>0</vt:i4>
      </vt:variant>
      <vt:variant>
        <vt:i4>5</vt:i4>
      </vt:variant>
      <vt:variant>
        <vt:lpwstr>http://www.nevo.co.il/case/21771409</vt:lpwstr>
      </vt:variant>
      <vt:variant>
        <vt:lpwstr/>
      </vt:variant>
      <vt:variant>
        <vt:i4>3539068</vt:i4>
      </vt:variant>
      <vt:variant>
        <vt:i4>87</vt:i4>
      </vt:variant>
      <vt:variant>
        <vt:i4>0</vt:i4>
      </vt:variant>
      <vt:variant>
        <vt:i4>5</vt:i4>
      </vt:variant>
      <vt:variant>
        <vt:lpwstr>http://www.nevo.co.il/case/5878682</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4063348</vt:i4>
      </vt:variant>
      <vt:variant>
        <vt:i4>81</vt:i4>
      </vt:variant>
      <vt:variant>
        <vt:i4>0</vt:i4>
      </vt:variant>
      <vt:variant>
        <vt:i4>5</vt:i4>
      </vt:variant>
      <vt:variant>
        <vt:lpwstr>http://www.nevo.co.il/case/17954222</vt:lpwstr>
      </vt:variant>
      <vt:variant>
        <vt:lpwstr/>
      </vt:variant>
      <vt:variant>
        <vt:i4>4128885</vt:i4>
      </vt:variant>
      <vt:variant>
        <vt:i4>78</vt:i4>
      </vt:variant>
      <vt:variant>
        <vt:i4>0</vt:i4>
      </vt:variant>
      <vt:variant>
        <vt:i4>5</vt:i4>
      </vt:variant>
      <vt:variant>
        <vt:lpwstr>http://www.nevo.co.il/case/21946424</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3997815</vt:i4>
      </vt:variant>
      <vt:variant>
        <vt:i4>72</vt:i4>
      </vt:variant>
      <vt:variant>
        <vt:i4>0</vt:i4>
      </vt:variant>
      <vt:variant>
        <vt:i4>5</vt:i4>
      </vt:variant>
      <vt:variant>
        <vt:lpwstr>http://www.nevo.co.il/case/23509035</vt:lpwstr>
      </vt:variant>
      <vt:variant>
        <vt:lpwstr/>
      </vt:variant>
      <vt:variant>
        <vt:i4>3997816</vt:i4>
      </vt:variant>
      <vt:variant>
        <vt:i4>69</vt:i4>
      </vt:variant>
      <vt:variant>
        <vt:i4>0</vt:i4>
      </vt:variant>
      <vt:variant>
        <vt:i4>5</vt:i4>
      </vt:variant>
      <vt:variant>
        <vt:lpwstr>http://www.nevo.co.il/case/5590091</vt:lpwstr>
      </vt:variant>
      <vt:variant>
        <vt:lpwstr/>
      </vt:variant>
      <vt:variant>
        <vt:i4>3539066</vt:i4>
      </vt:variant>
      <vt:variant>
        <vt:i4>66</vt:i4>
      </vt:variant>
      <vt:variant>
        <vt:i4>0</vt:i4>
      </vt:variant>
      <vt:variant>
        <vt:i4>5</vt:i4>
      </vt:variant>
      <vt:variant>
        <vt:lpwstr>http://www.nevo.co.il/case/7681198</vt:lpwstr>
      </vt:variant>
      <vt:variant>
        <vt:lpwstr/>
      </vt:variant>
      <vt:variant>
        <vt:i4>4063356</vt:i4>
      </vt:variant>
      <vt:variant>
        <vt:i4>63</vt:i4>
      </vt:variant>
      <vt:variant>
        <vt:i4>0</vt:i4>
      </vt:variant>
      <vt:variant>
        <vt:i4>5</vt:i4>
      </vt:variant>
      <vt:variant>
        <vt:lpwstr>http://www.nevo.co.il/case/7697292</vt:lpwstr>
      </vt:variant>
      <vt:variant>
        <vt:lpwstr/>
      </vt:variant>
      <vt:variant>
        <vt:i4>3932277</vt:i4>
      </vt:variant>
      <vt:variant>
        <vt:i4>60</vt:i4>
      </vt:variant>
      <vt:variant>
        <vt:i4>0</vt:i4>
      </vt:variant>
      <vt:variant>
        <vt:i4>5</vt:i4>
      </vt:variant>
      <vt:variant>
        <vt:lpwstr>http://www.nevo.co.il/case/21472788</vt:lpwstr>
      </vt:variant>
      <vt:variant>
        <vt:lpwstr/>
      </vt:variant>
      <vt:variant>
        <vt:i4>7995492</vt:i4>
      </vt:variant>
      <vt:variant>
        <vt:i4>57</vt:i4>
      </vt:variant>
      <vt:variant>
        <vt:i4>0</vt:i4>
      </vt:variant>
      <vt:variant>
        <vt:i4>5</vt:i4>
      </vt:variant>
      <vt:variant>
        <vt:lpwstr>http://www.nevo.co.il/law/70301</vt:lpwstr>
      </vt:variant>
      <vt:variant>
        <vt:lpwstr/>
      </vt:variant>
      <vt:variant>
        <vt:i4>5439574</vt:i4>
      </vt:variant>
      <vt:variant>
        <vt:i4>54</vt:i4>
      </vt:variant>
      <vt:variant>
        <vt:i4>0</vt:i4>
      </vt:variant>
      <vt:variant>
        <vt:i4>5</vt:i4>
      </vt:variant>
      <vt:variant>
        <vt:lpwstr>http://www.nevo.co.il/law/70301/340a.b.1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4915211</vt:i4>
      </vt:variant>
      <vt:variant>
        <vt:i4>48</vt:i4>
      </vt:variant>
      <vt:variant>
        <vt:i4>0</vt:i4>
      </vt:variant>
      <vt:variant>
        <vt:i4>5</vt:i4>
      </vt:variant>
      <vt:variant>
        <vt:lpwstr>http://www.nevo.co.il/law/70301/40j.d</vt:lpwstr>
      </vt:variant>
      <vt:variant>
        <vt:lpwstr/>
      </vt:variant>
      <vt:variant>
        <vt:i4>4063355</vt:i4>
      </vt:variant>
      <vt:variant>
        <vt:i4>45</vt:i4>
      </vt:variant>
      <vt:variant>
        <vt:i4>0</vt:i4>
      </vt:variant>
      <vt:variant>
        <vt:i4>5</vt:i4>
      </vt:variant>
      <vt:variant>
        <vt:lpwstr>http://www.nevo.co.il/case/20461999</vt:lpwstr>
      </vt:variant>
      <vt:variant>
        <vt:lpwstr/>
      </vt:variant>
      <vt:variant>
        <vt:i4>3407995</vt:i4>
      </vt:variant>
      <vt:variant>
        <vt:i4>42</vt:i4>
      </vt:variant>
      <vt:variant>
        <vt:i4>0</vt:i4>
      </vt:variant>
      <vt:variant>
        <vt:i4>5</vt:i4>
      </vt:variant>
      <vt:variant>
        <vt:lpwstr>http://www.nevo.co.il/case/20371840</vt:lpwstr>
      </vt:variant>
      <vt:variant>
        <vt:lpwstr/>
      </vt:variant>
      <vt:variant>
        <vt:i4>3932280</vt:i4>
      </vt:variant>
      <vt:variant>
        <vt:i4>39</vt:i4>
      </vt:variant>
      <vt:variant>
        <vt:i4>0</vt:i4>
      </vt:variant>
      <vt:variant>
        <vt:i4>5</vt:i4>
      </vt:variant>
      <vt:variant>
        <vt:lpwstr>http://www.nevo.co.il/case/20245898</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5439574</vt:i4>
      </vt:variant>
      <vt:variant>
        <vt:i4>33</vt:i4>
      </vt:variant>
      <vt:variant>
        <vt:i4>0</vt:i4>
      </vt:variant>
      <vt:variant>
        <vt:i4>5</vt:i4>
      </vt:variant>
      <vt:variant>
        <vt:lpwstr>http://www.nevo.co.il/law/70301/340a.b.1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86</vt:i4>
      </vt:variant>
      <vt:variant>
        <vt:i4>18</vt:i4>
      </vt:variant>
      <vt:variant>
        <vt:i4>0</vt:i4>
      </vt:variant>
      <vt:variant>
        <vt:i4>5</vt:i4>
      </vt:variant>
      <vt:variant>
        <vt:lpwstr>http://www.nevo.co.il/law/70301/340a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4915211</vt:i4>
      </vt:variant>
      <vt:variant>
        <vt:i4>12</vt:i4>
      </vt:variant>
      <vt:variant>
        <vt:i4>0</vt:i4>
      </vt:variant>
      <vt:variant>
        <vt:i4>5</vt:i4>
      </vt:variant>
      <vt:variant>
        <vt:lpwstr>http://www.nevo.co.il/law/70301/40j.d</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1641</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זידאן זידאן </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20191006</vt:lpwstr>
  </property>
  <property fmtid="{D5CDD505-2E9C-101B-9397-08002B2CF9AE}" pid="13" name="TYPE_N_DATE">
    <vt:lpwstr>39020191006</vt:lpwstr>
  </property>
  <property fmtid="{D5CDD505-2E9C-101B-9397-08002B2CF9AE}" pid="14" name="CASESLISTTMP1">
    <vt:lpwstr>20245898;20371840;20461999;21472788;7697292;7681198;5590091;23509035;5878682:2;21946424;17954222;7791493;21771409;22294063</vt:lpwstr>
  </property>
  <property fmtid="{D5CDD505-2E9C-101B-9397-08002B2CF9AE}" pid="15" name="WORDNUMPAGES">
    <vt:lpwstr>11</vt:lpwstr>
  </property>
  <property fmtid="{D5CDD505-2E9C-101B-9397-08002B2CF9AE}" pid="16" name="TYPE_ABS_DATE">
    <vt:lpwstr>390020191006</vt:lpwstr>
  </property>
  <property fmtid="{D5CDD505-2E9C-101B-9397-08002B2CF9AE}" pid="17" name="ISABSTRACT">
    <vt:lpwstr>Y</vt:lpwstr>
  </property>
  <property fmtid="{D5CDD505-2E9C-101B-9397-08002B2CF9AE}" pid="18" name="LAWLISTTMP1">
    <vt:lpwstr>70301/144.b:2;340a.b.1:2;040b;040j.d;40ja;040f;040g;340a</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