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AB1C81" w:rsidRPr="009A0C5D" w14:paraId="386C5E3D" w14:textId="77777777" w:rsidTr="00EF71CD">
        <w:trPr>
          <w:trHeight w:hRule="exact" w:val="418"/>
          <w:jc w:val="center"/>
        </w:trPr>
        <w:tc>
          <w:tcPr>
            <w:tcW w:w="8721" w:type="dxa"/>
            <w:gridSpan w:val="2"/>
          </w:tcPr>
          <w:p w14:paraId="57537996" w14:textId="77777777" w:rsidR="00AB1C81" w:rsidRPr="009A0C5D" w:rsidRDefault="00AB1C81" w:rsidP="00F12BE6">
            <w:pPr>
              <w:pStyle w:val="a3"/>
              <w:jc w:val="center"/>
              <w:rPr>
                <w:rFonts w:ascii="Tahoma" w:hAnsi="Tahoma" w:cs="Tahoma"/>
                <w:color w:val="000080"/>
                <w:rtl/>
              </w:rPr>
            </w:pPr>
            <w:r w:rsidRPr="009A0C5D">
              <w:rPr>
                <w:rFonts w:ascii="Tahoma" w:hAnsi="Tahoma" w:cs="Tahoma"/>
                <w:b/>
                <w:bCs/>
                <w:color w:val="000080"/>
                <w:rtl/>
              </w:rPr>
              <w:t>בית המשפט המחוזי בחיפה</w:t>
            </w:r>
          </w:p>
        </w:tc>
      </w:tr>
      <w:tr w:rsidR="00AB1C81" w:rsidRPr="0072379C" w14:paraId="48A8180B" w14:textId="77777777" w:rsidTr="00EF71CD">
        <w:trPr>
          <w:trHeight w:val="337"/>
          <w:jc w:val="center"/>
        </w:trPr>
        <w:tc>
          <w:tcPr>
            <w:tcW w:w="5059" w:type="dxa"/>
          </w:tcPr>
          <w:p w14:paraId="30680F78" w14:textId="77777777" w:rsidR="00AB1C81" w:rsidRPr="0072379C" w:rsidRDefault="00AB1C81" w:rsidP="00F12BE6">
            <w:pPr>
              <w:rPr>
                <w:rFonts w:ascii="David" w:hAnsi="David"/>
                <w:b/>
                <w:bCs/>
                <w:sz w:val="26"/>
                <w:szCs w:val="26"/>
                <w:rtl/>
              </w:rPr>
            </w:pPr>
            <w:r w:rsidRPr="0072379C">
              <w:rPr>
                <w:rFonts w:ascii="David" w:hAnsi="David"/>
                <w:b/>
                <w:bCs/>
                <w:sz w:val="26"/>
                <w:szCs w:val="26"/>
                <w:rtl/>
              </w:rPr>
              <w:t>תפ"ח 34802-06-19 מדינת ישראל נ' בולבול</w:t>
            </w:r>
            <w:r w:rsidR="0072379C">
              <w:rPr>
                <w:rFonts w:ascii="David" w:hAnsi="David" w:hint="cs"/>
                <w:b/>
                <w:bCs/>
                <w:sz w:val="26"/>
                <w:szCs w:val="26"/>
                <w:rtl/>
              </w:rPr>
              <w:t xml:space="preserve"> </w:t>
            </w:r>
            <w:r w:rsidRPr="0072379C">
              <w:rPr>
                <w:rFonts w:ascii="David" w:hAnsi="David"/>
                <w:b/>
                <w:bCs/>
                <w:sz w:val="26"/>
                <w:szCs w:val="26"/>
                <w:rtl/>
              </w:rPr>
              <w:t>(עציר)</w:t>
            </w:r>
          </w:p>
          <w:p w14:paraId="2326491C" w14:textId="77777777" w:rsidR="00AB1C81" w:rsidRPr="0072379C" w:rsidRDefault="00AB1C81" w:rsidP="00F12BE6">
            <w:pPr>
              <w:pStyle w:val="a3"/>
              <w:rPr>
                <w:rFonts w:ascii="David" w:hAnsi="David"/>
                <w:b/>
                <w:bCs/>
                <w:sz w:val="26"/>
                <w:szCs w:val="26"/>
                <w:rtl/>
              </w:rPr>
            </w:pPr>
          </w:p>
        </w:tc>
        <w:tc>
          <w:tcPr>
            <w:tcW w:w="3662" w:type="dxa"/>
          </w:tcPr>
          <w:p w14:paraId="0ECF7AD6" w14:textId="77777777" w:rsidR="00AB1C81" w:rsidRPr="0072379C" w:rsidRDefault="00AB1C81" w:rsidP="00F12BE6">
            <w:pPr>
              <w:pStyle w:val="a3"/>
              <w:jc w:val="right"/>
              <w:rPr>
                <w:rFonts w:ascii="David" w:hAnsi="David"/>
                <w:b/>
                <w:bCs/>
                <w:sz w:val="26"/>
                <w:szCs w:val="26"/>
                <w:rtl/>
              </w:rPr>
            </w:pPr>
          </w:p>
        </w:tc>
      </w:tr>
    </w:tbl>
    <w:p w14:paraId="73AF2F97" w14:textId="77777777" w:rsidR="00AB1C81" w:rsidRPr="0072379C" w:rsidRDefault="00AB1C81" w:rsidP="00AB1C81">
      <w:pPr>
        <w:pStyle w:val="a3"/>
        <w:rPr>
          <w:rFonts w:ascii="David" w:hAnsi="David"/>
          <w:b/>
          <w:bCs/>
          <w:sz w:val="26"/>
          <w:szCs w:val="26"/>
          <w:rtl/>
        </w:rPr>
      </w:pPr>
      <w:r w:rsidRPr="0072379C">
        <w:rPr>
          <w:rFonts w:ascii="David" w:hAnsi="David"/>
          <w:b/>
          <w:bCs/>
          <w:sz w:val="26"/>
          <w:szCs w:val="26"/>
          <w:rtl/>
        </w:rPr>
        <w:t xml:space="preserve"> </w:t>
      </w:r>
    </w:p>
    <w:tbl>
      <w:tblPr>
        <w:bidiVisual/>
        <w:tblW w:w="8802" w:type="dxa"/>
        <w:tblInd w:w="-28" w:type="dxa"/>
        <w:tblLook w:val="01E0" w:firstRow="1" w:lastRow="1" w:firstColumn="1" w:lastColumn="1" w:noHBand="0" w:noVBand="0"/>
      </w:tblPr>
      <w:tblGrid>
        <w:gridCol w:w="2880"/>
        <w:gridCol w:w="5838"/>
        <w:gridCol w:w="84"/>
      </w:tblGrid>
      <w:tr w:rsidR="00AB1C81" w:rsidRPr="0072379C" w14:paraId="7B08E1EC" w14:textId="77777777" w:rsidTr="009A0C5D">
        <w:trPr>
          <w:gridAfter w:val="1"/>
          <w:wAfter w:w="84" w:type="dxa"/>
        </w:trPr>
        <w:tc>
          <w:tcPr>
            <w:tcW w:w="8718" w:type="dxa"/>
            <w:gridSpan w:val="2"/>
            <w:shd w:val="clear" w:color="auto" w:fill="auto"/>
          </w:tcPr>
          <w:p w14:paraId="22C1ACA4" w14:textId="77777777" w:rsidR="00AB1C81" w:rsidRPr="0072379C" w:rsidRDefault="00AB1C81" w:rsidP="0072379C">
            <w:pPr>
              <w:spacing w:before="120" w:after="120" w:line="240" w:lineRule="exact"/>
              <w:rPr>
                <w:rFonts w:ascii="David" w:hAnsi="David"/>
                <w:b/>
                <w:bCs/>
                <w:sz w:val="26"/>
                <w:szCs w:val="26"/>
                <w:rtl/>
              </w:rPr>
            </w:pPr>
            <w:r w:rsidRPr="0072379C">
              <w:rPr>
                <w:rFonts w:ascii="David" w:hAnsi="David"/>
                <w:b/>
                <w:bCs/>
                <w:sz w:val="26"/>
                <w:szCs w:val="26"/>
                <w:rtl/>
              </w:rPr>
              <w:t>לפני כבוד הרכב השופטים:</w:t>
            </w:r>
            <w:r w:rsidRPr="0072379C">
              <w:rPr>
                <w:rFonts w:ascii="David" w:hAnsi="David"/>
                <w:b/>
                <w:bCs/>
                <w:sz w:val="26"/>
                <w:szCs w:val="26"/>
                <w:rtl/>
              </w:rPr>
              <w:br/>
              <w:t>יחיאל ליפשיץ [אב"ד]</w:t>
            </w:r>
            <w:r w:rsidRPr="0072379C">
              <w:rPr>
                <w:rFonts w:ascii="David" w:hAnsi="David"/>
                <w:b/>
                <w:bCs/>
                <w:sz w:val="26"/>
                <w:szCs w:val="26"/>
                <w:rtl/>
              </w:rPr>
              <w:br/>
              <w:t xml:space="preserve">גלית </w:t>
            </w:r>
            <w:proofErr w:type="spellStart"/>
            <w:r w:rsidRPr="0072379C">
              <w:rPr>
                <w:rFonts w:ascii="David" w:hAnsi="David"/>
                <w:b/>
                <w:bCs/>
                <w:sz w:val="26"/>
                <w:szCs w:val="26"/>
                <w:rtl/>
              </w:rPr>
              <w:t>ציגלר</w:t>
            </w:r>
            <w:proofErr w:type="spellEnd"/>
            <w:r w:rsidRPr="0072379C">
              <w:rPr>
                <w:rFonts w:ascii="David" w:hAnsi="David"/>
                <w:b/>
                <w:bCs/>
                <w:sz w:val="26"/>
                <w:szCs w:val="26"/>
                <w:rtl/>
              </w:rPr>
              <w:t xml:space="preserve">, </w:t>
            </w:r>
            <w:r w:rsidRPr="0072379C">
              <w:rPr>
                <w:rFonts w:ascii="David" w:hAnsi="David"/>
                <w:b/>
                <w:bCs/>
                <w:sz w:val="26"/>
                <w:szCs w:val="26"/>
                <w:rtl/>
              </w:rPr>
              <w:br/>
              <w:t xml:space="preserve">שמואל </w:t>
            </w:r>
            <w:proofErr w:type="spellStart"/>
            <w:r w:rsidRPr="0072379C">
              <w:rPr>
                <w:rFonts w:ascii="David" w:hAnsi="David"/>
                <w:b/>
                <w:bCs/>
                <w:sz w:val="26"/>
                <w:szCs w:val="26"/>
                <w:rtl/>
              </w:rPr>
              <w:t>מנדלבום</w:t>
            </w:r>
            <w:proofErr w:type="spellEnd"/>
            <w:r w:rsidRPr="0072379C">
              <w:rPr>
                <w:rStyle w:val="TimesNewRomanTimesNewRoman"/>
                <w:rFonts w:ascii="David" w:hAnsi="David"/>
                <w:rtl/>
              </w:rPr>
              <w:t xml:space="preserve"> </w:t>
            </w:r>
          </w:p>
        </w:tc>
      </w:tr>
      <w:tr w:rsidR="00AB1C81" w:rsidRPr="0072379C" w14:paraId="511CCE27" w14:textId="77777777" w:rsidTr="009A0C5D">
        <w:trPr>
          <w:cantSplit/>
          <w:trHeight w:val="724"/>
        </w:trPr>
        <w:tc>
          <w:tcPr>
            <w:tcW w:w="2880" w:type="dxa"/>
            <w:shd w:val="clear" w:color="auto" w:fill="auto"/>
          </w:tcPr>
          <w:p w14:paraId="1ED00C7A" w14:textId="77777777" w:rsidR="00AB1C81" w:rsidRPr="0072379C" w:rsidRDefault="00AB1C81" w:rsidP="0072379C">
            <w:pPr>
              <w:spacing w:before="120" w:after="120" w:line="240" w:lineRule="exact"/>
              <w:ind w:left="26"/>
              <w:rPr>
                <w:rFonts w:ascii="David" w:hAnsi="David"/>
                <w:b/>
                <w:bCs/>
                <w:sz w:val="26"/>
                <w:szCs w:val="26"/>
                <w:rtl/>
              </w:rPr>
            </w:pPr>
            <w:bookmarkStart w:id="0" w:name="FirstAppellant"/>
            <w:bookmarkStart w:id="1" w:name="LastJudge"/>
            <w:bookmarkEnd w:id="1"/>
            <w:r w:rsidRPr="0072379C">
              <w:rPr>
                <w:rFonts w:ascii="David" w:hAnsi="David"/>
                <w:b/>
                <w:bCs/>
                <w:sz w:val="26"/>
                <w:szCs w:val="26"/>
                <w:rtl/>
              </w:rPr>
              <w:t>המאשימה</w:t>
            </w:r>
          </w:p>
        </w:tc>
        <w:tc>
          <w:tcPr>
            <w:tcW w:w="5922" w:type="dxa"/>
            <w:gridSpan w:val="2"/>
            <w:shd w:val="clear" w:color="auto" w:fill="auto"/>
          </w:tcPr>
          <w:p w14:paraId="2E7B73F8" w14:textId="77777777" w:rsidR="00AB1C81" w:rsidRPr="0072379C" w:rsidRDefault="00AB1C81" w:rsidP="0072379C">
            <w:pPr>
              <w:spacing w:before="120" w:after="120" w:line="240" w:lineRule="exact"/>
              <w:rPr>
                <w:rFonts w:ascii="David" w:hAnsi="David" w:hint="cs"/>
                <w:b/>
                <w:bCs/>
                <w:sz w:val="26"/>
                <w:szCs w:val="26"/>
                <w:rtl/>
              </w:rPr>
            </w:pPr>
            <w:r w:rsidRPr="0072379C">
              <w:rPr>
                <w:rFonts w:ascii="David" w:hAnsi="David"/>
                <w:b/>
                <w:bCs/>
                <w:sz w:val="26"/>
                <w:szCs w:val="26"/>
                <w:rtl/>
              </w:rPr>
              <w:t xml:space="preserve"> מדינת ישראל</w:t>
            </w:r>
            <w:r w:rsidRPr="0072379C">
              <w:rPr>
                <w:rFonts w:ascii="David" w:hAnsi="David"/>
                <w:b/>
                <w:bCs/>
                <w:sz w:val="26"/>
                <w:szCs w:val="26"/>
                <w:rtl/>
              </w:rPr>
              <w:br/>
              <w:t>באמצעות פרקליטות מחוז חיפה (פלילי) – עו"ד לילך תמיר</w:t>
            </w:r>
          </w:p>
        </w:tc>
      </w:tr>
      <w:bookmarkEnd w:id="0"/>
      <w:tr w:rsidR="00AB1C81" w:rsidRPr="0072379C" w14:paraId="60671ED3" w14:textId="77777777" w:rsidTr="009A0C5D">
        <w:tc>
          <w:tcPr>
            <w:tcW w:w="8802" w:type="dxa"/>
            <w:gridSpan w:val="3"/>
            <w:shd w:val="clear" w:color="auto" w:fill="auto"/>
            <w:vAlign w:val="center"/>
          </w:tcPr>
          <w:p w14:paraId="591D9EEF" w14:textId="77777777" w:rsidR="00AB1C81" w:rsidRPr="0072379C" w:rsidRDefault="00AB1C81" w:rsidP="0072379C">
            <w:pPr>
              <w:spacing w:before="240" w:after="240" w:line="240" w:lineRule="exact"/>
              <w:jc w:val="center"/>
              <w:rPr>
                <w:rFonts w:ascii="David" w:hAnsi="David" w:hint="cs"/>
                <w:b/>
                <w:bCs/>
                <w:sz w:val="26"/>
                <w:szCs w:val="26"/>
                <w:rtl/>
              </w:rPr>
            </w:pPr>
            <w:r w:rsidRPr="0072379C">
              <w:rPr>
                <w:rFonts w:ascii="David" w:hAnsi="David"/>
                <w:b/>
                <w:bCs/>
                <w:sz w:val="26"/>
                <w:szCs w:val="26"/>
                <w:rtl/>
              </w:rPr>
              <w:t>נגד</w:t>
            </w:r>
          </w:p>
        </w:tc>
      </w:tr>
      <w:tr w:rsidR="00AB1C81" w:rsidRPr="0072379C" w14:paraId="0B320FF9" w14:textId="77777777" w:rsidTr="009A0C5D">
        <w:tc>
          <w:tcPr>
            <w:tcW w:w="2880" w:type="dxa"/>
            <w:shd w:val="clear" w:color="auto" w:fill="auto"/>
          </w:tcPr>
          <w:p w14:paraId="6F1662FC" w14:textId="77777777" w:rsidR="00AB1C81" w:rsidRPr="0072379C" w:rsidRDefault="00AB1C81" w:rsidP="0072379C">
            <w:pPr>
              <w:spacing w:before="120" w:after="120" w:line="240" w:lineRule="exact"/>
              <w:ind w:left="26"/>
              <w:rPr>
                <w:rFonts w:ascii="David" w:hAnsi="David"/>
                <w:b/>
                <w:bCs/>
                <w:sz w:val="26"/>
                <w:szCs w:val="26"/>
              </w:rPr>
            </w:pPr>
            <w:r w:rsidRPr="0072379C">
              <w:rPr>
                <w:rFonts w:ascii="David" w:hAnsi="David"/>
                <w:b/>
                <w:bCs/>
                <w:sz w:val="26"/>
                <w:szCs w:val="26"/>
                <w:rtl/>
              </w:rPr>
              <w:t>הנאשם</w:t>
            </w:r>
          </w:p>
        </w:tc>
        <w:tc>
          <w:tcPr>
            <w:tcW w:w="5922" w:type="dxa"/>
            <w:gridSpan w:val="2"/>
            <w:shd w:val="clear" w:color="auto" w:fill="auto"/>
          </w:tcPr>
          <w:p w14:paraId="48E051AF" w14:textId="77777777" w:rsidR="00AB1C81" w:rsidRPr="0072379C" w:rsidRDefault="00AB1C81" w:rsidP="0072379C">
            <w:pPr>
              <w:spacing w:before="120" w:after="120" w:line="240" w:lineRule="exact"/>
              <w:rPr>
                <w:rFonts w:ascii="David" w:hAnsi="David"/>
                <w:b/>
                <w:bCs/>
                <w:sz w:val="26"/>
                <w:szCs w:val="26"/>
                <w:rtl/>
              </w:rPr>
            </w:pPr>
            <w:r w:rsidRPr="0072379C">
              <w:rPr>
                <w:rFonts w:ascii="David" w:hAnsi="David"/>
                <w:b/>
                <w:bCs/>
                <w:sz w:val="26"/>
                <w:szCs w:val="26"/>
                <w:rtl/>
              </w:rPr>
              <w:t xml:space="preserve"> אכרם בולבול (עציר) ת.ז.  </w:t>
            </w:r>
            <w:proofErr w:type="spellStart"/>
            <w:r w:rsidR="009A0C5D" w:rsidRPr="0072379C">
              <w:rPr>
                <w:rFonts w:ascii="David" w:hAnsi="David"/>
                <w:b/>
                <w:bCs/>
                <w:sz w:val="26"/>
                <w:szCs w:val="26"/>
              </w:rPr>
              <w:t>xxxxxxxxxx</w:t>
            </w:r>
            <w:proofErr w:type="spellEnd"/>
          </w:p>
          <w:p w14:paraId="60AA9564" w14:textId="77777777" w:rsidR="00AB1C81" w:rsidRPr="0072379C" w:rsidRDefault="00AB1C81" w:rsidP="0072379C">
            <w:pPr>
              <w:spacing w:before="120" w:after="120" w:line="240" w:lineRule="exact"/>
              <w:rPr>
                <w:rFonts w:ascii="David" w:hAnsi="David" w:hint="cs"/>
                <w:b/>
                <w:bCs/>
                <w:sz w:val="26"/>
                <w:szCs w:val="26"/>
                <w:rtl/>
              </w:rPr>
            </w:pPr>
            <w:r w:rsidRPr="0072379C">
              <w:rPr>
                <w:rFonts w:ascii="David" w:hAnsi="David"/>
                <w:b/>
                <w:bCs/>
                <w:sz w:val="26"/>
                <w:szCs w:val="26"/>
                <w:rtl/>
              </w:rPr>
              <w:t xml:space="preserve">באמצעות באי כוחו – עו"ד מיכאל כרמל ועו"ד דן </w:t>
            </w:r>
            <w:proofErr w:type="spellStart"/>
            <w:r w:rsidRPr="0072379C">
              <w:rPr>
                <w:rFonts w:ascii="David" w:hAnsi="David"/>
                <w:b/>
                <w:bCs/>
                <w:sz w:val="26"/>
                <w:szCs w:val="26"/>
                <w:rtl/>
              </w:rPr>
              <w:t>אסלנוב</w:t>
            </w:r>
            <w:proofErr w:type="spellEnd"/>
          </w:p>
        </w:tc>
      </w:tr>
    </w:tbl>
    <w:p w14:paraId="1A9B737D" w14:textId="77777777" w:rsidR="0072379C" w:rsidRPr="0072379C" w:rsidRDefault="0072379C" w:rsidP="00EF71CD">
      <w:pPr>
        <w:rPr>
          <w:rtl/>
        </w:rPr>
      </w:pPr>
    </w:p>
    <w:p w14:paraId="58AA4672" w14:textId="77777777" w:rsidR="0072379C" w:rsidRPr="0072379C" w:rsidRDefault="0072379C" w:rsidP="0072379C">
      <w:pPr>
        <w:spacing w:after="120" w:line="240" w:lineRule="exact"/>
        <w:ind w:left="283" w:hanging="283"/>
        <w:jc w:val="both"/>
        <w:rPr>
          <w:rFonts w:ascii="FrankRuehl" w:hAnsi="FrankRuehl" w:cs="FrankRuehl"/>
          <w:rtl/>
        </w:rPr>
      </w:pPr>
      <w:bookmarkStart w:id="2" w:name="Links_Start"/>
      <w:bookmarkEnd w:id="2"/>
      <w:r w:rsidRPr="0072379C">
        <w:rPr>
          <w:rFonts w:ascii="FrankRuehl" w:hAnsi="FrankRuehl" w:cs="FrankRuehl"/>
          <w:rtl/>
        </w:rPr>
        <w:t>ספרות:</w:t>
      </w:r>
    </w:p>
    <w:p w14:paraId="175D5A8F" w14:textId="77777777" w:rsidR="0072379C" w:rsidRPr="0072379C" w:rsidRDefault="0072379C" w:rsidP="0072379C">
      <w:pPr>
        <w:spacing w:after="120" w:line="240" w:lineRule="exact"/>
        <w:ind w:left="283" w:hanging="283"/>
        <w:jc w:val="both"/>
        <w:rPr>
          <w:rFonts w:ascii="FrankRuehl" w:hAnsi="FrankRuehl" w:cs="FrankRuehl"/>
        </w:rPr>
      </w:pPr>
      <w:r w:rsidRPr="0072379C">
        <w:rPr>
          <w:rFonts w:ascii="FrankRuehl" w:hAnsi="FrankRuehl" w:cs="FrankRuehl"/>
          <w:rtl/>
        </w:rPr>
        <w:t xml:space="preserve">גבריאל הלוי   </w:t>
      </w:r>
      <w:r w:rsidRPr="0072379C">
        <w:rPr>
          <w:rFonts w:ascii="FrankRuehl" w:hAnsi="FrankRuehl" w:cs="FrankRuehl"/>
          <w:b/>
          <w:bCs/>
          <w:rtl/>
        </w:rPr>
        <w:t xml:space="preserve">תורת דיני העונשין </w:t>
      </w:r>
    </w:p>
    <w:p w14:paraId="7367DCF0" w14:textId="77777777" w:rsidR="0072379C" w:rsidRDefault="0072379C" w:rsidP="00EF71CD">
      <w:pPr>
        <w:rPr>
          <w:rtl/>
        </w:rPr>
      </w:pPr>
      <w:bookmarkStart w:id="3" w:name="Links_End"/>
      <w:bookmarkEnd w:id="3"/>
    </w:p>
    <w:p w14:paraId="7293DDD8" w14:textId="77777777" w:rsidR="0072379C" w:rsidRPr="0072379C" w:rsidRDefault="0072379C" w:rsidP="0072379C">
      <w:pPr>
        <w:spacing w:before="120" w:after="120" w:line="240" w:lineRule="exact"/>
        <w:ind w:left="283" w:hanging="283"/>
        <w:jc w:val="both"/>
        <w:rPr>
          <w:rFonts w:ascii="FrankRuehl" w:hAnsi="FrankRuehl" w:cs="FrankRuehl"/>
          <w:rtl/>
        </w:rPr>
      </w:pPr>
      <w:bookmarkStart w:id="4" w:name="LawTable"/>
      <w:bookmarkEnd w:id="4"/>
      <w:r w:rsidRPr="0072379C">
        <w:rPr>
          <w:rFonts w:ascii="FrankRuehl" w:hAnsi="FrankRuehl" w:cs="FrankRuehl"/>
          <w:rtl/>
        </w:rPr>
        <w:t xml:space="preserve">חקיקה שאוזכרה: </w:t>
      </w:r>
    </w:p>
    <w:p w14:paraId="2DB28EA5" w14:textId="77777777" w:rsidR="0072379C" w:rsidRPr="0072379C" w:rsidRDefault="0072379C" w:rsidP="0072379C">
      <w:pPr>
        <w:spacing w:before="120" w:after="120" w:line="240" w:lineRule="exact"/>
        <w:ind w:left="283" w:hanging="283"/>
        <w:jc w:val="both"/>
        <w:rPr>
          <w:rFonts w:ascii="FrankRuehl" w:hAnsi="FrankRuehl" w:cs="FrankRuehl"/>
          <w:color w:val="0000FF"/>
          <w:rtl/>
        </w:rPr>
      </w:pPr>
      <w:hyperlink r:id="rId7" w:history="1">
        <w:r w:rsidRPr="0072379C">
          <w:rPr>
            <w:rStyle w:val="Hyperlink"/>
            <w:rFonts w:ascii="FrankRuehl" w:hAnsi="FrankRuehl" w:cs="FrankRuehl"/>
            <w:u w:val="none"/>
            <w:rtl/>
          </w:rPr>
          <w:t>חוק העונשין, תשל"ז-1977</w:t>
        </w:r>
      </w:hyperlink>
      <w:r w:rsidRPr="0072379C">
        <w:rPr>
          <w:rFonts w:ascii="FrankRuehl" w:hAnsi="FrankRuehl" w:cs="FrankRuehl"/>
          <w:color w:val="0000FF"/>
          <w:rtl/>
        </w:rPr>
        <w:t xml:space="preserve">: סע'  </w:t>
      </w:r>
      <w:hyperlink r:id="rId8" w:history="1">
        <w:r w:rsidRPr="0072379C">
          <w:rPr>
            <w:rStyle w:val="Hyperlink"/>
            <w:rFonts w:ascii="FrankRuehl" w:hAnsi="FrankRuehl" w:cs="FrankRuehl"/>
            <w:u w:val="none"/>
          </w:rPr>
          <w:t>35</w:t>
        </w:r>
      </w:hyperlink>
      <w:r w:rsidRPr="0072379C">
        <w:rPr>
          <w:rFonts w:ascii="FrankRuehl" w:hAnsi="FrankRuehl" w:cs="FrankRuehl"/>
          <w:color w:val="0000FF"/>
          <w:rtl/>
        </w:rPr>
        <w:t xml:space="preserve">(א), </w:t>
      </w:r>
      <w:hyperlink r:id="rId9" w:history="1">
        <w:r w:rsidRPr="0072379C">
          <w:rPr>
            <w:rStyle w:val="Hyperlink"/>
            <w:rFonts w:ascii="FrankRuehl" w:hAnsi="FrankRuehl" w:cs="FrankRuehl"/>
            <w:u w:val="none"/>
          </w:rPr>
          <w:t>40</w:t>
        </w:r>
        <w:r w:rsidRPr="0072379C">
          <w:rPr>
            <w:rStyle w:val="Hyperlink"/>
            <w:rFonts w:ascii="FrankRuehl" w:hAnsi="FrankRuehl" w:cs="FrankRuehl"/>
            <w:u w:val="none"/>
            <w:rtl/>
          </w:rPr>
          <w:t>ג</w:t>
        </w:r>
      </w:hyperlink>
      <w:r w:rsidRPr="0072379C">
        <w:rPr>
          <w:rFonts w:ascii="FrankRuehl" w:hAnsi="FrankRuehl" w:cs="FrankRuehl"/>
          <w:color w:val="0000FF"/>
          <w:rtl/>
        </w:rPr>
        <w:t xml:space="preserve">(א), </w:t>
      </w:r>
      <w:hyperlink r:id="rId10" w:history="1">
        <w:r w:rsidRPr="0072379C">
          <w:rPr>
            <w:rStyle w:val="Hyperlink"/>
            <w:rFonts w:ascii="FrankRuehl" w:hAnsi="FrankRuehl" w:cs="FrankRuehl"/>
            <w:u w:val="none"/>
          </w:rPr>
          <w:t>144</w:t>
        </w:r>
      </w:hyperlink>
      <w:r w:rsidRPr="0072379C">
        <w:rPr>
          <w:rFonts w:ascii="FrankRuehl" w:hAnsi="FrankRuehl" w:cs="FrankRuehl"/>
          <w:color w:val="0000FF"/>
          <w:rtl/>
        </w:rPr>
        <w:t xml:space="preserve">(ב), </w:t>
      </w:r>
      <w:hyperlink r:id="rId11" w:history="1">
        <w:r w:rsidRPr="0072379C">
          <w:rPr>
            <w:rStyle w:val="Hyperlink"/>
            <w:rFonts w:ascii="FrankRuehl" w:hAnsi="FrankRuehl" w:cs="FrankRuehl"/>
            <w:u w:val="none"/>
          </w:rPr>
          <w:t>300</w:t>
        </w:r>
      </w:hyperlink>
      <w:r w:rsidRPr="0072379C">
        <w:rPr>
          <w:rFonts w:ascii="FrankRuehl" w:hAnsi="FrankRuehl" w:cs="FrankRuehl"/>
          <w:color w:val="0000FF"/>
          <w:rtl/>
        </w:rPr>
        <w:t xml:space="preserve">(א), </w:t>
      </w:r>
      <w:hyperlink r:id="rId12" w:history="1">
        <w:r w:rsidRPr="0072379C">
          <w:rPr>
            <w:rStyle w:val="Hyperlink"/>
            <w:rFonts w:ascii="FrankRuehl" w:hAnsi="FrankRuehl" w:cs="FrankRuehl"/>
            <w:u w:val="none"/>
          </w:rPr>
          <w:t>300</w:t>
        </w:r>
      </w:hyperlink>
      <w:r w:rsidRPr="0072379C">
        <w:rPr>
          <w:rFonts w:ascii="FrankRuehl" w:hAnsi="FrankRuehl" w:cs="FrankRuehl"/>
          <w:color w:val="0000FF"/>
          <w:rtl/>
        </w:rPr>
        <w:t xml:space="preserve">(א)(2)., </w:t>
      </w:r>
      <w:hyperlink r:id="rId13" w:history="1">
        <w:r w:rsidRPr="0072379C">
          <w:rPr>
            <w:rStyle w:val="Hyperlink"/>
            <w:rFonts w:ascii="FrankRuehl" w:hAnsi="FrankRuehl" w:cs="FrankRuehl"/>
            <w:u w:val="none"/>
          </w:rPr>
          <w:t>301</w:t>
        </w:r>
      </w:hyperlink>
      <w:r w:rsidRPr="0072379C">
        <w:rPr>
          <w:rFonts w:ascii="FrankRuehl" w:hAnsi="FrankRuehl" w:cs="FrankRuehl"/>
          <w:color w:val="0000FF"/>
          <w:rtl/>
        </w:rPr>
        <w:t xml:space="preserve">, </w:t>
      </w:r>
      <w:hyperlink r:id="rId14" w:history="1">
        <w:r w:rsidRPr="0072379C">
          <w:rPr>
            <w:rStyle w:val="Hyperlink"/>
            <w:rFonts w:ascii="FrankRuehl" w:hAnsi="FrankRuehl" w:cs="FrankRuehl"/>
            <w:u w:val="none"/>
          </w:rPr>
          <w:t>301</w:t>
        </w:r>
        <w:r w:rsidRPr="0072379C">
          <w:rPr>
            <w:rStyle w:val="Hyperlink"/>
            <w:rFonts w:ascii="FrankRuehl" w:hAnsi="FrankRuehl" w:cs="FrankRuehl"/>
            <w:u w:val="none"/>
            <w:rtl/>
          </w:rPr>
          <w:t>א</w:t>
        </w:r>
        <w:r w:rsidRPr="0072379C">
          <w:rPr>
            <w:rStyle w:val="Hyperlink"/>
            <w:rFonts w:ascii="FrankRuehl" w:hAnsi="FrankRuehl" w:cs="FrankRuehl"/>
            <w:u w:val="none"/>
          </w:rPr>
          <w:t>'</w:t>
        </w:r>
      </w:hyperlink>
      <w:r w:rsidRPr="0072379C">
        <w:rPr>
          <w:rFonts w:ascii="FrankRuehl" w:hAnsi="FrankRuehl" w:cs="FrankRuehl"/>
          <w:color w:val="0000FF"/>
          <w:rtl/>
        </w:rPr>
        <w:t xml:space="preserve">, </w:t>
      </w:r>
      <w:hyperlink r:id="rId15" w:history="1">
        <w:r w:rsidRPr="0072379C">
          <w:rPr>
            <w:rStyle w:val="Hyperlink"/>
            <w:rFonts w:ascii="FrankRuehl" w:hAnsi="FrankRuehl" w:cs="FrankRuehl"/>
            <w:u w:val="none"/>
          </w:rPr>
          <w:t>301</w:t>
        </w:r>
        <w:r w:rsidRPr="0072379C">
          <w:rPr>
            <w:rStyle w:val="Hyperlink"/>
            <w:rFonts w:ascii="FrankRuehl" w:hAnsi="FrankRuehl" w:cs="FrankRuehl"/>
            <w:u w:val="none"/>
            <w:rtl/>
          </w:rPr>
          <w:t>א</w:t>
        </w:r>
      </w:hyperlink>
      <w:r w:rsidRPr="0072379C">
        <w:rPr>
          <w:rFonts w:ascii="FrankRuehl" w:hAnsi="FrankRuehl" w:cs="FrankRuehl"/>
          <w:color w:val="0000FF"/>
          <w:rtl/>
        </w:rPr>
        <w:t xml:space="preserve">(א)(1), </w:t>
      </w:r>
      <w:hyperlink r:id="rId16" w:history="1">
        <w:r w:rsidRPr="0072379C">
          <w:rPr>
            <w:rStyle w:val="Hyperlink"/>
            <w:rFonts w:ascii="FrankRuehl" w:hAnsi="FrankRuehl" w:cs="FrankRuehl"/>
            <w:u w:val="none"/>
          </w:rPr>
          <w:t>301</w:t>
        </w:r>
        <w:r w:rsidRPr="0072379C">
          <w:rPr>
            <w:rStyle w:val="Hyperlink"/>
            <w:rFonts w:ascii="FrankRuehl" w:hAnsi="FrankRuehl" w:cs="FrankRuehl"/>
            <w:u w:val="none"/>
            <w:rtl/>
          </w:rPr>
          <w:t>א</w:t>
        </w:r>
      </w:hyperlink>
      <w:r w:rsidRPr="0072379C">
        <w:rPr>
          <w:rFonts w:ascii="FrankRuehl" w:hAnsi="FrankRuehl" w:cs="FrankRuehl"/>
          <w:color w:val="0000FF"/>
          <w:rtl/>
        </w:rPr>
        <w:t xml:space="preserve">(ב), </w:t>
      </w:r>
      <w:hyperlink r:id="rId17" w:history="1">
        <w:r w:rsidRPr="0072379C">
          <w:rPr>
            <w:rStyle w:val="Hyperlink"/>
            <w:rFonts w:ascii="FrankRuehl" w:hAnsi="FrankRuehl" w:cs="FrankRuehl"/>
            <w:u w:val="none"/>
          </w:rPr>
          <w:t>311</w:t>
        </w:r>
        <w:r w:rsidRPr="0072379C">
          <w:rPr>
            <w:rStyle w:val="Hyperlink"/>
            <w:rFonts w:ascii="FrankRuehl" w:hAnsi="FrankRuehl" w:cs="FrankRuehl"/>
            <w:u w:val="none"/>
            <w:rtl/>
          </w:rPr>
          <w:t>א</w:t>
        </w:r>
        <w:r w:rsidRPr="0072379C">
          <w:rPr>
            <w:rStyle w:val="Hyperlink"/>
            <w:rFonts w:ascii="FrankRuehl" w:hAnsi="FrankRuehl" w:cs="FrankRuehl"/>
            <w:u w:val="none"/>
          </w:rPr>
          <w:t>'</w:t>
        </w:r>
      </w:hyperlink>
      <w:r w:rsidRPr="0072379C">
        <w:rPr>
          <w:rFonts w:ascii="FrankRuehl" w:hAnsi="FrankRuehl" w:cs="FrankRuehl"/>
          <w:color w:val="0000FF"/>
          <w:rtl/>
        </w:rPr>
        <w:t xml:space="preserve">, </w:t>
      </w:r>
      <w:hyperlink r:id="rId18" w:history="1">
        <w:r w:rsidRPr="0072379C">
          <w:rPr>
            <w:rStyle w:val="Hyperlink"/>
            <w:rFonts w:ascii="FrankRuehl" w:hAnsi="FrankRuehl" w:cs="FrankRuehl"/>
            <w:u w:val="none"/>
          </w:rPr>
          <w:t>380</w:t>
        </w:r>
      </w:hyperlink>
    </w:p>
    <w:p w14:paraId="36172E6D" w14:textId="77777777" w:rsidR="009A0C5D" w:rsidRDefault="009A0C5D" w:rsidP="0072379C">
      <w:pPr>
        <w:rPr>
          <w:rFonts w:hint="cs"/>
          <w:rtl/>
        </w:rPr>
      </w:pPr>
      <w:bookmarkStart w:id="5" w:name="LawTable_End"/>
      <w:bookmarkEnd w:id="5"/>
    </w:p>
    <w:p w14:paraId="325CE750" w14:textId="77777777" w:rsidR="008448E9" w:rsidRDefault="008448E9" w:rsidP="008448E9">
      <w:pPr>
        <w:pBdr>
          <w:top w:val="single" w:sz="4" w:space="1" w:color="auto"/>
          <w:bottom w:val="single" w:sz="4" w:space="1" w:color="auto"/>
        </w:pBdr>
        <w:spacing w:after="120" w:line="320" w:lineRule="exact"/>
        <w:jc w:val="both"/>
        <w:rPr>
          <w:rFonts w:cs="FrankRuehl" w:hint="cs"/>
          <w:szCs w:val="26"/>
          <w:rtl/>
        </w:rPr>
      </w:pPr>
      <w:bookmarkStart w:id="6" w:name="ABSTRACT_START"/>
      <w:bookmarkEnd w:id="6"/>
      <w:r>
        <w:rPr>
          <w:rFonts w:cs="FrankRuehl"/>
          <w:szCs w:val="26"/>
          <w:rtl/>
        </w:rPr>
        <w:t>מיני-רציו:</w:t>
      </w:r>
    </w:p>
    <w:p w14:paraId="3122A821" w14:textId="77777777" w:rsidR="008448E9" w:rsidRPr="008448E9" w:rsidRDefault="008448E9" w:rsidP="008448E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8448E9">
        <w:rPr>
          <w:rFonts w:cs="FrankRuehl" w:hint="cs"/>
          <w:szCs w:val="26"/>
          <w:rtl/>
        </w:rPr>
        <w:t xml:space="preserve">בית המשפט גזר את דינו של נאשם שהורשע </w:t>
      </w:r>
      <w:r w:rsidRPr="008448E9">
        <w:rPr>
          <w:rFonts w:cs="FrankRuehl"/>
          <w:szCs w:val="26"/>
          <w:rtl/>
        </w:rPr>
        <w:t>בעבירות רצח, תקיפה חבלנית ועבירות בנשק</w:t>
      </w:r>
      <w:r w:rsidRPr="008448E9">
        <w:rPr>
          <w:rFonts w:cs="FrankRuehl" w:hint="cs"/>
          <w:szCs w:val="26"/>
          <w:rtl/>
        </w:rPr>
        <w:t xml:space="preserve"> והשית עליו </w:t>
      </w:r>
      <w:r w:rsidRPr="008448E9">
        <w:rPr>
          <w:rFonts w:cs="FrankRuehl"/>
          <w:szCs w:val="26"/>
          <w:rtl/>
        </w:rPr>
        <w:t>24 שנות מאסר</w:t>
      </w:r>
      <w:r w:rsidRPr="008448E9">
        <w:rPr>
          <w:rFonts w:cs="FrankRuehl" w:hint="cs"/>
          <w:szCs w:val="26"/>
          <w:rtl/>
        </w:rPr>
        <w:t xml:space="preserve">, </w:t>
      </w:r>
      <w:r w:rsidRPr="008448E9">
        <w:rPr>
          <w:rFonts w:cs="FrankRuehl"/>
          <w:szCs w:val="26"/>
          <w:rtl/>
        </w:rPr>
        <w:t>12 חודשי</w:t>
      </w:r>
      <w:r w:rsidRPr="008448E9">
        <w:rPr>
          <w:rFonts w:cs="FrankRuehl" w:hint="cs"/>
          <w:szCs w:val="26"/>
          <w:rtl/>
        </w:rPr>
        <w:t xml:space="preserve"> </w:t>
      </w:r>
      <w:r w:rsidRPr="008448E9">
        <w:rPr>
          <w:rFonts w:cs="FrankRuehl"/>
          <w:szCs w:val="26"/>
          <w:rtl/>
        </w:rPr>
        <w:t xml:space="preserve">מאסר </w:t>
      </w:r>
      <w:r w:rsidRPr="008448E9">
        <w:rPr>
          <w:rFonts w:cs="FrankRuehl" w:hint="cs"/>
          <w:szCs w:val="26"/>
          <w:rtl/>
        </w:rPr>
        <w:t>על תנאי ו</w:t>
      </w:r>
      <w:r w:rsidRPr="008448E9">
        <w:rPr>
          <w:rFonts w:cs="FrankRuehl"/>
          <w:szCs w:val="26"/>
          <w:rtl/>
        </w:rPr>
        <w:t>פיצוי לאלמנת המנוח וילדיו בסכום של 258,000 ₪.</w:t>
      </w:r>
    </w:p>
    <w:p w14:paraId="1998B915" w14:textId="77777777" w:rsidR="008448E9" w:rsidRDefault="008448E9" w:rsidP="008448E9">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עבירת רצח</w:t>
      </w:r>
    </w:p>
    <w:p w14:paraId="13010BDC" w14:textId="77777777" w:rsidR="008448E9" w:rsidRDefault="008448E9" w:rsidP="008448E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A30B75D" w14:textId="77777777" w:rsidR="008448E9" w:rsidRPr="008448E9" w:rsidRDefault="008448E9" w:rsidP="008448E9">
      <w:pPr>
        <w:pBdr>
          <w:top w:val="single" w:sz="4" w:space="1" w:color="auto"/>
          <w:bottom w:val="single" w:sz="4" w:space="1" w:color="auto"/>
        </w:pBdr>
        <w:spacing w:after="120" w:line="320" w:lineRule="exact"/>
        <w:jc w:val="both"/>
        <w:rPr>
          <w:rFonts w:cs="FrankRuehl" w:hint="cs"/>
          <w:szCs w:val="26"/>
          <w:rtl/>
        </w:rPr>
      </w:pPr>
      <w:r w:rsidRPr="008448E9">
        <w:rPr>
          <w:rFonts w:cs="FrankRuehl"/>
          <w:szCs w:val="26"/>
          <w:rtl/>
        </w:rPr>
        <w:t>הנאשם הורשע על פי הודייתו במסגרת הסדר טיעון בעבירות רצח, תקיפה חבלנית ועבירות בנשק</w:t>
      </w:r>
      <w:r w:rsidRPr="008448E9">
        <w:rPr>
          <w:rFonts w:cs="FrankRuehl" w:hint="cs"/>
          <w:szCs w:val="26"/>
          <w:rtl/>
        </w:rPr>
        <w:t>.</w:t>
      </w:r>
    </w:p>
    <w:p w14:paraId="29F7265B" w14:textId="77777777" w:rsidR="008448E9" w:rsidRDefault="008448E9" w:rsidP="008448E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987340C" w14:textId="77777777" w:rsidR="008448E9" w:rsidRPr="008448E9" w:rsidRDefault="008448E9" w:rsidP="008448E9">
      <w:pPr>
        <w:pBdr>
          <w:top w:val="single" w:sz="4" w:space="1" w:color="auto"/>
          <w:bottom w:val="single" w:sz="4" w:space="1" w:color="auto"/>
        </w:pBdr>
        <w:spacing w:after="120" w:line="320" w:lineRule="exact"/>
        <w:jc w:val="both"/>
        <w:rPr>
          <w:rFonts w:cs="FrankRuehl" w:hint="cs"/>
          <w:szCs w:val="26"/>
          <w:rtl/>
        </w:rPr>
      </w:pPr>
      <w:r w:rsidRPr="008448E9">
        <w:rPr>
          <w:rFonts w:cs="FrankRuehl"/>
          <w:szCs w:val="26"/>
          <w:rtl/>
        </w:rPr>
        <w:t>בית המשפט המחוזי</w:t>
      </w:r>
      <w:r w:rsidRPr="008448E9">
        <w:rPr>
          <w:rFonts w:cs="FrankRuehl" w:hint="cs"/>
          <w:szCs w:val="26"/>
          <w:rtl/>
        </w:rPr>
        <w:t xml:space="preserve"> גזר את הדין כדלהלן:</w:t>
      </w:r>
    </w:p>
    <w:p w14:paraId="22E472AC" w14:textId="77777777" w:rsidR="008448E9" w:rsidRPr="008448E9" w:rsidRDefault="008448E9" w:rsidP="008448E9">
      <w:pPr>
        <w:pBdr>
          <w:top w:val="single" w:sz="4" w:space="1" w:color="auto"/>
          <w:bottom w:val="single" w:sz="4" w:space="1" w:color="auto"/>
        </w:pBdr>
        <w:spacing w:after="120" w:line="320" w:lineRule="exact"/>
        <w:jc w:val="both"/>
        <w:rPr>
          <w:rFonts w:cs="FrankRuehl" w:hint="cs"/>
          <w:szCs w:val="26"/>
          <w:rtl/>
        </w:rPr>
      </w:pPr>
      <w:r w:rsidRPr="008448E9">
        <w:rPr>
          <w:rFonts w:cs="FrankRuehl" w:hint="cs"/>
          <w:szCs w:val="26"/>
          <w:rtl/>
        </w:rPr>
        <w:t xml:space="preserve">על פי הדין החדש, </w:t>
      </w:r>
      <w:r w:rsidRPr="008448E9">
        <w:rPr>
          <w:rFonts w:cs="FrankRuehl"/>
          <w:szCs w:val="26"/>
          <w:rtl/>
        </w:rPr>
        <w:t>הרשע</w:t>
      </w:r>
      <w:r w:rsidRPr="008448E9">
        <w:rPr>
          <w:rFonts w:cs="FrankRuehl" w:hint="cs"/>
          <w:szCs w:val="26"/>
          <w:rtl/>
        </w:rPr>
        <w:t xml:space="preserve">ה </w:t>
      </w:r>
      <w:r w:rsidRPr="008448E9">
        <w:rPr>
          <w:rFonts w:cs="FrankRuehl"/>
          <w:szCs w:val="26"/>
          <w:rtl/>
        </w:rPr>
        <w:t xml:space="preserve">בעבירת הרצח הבסיסית </w:t>
      </w:r>
      <w:r w:rsidRPr="008448E9">
        <w:rPr>
          <w:rFonts w:cs="FrankRuehl" w:hint="cs"/>
          <w:szCs w:val="26"/>
          <w:rtl/>
        </w:rPr>
        <w:t xml:space="preserve">איננה </w:t>
      </w:r>
      <w:r w:rsidRPr="008448E9">
        <w:rPr>
          <w:rFonts w:cs="FrankRuehl"/>
          <w:szCs w:val="26"/>
          <w:rtl/>
        </w:rPr>
        <w:t xml:space="preserve">מחייבת השתת מאסר עולם "כעונש מוצא" וסטייה מעונש זה </w:t>
      </w:r>
      <w:r w:rsidRPr="008448E9">
        <w:rPr>
          <w:rFonts w:cs="FrankRuehl" w:hint="cs"/>
          <w:szCs w:val="26"/>
          <w:rtl/>
        </w:rPr>
        <w:t xml:space="preserve">לא </w:t>
      </w:r>
      <w:r w:rsidRPr="008448E9">
        <w:rPr>
          <w:rFonts w:cs="FrankRuehl"/>
          <w:szCs w:val="26"/>
          <w:rtl/>
        </w:rPr>
        <w:t>תיעשה רק במקרים חריגים. לא בכדי המחוקק בחר לאפשר לבית המשפט להפעיל שיקול דעת גם כאשר מדובר ברצח בכוונה. ויובהר, בנסיבות המתאימות ניתן יהיה לגזור מאסר עולם גם ברצח "בסיסי".</w:t>
      </w:r>
      <w:r w:rsidRPr="008448E9">
        <w:rPr>
          <w:rFonts w:cs="FrankRuehl" w:hint="cs"/>
          <w:szCs w:val="26"/>
          <w:rtl/>
        </w:rPr>
        <w:t xml:space="preserve"> </w:t>
      </w:r>
      <w:r w:rsidRPr="008448E9">
        <w:rPr>
          <w:rFonts w:cs="FrankRuehl"/>
          <w:szCs w:val="26"/>
          <w:rtl/>
        </w:rPr>
        <w:t xml:space="preserve">מאחר </w:t>
      </w:r>
      <w:r w:rsidRPr="008448E9">
        <w:rPr>
          <w:rFonts w:cs="FrankRuehl" w:hint="cs"/>
          <w:szCs w:val="26"/>
          <w:rtl/>
        </w:rPr>
        <w:t>ש</w:t>
      </w:r>
      <w:r w:rsidRPr="008448E9">
        <w:rPr>
          <w:rFonts w:cs="FrankRuehl"/>
          <w:szCs w:val="26"/>
          <w:rtl/>
        </w:rPr>
        <w:t xml:space="preserve">העבירה העיקרית בה הורשע הנאשם "חדשה" ונכנסה לתוקפה במסגרת התיקון ביולי 2019, טרם התגבשה מדיניות ענישה של הערכאה </w:t>
      </w:r>
      <w:proofErr w:type="spellStart"/>
      <w:r w:rsidRPr="008448E9">
        <w:rPr>
          <w:rFonts w:cs="FrankRuehl"/>
          <w:szCs w:val="26"/>
          <w:rtl/>
        </w:rPr>
        <w:t>הדיונית</w:t>
      </w:r>
      <w:proofErr w:type="spellEnd"/>
      <w:r w:rsidRPr="008448E9">
        <w:rPr>
          <w:rFonts w:cs="FrankRuehl"/>
          <w:szCs w:val="26"/>
          <w:rtl/>
        </w:rPr>
        <w:t xml:space="preserve"> שניתן ללמוד ממנה באופן מקיף ממצה, </w:t>
      </w:r>
      <w:r w:rsidRPr="008448E9">
        <w:rPr>
          <w:rFonts w:cs="FrankRuehl"/>
          <w:szCs w:val="26"/>
          <w:rtl/>
        </w:rPr>
        <w:lastRenderedPageBreak/>
        <w:t>וגם המקרים הספורים בהם נתנו גזרי דין מנומקים ושלא במסגרת הסדרים "סגורים" טרם הגיעו לפתחו של בית המשפט העליון.</w:t>
      </w:r>
    </w:p>
    <w:p w14:paraId="311000CF" w14:textId="77777777" w:rsidR="008448E9" w:rsidRPr="008448E9" w:rsidRDefault="008448E9" w:rsidP="008448E9">
      <w:pPr>
        <w:pBdr>
          <w:top w:val="single" w:sz="4" w:space="1" w:color="auto"/>
          <w:bottom w:val="single" w:sz="4" w:space="1" w:color="auto"/>
        </w:pBdr>
        <w:spacing w:after="120" w:line="320" w:lineRule="exact"/>
        <w:jc w:val="both"/>
        <w:rPr>
          <w:rFonts w:cs="FrankRuehl"/>
          <w:szCs w:val="26"/>
          <w:rtl/>
        </w:rPr>
      </w:pPr>
      <w:r w:rsidRPr="008448E9">
        <w:rPr>
          <w:rFonts w:cs="FrankRuehl"/>
          <w:szCs w:val="26"/>
          <w:rtl/>
        </w:rPr>
        <w:t>ל</w:t>
      </w:r>
      <w:r w:rsidRPr="008448E9">
        <w:rPr>
          <w:rFonts w:cs="FrankRuehl" w:hint="cs"/>
          <w:szCs w:val="26"/>
          <w:rtl/>
        </w:rPr>
        <w:t xml:space="preserve">אור </w:t>
      </w:r>
      <w:r w:rsidRPr="008448E9">
        <w:rPr>
          <w:rFonts w:cs="FrankRuehl"/>
          <w:szCs w:val="26"/>
          <w:rtl/>
        </w:rPr>
        <w:t xml:space="preserve">חומרת העבירות ונסיבות ביצוען, </w:t>
      </w:r>
      <w:r w:rsidRPr="008448E9">
        <w:rPr>
          <w:rFonts w:cs="FrankRuehl" w:hint="cs"/>
          <w:szCs w:val="26"/>
          <w:rtl/>
        </w:rPr>
        <w:t>ה</w:t>
      </w:r>
      <w:r w:rsidRPr="008448E9">
        <w:rPr>
          <w:rFonts w:cs="FrankRuehl"/>
          <w:szCs w:val="26"/>
          <w:rtl/>
        </w:rPr>
        <w:t>ערכים החברתיים שנפגעו ומידת הפגיעה בהם למדיניות הענישה הנוהגת</w:t>
      </w:r>
      <w:r w:rsidRPr="008448E9">
        <w:rPr>
          <w:rFonts w:cs="FrankRuehl" w:hint="cs"/>
          <w:szCs w:val="26"/>
          <w:rtl/>
        </w:rPr>
        <w:t xml:space="preserve">, </w:t>
      </w:r>
      <w:r w:rsidRPr="008448E9">
        <w:rPr>
          <w:rFonts w:cs="FrankRuehl"/>
          <w:szCs w:val="26"/>
          <w:rtl/>
        </w:rPr>
        <w:t>מתחם העונש ההולם בענייננו נע בין 22 ל 30 שנות מאסר בפועל</w:t>
      </w:r>
      <w:r w:rsidRPr="008448E9">
        <w:rPr>
          <w:rFonts w:cs="FrankRuehl" w:hint="cs"/>
          <w:szCs w:val="26"/>
          <w:rtl/>
        </w:rPr>
        <w:t xml:space="preserve">. </w:t>
      </w:r>
      <w:r w:rsidRPr="008448E9">
        <w:rPr>
          <w:rFonts w:cs="FrankRuehl"/>
          <w:szCs w:val="26"/>
          <w:rtl/>
        </w:rPr>
        <w:t xml:space="preserve">בשקלול </w:t>
      </w:r>
      <w:r w:rsidRPr="008448E9">
        <w:rPr>
          <w:rFonts w:cs="FrankRuehl" w:hint="cs"/>
          <w:szCs w:val="26"/>
          <w:rtl/>
        </w:rPr>
        <w:t xml:space="preserve">כל </w:t>
      </w:r>
      <w:r w:rsidRPr="008448E9">
        <w:rPr>
          <w:rFonts w:cs="FrankRuehl"/>
          <w:szCs w:val="26"/>
          <w:rtl/>
        </w:rPr>
        <w:t xml:space="preserve">הנתונים והשיקולים, </w:t>
      </w:r>
      <w:r w:rsidRPr="008448E9">
        <w:rPr>
          <w:rFonts w:cs="FrankRuehl" w:hint="cs"/>
          <w:szCs w:val="26"/>
          <w:rtl/>
        </w:rPr>
        <w:t>יש</w:t>
      </w:r>
      <w:r w:rsidRPr="008448E9">
        <w:rPr>
          <w:rFonts w:cs="FrankRuehl"/>
          <w:szCs w:val="26"/>
          <w:rtl/>
        </w:rPr>
        <w:t xml:space="preserve"> להשית על הנאשם 24 שנות מאסר לריצוי בפועל</w:t>
      </w:r>
      <w:r w:rsidRPr="008448E9">
        <w:rPr>
          <w:rFonts w:cs="FrankRuehl" w:hint="cs"/>
          <w:szCs w:val="26"/>
          <w:rtl/>
        </w:rPr>
        <w:t xml:space="preserve">, </w:t>
      </w:r>
      <w:r w:rsidRPr="008448E9">
        <w:rPr>
          <w:rFonts w:cs="FrankRuehl"/>
          <w:szCs w:val="26"/>
          <w:rtl/>
        </w:rPr>
        <w:t>12 חודשי</w:t>
      </w:r>
      <w:r w:rsidRPr="008448E9">
        <w:rPr>
          <w:rFonts w:cs="FrankRuehl" w:hint="cs"/>
          <w:szCs w:val="26"/>
          <w:rtl/>
        </w:rPr>
        <w:t xml:space="preserve"> </w:t>
      </w:r>
      <w:r w:rsidRPr="008448E9">
        <w:rPr>
          <w:rFonts w:cs="FrankRuehl"/>
          <w:szCs w:val="26"/>
          <w:rtl/>
        </w:rPr>
        <w:t xml:space="preserve">מאסר </w:t>
      </w:r>
      <w:r w:rsidRPr="008448E9">
        <w:rPr>
          <w:rFonts w:cs="FrankRuehl" w:hint="cs"/>
          <w:szCs w:val="26"/>
          <w:rtl/>
        </w:rPr>
        <w:t>על תנאי ו</w:t>
      </w:r>
      <w:r w:rsidRPr="008448E9">
        <w:rPr>
          <w:rFonts w:cs="FrankRuehl"/>
          <w:szCs w:val="26"/>
          <w:rtl/>
        </w:rPr>
        <w:t>פיצוי לטובת אלמנת המנוח וילדיו בסכום כולל של 258,000 ₪.</w:t>
      </w:r>
    </w:p>
    <w:p w14:paraId="4DFBD43F" w14:textId="77777777" w:rsidR="008448E9" w:rsidRDefault="008448E9" w:rsidP="0072379C">
      <w:pPr>
        <w:rPr>
          <w:rFonts w:hint="cs"/>
          <w:rtl/>
        </w:rPr>
      </w:pPr>
      <w:bookmarkStart w:id="7" w:name="ABSTRACT_END"/>
      <w:bookmarkEnd w:id="7"/>
    </w:p>
    <w:tbl>
      <w:tblPr>
        <w:bidiVisual/>
        <w:tblW w:w="8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8"/>
      </w:tblGrid>
      <w:tr w:rsidR="00AB1C81" w14:paraId="171B7D79" w14:textId="77777777" w:rsidTr="009A0C5D">
        <w:trPr>
          <w:trHeight w:val="355"/>
          <w:jc w:val="center"/>
        </w:trPr>
        <w:tc>
          <w:tcPr>
            <w:tcW w:w="8848" w:type="dxa"/>
            <w:tcBorders>
              <w:top w:val="nil"/>
              <w:left w:val="nil"/>
              <w:bottom w:val="nil"/>
              <w:right w:val="nil"/>
            </w:tcBorders>
            <w:shd w:val="clear" w:color="auto" w:fill="auto"/>
          </w:tcPr>
          <w:p w14:paraId="510A66ED" w14:textId="77777777" w:rsidR="00AB1C81" w:rsidRPr="008448E9" w:rsidRDefault="009A0C5D" w:rsidP="008448E9">
            <w:pPr>
              <w:jc w:val="center"/>
              <w:rPr>
                <w:rFonts w:ascii="Arial" w:hAnsi="Arial" w:cs="FrankRuehl" w:hint="cs"/>
                <w:b/>
                <w:bCs/>
                <w:sz w:val="32"/>
                <w:szCs w:val="32"/>
                <w:u w:val="single"/>
                <w:rtl/>
              </w:rPr>
            </w:pPr>
            <w:bookmarkStart w:id="8" w:name="PsakDin" w:colFirst="0" w:colLast="0"/>
            <w:r w:rsidRPr="009A0C5D">
              <w:rPr>
                <w:rFonts w:ascii="Arial" w:hAnsi="Arial" w:cs="FrankRuehl"/>
                <w:b/>
                <w:bCs/>
                <w:sz w:val="32"/>
                <w:szCs w:val="32"/>
                <w:u w:val="single"/>
                <w:rtl/>
              </w:rPr>
              <w:t>גזר דין</w:t>
            </w:r>
          </w:p>
        </w:tc>
      </w:tr>
    </w:tbl>
    <w:bookmarkEnd w:id="8"/>
    <w:p w14:paraId="14A9499A" w14:textId="77777777" w:rsidR="00AB1C81" w:rsidRDefault="00AB1C81" w:rsidP="00AB1C81">
      <w:pPr>
        <w:spacing w:line="360" w:lineRule="auto"/>
        <w:ind w:right="284" w:firstLine="368"/>
        <w:jc w:val="both"/>
        <w:rPr>
          <w:rFonts w:ascii="David" w:hAnsi="David"/>
          <w:u w:val="single"/>
        </w:rPr>
      </w:pPr>
      <w:r>
        <w:rPr>
          <w:rFonts w:ascii="David" w:hAnsi="David"/>
          <w:u w:val="single"/>
          <w:rtl/>
        </w:rPr>
        <w:t>השופט יחיאל ליפשיץ:</w:t>
      </w:r>
    </w:p>
    <w:p w14:paraId="3D7946BA" w14:textId="77777777" w:rsidR="00AB1C81" w:rsidRDefault="00AB1C81" w:rsidP="00AB1C81">
      <w:pPr>
        <w:spacing w:line="360" w:lineRule="auto"/>
        <w:ind w:left="368" w:right="284" w:firstLine="360"/>
        <w:jc w:val="both"/>
        <w:rPr>
          <w:rFonts w:ascii="Miriam" w:hAnsi="Miriam" w:cs="Miriam"/>
          <w:rtl/>
        </w:rPr>
      </w:pPr>
    </w:p>
    <w:p w14:paraId="709B26BB" w14:textId="77777777" w:rsidR="00AB1C81" w:rsidRDefault="00AB1C81" w:rsidP="00AB1C81">
      <w:pPr>
        <w:spacing w:line="360" w:lineRule="auto"/>
        <w:ind w:right="284" w:firstLine="368"/>
        <w:jc w:val="both"/>
        <w:rPr>
          <w:rFonts w:ascii="Miriam" w:hAnsi="Miriam" w:cs="Miriam"/>
          <w:rtl/>
        </w:rPr>
      </w:pPr>
      <w:r>
        <w:rPr>
          <w:rFonts w:ascii="Miriam" w:hAnsi="Miriam" w:cs="Miriam"/>
          <w:rtl/>
        </w:rPr>
        <w:t>מבוא</w:t>
      </w:r>
    </w:p>
    <w:p w14:paraId="0B29D9FC" w14:textId="77777777" w:rsidR="00AB1C81" w:rsidRDefault="00AB1C81" w:rsidP="00AB1C81">
      <w:pPr>
        <w:pStyle w:val="ListParagraph"/>
        <w:numPr>
          <w:ilvl w:val="0"/>
          <w:numId w:val="1"/>
        </w:numPr>
        <w:spacing w:after="0" w:line="360" w:lineRule="auto"/>
        <w:ind w:left="368" w:right="284"/>
        <w:jc w:val="both"/>
        <w:rPr>
          <w:rFonts w:ascii="David" w:hAnsi="David" w:cs="David"/>
          <w:sz w:val="24"/>
          <w:szCs w:val="24"/>
          <w:rtl/>
        </w:rPr>
      </w:pPr>
      <w:r>
        <w:rPr>
          <w:rFonts w:ascii="David" w:hAnsi="David" w:cs="David"/>
          <w:sz w:val="24"/>
          <w:szCs w:val="24"/>
          <w:rtl/>
        </w:rPr>
        <w:t xml:space="preserve">הנאשם, יליד 1978 ותושב </w:t>
      </w:r>
      <w:proofErr w:type="spellStart"/>
      <w:r>
        <w:rPr>
          <w:rFonts w:ascii="David" w:hAnsi="David" w:cs="David"/>
          <w:sz w:val="24"/>
          <w:szCs w:val="24"/>
          <w:rtl/>
        </w:rPr>
        <w:t>באקה</w:t>
      </w:r>
      <w:proofErr w:type="spellEnd"/>
      <w:r>
        <w:rPr>
          <w:rFonts w:ascii="David" w:hAnsi="David" w:cs="David"/>
          <w:sz w:val="24"/>
          <w:szCs w:val="24"/>
          <w:rtl/>
        </w:rPr>
        <w:t xml:space="preserve"> אל גרביה, הורשע על פי הודייתו במסגרת הסדר טיעון בעבירות </w:t>
      </w:r>
      <w:r>
        <w:rPr>
          <w:rFonts w:ascii="Miriam" w:hAnsi="Miriam" w:cs="Miriam"/>
          <w:sz w:val="24"/>
          <w:szCs w:val="24"/>
          <w:rtl/>
        </w:rPr>
        <w:t>רצח,</w:t>
      </w:r>
      <w:r>
        <w:rPr>
          <w:rFonts w:ascii="David" w:hAnsi="David" w:cs="David"/>
          <w:sz w:val="24"/>
          <w:szCs w:val="24"/>
          <w:rtl/>
        </w:rPr>
        <w:t xml:space="preserve"> לפי </w:t>
      </w:r>
      <w:hyperlink r:id="rId19" w:history="1">
        <w:r w:rsidR="00EF71CD" w:rsidRPr="00EF71CD">
          <w:rPr>
            <w:rStyle w:val="Hyperlink"/>
            <w:rFonts w:ascii="David" w:hAnsi="David" w:cs="David"/>
            <w:sz w:val="24"/>
            <w:szCs w:val="24"/>
            <w:rtl/>
          </w:rPr>
          <w:t>סעיף 300(א)</w:t>
        </w:r>
      </w:hyperlink>
      <w:r>
        <w:rPr>
          <w:rFonts w:ascii="David" w:hAnsi="David" w:cs="David"/>
          <w:sz w:val="24"/>
          <w:szCs w:val="24"/>
          <w:rtl/>
        </w:rPr>
        <w:t xml:space="preserve"> ל</w:t>
      </w:r>
      <w:hyperlink r:id="rId20" w:history="1">
        <w:r w:rsidR="009A0C5D" w:rsidRPr="009A0C5D">
          <w:rPr>
            <w:rFonts w:ascii="David" w:hAnsi="David" w:cs="David"/>
            <w:color w:val="0000FF"/>
            <w:sz w:val="24"/>
            <w:szCs w:val="24"/>
            <w:u w:val="single"/>
            <w:rtl/>
          </w:rPr>
          <w:t>חוק העונשין</w:t>
        </w:r>
      </w:hyperlink>
      <w:r>
        <w:rPr>
          <w:rFonts w:ascii="David" w:hAnsi="David" w:cs="David"/>
          <w:sz w:val="24"/>
          <w:szCs w:val="24"/>
          <w:rtl/>
        </w:rPr>
        <w:t xml:space="preserve">, </w:t>
      </w:r>
      <w:proofErr w:type="spellStart"/>
      <w:r>
        <w:rPr>
          <w:rFonts w:ascii="David" w:hAnsi="David" w:cs="David"/>
          <w:sz w:val="24"/>
          <w:szCs w:val="24"/>
          <w:rtl/>
        </w:rPr>
        <w:t>התשל"ז</w:t>
      </w:r>
      <w:proofErr w:type="spellEnd"/>
      <w:r>
        <w:rPr>
          <w:rFonts w:ascii="David" w:hAnsi="David" w:cs="David"/>
          <w:sz w:val="24"/>
          <w:szCs w:val="24"/>
          <w:rtl/>
        </w:rPr>
        <w:t xml:space="preserve"> –1977 (להלן: </w:t>
      </w:r>
      <w:r>
        <w:rPr>
          <w:rFonts w:ascii="Miriam" w:hAnsi="Miriam" w:cs="Miriam"/>
          <w:sz w:val="24"/>
          <w:szCs w:val="24"/>
          <w:rtl/>
        </w:rPr>
        <w:t>החוק)</w:t>
      </w:r>
      <w:r>
        <w:rPr>
          <w:rFonts w:ascii="David" w:hAnsi="David" w:cs="David"/>
          <w:sz w:val="24"/>
          <w:szCs w:val="24"/>
          <w:rtl/>
        </w:rPr>
        <w:t xml:space="preserve">; </w:t>
      </w:r>
      <w:r>
        <w:rPr>
          <w:rFonts w:ascii="Miriam" w:hAnsi="Miriam" w:cs="Miriam"/>
          <w:sz w:val="24"/>
          <w:szCs w:val="24"/>
          <w:rtl/>
        </w:rPr>
        <w:t>תקיפה חבלנית</w:t>
      </w:r>
      <w:r>
        <w:rPr>
          <w:rFonts w:ascii="David" w:hAnsi="David" w:cs="David"/>
          <w:sz w:val="24"/>
          <w:szCs w:val="24"/>
          <w:rtl/>
        </w:rPr>
        <w:t xml:space="preserve">, לפי </w:t>
      </w:r>
      <w:hyperlink r:id="rId21" w:history="1">
        <w:r w:rsidR="00EF71CD" w:rsidRPr="00EF71CD">
          <w:rPr>
            <w:rStyle w:val="Hyperlink"/>
            <w:rFonts w:ascii="David" w:hAnsi="David" w:cs="David"/>
            <w:sz w:val="24"/>
            <w:szCs w:val="24"/>
            <w:rtl/>
          </w:rPr>
          <w:t>סעיף 380</w:t>
        </w:r>
      </w:hyperlink>
      <w:r>
        <w:rPr>
          <w:rFonts w:ascii="David" w:hAnsi="David" w:cs="David"/>
          <w:sz w:val="24"/>
          <w:szCs w:val="24"/>
          <w:rtl/>
        </w:rPr>
        <w:t xml:space="preserve"> לחוק; </w:t>
      </w:r>
      <w:r>
        <w:rPr>
          <w:rFonts w:ascii="Miriam" w:hAnsi="Miriam" w:cs="Miriam"/>
          <w:sz w:val="24"/>
          <w:szCs w:val="24"/>
          <w:rtl/>
        </w:rPr>
        <w:t>ועבירות בנשק</w:t>
      </w:r>
      <w:r>
        <w:rPr>
          <w:rFonts w:ascii="David" w:hAnsi="David" w:cs="David"/>
          <w:sz w:val="24"/>
          <w:szCs w:val="24"/>
          <w:rtl/>
        </w:rPr>
        <w:t xml:space="preserve">, לפי </w:t>
      </w:r>
      <w:hyperlink r:id="rId22" w:history="1">
        <w:r w:rsidR="00EF71CD" w:rsidRPr="00EF71CD">
          <w:rPr>
            <w:rStyle w:val="Hyperlink"/>
            <w:rFonts w:ascii="David" w:hAnsi="David" w:cs="David"/>
            <w:sz w:val="24"/>
            <w:szCs w:val="24"/>
            <w:rtl/>
          </w:rPr>
          <w:t>סעיף 144(ב)</w:t>
        </w:r>
      </w:hyperlink>
      <w:r>
        <w:rPr>
          <w:rFonts w:ascii="David" w:hAnsi="David" w:cs="David"/>
          <w:sz w:val="24"/>
          <w:szCs w:val="24"/>
          <w:rtl/>
        </w:rPr>
        <w:t xml:space="preserve"> רישא לחוק. </w:t>
      </w:r>
    </w:p>
    <w:p w14:paraId="5F9C4A5F" w14:textId="77777777" w:rsidR="00AB1C81" w:rsidRDefault="00AB1C81" w:rsidP="00AB1C81">
      <w:pPr>
        <w:pStyle w:val="ListParagraph"/>
        <w:spacing w:after="0" w:line="360" w:lineRule="auto"/>
        <w:ind w:left="368" w:right="284"/>
        <w:jc w:val="both"/>
        <w:rPr>
          <w:rFonts w:ascii="David" w:hAnsi="David" w:cs="David"/>
          <w:sz w:val="24"/>
          <w:szCs w:val="24"/>
        </w:rPr>
      </w:pPr>
    </w:p>
    <w:p w14:paraId="09DE16B3" w14:textId="77777777" w:rsidR="00AB1C81" w:rsidRDefault="00AB1C81" w:rsidP="00AB1C81">
      <w:pPr>
        <w:pStyle w:val="ListParagraph"/>
        <w:spacing w:after="0" w:line="360" w:lineRule="auto"/>
        <w:ind w:left="368" w:right="284"/>
        <w:jc w:val="both"/>
        <w:rPr>
          <w:rFonts w:ascii="David" w:hAnsi="David" w:cs="David"/>
          <w:sz w:val="24"/>
          <w:szCs w:val="24"/>
        </w:rPr>
      </w:pPr>
      <w:r>
        <w:rPr>
          <w:rFonts w:ascii="David" w:hAnsi="David" w:cs="David"/>
          <w:sz w:val="24"/>
          <w:szCs w:val="24"/>
          <w:rtl/>
        </w:rPr>
        <w:t xml:space="preserve">כתב האישום המקורי שהוגש בחודש 6/19 ייחס לנאשם, בין היתר, את עבירת הרצח בנוסחה טרם תיקון 137 לחוק בנוגע לרפורמה בעבירות המתה (להלן: </w:t>
      </w:r>
      <w:r>
        <w:rPr>
          <w:rFonts w:ascii="Miriam" w:hAnsi="Miriam" w:cs="Miriam"/>
          <w:sz w:val="24"/>
          <w:szCs w:val="24"/>
          <w:rtl/>
        </w:rPr>
        <w:t>התיקון</w:t>
      </w:r>
      <w:r>
        <w:rPr>
          <w:rFonts w:ascii="David" w:hAnsi="David" w:cs="David"/>
          <w:sz w:val="24"/>
          <w:szCs w:val="24"/>
          <w:rtl/>
        </w:rPr>
        <w:t xml:space="preserve">). ביום 6.8.20 ולאחר שמיעת חלק מעדי התביעה, הגיעו הצדדים להסדר טיעון שכלל את תיקון כתב האישום. הוסכם בין הצדדים, כי אלמלא התיקון הנאשם היה מורשע בעבירה של רצח בכוונה תחילה, בנוסח הסעיף טרם התיקון. עם זאת, מאחר ועל פי הסכמות הצדדים וניסוחו של כתב האישום המתוקן לא מתקיימות "נסיבות מחמירות", חל דין מקל כך שכתב האישום המתוקן ייחס לנאשם את עבירת הרצח ה"בסיסית" לאחר התיקון, כאשר היסוד הנפשי שהתקיים בו הוא </w:t>
      </w:r>
      <w:r>
        <w:rPr>
          <w:rFonts w:ascii="David" w:hAnsi="David" w:cs="David"/>
          <w:sz w:val="24"/>
          <w:szCs w:val="24"/>
          <w:u w:val="single"/>
          <w:rtl/>
        </w:rPr>
        <w:t>כוונה</w:t>
      </w:r>
      <w:r>
        <w:rPr>
          <w:rFonts w:ascii="David" w:hAnsi="David" w:cs="David"/>
          <w:sz w:val="24"/>
          <w:szCs w:val="24"/>
          <w:rtl/>
        </w:rPr>
        <w:t xml:space="preserve">. </w:t>
      </w:r>
    </w:p>
    <w:p w14:paraId="281991FE" w14:textId="77777777" w:rsidR="00AB1C81" w:rsidRDefault="00AB1C81" w:rsidP="00AB1C81">
      <w:pPr>
        <w:pStyle w:val="ListParagraph"/>
        <w:ind w:left="368" w:right="284"/>
        <w:rPr>
          <w:rFonts w:ascii="David" w:hAnsi="David" w:cs="David"/>
          <w:sz w:val="24"/>
          <w:szCs w:val="24"/>
        </w:rPr>
      </w:pPr>
    </w:p>
    <w:p w14:paraId="78028341" w14:textId="77777777" w:rsidR="00AB1C81" w:rsidRDefault="00AB1C81" w:rsidP="00AB1C81">
      <w:pPr>
        <w:pStyle w:val="ListParagraph"/>
        <w:spacing w:after="0" w:line="360" w:lineRule="auto"/>
        <w:ind w:left="368" w:right="284"/>
        <w:jc w:val="both"/>
        <w:rPr>
          <w:rFonts w:ascii="David" w:hAnsi="David" w:cs="David"/>
          <w:sz w:val="24"/>
          <w:szCs w:val="24"/>
          <w:rtl/>
        </w:rPr>
      </w:pPr>
      <w:r>
        <w:rPr>
          <w:rFonts w:ascii="David" w:hAnsi="David" w:cs="David"/>
          <w:sz w:val="24"/>
          <w:szCs w:val="24"/>
          <w:rtl/>
        </w:rPr>
        <w:t xml:space="preserve">הסדר הטיעון לא כלל הסכמות לעניין העונש, אולם המאשימה הצהירה כי בכוונתה לעתור למאסר עולם וכן להשתת פיצוי </w:t>
      </w:r>
      <w:proofErr w:type="spellStart"/>
      <w:r>
        <w:rPr>
          <w:rFonts w:ascii="David" w:hAnsi="David" w:cs="David"/>
          <w:sz w:val="24"/>
          <w:szCs w:val="24"/>
          <w:rtl/>
        </w:rPr>
        <w:t>מקסימלי</w:t>
      </w:r>
      <w:proofErr w:type="spellEnd"/>
      <w:r>
        <w:rPr>
          <w:rFonts w:ascii="David" w:hAnsi="David" w:cs="David"/>
          <w:sz w:val="24"/>
          <w:szCs w:val="24"/>
          <w:rtl/>
        </w:rPr>
        <w:t xml:space="preserve"> לנפגעי העבירה; בעוד הנאשם טען באופן "חופשי". </w:t>
      </w:r>
    </w:p>
    <w:p w14:paraId="1372477B" w14:textId="77777777" w:rsidR="00AB1C81" w:rsidRDefault="00AB1C81" w:rsidP="00AB1C81">
      <w:pPr>
        <w:pStyle w:val="ListParagraph"/>
        <w:ind w:left="368" w:right="284"/>
        <w:rPr>
          <w:rFonts w:ascii="David" w:hAnsi="David" w:cs="David"/>
          <w:sz w:val="24"/>
          <w:szCs w:val="24"/>
        </w:rPr>
      </w:pPr>
    </w:p>
    <w:p w14:paraId="222CFEB2" w14:textId="77777777" w:rsidR="00AB1C81" w:rsidRDefault="00AB1C81" w:rsidP="00AB1C81">
      <w:pPr>
        <w:pStyle w:val="ListParagraph"/>
        <w:spacing w:after="0" w:line="360" w:lineRule="auto"/>
        <w:ind w:left="368" w:right="284"/>
        <w:jc w:val="both"/>
        <w:rPr>
          <w:rFonts w:ascii="Miriam" w:hAnsi="Miriam" w:cs="Miriam"/>
          <w:sz w:val="24"/>
          <w:szCs w:val="24"/>
          <w:rtl/>
        </w:rPr>
      </w:pPr>
      <w:r>
        <w:rPr>
          <w:rFonts w:ascii="Miriam" w:hAnsi="Miriam" w:cs="Miriam"/>
          <w:sz w:val="24"/>
          <w:szCs w:val="24"/>
          <w:rtl/>
        </w:rPr>
        <w:t>כתב האישום המתוקן</w:t>
      </w:r>
    </w:p>
    <w:p w14:paraId="3333B14E" w14:textId="77777777" w:rsidR="00AB1C81" w:rsidRDefault="00AB1C81" w:rsidP="00AB1C81">
      <w:pPr>
        <w:pStyle w:val="ListParagraph"/>
        <w:numPr>
          <w:ilvl w:val="0"/>
          <w:numId w:val="1"/>
        </w:numPr>
        <w:spacing w:after="0" w:line="360" w:lineRule="auto"/>
        <w:ind w:left="368" w:right="284"/>
        <w:jc w:val="both"/>
        <w:rPr>
          <w:rFonts w:ascii="David" w:hAnsi="David" w:cs="David"/>
          <w:sz w:val="24"/>
          <w:szCs w:val="24"/>
        </w:rPr>
      </w:pPr>
      <w:r>
        <w:rPr>
          <w:rFonts w:ascii="David" w:hAnsi="David" w:cs="David"/>
          <w:sz w:val="24"/>
          <w:szCs w:val="24"/>
          <w:rtl/>
        </w:rPr>
        <w:t xml:space="preserve">הנאשם ואחיו </w:t>
      </w:r>
      <w:proofErr w:type="spellStart"/>
      <w:r>
        <w:rPr>
          <w:rFonts w:ascii="David" w:hAnsi="David" w:cs="David"/>
          <w:sz w:val="24"/>
          <w:szCs w:val="24"/>
          <w:rtl/>
        </w:rPr>
        <w:t>כמאל</w:t>
      </w:r>
      <w:proofErr w:type="spellEnd"/>
      <w:r>
        <w:rPr>
          <w:rFonts w:ascii="David" w:hAnsi="David" w:cs="David"/>
          <w:sz w:val="24"/>
          <w:szCs w:val="24"/>
          <w:rtl/>
        </w:rPr>
        <w:t xml:space="preserve"> בולבול (להלן: </w:t>
      </w:r>
      <w:proofErr w:type="spellStart"/>
      <w:r>
        <w:rPr>
          <w:rFonts w:ascii="Miriam" w:hAnsi="Miriam" w:cs="Miriam"/>
          <w:sz w:val="24"/>
          <w:szCs w:val="24"/>
          <w:rtl/>
        </w:rPr>
        <w:t>כמאל</w:t>
      </w:r>
      <w:proofErr w:type="spellEnd"/>
      <w:r>
        <w:rPr>
          <w:rFonts w:ascii="Miriam" w:hAnsi="Miriam" w:cs="Miriam"/>
          <w:sz w:val="24"/>
          <w:szCs w:val="24"/>
          <w:rtl/>
        </w:rPr>
        <w:t>)</w:t>
      </w:r>
      <w:r>
        <w:rPr>
          <w:rFonts w:ascii="David" w:hAnsi="David" w:cs="David"/>
          <w:sz w:val="24"/>
          <w:szCs w:val="24"/>
          <w:rtl/>
        </w:rPr>
        <w:t xml:space="preserve"> התגוררו </w:t>
      </w:r>
      <w:proofErr w:type="spellStart"/>
      <w:r>
        <w:rPr>
          <w:rFonts w:ascii="David" w:hAnsi="David" w:cs="David"/>
          <w:sz w:val="24"/>
          <w:szCs w:val="24"/>
          <w:rtl/>
        </w:rPr>
        <w:t>בבאקה</w:t>
      </w:r>
      <w:proofErr w:type="spellEnd"/>
      <w:r>
        <w:rPr>
          <w:rFonts w:ascii="David" w:hAnsi="David" w:cs="David"/>
          <w:sz w:val="24"/>
          <w:szCs w:val="24"/>
          <w:rtl/>
        </w:rPr>
        <w:t xml:space="preserve"> אל גרביה בסמיכות </w:t>
      </w:r>
      <w:proofErr w:type="spellStart"/>
      <w:r>
        <w:rPr>
          <w:rFonts w:ascii="David" w:hAnsi="David" w:cs="David"/>
          <w:sz w:val="24"/>
          <w:szCs w:val="24"/>
          <w:rtl/>
        </w:rPr>
        <w:t>לאחמד</w:t>
      </w:r>
      <w:proofErr w:type="spellEnd"/>
      <w:r>
        <w:rPr>
          <w:rFonts w:ascii="David" w:hAnsi="David" w:cs="David"/>
          <w:sz w:val="24"/>
          <w:szCs w:val="24"/>
          <w:rtl/>
        </w:rPr>
        <w:t xml:space="preserve"> </w:t>
      </w:r>
      <w:proofErr w:type="spellStart"/>
      <w:r>
        <w:rPr>
          <w:rFonts w:ascii="David" w:hAnsi="David" w:cs="David"/>
          <w:sz w:val="24"/>
          <w:szCs w:val="24"/>
          <w:rtl/>
        </w:rPr>
        <w:t>חג'ג</w:t>
      </w:r>
      <w:proofErr w:type="spellEnd"/>
      <w:r>
        <w:rPr>
          <w:rFonts w:ascii="David" w:hAnsi="David" w:cs="David"/>
          <w:sz w:val="24"/>
          <w:szCs w:val="24"/>
          <w:rtl/>
        </w:rPr>
        <w:t xml:space="preserve">' ז"ל (להלן: </w:t>
      </w:r>
      <w:r>
        <w:rPr>
          <w:rFonts w:ascii="Miriam" w:hAnsi="Miriam" w:cs="Miriam"/>
          <w:sz w:val="24"/>
          <w:szCs w:val="24"/>
          <w:rtl/>
        </w:rPr>
        <w:t>המנוח)</w:t>
      </w:r>
      <w:r>
        <w:rPr>
          <w:rFonts w:ascii="David" w:hAnsi="David" w:cs="David"/>
          <w:sz w:val="24"/>
          <w:szCs w:val="24"/>
          <w:rtl/>
        </w:rPr>
        <w:t xml:space="preserve"> ומשפחתו, ובין הצדדים סכסוך מתמשך. ביום 19.5.19 בסביבות השעה 21:30 המנוח שב מהמסגד לביתו ובסמוך לבית פגש את </w:t>
      </w:r>
      <w:proofErr w:type="spellStart"/>
      <w:r>
        <w:rPr>
          <w:rFonts w:ascii="David" w:hAnsi="David" w:cs="David"/>
          <w:sz w:val="24"/>
          <w:szCs w:val="24"/>
          <w:rtl/>
        </w:rPr>
        <w:t>כמאל</w:t>
      </w:r>
      <w:proofErr w:type="spellEnd"/>
      <w:r>
        <w:rPr>
          <w:rFonts w:ascii="David" w:hAnsi="David" w:cs="David"/>
          <w:sz w:val="24"/>
          <w:szCs w:val="24"/>
          <w:rtl/>
        </w:rPr>
        <w:t xml:space="preserve">. על רקע הסכסוך האמור התפתח בין </w:t>
      </w:r>
      <w:proofErr w:type="spellStart"/>
      <w:r>
        <w:rPr>
          <w:rFonts w:ascii="David" w:hAnsi="David" w:cs="David"/>
          <w:sz w:val="24"/>
          <w:szCs w:val="24"/>
          <w:rtl/>
        </w:rPr>
        <w:t>כמאל</w:t>
      </w:r>
      <w:proofErr w:type="spellEnd"/>
      <w:r>
        <w:rPr>
          <w:rFonts w:ascii="David" w:hAnsi="David" w:cs="David"/>
          <w:sz w:val="24"/>
          <w:szCs w:val="24"/>
          <w:rtl/>
        </w:rPr>
        <w:t xml:space="preserve"> למנוח עימות מילולי, כאשר הנאשם היה עד לו. במהלך העימות סיכמו </w:t>
      </w:r>
      <w:proofErr w:type="spellStart"/>
      <w:r>
        <w:rPr>
          <w:rFonts w:ascii="David" w:hAnsi="David" w:cs="David"/>
          <w:sz w:val="24"/>
          <w:szCs w:val="24"/>
          <w:rtl/>
        </w:rPr>
        <w:t>כמאל</w:t>
      </w:r>
      <w:proofErr w:type="spellEnd"/>
      <w:r>
        <w:rPr>
          <w:rFonts w:ascii="David" w:hAnsi="David" w:cs="David"/>
          <w:sz w:val="24"/>
          <w:szCs w:val="24"/>
          <w:rtl/>
        </w:rPr>
        <w:t xml:space="preserve"> והמנוח להיפגש בכביש 6 על מנת "לסגור עניינים". </w:t>
      </w:r>
    </w:p>
    <w:p w14:paraId="6125D17B" w14:textId="77777777" w:rsidR="00AB1C81" w:rsidRDefault="00AB1C81" w:rsidP="00AB1C81">
      <w:pPr>
        <w:spacing w:line="360" w:lineRule="auto"/>
        <w:ind w:left="368" w:right="284"/>
        <w:jc w:val="both"/>
        <w:rPr>
          <w:rFonts w:ascii="David" w:hAnsi="David"/>
          <w:rtl/>
        </w:rPr>
      </w:pPr>
    </w:p>
    <w:p w14:paraId="02E234DA" w14:textId="77777777" w:rsidR="00AB1C81" w:rsidRDefault="00AB1C81" w:rsidP="00AB1C81">
      <w:pPr>
        <w:spacing w:line="360" w:lineRule="auto"/>
        <w:ind w:left="368" w:right="284"/>
        <w:jc w:val="both"/>
        <w:rPr>
          <w:rFonts w:ascii="David" w:hAnsi="David"/>
          <w:rtl/>
        </w:rPr>
      </w:pPr>
      <w:r>
        <w:rPr>
          <w:rFonts w:ascii="David" w:hAnsi="David"/>
          <w:rtl/>
        </w:rPr>
        <w:lastRenderedPageBreak/>
        <w:t xml:space="preserve">בשלב זה, הנאשם נכנס לביתו והצטייד באקדח אותו החזיק שלא כדין. לאחר מכן, יצא הנאשם מביתו ונכנס לרכבו של </w:t>
      </w:r>
      <w:proofErr w:type="spellStart"/>
      <w:r>
        <w:rPr>
          <w:rFonts w:ascii="David" w:hAnsi="David"/>
          <w:rtl/>
        </w:rPr>
        <w:t>כמאל</w:t>
      </w:r>
      <w:proofErr w:type="spellEnd"/>
      <w:r>
        <w:rPr>
          <w:rFonts w:ascii="David" w:hAnsi="David"/>
          <w:rtl/>
        </w:rPr>
        <w:t xml:space="preserve"> כשהוא נושא עמו את האקדח שהיה טעון בכדורים והשניים נסעו להיפגש עם המנוח. המנוח נכנס אף הוא לרכבו ואליו הצטרפו אחיו </w:t>
      </w:r>
      <w:proofErr w:type="spellStart"/>
      <w:r>
        <w:rPr>
          <w:rFonts w:ascii="David" w:hAnsi="David"/>
          <w:rtl/>
        </w:rPr>
        <w:t>מוחמד</w:t>
      </w:r>
      <w:proofErr w:type="spellEnd"/>
      <w:r>
        <w:rPr>
          <w:rFonts w:ascii="David" w:hAnsi="David"/>
          <w:rtl/>
        </w:rPr>
        <w:t xml:space="preserve"> חאג' (להלן: </w:t>
      </w:r>
      <w:proofErr w:type="spellStart"/>
      <w:r>
        <w:rPr>
          <w:rFonts w:ascii="Miriam" w:hAnsi="Miriam" w:cs="Miriam"/>
          <w:rtl/>
        </w:rPr>
        <w:t>מוחמד</w:t>
      </w:r>
      <w:proofErr w:type="spellEnd"/>
      <w:r>
        <w:rPr>
          <w:rFonts w:ascii="David" w:hAnsi="David"/>
          <w:rtl/>
        </w:rPr>
        <w:t xml:space="preserve">) ובניו - א', קטין יליד 2005 (להלן: </w:t>
      </w:r>
      <w:r>
        <w:rPr>
          <w:rFonts w:ascii="Miriam" w:hAnsi="Miriam" w:cs="Miriam"/>
          <w:rtl/>
        </w:rPr>
        <w:t>קטין א'</w:t>
      </w:r>
      <w:r>
        <w:rPr>
          <w:rFonts w:ascii="David" w:hAnsi="David"/>
          <w:rtl/>
        </w:rPr>
        <w:t xml:space="preserve">); וב', קטין יליד 2002 (להלן: </w:t>
      </w:r>
      <w:r>
        <w:rPr>
          <w:rFonts w:ascii="Miriam" w:hAnsi="Miriam" w:cs="Miriam"/>
          <w:rtl/>
        </w:rPr>
        <w:t>קטין ב'</w:t>
      </w:r>
      <w:r>
        <w:rPr>
          <w:rFonts w:ascii="David" w:hAnsi="David"/>
          <w:rtl/>
        </w:rPr>
        <w:t>).</w:t>
      </w:r>
    </w:p>
    <w:p w14:paraId="3B124884" w14:textId="77777777" w:rsidR="00AB1C81" w:rsidRDefault="00AB1C81" w:rsidP="00AB1C81">
      <w:pPr>
        <w:spacing w:line="360" w:lineRule="auto"/>
        <w:ind w:left="368" w:right="284"/>
        <w:jc w:val="both"/>
        <w:rPr>
          <w:rFonts w:ascii="David" w:hAnsi="David"/>
          <w:rtl/>
        </w:rPr>
      </w:pPr>
    </w:p>
    <w:p w14:paraId="4774C812" w14:textId="77777777" w:rsidR="00AB1C81" w:rsidRDefault="00AB1C81" w:rsidP="00AB1C81">
      <w:pPr>
        <w:spacing w:line="360" w:lineRule="auto"/>
        <w:ind w:left="368" w:right="284"/>
        <w:jc w:val="both"/>
        <w:rPr>
          <w:rFonts w:ascii="David" w:hAnsi="David"/>
          <w:rtl/>
        </w:rPr>
      </w:pPr>
      <w:r>
        <w:rPr>
          <w:rFonts w:ascii="David" w:hAnsi="David"/>
          <w:rtl/>
        </w:rPr>
        <w:t xml:space="preserve">נוסעי שני הרכבים לעיל תרו – קבוצה אחר קבוצה - מספר דקות, עד אשר נפגשו סמוך לשעה 22:15 באחד מרחובות </w:t>
      </w:r>
      <w:proofErr w:type="spellStart"/>
      <w:r>
        <w:rPr>
          <w:rFonts w:ascii="David" w:hAnsi="David"/>
          <w:rtl/>
        </w:rPr>
        <w:t>בבאקה</w:t>
      </w:r>
      <w:proofErr w:type="spellEnd"/>
      <w:r>
        <w:rPr>
          <w:rFonts w:ascii="David" w:hAnsi="David"/>
          <w:rtl/>
        </w:rPr>
        <w:t xml:space="preserve"> אל גרביה סמוך לעסק "בית השקשוקה". בשלב זה החנה המנוח את רכבו בסמוך למקום וירד מרכבו יחד עם שני בניו ועם אחִיו. גם </w:t>
      </w:r>
      <w:proofErr w:type="spellStart"/>
      <w:r>
        <w:rPr>
          <w:rFonts w:ascii="David" w:hAnsi="David"/>
          <w:rtl/>
        </w:rPr>
        <w:t>כמאל</w:t>
      </w:r>
      <w:proofErr w:type="spellEnd"/>
      <w:r>
        <w:rPr>
          <w:rFonts w:ascii="David" w:hAnsi="David"/>
          <w:rtl/>
        </w:rPr>
        <w:t xml:space="preserve"> החנה את רכבו בסמוך למקום, ירד מהרכב והתקרב למנוח ומשפחתו בעוד הנאשם נותר עם האקדח ברכב. בין </w:t>
      </w:r>
      <w:proofErr w:type="spellStart"/>
      <w:r>
        <w:rPr>
          <w:rFonts w:ascii="David" w:hAnsi="David"/>
          <w:rtl/>
        </w:rPr>
        <w:t>כמאל</w:t>
      </w:r>
      <w:proofErr w:type="spellEnd"/>
      <w:r>
        <w:rPr>
          <w:rFonts w:ascii="David" w:hAnsi="David"/>
          <w:rtl/>
        </w:rPr>
        <w:t xml:space="preserve"> לבין המנוח, אחִיו ושני בניו החל עימות שנמשך דקות ספורות. </w:t>
      </w:r>
    </w:p>
    <w:p w14:paraId="662C3C65" w14:textId="77777777" w:rsidR="00AB1C81" w:rsidRDefault="00AB1C81" w:rsidP="00AB1C81">
      <w:pPr>
        <w:spacing w:line="360" w:lineRule="auto"/>
        <w:ind w:left="368" w:right="284"/>
        <w:jc w:val="both"/>
        <w:rPr>
          <w:rFonts w:ascii="David" w:hAnsi="David"/>
          <w:rtl/>
        </w:rPr>
      </w:pPr>
    </w:p>
    <w:p w14:paraId="4A15D112" w14:textId="77777777" w:rsidR="00AB1C81" w:rsidRDefault="00AB1C81" w:rsidP="00AB1C81">
      <w:pPr>
        <w:spacing w:line="360" w:lineRule="auto"/>
        <w:ind w:left="368" w:right="284"/>
        <w:jc w:val="both"/>
        <w:rPr>
          <w:rFonts w:ascii="David" w:hAnsi="David"/>
          <w:rtl/>
        </w:rPr>
      </w:pPr>
      <w:r>
        <w:rPr>
          <w:rFonts w:ascii="David" w:hAnsi="David"/>
          <w:u w:val="single"/>
          <w:rtl/>
        </w:rPr>
        <w:t>בשלב זה, הנאשם יצא מהרכב כשהוא אוחז באקדח, התקרב לעבר החבורה, ובהיותו מרחק מטרים בודדים מהם כיוון את האקדח לעברו של המנוח וירה לעברו 5 יריות לפחות, בכוונה להמיתו</w:t>
      </w:r>
      <w:r>
        <w:rPr>
          <w:rFonts w:ascii="David" w:hAnsi="David"/>
          <w:rtl/>
        </w:rPr>
        <w:t xml:space="preserve">. היריות שירה הנאשם פגעו במנוח והוא התמוטט במקום. </w:t>
      </w:r>
    </w:p>
    <w:p w14:paraId="42028C56" w14:textId="77777777" w:rsidR="00AB1C81" w:rsidRDefault="00AB1C81" w:rsidP="00AB1C81">
      <w:pPr>
        <w:spacing w:line="360" w:lineRule="auto"/>
        <w:ind w:left="368" w:right="284"/>
        <w:jc w:val="both"/>
        <w:rPr>
          <w:rFonts w:ascii="David" w:hAnsi="David"/>
          <w:rtl/>
        </w:rPr>
      </w:pPr>
    </w:p>
    <w:p w14:paraId="76CE8F30" w14:textId="77777777" w:rsidR="00AB1C81" w:rsidRDefault="00AB1C81" w:rsidP="00AB1C81">
      <w:pPr>
        <w:spacing w:line="360" w:lineRule="auto"/>
        <w:ind w:left="368" w:right="284"/>
        <w:jc w:val="both"/>
        <w:rPr>
          <w:rFonts w:ascii="David" w:hAnsi="David"/>
          <w:rtl/>
        </w:rPr>
      </w:pPr>
      <w:r>
        <w:rPr>
          <w:rFonts w:ascii="David" w:hAnsi="David" w:hint="cs"/>
          <w:rtl/>
        </w:rPr>
        <w:t xml:space="preserve">לאחר הירי </w:t>
      </w:r>
      <w:r>
        <w:rPr>
          <w:rFonts w:ascii="David" w:hAnsi="David"/>
          <w:rtl/>
        </w:rPr>
        <w:t xml:space="preserve">הבחין </w:t>
      </w:r>
      <w:proofErr w:type="spellStart"/>
      <w:r>
        <w:rPr>
          <w:rFonts w:ascii="David" w:hAnsi="David"/>
          <w:rtl/>
        </w:rPr>
        <w:t>מוחמד</w:t>
      </w:r>
      <w:proofErr w:type="spellEnd"/>
      <w:r>
        <w:rPr>
          <w:rFonts w:ascii="David" w:hAnsi="David"/>
          <w:rtl/>
        </w:rPr>
        <w:t xml:space="preserve"> - אחי המנוח, כי הנאשם אינו יכול לירות עוד וזינק עליו כדי לחלץ ממנו את האקדח. בין השניים התפתח עימות במהלכו </w:t>
      </w:r>
      <w:proofErr w:type="spellStart"/>
      <w:r>
        <w:rPr>
          <w:rFonts w:ascii="David" w:hAnsi="David"/>
          <w:rtl/>
        </w:rPr>
        <w:t>היכה</w:t>
      </w:r>
      <w:proofErr w:type="spellEnd"/>
      <w:r>
        <w:rPr>
          <w:rFonts w:ascii="David" w:hAnsi="David"/>
          <w:rtl/>
        </w:rPr>
        <w:t xml:space="preserve"> הנאשם את </w:t>
      </w:r>
      <w:proofErr w:type="spellStart"/>
      <w:r>
        <w:rPr>
          <w:rFonts w:ascii="David" w:hAnsi="David"/>
          <w:rtl/>
        </w:rPr>
        <w:t>מוחמד</w:t>
      </w:r>
      <w:proofErr w:type="spellEnd"/>
      <w:r>
        <w:rPr>
          <w:rFonts w:ascii="David" w:hAnsi="David"/>
          <w:rtl/>
        </w:rPr>
        <w:t xml:space="preserve"> בראשו עם האקדח, גרם לו חבלה של ממש ונמלט מהמקום. הקטין א' דלק בעקבות הנאשם אך הנאשם הסתובב לעברו, הניף את האקדח וכיוונו לעבר הקטין א' בכוונה להפחידו ואז המשיך במנוסתו מהמקום.</w:t>
      </w:r>
    </w:p>
    <w:p w14:paraId="6D581D5F" w14:textId="77777777" w:rsidR="00AB1C81" w:rsidRDefault="00AB1C81" w:rsidP="00AB1C81">
      <w:pPr>
        <w:spacing w:line="360" w:lineRule="auto"/>
        <w:ind w:left="368" w:right="284"/>
        <w:jc w:val="both"/>
        <w:rPr>
          <w:rFonts w:ascii="David" w:hAnsi="David"/>
          <w:rtl/>
        </w:rPr>
      </w:pPr>
    </w:p>
    <w:p w14:paraId="686BA5F1" w14:textId="77777777" w:rsidR="00AB1C81" w:rsidRDefault="00AB1C81" w:rsidP="00AB1C81">
      <w:pPr>
        <w:spacing w:line="360" w:lineRule="auto"/>
        <w:ind w:left="368" w:right="284"/>
        <w:jc w:val="both"/>
        <w:rPr>
          <w:rFonts w:ascii="David" w:hAnsi="David"/>
          <w:rtl/>
        </w:rPr>
      </w:pPr>
      <w:r>
        <w:rPr>
          <w:rFonts w:ascii="David" w:hAnsi="David"/>
          <w:rtl/>
        </w:rPr>
        <w:t xml:space="preserve">כתוצאה מהירי, נגרמו למנוח פצע כניסת קליע בגו שמאל בקו בית שחי אחורי. הקליע חדר ועבר את הריאות, </w:t>
      </w:r>
      <w:proofErr w:type="spellStart"/>
      <w:r>
        <w:rPr>
          <w:rFonts w:ascii="David" w:hAnsi="David"/>
          <w:rtl/>
        </w:rPr>
        <w:t>הוותין</w:t>
      </w:r>
      <w:proofErr w:type="spellEnd"/>
      <w:r>
        <w:rPr>
          <w:rFonts w:ascii="David" w:hAnsi="David"/>
          <w:rtl/>
        </w:rPr>
        <w:t xml:space="preserve"> והחוליה הגבית החמישית ויצא דרך הזרוע הימנית; קליע נוסף חדר בשליש התחתון של הזרוע השמאלית, ללא חור יציאה. מותו של המנוח נגרם כתוצאה מהלם תת נפחי וקיפוח נשימתי בעקבות מעבר הקליע דרך </w:t>
      </w:r>
      <w:proofErr w:type="spellStart"/>
      <w:r>
        <w:rPr>
          <w:rFonts w:ascii="David" w:hAnsi="David"/>
          <w:rtl/>
        </w:rPr>
        <w:t>הוותין</w:t>
      </w:r>
      <w:proofErr w:type="spellEnd"/>
      <w:r>
        <w:rPr>
          <w:rFonts w:ascii="David" w:hAnsi="David"/>
          <w:rtl/>
        </w:rPr>
        <w:t xml:space="preserve"> והריאות. </w:t>
      </w:r>
    </w:p>
    <w:p w14:paraId="04CA0611" w14:textId="77777777" w:rsidR="00AB1C81" w:rsidRDefault="00AB1C81" w:rsidP="00AB1C81">
      <w:pPr>
        <w:spacing w:line="360" w:lineRule="auto"/>
        <w:ind w:left="368" w:right="284"/>
        <w:jc w:val="both"/>
        <w:rPr>
          <w:rFonts w:ascii="David" w:hAnsi="David"/>
          <w:rtl/>
        </w:rPr>
      </w:pPr>
    </w:p>
    <w:p w14:paraId="555762C9" w14:textId="77777777" w:rsidR="00AB1C81" w:rsidRDefault="00AB1C81" w:rsidP="00AB1C81">
      <w:pPr>
        <w:spacing w:line="360" w:lineRule="auto"/>
        <w:ind w:right="284" w:firstLine="368"/>
        <w:jc w:val="both"/>
        <w:rPr>
          <w:rFonts w:ascii="Miriam" w:hAnsi="Miriam" w:cs="Miriam"/>
          <w:rtl/>
        </w:rPr>
      </w:pPr>
      <w:r>
        <w:rPr>
          <w:rFonts w:ascii="Miriam" w:hAnsi="Miriam" w:cs="Miriam"/>
          <w:rtl/>
        </w:rPr>
        <w:t>תמצית תסקיר נפגעי העבירה</w:t>
      </w:r>
    </w:p>
    <w:p w14:paraId="1475A418" w14:textId="77777777" w:rsidR="00AB1C81" w:rsidRDefault="00AB1C81" w:rsidP="00AB1C81">
      <w:pPr>
        <w:pStyle w:val="ListParagraph"/>
        <w:numPr>
          <w:ilvl w:val="0"/>
          <w:numId w:val="1"/>
        </w:numPr>
        <w:spacing w:after="0" w:line="360" w:lineRule="auto"/>
        <w:ind w:left="368" w:right="284"/>
        <w:jc w:val="both"/>
        <w:rPr>
          <w:rFonts w:ascii="David" w:hAnsi="David" w:cs="David"/>
          <w:sz w:val="24"/>
          <w:szCs w:val="24"/>
          <w:rtl/>
        </w:rPr>
      </w:pPr>
      <w:r>
        <w:rPr>
          <w:rFonts w:ascii="David" w:hAnsi="David" w:cs="David"/>
          <w:sz w:val="24"/>
          <w:szCs w:val="24"/>
          <w:rtl/>
        </w:rPr>
        <w:t xml:space="preserve">שירות המבחן ערך תסקיר אודות משפחת המנוח. מטעמי צנעת הפרט לא נביא אלא את תמצית הדברים. המנוח היה נשוי, כבן 37 במותו והותיר אלמנה וארבעה ילדים קטינים בגילאים  17, 14, 10 ושנה. אלמנת המנוח מסרה כי הכירה את המנוח בגיל צעיר ומאז לא נפרדו. משום קשריה הרופפים עם משפחתה, מות המנוח הותיר חלל עצום עבורה ועבור ילדיה והיא חשה בדידות קשה מאז מותו. שירות המבחן הרחיב אודות קשיי האלמנה - הרגשיים, הרפואיים והכלכליים, כתוצאה ממות המנוח והנסיבות בהן מצא את מותו. מדובר בקשיים משמעותיים. עוד עמד שירות המבחן על השפעות הדבר על ילדי בני הזוג, בהקשרים הנפשיים, החברתיים והלימודיים, תוך שהדגש כי הקטינים א' וב' נכחו באירוע, ראו את אביהם ברגעיו האחרונים ויאלצו להתמודד עם הטראומה עוד שנים רבות. לסיכום, צוין כי מות המנוח נחווה בקרב אלמנת המנוח וילדיו כאירוע טראומתי וכואב המלווה בתחושת הלם עמוק, והדבר משפיע וישפיע על כלל </w:t>
      </w:r>
      <w:proofErr w:type="spellStart"/>
      <w:r>
        <w:rPr>
          <w:rFonts w:ascii="David" w:hAnsi="David" w:cs="David"/>
          <w:sz w:val="24"/>
          <w:szCs w:val="24"/>
          <w:rtl/>
        </w:rPr>
        <w:t>רבדי</w:t>
      </w:r>
      <w:proofErr w:type="spellEnd"/>
      <w:r>
        <w:rPr>
          <w:rFonts w:ascii="David" w:hAnsi="David" w:cs="David"/>
          <w:sz w:val="24"/>
          <w:szCs w:val="24"/>
          <w:rtl/>
        </w:rPr>
        <w:t xml:space="preserve"> חייהם. </w:t>
      </w:r>
    </w:p>
    <w:p w14:paraId="0024F5DA" w14:textId="77777777" w:rsidR="00AB1C81" w:rsidRDefault="00AB1C81" w:rsidP="00AB1C81">
      <w:pPr>
        <w:pStyle w:val="ListParagraph"/>
        <w:spacing w:after="0" w:line="360" w:lineRule="auto"/>
        <w:ind w:left="368" w:right="284"/>
        <w:jc w:val="both"/>
        <w:rPr>
          <w:rFonts w:ascii="David" w:hAnsi="David" w:cs="David"/>
          <w:sz w:val="24"/>
          <w:szCs w:val="24"/>
        </w:rPr>
      </w:pPr>
    </w:p>
    <w:p w14:paraId="24F86A76" w14:textId="77777777" w:rsidR="00AB1C81" w:rsidRDefault="00AB1C81" w:rsidP="00AB1C81">
      <w:pPr>
        <w:pStyle w:val="ListParagraph"/>
        <w:spacing w:after="0" w:line="360" w:lineRule="auto"/>
        <w:ind w:left="368" w:right="284"/>
        <w:jc w:val="both"/>
        <w:rPr>
          <w:rFonts w:ascii="Miriam" w:hAnsi="Miriam" w:cs="Miriam"/>
          <w:sz w:val="24"/>
          <w:szCs w:val="24"/>
        </w:rPr>
      </w:pPr>
      <w:r>
        <w:rPr>
          <w:rFonts w:ascii="Miriam" w:hAnsi="Miriam" w:cs="Miriam"/>
          <w:sz w:val="24"/>
          <w:szCs w:val="24"/>
          <w:rtl/>
        </w:rPr>
        <w:t>ראיות הצדדים לעונש</w:t>
      </w:r>
    </w:p>
    <w:p w14:paraId="69190888" w14:textId="77777777" w:rsidR="00AB1C81" w:rsidRDefault="00AB1C81" w:rsidP="00AB1C81">
      <w:pPr>
        <w:pStyle w:val="ListParagraph"/>
        <w:numPr>
          <w:ilvl w:val="0"/>
          <w:numId w:val="1"/>
        </w:numPr>
        <w:spacing w:after="0" w:line="360" w:lineRule="auto"/>
        <w:ind w:left="368" w:right="284"/>
        <w:jc w:val="both"/>
        <w:rPr>
          <w:rFonts w:ascii="David" w:hAnsi="David" w:cs="David"/>
          <w:sz w:val="24"/>
          <w:szCs w:val="24"/>
        </w:rPr>
      </w:pPr>
      <w:r>
        <w:rPr>
          <w:rFonts w:ascii="David" w:hAnsi="David" w:cs="David"/>
          <w:sz w:val="24"/>
          <w:szCs w:val="24"/>
          <w:u w:val="single"/>
          <w:rtl/>
        </w:rPr>
        <w:t>מטעם המאשימה</w:t>
      </w:r>
      <w:r>
        <w:rPr>
          <w:rFonts w:ascii="David" w:hAnsi="David" w:cs="David"/>
          <w:sz w:val="24"/>
          <w:szCs w:val="24"/>
          <w:rtl/>
        </w:rPr>
        <w:t xml:space="preserve"> הוגש גיליון הרישום הפלילי של הנאשם – לחובתו 4 הרשעות – בשנת 1999 הורשע בעבירת אלימות (משנת 1996) ונדון למאסר על תנאי; בשנת 2001 נגזר דינו ל 6 חודשי מאסר בעבודות שירות בשל הרשעתו בעבירת סמים (עבירה משנת 1999); בשנת 2005 הוא נדון למאסר על תנאי בשל עבירת אלימות; ובשנת 2010 הוא נדון למאסר על תנאי בשל הסעת תושב זר השוהה שלא כדין. </w:t>
      </w:r>
    </w:p>
    <w:p w14:paraId="00694591" w14:textId="77777777" w:rsidR="00AB1C81" w:rsidRDefault="00AB1C81" w:rsidP="00AB1C81">
      <w:pPr>
        <w:pStyle w:val="ListParagraph"/>
        <w:spacing w:after="0" w:line="360" w:lineRule="auto"/>
        <w:ind w:left="368" w:right="284"/>
        <w:jc w:val="both"/>
        <w:rPr>
          <w:rFonts w:ascii="David" w:hAnsi="David" w:cs="David"/>
          <w:sz w:val="24"/>
          <w:szCs w:val="24"/>
        </w:rPr>
      </w:pPr>
    </w:p>
    <w:p w14:paraId="619E7E53" w14:textId="77777777" w:rsidR="00AB1C81" w:rsidRDefault="00AB1C81" w:rsidP="00AB1C81">
      <w:pPr>
        <w:pStyle w:val="ListParagraph"/>
        <w:numPr>
          <w:ilvl w:val="0"/>
          <w:numId w:val="1"/>
        </w:numPr>
        <w:spacing w:after="0" w:line="360" w:lineRule="auto"/>
        <w:ind w:left="368" w:right="284"/>
        <w:jc w:val="both"/>
        <w:rPr>
          <w:rFonts w:ascii="David" w:hAnsi="David" w:cs="David"/>
          <w:sz w:val="24"/>
          <w:szCs w:val="24"/>
        </w:rPr>
      </w:pPr>
      <w:r>
        <w:rPr>
          <w:rFonts w:ascii="David" w:hAnsi="David" w:cs="David"/>
          <w:sz w:val="24"/>
          <w:szCs w:val="24"/>
          <w:u w:val="single"/>
          <w:rtl/>
        </w:rPr>
        <w:t>מטעם הנאשם</w:t>
      </w:r>
      <w:r>
        <w:rPr>
          <w:rFonts w:ascii="David" w:hAnsi="David" w:cs="David"/>
          <w:sz w:val="24"/>
          <w:szCs w:val="24"/>
          <w:rtl/>
        </w:rPr>
        <w:t xml:space="preserve"> הוגשה אסופת מסמכים (נ/1) המעידים, בין היתר, על מצבה הכלכלי והרפואי של משפחתו. כך, הוגש מסמך מטעם מחלקת הרווחה של המועצה המקומית זמר אליה עברה משפחת הנאשם לאחר האירוע; דו"ח מצב חשבון בעיריית </w:t>
      </w:r>
      <w:proofErr w:type="spellStart"/>
      <w:r>
        <w:rPr>
          <w:rFonts w:ascii="David" w:hAnsi="David" w:cs="David"/>
          <w:sz w:val="24"/>
          <w:szCs w:val="24"/>
          <w:rtl/>
        </w:rPr>
        <w:t>באקה</w:t>
      </w:r>
      <w:proofErr w:type="spellEnd"/>
      <w:r>
        <w:rPr>
          <w:rFonts w:ascii="David" w:hAnsi="David" w:cs="David"/>
          <w:sz w:val="24"/>
          <w:szCs w:val="24"/>
          <w:rtl/>
        </w:rPr>
        <w:t xml:space="preserve"> אל גרביה; מסמכים מהמוסד לביטוח לאומי; וסיכומי מידע רפואי אודות אחד מילדי הנאשם. עוד כללה אסופת המסמכים שלושה מכתבי הערכה אודות אופיו של הנאשם והליכותיו. המכתבים נכתבו על ידי קבלנים ובעלי מקצוע שעבדו עם הנאשם בתחום השיפוצים בשנים האחרונות. צוין, בתמצית, כי הנאשם ניחן ביחסי אנוש טובים, מוכר כאדם חברותי, נאמן וחרוץ שהצטיין בעבודתו והיה אהוב על סביבתו ועל חבריו לעבודה. עוד נפנה לכך כי בעת שהנאשם מסר את דבריו במסגרת "זכות המילה האחרונה", הוא הגיש תעודת הערכה שניתנה לו במסגרת מעצרו על תפקודו כ"עציר תומך" (נ/3).</w:t>
      </w:r>
    </w:p>
    <w:p w14:paraId="18612E44" w14:textId="77777777" w:rsidR="00AB1C81" w:rsidRDefault="00AB1C81" w:rsidP="00AB1C81">
      <w:pPr>
        <w:spacing w:line="360" w:lineRule="auto"/>
        <w:ind w:left="368" w:right="284"/>
        <w:jc w:val="both"/>
        <w:rPr>
          <w:rFonts w:ascii="David" w:hAnsi="David"/>
          <w:rtl/>
        </w:rPr>
      </w:pPr>
    </w:p>
    <w:p w14:paraId="6338AF15" w14:textId="77777777" w:rsidR="00AB1C81" w:rsidRDefault="00AB1C81" w:rsidP="00AB1C81">
      <w:pPr>
        <w:spacing w:line="360" w:lineRule="auto"/>
        <w:ind w:left="368" w:right="284"/>
        <w:jc w:val="both"/>
        <w:rPr>
          <w:rFonts w:ascii="David" w:hAnsi="David"/>
          <w:rtl/>
        </w:rPr>
      </w:pPr>
      <w:r>
        <w:rPr>
          <w:rFonts w:ascii="David" w:hAnsi="David"/>
          <w:rtl/>
        </w:rPr>
        <w:t xml:space="preserve">בנוסף, הפנה ב"כ הנאשם לכך שבית משפחת הנאשם הוצת יום לאחר האירוע. הצתת הבית, כמו גם החשש מאלימות נוספת, אילצו את בני המשפחה לעבור להתגורר ביישוב אחר. בהקשר האחרון הוגש הסכם שכירות וכן הוגשו מספר תמונות שתיעדו את נזקי ההצתה (נ/2). </w:t>
      </w:r>
    </w:p>
    <w:p w14:paraId="10A1A44E" w14:textId="77777777" w:rsidR="00AB1C81" w:rsidRDefault="00AB1C81" w:rsidP="00AB1C81">
      <w:pPr>
        <w:spacing w:line="360" w:lineRule="auto"/>
        <w:ind w:left="368" w:right="284"/>
        <w:jc w:val="both"/>
        <w:rPr>
          <w:rFonts w:ascii="David" w:hAnsi="David"/>
          <w:rtl/>
        </w:rPr>
      </w:pPr>
    </w:p>
    <w:p w14:paraId="2428F87D" w14:textId="77777777" w:rsidR="00AB1C81" w:rsidRDefault="00AB1C81" w:rsidP="00AB1C81">
      <w:pPr>
        <w:pStyle w:val="ListParagraph"/>
        <w:spacing w:after="0" w:line="360" w:lineRule="auto"/>
        <w:ind w:left="368" w:right="284"/>
        <w:jc w:val="both"/>
        <w:rPr>
          <w:rFonts w:ascii="David" w:hAnsi="David" w:cs="David"/>
          <w:sz w:val="24"/>
          <w:szCs w:val="24"/>
          <w:rtl/>
        </w:rPr>
      </w:pPr>
      <w:r>
        <w:rPr>
          <w:rFonts w:ascii="David" w:hAnsi="David" w:cs="David"/>
          <w:sz w:val="24"/>
          <w:szCs w:val="24"/>
          <w:rtl/>
        </w:rPr>
        <w:t xml:space="preserve">בנוסף, העידו העדים הבאים - </w:t>
      </w:r>
    </w:p>
    <w:p w14:paraId="52D19712" w14:textId="77777777" w:rsidR="00AB1C81" w:rsidRDefault="00AB1C81" w:rsidP="00AB1C81">
      <w:pPr>
        <w:spacing w:line="360" w:lineRule="auto"/>
        <w:ind w:left="368" w:right="284"/>
        <w:jc w:val="both"/>
        <w:rPr>
          <w:rFonts w:ascii="David" w:hAnsi="David"/>
          <w:rtl/>
        </w:rPr>
      </w:pPr>
    </w:p>
    <w:p w14:paraId="4D9D6834" w14:textId="77777777" w:rsidR="00AB1C81" w:rsidRDefault="00AB1C81" w:rsidP="00AB1C81">
      <w:pPr>
        <w:spacing w:line="360" w:lineRule="auto"/>
        <w:ind w:left="368" w:right="284"/>
        <w:jc w:val="both"/>
        <w:rPr>
          <w:rFonts w:ascii="David" w:hAnsi="David"/>
          <w:rtl/>
        </w:rPr>
      </w:pPr>
      <w:r>
        <w:rPr>
          <w:rFonts w:ascii="David" w:hAnsi="David"/>
          <w:rtl/>
        </w:rPr>
        <w:t xml:space="preserve">אנשי מקצוע מתחום הבניה שעבדו עם הנאשם – אם כשכיר ואם כעצמאי. הנאשם תואר כבעל מקצוע טוב שניתן לסמוך עליו. כך, </w:t>
      </w:r>
      <w:r>
        <w:rPr>
          <w:rFonts w:ascii="David" w:hAnsi="David"/>
          <w:u w:val="single"/>
          <w:rtl/>
        </w:rPr>
        <w:t xml:space="preserve">מר רונן </w:t>
      </w:r>
      <w:proofErr w:type="spellStart"/>
      <w:r>
        <w:rPr>
          <w:rFonts w:ascii="David" w:hAnsi="David"/>
          <w:u w:val="single"/>
          <w:rtl/>
        </w:rPr>
        <w:t>גיסר</w:t>
      </w:r>
      <w:proofErr w:type="spellEnd"/>
      <w:r>
        <w:rPr>
          <w:rFonts w:ascii="David" w:hAnsi="David"/>
          <w:rtl/>
        </w:rPr>
        <w:t xml:space="preserve"> - מסר כי הוא מכיר את הנאשם מזה מספר שנים כאדם רציני ומקצועי, שתמיד היה נכון לסייע בעת הצורך; </w:t>
      </w:r>
      <w:r>
        <w:rPr>
          <w:rFonts w:ascii="David" w:hAnsi="David"/>
          <w:u w:val="single"/>
          <w:rtl/>
        </w:rPr>
        <w:t xml:space="preserve">מר </w:t>
      </w:r>
      <w:proofErr w:type="spellStart"/>
      <w:r>
        <w:rPr>
          <w:rFonts w:ascii="David" w:hAnsi="David"/>
          <w:u w:val="single"/>
          <w:rtl/>
        </w:rPr>
        <w:t>ביאדסה</w:t>
      </w:r>
      <w:proofErr w:type="spellEnd"/>
      <w:r>
        <w:rPr>
          <w:rFonts w:ascii="David" w:hAnsi="David"/>
          <w:u w:val="single"/>
          <w:rtl/>
        </w:rPr>
        <w:t xml:space="preserve"> </w:t>
      </w:r>
      <w:proofErr w:type="spellStart"/>
      <w:r>
        <w:rPr>
          <w:rFonts w:ascii="David" w:hAnsi="David"/>
          <w:u w:val="single"/>
          <w:rtl/>
        </w:rPr>
        <w:t>זאהר</w:t>
      </w:r>
      <w:proofErr w:type="spellEnd"/>
      <w:r>
        <w:rPr>
          <w:rFonts w:ascii="David" w:hAnsi="David"/>
          <w:rtl/>
        </w:rPr>
        <w:t xml:space="preserve"> - מסר כי הנאשם עבד אצלו בעבודות צבע ותואר אדם רציני וטוב שסייע לו רבות. העד מסר כי מעולם לא נחשף להתנהגות אלימה מצד הנאשם; </w:t>
      </w:r>
      <w:r>
        <w:rPr>
          <w:rFonts w:ascii="David" w:hAnsi="David"/>
          <w:u w:val="single"/>
          <w:rtl/>
        </w:rPr>
        <w:t>מר נח שלמה ביתן</w:t>
      </w:r>
      <w:r>
        <w:rPr>
          <w:rFonts w:ascii="David" w:hAnsi="David"/>
          <w:rtl/>
        </w:rPr>
        <w:t xml:space="preserve"> - מסר כי הנאשם עבד אצלו וידוע כעובד ואדם טוב וכן כאיש משפחה מסור. עוד מסר העד כי לאחר האירוע הורע מצב בני משפחת הנאשם, בפן הרגשי והכלכלי. </w:t>
      </w:r>
    </w:p>
    <w:p w14:paraId="2AB3647D" w14:textId="77777777" w:rsidR="00AB1C81" w:rsidRDefault="00AB1C81" w:rsidP="00AB1C81">
      <w:pPr>
        <w:spacing w:line="360" w:lineRule="auto"/>
        <w:ind w:left="368" w:right="284"/>
        <w:jc w:val="both"/>
        <w:rPr>
          <w:rFonts w:ascii="David" w:hAnsi="David"/>
          <w:rtl/>
        </w:rPr>
      </w:pPr>
    </w:p>
    <w:p w14:paraId="3F22E1D5" w14:textId="77777777" w:rsidR="00AB1C81" w:rsidRDefault="00AB1C81" w:rsidP="00AB1C81">
      <w:pPr>
        <w:spacing w:line="360" w:lineRule="auto"/>
        <w:ind w:left="368" w:right="284"/>
        <w:jc w:val="both"/>
        <w:rPr>
          <w:rFonts w:ascii="David" w:hAnsi="David"/>
          <w:rtl/>
        </w:rPr>
      </w:pPr>
      <w:r>
        <w:rPr>
          <w:rFonts w:ascii="David" w:hAnsi="David"/>
          <w:rtl/>
        </w:rPr>
        <w:t xml:space="preserve">בני משפחת הנאשם שהעידו תיארו את הנאשם כאיש משפחה מסור, שהקדיש את חייו למשפחתו וילדיו. בני המשפחה – והדברים נכונים בעיקר לבני משפחתו הגרעינית של הנאשם – תיארו קשיים ניכרים מאז האירוע. כלל העדים עתרו להקל ככל הניתן בעונש שיושת על הנאשם – </w:t>
      </w:r>
    </w:p>
    <w:p w14:paraId="383E7ABA" w14:textId="77777777" w:rsidR="00AB1C81" w:rsidRDefault="00AB1C81" w:rsidP="00AB1C81">
      <w:pPr>
        <w:spacing w:line="360" w:lineRule="auto"/>
        <w:ind w:left="368" w:right="284"/>
        <w:jc w:val="both"/>
        <w:rPr>
          <w:rFonts w:ascii="David" w:hAnsi="David"/>
          <w:rtl/>
        </w:rPr>
      </w:pPr>
    </w:p>
    <w:p w14:paraId="4FF6FCF3" w14:textId="77777777" w:rsidR="00AB1C81" w:rsidRDefault="00AB1C81" w:rsidP="00AB1C81">
      <w:pPr>
        <w:spacing w:line="360" w:lineRule="auto"/>
        <w:ind w:left="368" w:right="284"/>
        <w:jc w:val="both"/>
        <w:rPr>
          <w:rFonts w:ascii="David" w:hAnsi="David"/>
          <w:rtl/>
        </w:rPr>
      </w:pPr>
      <w:r>
        <w:rPr>
          <w:rFonts w:ascii="David" w:hAnsi="David"/>
          <w:u w:val="single"/>
          <w:rtl/>
        </w:rPr>
        <w:t>מר בולבול מחמוד</w:t>
      </w:r>
      <w:r>
        <w:rPr>
          <w:rFonts w:ascii="David" w:hAnsi="David"/>
          <w:rtl/>
        </w:rPr>
        <w:t xml:space="preserve"> - דודו של הנאשם, מסר כי הוא מצטער על האירוע והדגיש כי המנוח היה שכנו של הנאשם. העד הביע צער על כך שלא ידע על עומק הסכסוך, שאז היה פועל לפתרו. הנאשם תואר כאיש משפחה בעל מוסר עבודה גבוה שדאג ככל יכולתו לפרנס את משפחתו. העד הדגיש כי האירוע הפתיע את בני המשפחה שכן מעשי הנאשם אינם תואמים את אישיותו ואת אורחותיו; </w:t>
      </w:r>
    </w:p>
    <w:p w14:paraId="5152C5C7" w14:textId="77777777" w:rsidR="00AB1C81" w:rsidRDefault="00AB1C81" w:rsidP="00AB1C81">
      <w:pPr>
        <w:spacing w:line="360" w:lineRule="auto"/>
        <w:ind w:left="368" w:right="284"/>
        <w:jc w:val="both"/>
        <w:rPr>
          <w:rFonts w:ascii="David" w:hAnsi="David"/>
          <w:rtl/>
        </w:rPr>
      </w:pPr>
    </w:p>
    <w:p w14:paraId="6F7A326A" w14:textId="77777777" w:rsidR="00AB1C81" w:rsidRDefault="00AB1C81" w:rsidP="00AB1C81">
      <w:pPr>
        <w:spacing w:line="360" w:lineRule="auto"/>
        <w:ind w:left="368" w:right="284"/>
        <w:jc w:val="both"/>
        <w:rPr>
          <w:rFonts w:ascii="David" w:hAnsi="David"/>
          <w:rtl/>
        </w:rPr>
      </w:pPr>
      <w:r>
        <w:rPr>
          <w:rFonts w:ascii="David" w:hAnsi="David"/>
          <w:u w:val="single"/>
          <w:rtl/>
        </w:rPr>
        <w:t xml:space="preserve">מר </w:t>
      </w:r>
      <w:proofErr w:type="spellStart"/>
      <w:r>
        <w:rPr>
          <w:rFonts w:ascii="David" w:hAnsi="David"/>
          <w:u w:val="single"/>
          <w:rtl/>
        </w:rPr>
        <w:t>כמאל</w:t>
      </w:r>
      <w:proofErr w:type="spellEnd"/>
      <w:r>
        <w:rPr>
          <w:rFonts w:ascii="David" w:hAnsi="David"/>
          <w:u w:val="single"/>
          <w:rtl/>
        </w:rPr>
        <w:t xml:space="preserve"> בולבול</w:t>
      </w:r>
      <w:r>
        <w:rPr>
          <w:rFonts w:ascii="David" w:hAnsi="David"/>
          <w:rtl/>
        </w:rPr>
        <w:t xml:space="preserve"> – אחיו של הנאשם שאף היה עמו באירוע כמתואר בכתב האישום, מסר כי הנאשם הוא איש משפחה שתמיד עזר לקרוביו בעת הצורך. עוד מסר כי לאחר האירוע הוא ומשפחתו עזבו את הכפר לאחר שביתם הוצת. לדבריו, ניסיון "סולחה" בין הצדדים לא צלח מאחר ולמשפחתו אין את המשאבים הכספיים לשלם למשפחת המנוח.  </w:t>
      </w:r>
    </w:p>
    <w:p w14:paraId="3DED0584" w14:textId="77777777" w:rsidR="00AB1C81" w:rsidRDefault="00AB1C81" w:rsidP="00AB1C81">
      <w:pPr>
        <w:spacing w:line="360" w:lineRule="auto"/>
        <w:ind w:left="368" w:right="284"/>
        <w:jc w:val="both"/>
        <w:rPr>
          <w:rFonts w:ascii="David" w:hAnsi="David"/>
          <w:rtl/>
        </w:rPr>
      </w:pPr>
    </w:p>
    <w:p w14:paraId="48F98047" w14:textId="77777777" w:rsidR="00AB1C81" w:rsidRDefault="00AB1C81" w:rsidP="00AB1C81">
      <w:pPr>
        <w:spacing w:line="360" w:lineRule="auto"/>
        <w:ind w:left="368" w:right="284"/>
        <w:jc w:val="both"/>
        <w:rPr>
          <w:rFonts w:ascii="David" w:hAnsi="David"/>
          <w:rtl/>
        </w:rPr>
      </w:pPr>
      <w:r>
        <w:rPr>
          <w:rFonts w:ascii="David" w:hAnsi="David"/>
          <w:u w:val="single"/>
          <w:rtl/>
        </w:rPr>
        <w:t xml:space="preserve">הגב' </w:t>
      </w:r>
      <w:proofErr w:type="spellStart"/>
      <w:r>
        <w:rPr>
          <w:rFonts w:ascii="David" w:hAnsi="David"/>
          <w:u w:val="single"/>
          <w:rtl/>
        </w:rPr>
        <w:t>עדיאן</w:t>
      </w:r>
      <w:proofErr w:type="spellEnd"/>
      <w:r>
        <w:rPr>
          <w:rFonts w:ascii="David" w:hAnsi="David"/>
          <w:u w:val="single"/>
          <w:rtl/>
        </w:rPr>
        <w:t xml:space="preserve"> בולבול</w:t>
      </w:r>
      <w:r>
        <w:rPr>
          <w:rFonts w:ascii="David" w:hAnsi="David"/>
          <w:rtl/>
        </w:rPr>
        <w:t xml:space="preserve"> - בתו של הנאשם, מסרה כי אביה הוא אדם סמכותי אך אנושי שעזר לכולם. העדה תיארה את קשיי בני המשפחה מאז מעצר הנאשם - מצבה הכלכלי של המשפחה רע ומר ולא פחות חשוב מכך, היעדר הנאשם משפיע על כלל מישורי חייהם. העדה ביקשה את רחמי בית המשפט והביעה תקווה כי אביה יחזור בעתיד הנראה לעין לחיק המשפחה. </w:t>
      </w:r>
    </w:p>
    <w:p w14:paraId="26BB1024" w14:textId="77777777" w:rsidR="00AB1C81" w:rsidRDefault="00AB1C81" w:rsidP="00AB1C81">
      <w:pPr>
        <w:spacing w:line="360" w:lineRule="auto"/>
        <w:ind w:left="368" w:right="284"/>
        <w:jc w:val="both"/>
        <w:rPr>
          <w:rFonts w:ascii="David" w:hAnsi="David"/>
          <w:rtl/>
        </w:rPr>
      </w:pPr>
    </w:p>
    <w:p w14:paraId="71670194" w14:textId="77777777" w:rsidR="00AB1C81" w:rsidRDefault="00AB1C81" w:rsidP="00AB1C81">
      <w:pPr>
        <w:spacing w:line="360" w:lineRule="auto"/>
        <w:ind w:left="368" w:right="284"/>
        <w:jc w:val="both"/>
        <w:rPr>
          <w:rFonts w:ascii="David" w:hAnsi="David"/>
          <w:rtl/>
        </w:rPr>
      </w:pPr>
      <w:r>
        <w:rPr>
          <w:rFonts w:ascii="David" w:hAnsi="David"/>
          <w:u w:val="single"/>
          <w:rtl/>
        </w:rPr>
        <w:t xml:space="preserve">הגב' </w:t>
      </w:r>
      <w:proofErr w:type="spellStart"/>
      <w:r>
        <w:rPr>
          <w:rFonts w:ascii="David" w:hAnsi="David"/>
          <w:u w:val="single"/>
          <w:rtl/>
        </w:rPr>
        <w:t>חנאן</w:t>
      </w:r>
      <w:proofErr w:type="spellEnd"/>
      <w:r>
        <w:rPr>
          <w:rFonts w:ascii="David" w:hAnsi="David"/>
          <w:u w:val="single"/>
          <w:rtl/>
        </w:rPr>
        <w:t xml:space="preserve"> בולבול</w:t>
      </w:r>
      <w:r>
        <w:rPr>
          <w:rFonts w:ascii="David" w:hAnsi="David"/>
          <w:rtl/>
        </w:rPr>
        <w:t xml:space="preserve"> - אשת הנאשם, מסרה על אהבתה לנאשם ותיארה את מידותיו הטובות וכן את הקשיים </w:t>
      </w:r>
      <w:r>
        <w:rPr>
          <w:rFonts w:ascii="David" w:hAnsi="David" w:hint="cs"/>
          <w:rtl/>
        </w:rPr>
        <w:t>ש</w:t>
      </w:r>
      <w:r>
        <w:rPr>
          <w:rFonts w:ascii="David" w:hAnsi="David"/>
          <w:rtl/>
        </w:rPr>
        <w:t xml:space="preserve">המשפחה עוברת. </w:t>
      </w:r>
    </w:p>
    <w:p w14:paraId="17B47611" w14:textId="77777777" w:rsidR="00AB1C81" w:rsidRDefault="00AB1C81" w:rsidP="00AB1C81">
      <w:pPr>
        <w:spacing w:line="360" w:lineRule="auto"/>
        <w:ind w:left="368" w:right="284"/>
        <w:jc w:val="both"/>
        <w:rPr>
          <w:rFonts w:ascii="David" w:hAnsi="David"/>
          <w:rtl/>
        </w:rPr>
      </w:pPr>
    </w:p>
    <w:p w14:paraId="012221DA" w14:textId="77777777" w:rsidR="00AB1C81" w:rsidRDefault="00AB1C81" w:rsidP="00AB1C81">
      <w:pPr>
        <w:spacing w:line="360" w:lineRule="auto"/>
        <w:ind w:right="284" w:firstLine="368"/>
        <w:jc w:val="both"/>
        <w:rPr>
          <w:rFonts w:ascii="Miriam" w:hAnsi="Miriam" w:cs="Miriam"/>
          <w:rtl/>
        </w:rPr>
      </w:pPr>
      <w:r>
        <w:rPr>
          <w:rFonts w:ascii="Miriam" w:hAnsi="Miriam" w:cs="Miriam"/>
          <w:rtl/>
        </w:rPr>
        <w:t>תמצית טיעוני המאשימה לעונש</w:t>
      </w:r>
    </w:p>
    <w:p w14:paraId="15795A1A" w14:textId="77777777" w:rsidR="00AB1C81" w:rsidRDefault="00AB1C81" w:rsidP="00AB1C81">
      <w:pPr>
        <w:pStyle w:val="ListParagraph"/>
        <w:numPr>
          <w:ilvl w:val="0"/>
          <w:numId w:val="1"/>
        </w:numPr>
        <w:spacing w:after="0" w:line="360" w:lineRule="auto"/>
        <w:ind w:left="368" w:right="284"/>
        <w:jc w:val="both"/>
        <w:rPr>
          <w:rFonts w:ascii="David" w:hAnsi="David" w:cs="David"/>
          <w:sz w:val="24"/>
          <w:szCs w:val="24"/>
          <w:rtl/>
        </w:rPr>
      </w:pPr>
      <w:r>
        <w:rPr>
          <w:rFonts w:ascii="David" w:hAnsi="David" w:cs="David"/>
          <w:sz w:val="24"/>
          <w:szCs w:val="24"/>
          <w:rtl/>
        </w:rPr>
        <w:t xml:space="preserve">המאשימה מיקדה טיעוניה בעונש הראוי לנאשם לאור הרשעתו בעבירת הרצח ה"בסיסית". לאחר שעמדה על עיקרי התיקון לחוק, טענה כי מבחינה עקרונית </w:t>
      </w:r>
      <w:r>
        <w:rPr>
          <w:rFonts w:ascii="Miriam" w:hAnsi="Miriam" w:cs="Miriam"/>
          <w:sz w:val="24"/>
          <w:szCs w:val="24"/>
          <w:rtl/>
        </w:rPr>
        <w:t>"</w:t>
      </w:r>
      <w:r>
        <w:rPr>
          <w:rFonts w:ascii="David" w:hAnsi="David" w:cs="David"/>
          <w:b/>
          <w:bCs/>
          <w:sz w:val="24"/>
          <w:szCs w:val="24"/>
          <w:rtl/>
        </w:rPr>
        <w:t xml:space="preserve">העונש ההולם בעבירות של רצח בסיסי שבוצעו בכוונה תחילה, הוא מאסר עולם, ואילו </w:t>
      </w:r>
      <w:r>
        <w:rPr>
          <w:rFonts w:ascii="David" w:hAnsi="David" w:cs="David"/>
          <w:b/>
          <w:bCs/>
          <w:sz w:val="24"/>
          <w:szCs w:val="24"/>
          <w:u w:val="single"/>
          <w:rtl/>
        </w:rPr>
        <w:t>רק</w:t>
      </w:r>
      <w:r>
        <w:rPr>
          <w:rFonts w:ascii="David" w:hAnsi="David" w:cs="David"/>
          <w:b/>
          <w:bCs/>
          <w:sz w:val="24"/>
          <w:szCs w:val="24"/>
          <w:rtl/>
        </w:rPr>
        <w:t xml:space="preserve"> במקרים המתאימים והמיוחדים, נכון יהיה לסטות מעונש זה" </w:t>
      </w:r>
      <w:r>
        <w:rPr>
          <w:rFonts w:ascii="David" w:hAnsi="David" w:cs="David"/>
          <w:sz w:val="24"/>
          <w:szCs w:val="24"/>
          <w:rtl/>
        </w:rPr>
        <w:t xml:space="preserve">(ההדגשה במקור). </w:t>
      </w:r>
    </w:p>
    <w:p w14:paraId="6B8249DF" w14:textId="77777777" w:rsidR="00AB1C81" w:rsidRDefault="00AB1C81" w:rsidP="00AB1C81">
      <w:pPr>
        <w:spacing w:line="360" w:lineRule="auto"/>
        <w:ind w:left="368" w:right="284"/>
        <w:jc w:val="both"/>
        <w:rPr>
          <w:rFonts w:ascii="David" w:hAnsi="David"/>
          <w:rtl/>
        </w:rPr>
      </w:pPr>
    </w:p>
    <w:p w14:paraId="0058DEB9" w14:textId="77777777" w:rsidR="00AB1C81" w:rsidRDefault="00AB1C81" w:rsidP="00AB1C81">
      <w:pPr>
        <w:spacing w:line="360" w:lineRule="auto"/>
        <w:ind w:left="368" w:right="284"/>
        <w:jc w:val="both"/>
        <w:rPr>
          <w:rFonts w:ascii="David" w:hAnsi="David"/>
          <w:rtl/>
        </w:rPr>
      </w:pPr>
      <w:r>
        <w:rPr>
          <w:rFonts w:ascii="David" w:hAnsi="David"/>
          <w:rtl/>
        </w:rPr>
        <w:t xml:space="preserve">נטען, כי חרף העובדה שבעבירת הרצח ה"בסיסית" מאסר עולם הוא עונש מרבי ולא עונש חובה, לנוכח חומרת המעשה והפגיעה בערכים החברתיים העומדים בבסיס עבירת הרצח, העונש המרבי הקבוע בצד העבירה צריך להיות הכלל ולא החריג. לשיטת המאשימה, חריגה מעונש מאסר עולם אפשרית רק בהתקיים נסיבות חריגות. נטען כי עמדה זו נתמכת, בין היתר, בדברי ההסבר להצעת החוק ובתכלית החקיקה. כך, בדברי ההסבר של התיקון ובהקשר לעבירת הרצח הבסיסית, צוין כי -  </w:t>
      </w:r>
    </w:p>
    <w:p w14:paraId="6C650DE3" w14:textId="77777777" w:rsidR="00AB1C81" w:rsidRDefault="00AB1C81" w:rsidP="00AB1C81">
      <w:pPr>
        <w:spacing w:line="360" w:lineRule="auto"/>
        <w:ind w:left="368" w:right="284"/>
        <w:jc w:val="both"/>
        <w:rPr>
          <w:rFonts w:ascii="David" w:hAnsi="David"/>
          <w:rtl/>
        </w:rPr>
      </w:pPr>
    </w:p>
    <w:p w14:paraId="7BD29D85" w14:textId="77777777" w:rsidR="00AB1C81" w:rsidRDefault="00AB1C81" w:rsidP="00AB1C81">
      <w:pPr>
        <w:spacing w:line="360" w:lineRule="auto"/>
        <w:ind w:left="368" w:right="284"/>
        <w:jc w:val="both"/>
        <w:rPr>
          <w:rFonts w:ascii="David" w:hAnsi="David"/>
          <w:rtl/>
        </w:rPr>
      </w:pPr>
      <w:r>
        <w:rPr>
          <w:rFonts w:ascii="David" w:hAnsi="David"/>
          <w:b/>
          <w:bCs/>
          <w:rtl/>
        </w:rPr>
        <w:t xml:space="preserve">"מוצע לקבוע בצד עבירת הרצח הבסיסית שבסעיף 300(א) לחוק כתיקונו המוצע, עונש של מאסר עולם כעונש מרבי או מאסר שלא יעלה על שלושים שנה. עונש זה מבטא את החשיבות המיוחדת של ערך חיי אדם, החומרה המיוחדת הנלווית לקיפוח חיי אדם וההוקעה החברתית הראויה למעשה ולעושה. קביעת העונש של מאסר עולם כעונש מרבי מאפשרת גמישות והטלת עונשים קלים יותר </w:t>
      </w:r>
      <w:r>
        <w:rPr>
          <w:rFonts w:ascii="David" w:hAnsi="David"/>
          <w:b/>
          <w:bCs/>
          <w:u w:val="single"/>
          <w:rtl/>
        </w:rPr>
        <w:t>במקרים המתאימים</w:t>
      </w:r>
      <w:r>
        <w:rPr>
          <w:rFonts w:ascii="David" w:hAnsi="David"/>
          <w:b/>
          <w:bCs/>
          <w:rtl/>
        </w:rPr>
        <w:t>"</w:t>
      </w:r>
      <w:r>
        <w:rPr>
          <w:rFonts w:ascii="David" w:hAnsi="David"/>
          <w:rtl/>
        </w:rPr>
        <w:t xml:space="preserve"> (ההדגשה הוספה על ידי ב"כ המאשימה).</w:t>
      </w:r>
    </w:p>
    <w:p w14:paraId="59F200A9" w14:textId="77777777" w:rsidR="00AB1C81" w:rsidRDefault="00AB1C81" w:rsidP="00AB1C81">
      <w:pPr>
        <w:spacing w:line="360" w:lineRule="auto"/>
        <w:ind w:left="368" w:right="284"/>
        <w:jc w:val="both"/>
        <w:rPr>
          <w:rFonts w:ascii="David" w:hAnsi="David"/>
          <w:rtl/>
        </w:rPr>
      </w:pPr>
    </w:p>
    <w:p w14:paraId="34102B49" w14:textId="77777777" w:rsidR="00AB1C81" w:rsidRDefault="00AB1C81" w:rsidP="00AB1C81">
      <w:pPr>
        <w:spacing w:line="360" w:lineRule="auto"/>
        <w:ind w:left="368" w:right="284"/>
        <w:jc w:val="both"/>
        <w:rPr>
          <w:rFonts w:ascii="David" w:hAnsi="David"/>
          <w:rtl/>
        </w:rPr>
      </w:pPr>
      <w:r>
        <w:rPr>
          <w:rFonts w:ascii="David" w:hAnsi="David"/>
          <w:rtl/>
        </w:rPr>
        <w:t xml:space="preserve">עוד בהקשר זה, הפנתה המאשימה לכך שעבירת הרצח ה"בסיסית" בנוסחה כיום כוללת מעשי המתה שבוצעו הן באדישות והן בכוונה. המחוקק אפשר לקבוע מתחמי ענישה מעל ל 20 שנות מאסר גם לגבי רצח ב"אדישות", בשונה מהדין הקודם לפיו ענישת המתה באדישות (הריגה) הוגבלה עד 20 שנות מאסר. מכאן - כך נטען - יש ללמוד בבחינת קל וחומר, כי העונש הראוי בגין רצח </w:t>
      </w:r>
      <w:r>
        <w:rPr>
          <w:rFonts w:ascii="David" w:hAnsi="David"/>
          <w:u w:val="single"/>
          <w:rtl/>
        </w:rPr>
        <w:t>בכוונה</w:t>
      </w:r>
      <w:r>
        <w:rPr>
          <w:rFonts w:ascii="David" w:hAnsi="David"/>
          <w:rtl/>
        </w:rPr>
        <w:t xml:space="preserve">, צריך להיות חמור יותר ולהיקבע, ככלל, על מאסר עולם. </w:t>
      </w:r>
    </w:p>
    <w:p w14:paraId="6B596BD4" w14:textId="77777777" w:rsidR="00AB1C81" w:rsidRDefault="00AB1C81" w:rsidP="00AB1C81">
      <w:pPr>
        <w:spacing w:line="360" w:lineRule="auto"/>
        <w:ind w:left="368" w:right="284"/>
        <w:jc w:val="both"/>
        <w:rPr>
          <w:rFonts w:ascii="David" w:hAnsi="David"/>
          <w:rtl/>
        </w:rPr>
      </w:pPr>
    </w:p>
    <w:p w14:paraId="608A9BD3" w14:textId="77777777" w:rsidR="00AB1C81" w:rsidRDefault="00AB1C81" w:rsidP="00AB1C81">
      <w:pPr>
        <w:pStyle w:val="ListParagraph"/>
        <w:numPr>
          <w:ilvl w:val="0"/>
          <w:numId w:val="1"/>
        </w:numPr>
        <w:spacing w:after="0" w:line="360" w:lineRule="auto"/>
        <w:ind w:left="368" w:right="284"/>
        <w:jc w:val="both"/>
        <w:rPr>
          <w:rFonts w:ascii="David" w:hAnsi="David" w:cs="David"/>
          <w:sz w:val="24"/>
          <w:szCs w:val="24"/>
          <w:rtl/>
        </w:rPr>
      </w:pPr>
      <w:r>
        <w:rPr>
          <w:rFonts w:ascii="David" w:hAnsi="David" w:cs="David"/>
          <w:sz w:val="24"/>
          <w:szCs w:val="24"/>
          <w:rtl/>
        </w:rPr>
        <w:t xml:space="preserve">המאשימה טענה כי לא מתקיימות נסיבות המצדיקות סטייה מהעונש המרבי, ובהקשר זה הפנתה לנסיבות הקשורות בביצוע העבירה בענייננו – </w:t>
      </w:r>
    </w:p>
    <w:p w14:paraId="4088D893" w14:textId="77777777" w:rsidR="00AB1C81" w:rsidRDefault="00AB1C81" w:rsidP="00AB1C81">
      <w:pPr>
        <w:spacing w:line="360" w:lineRule="auto"/>
        <w:ind w:left="368" w:right="284"/>
        <w:jc w:val="both"/>
        <w:rPr>
          <w:rFonts w:ascii="David" w:hAnsi="David"/>
          <w:rtl/>
        </w:rPr>
      </w:pPr>
    </w:p>
    <w:p w14:paraId="5CE960F5" w14:textId="77777777" w:rsidR="00AB1C81" w:rsidRDefault="00AB1C81" w:rsidP="00AB1C81">
      <w:pPr>
        <w:spacing w:line="360" w:lineRule="auto"/>
        <w:ind w:left="368" w:right="284"/>
        <w:jc w:val="both"/>
        <w:rPr>
          <w:rFonts w:ascii="David" w:hAnsi="David"/>
          <w:rtl/>
        </w:rPr>
      </w:pPr>
      <w:r>
        <w:rPr>
          <w:rFonts w:ascii="David" w:hAnsi="David"/>
          <w:u w:val="single"/>
          <w:rtl/>
        </w:rPr>
        <w:t>לגבי הרקע</w:t>
      </w:r>
      <w:r>
        <w:rPr>
          <w:rFonts w:ascii="David" w:hAnsi="David"/>
          <w:rtl/>
        </w:rPr>
        <w:t xml:space="preserve">, נטען כי האירוע הוא תולדה של סכסוך בין המשפחות בנוגע לבנייה בבית המנוח. האופן בו מסלימים סכסוכים מסוג זה עד כדי עימות אלים ושימוש בנשק חם, מחייב נקיטת עמדה </w:t>
      </w:r>
      <w:proofErr w:type="spellStart"/>
      <w:r>
        <w:rPr>
          <w:rFonts w:ascii="David" w:hAnsi="David"/>
          <w:rtl/>
        </w:rPr>
        <w:t>עונשית</w:t>
      </w:r>
      <w:proofErr w:type="spellEnd"/>
      <w:r>
        <w:rPr>
          <w:rFonts w:ascii="David" w:hAnsi="David"/>
          <w:rtl/>
        </w:rPr>
        <w:t xml:space="preserve"> מחמירה שתסייע למיגור רעה חולה זו. גם האופן הקונקרטי שבו הסלים הסכסוך – מעימות מילולי ועד ירי בכוונה להמית, פוגע באופן קשה בערך המוגן של קדושת החיים ומחייב כאמור ענישה של מאסר עולם. </w:t>
      </w:r>
    </w:p>
    <w:p w14:paraId="003983E1" w14:textId="77777777" w:rsidR="00AB1C81" w:rsidRDefault="00AB1C81" w:rsidP="00AB1C81">
      <w:pPr>
        <w:spacing w:line="360" w:lineRule="auto"/>
        <w:ind w:left="368" w:right="284"/>
        <w:jc w:val="both"/>
        <w:rPr>
          <w:rFonts w:ascii="David" w:hAnsi="David"/>
          <w:rtl/>
        </w:rPr>
      </w:pPr>
    </w:p>
    <w:p w14:paraId="3984FF4B" w14:textId="77777777" w:rsidR="00AB1C81" w:rsidRDefault="00AB1C81" w:rsidP="00AB1C81">
      <w:pPr>
        <w:spacing w:line="360" w:lineRule="auto"/>
        <w:ind w:left="368" w:right="284"/>
        <w:jc w:val="both"/>
        <w:rPr>
          <w:rFonts w:ascii="David" w:hAnsi="David"/>
          <w:rtl/>
        </w:rPr>
      </w:pPr>
      <w:r>
        <w:rPr>
          <w:rFonts w:ascii="David" w:hAnsi="David"/>
          <w:rtl/>
        </w:rPr>
        <w:t xml:space="preserve">אשר </w:t>
      </w:r>
      <w:r>
        <w:rPr>
          <w:rFonts w:ascii="David" w:hAnsi="David"/>
          <w:u w:val="single"/>
          <w:rtl/>
        </w:rPr>
        <w:t>לתכנון</w:t>
      </w:r>
      <w:r>
        <w:rPr>
          <w:rFonts w:ascii="David" w:hAnsi="David"/>
          <w:rtl/>
        </w:rPr>
        <w:t xml:space="preserve"> שקדם לביצוע העבירה ו</w:t>
      </w:r>
      <w:r>
        <w:rPr>
          <w:rFonts w:ascii="David" w:hAnsi="David"/>
          <w:u w:val="single"/>
          <w:rtl/>
        </w:rPr>
        <w:t>המעשה עצמו</w:t>
      </w:r>
      <w:r>
        <w:rPr>
          <w:rFonts w:ascii="David" w:hAnsi="David"/>
          <w:rtl/>
        </w:rPr>
        <w:t xml:space="preserve">, אמנם הנאשם לא תכנן את הרצח בעת יציאתו מהבית עם האקדח (שאז היה להרשיעו ברצח בנסיבות מחמירות), אך אין בעובדה שהכוונה להמית התגבשה באופן </w:t>
      </w:r>
      <w:proofErr w:type="spellStart"/>
      <w:r>
        <w:rPr>
          <w:rFonts w:ascii="David" w:hAnsi="David"/>
          <w:rtl/>
        </w:rPr>
        <w:t>ספונטני</w:t>
      </w:r>
      <w:proofErr w:type="spellEnd"/>
      <w:r>
        <w:rPr>
          <w:rFonts w:ascii="David" w:hAnsi="David"/>
          <w:rtl/>
        </w:rPr>
        <w:t xml:space="preserve"> כדי להמעיט מחומרת המעשים. זאת ועוד, בכל שלב משלבי האירוע היה בידי הנאשם למנוע את התרחשות הדברים ועמדו בפניו אפשרויות נוספות מלבד ביצוע הירי. חלף זאת, הנאשם בחר לרדת מהרכב, ללכת לכיוון המנוח וילדיו וירה לעבר המנוח 5 יריות שגרמו למותו בזמן ששני ילדיו הקטינים היו לידו. הוטעם כי הנאשם אמנם הגיע למקום ביצוע העבירה יחד עם אחיו, אולם בפעולת ההמתה עצמה הוא פעל לבדו והיה מבצעה היחיד. </w:t>
      </w:r>
    </w:p>
    <w:p w14:paraId="3E42AEB3" w14:textId="77777777" w:rsidR="00AB1C81" w:rsidRDefault="00AB1C81" w:rsidP="00AB1C81">
      <w:pPr>
        <w:spacing w:line="360" w:lineRule="auto"/>
        <w:ind w:left="368" w:right="284"/>
        <w:jc w:val="both"/>
        <w:rPr>
          <w:rFonts w:ascii="David" w:hAnsi="David"/>
          <w:rtl/>
        </w:rPr>
      </w:pPr>
    </w:p>
    <w:p w14:paraId="1F34D1B6" w14:textId="77777777" w:rsidR="00AB1C81" w:rsidRDefault="00AB1C81" w:rsidP="00AB1C81">
      <w:pPr>
        <w:spacing w:line="360" w:lineRule="auto"/>
        <w:ind w:left="368" w:right="284"/>
        <w:jc w:val="both"/>
        <w:rPr>
          <w:rFonts w:ascii="David" w:hAnsi="David"/>
          <w:rtl/>
        </w:rPr>
      </w:pPr>
      <w:r>
        <w:rPr>
          <w:rFonts w:ascii="David" w:hAnsi="David"/>
          <w:rtl/>
        </w:rPr>
        <w:t xml:space="preserve">המאשימה הפנתה </w:t>
      </w:r>
      <w:r>
        <w:rPr>
          <w:rFonts w:ascii="David" w:hAnsi="David"/>
          <w:u w:val="single"/>
          <w:rtl/>
        </w:rPr>
        <w:t>לנזקים</w:t>
      </w:r>
      <w:r>
        <w:rPr>
          <w:rFonts w:ascii="David" w:hAnsi="David"/>
          <w:rtl/>
        </w:rPr>
        <w:t xml:space="preserve"> שנגרמו כתוצאה מביצוע העבירה כאמור בתסקיר שנערך אודות משפחת המנוח. מדובר בנזקים חמורים ומשמעותיים בכלל מישורי החיים. </w:t>
      </w:r>
    </w:p>
    <w:p w14:paraId="485DEDF0" w14:textId="77777777" w:rsidR="00AB1C81" w:rsidRDefault="00AB1C81" w:rsidP="00AB1C81">
      <w:pPr>
        <w:spacing w:line="360" w:lineRule="auto"/>
        <w:ind w:left="368" w:right="284"/>
        <w:jc w:val="both"/>
        <w:rPr>
          <w:rFonts w:ascii="David" w:hAnsi="David"/>
          <w:rtl/>
        </w:rPr>
      </w:pPr>
    </w:p>
    <w:p w14:paraId="567DDA37" w14:textId="77777777" w:rsidR="00AB1C81" w:rsidRDefault="00AB1C81" w:rsidP="00AB1C81">
      <w:pPr>
        <w:pStyle w:val="ListParagraph"/>
        <w:numPr>
          <w:ilvl w:val="0"/>
          <w:numId w:val="1"/>
        </w:numPr>
        <w:spacing w:after="0" w:line="360" w:lineRule="auto"/>
        <w:ind w:left="368" w:right="284"/>
        <w:jc w:val="both"/>
        <w:rPr>
          <w:rFonts w:ascii="David" w:hAnsi="David" w:cs="David"/>
          <w:sz w:val="24"/>
          <w:szCs w:val="24"/>
          <w:rtl/>
        </w:rPr>
      </w:pPr>
      <w:r>
        <w:rPr>
          <w:rFonts w:ascii="David" w:hAnsi="David" w:cs="David"/>
          <w:sz w:val="24"/>
          <w:szCs w:val="24"/>
          <w:rtl/>
        </w:rPr>
        <w:t>אשר ל</w:t>
      </w:r>
      <w:r>
        <w:rPr>
          <w:rFonts w:ascii="David" w:hAnsi="David" w:cs="David"/>
          <w:sz w:val="24"/>
          <w:szCs w:val="24"/>
          <w:u w:val="single"/>
          <w:rtl/>
        </w:rPr>
        <w:t>מדיניות הענישה הנהוגה</w:t>
      </w:r>
      <w:r>
        <w:rPr>
          <w:rFonts w:ascii="David" w:hAnsi="David" w:cs="David"/>
          <w:sz w:val="24"/>
          <w:szCs w:val="24"/>
          <w:rtl/>
        </w:rPr>
        <w:t xml:space="preserve">, המאשימה הפנתה לכך כי תיקון 137 לחוק נכנס לתוקף ביולי 2019 ולכן טרם הצטברה פסיקה העוסקת בענישה ברצח "בסיסי". בשים לב לאמור לעיל, הפנתה המאשימה (וגם הנאשם עשה כן) לשני גזרי דין שניתנו בעבירה זו  - הראשון, </w:t>
      </w:r>
      <w:hyperlink r:id="rId23" w:history="1">
        <w:r w:rsidR="009A0C5D" w:rsidRPr="009A0C5D">
          <w:rPr>
            <w:rFonts w:ascii="David" w:hAnsi="David" w:cs="David"/>
            <w:color w:val="0000FF"/>
            <w:sz w:val="24"/>
            <w:szCs w:val="24"/>
            <w:u w:val="single"/>
            <w:rtl/>
          </w:rPr>
          <w:t>תפ"ח (מחוזי ת"א) 26100-07-17</w:t>
        </w:r>
      </w:hyperlink>
      <w:r>
        <w:rPr>
          <w:rFonts w:ascii="David" w:hAnsi="David" w:cs="David"/>
          <w:sz w:val="24"/>
          <w:szCs w:val="24"/>
          <w:rtl/>
        </w:rPr>
        <w:t xml:space="preserve"> </w:t>
      </w:r>
      <w:r>
        <w:rPr>
          <w:rFonts w:ascii="Miriam" w:hAnsi="Miriam" w:cs="Miriam"/>
          <w:sz w:val="24"/>
          <w:szCs w:val="24"/>
          <w:rtl/>
        </w:rPr>
        <w:t>מדינת ישראל נ' ברוך</w:t>
      </w:r>
      <w:r>
        <w:rPr>
          <w:rFonts w:ascii="David" w:hAnsi="David" w:cs="David"/>
          <w:sz w:val="24"/>
          <w:szCs w:val="24"/>
          <w:rtl/>
        </w:rPr>
        <w:t xml:space="preserve"> </w:t>
      </w:r>
      <w:r w:rsidR="0072379C" w:rsidRPr="0072379C">
        <w:rPr>
          <w:rFonts w:ascii="Times New Roman" w:hAnsi="Times New Roman" w:cs="David"/>
          <w:szCs w:val="24"/>
          <w:rtl/>
        </w:rPr>
        <w:t xml:space="preserve">[פורסם </w:t>
      </w:r>
      <w:proofErr w:type="spellStart"/>
      <w:r w:rsidR="0072379C" w:rsidRPr="0072379C">
        <w:rPr>
          <w:rFonts w:ascii="Times New Roman" w:hAnsi="Times New Roman" w:cs="David"/>
          <w:szCs w:val="24"/>
          <w:rtl/>
        </w:rPr>
        <w:t>בנבו</w:t>
      </w:r>
      <w:proofErr w:type="spellEnd"/>
      <w:r w:rsidR="0072379C" w:rsidRPr="0072379C">
        <w:rPr>
          <w:rFonts w:ascii="Times New Roman" w:hAnsi="Times New Roman" w:cs="David"/>
          <w:szCs w:val="24"/>
          <w:rtl/>
        </w:rPr>
        <w:t xml:space="preserve">] </w:t>
      </w:r>
      <w:r>
        <w:rPr>
          <w:rFonts w:ascii="David" w:hAnsi="David" w:cs="David"/>
          <w:sz w:val="24"/>
          <w:szCs w:val="24"/>
          <w:rtl/>
        </w:rPr>
        <w:t xml:space="preserve">(24.11.19) (להלן: </w:t>
      </w:r>
      <w:r>
        <w:rPr>
          <w:rFonts w:ascii="Miriam" w:hAnsi="Miriam" w:cs="Miriam"/>
          <w:sz w:val="24"/>
          <w:szCs w:val="24"/>
          <w:rtl/>
        </w:rPr>
        <w:t>עניין ברוך</w:t>
      </w:r>
      <w:r>
        <w:rPr>
          <w:rFonts w:ascii="David" w:hAnsi="David" w:cs="David"/>
          <w:sz w:val="24"/>
          <w:szCs w:val="24"/>
          <w:rtl/>
        </w:rPr>
        <w:t xml:space="preserve">); והשני </w:t>
      </w:r>
      <w:hyperlink r:id="rId24" w:history="1">
        <w:r w:rsidR="009A0C5D" w:rsidRPr="009A0C5D">
          <w:rPr>
            <w:rFonts w:ascii="David" w:hAnsi="David" w:cs="David"/>
            <w:color w:val="0000FF"/>
            <w:sz w:val="24"/>
            <w:szCs w:val="24"/>
            <w:u w:val="single"/>
            <w:rtl/>
          </w:rPr>
          <w:t>תפ"ח (מחוזי מרכז) 58246-02-18</w:t>
        </w:r>
      </w:hyperlink>
      <w:r>
        <w:rPr>
          <w:rFonts w:ascii="David" w:hAnsi="David" w:cs="David"/>
          <w:sz w:val="24"/>
          <w:szCs w:val="24"/>
          <w:rtl/>
        </w:rPr>
        <w:t xml:space="preserve"> </w:t>
      </w:r>
      <w:r>
        <w:rPr>
          <w:rFonts w:ascii="Miriam" w:hAnsi="Miriam" w:cs="Miriam"/>
          <w:sz w:val="24"/>
          <w:szCs w:val="24"/>
          <w:rtl/>
        </w:rPr>
        <w:t xml:space="preserve">מדינת ישראל נ' </w:t>
      </w:r>
      <w:proofErr w:type="spellStart"/>
      <w:r>
        <w:rPr>
          <w:rFonts w:ascii="Miriam" w:hAnsi="Miriam" w:cs="Miriam"/>
          <w:sz w:val="24"/>
          <w:szCs w:val="24"/>
          <w:rtl/>
        </w:rPr>
        <w:t>ברהנו</w:t>
      </w:r>
      <w:proofErr w:type="spellEnd"/>
      <w:r>
        <w:rPr>
          <w:rFonts w:ascii="David" w:hAnsi="David" w:cs="David"/>
          <w:sz w:val="24"/>
          <w:szCs w:val="24"/>
          <w:rtl/>
        </w:rPr>
        <w:t xml:space="preserve"> </w:t>
      </w:r>
      <w:r w:rsidR="0072379C" w:rsidRPr="0072379C">
        <w:rPr>
          <w:rFonts w:ascii="Times New Roman" w:hAnsi="Times New Roman" w:cs="David"/>
          <w:szCs w:val="24"/>
          <w:rtl/>
        </w:rPr>
        <w:t xml:space="preserve">[פורסם </w:t>
      </w:r>
      <w:proofErr w:type="spellStart"/>
      <w:r w:rsidR="0072379C" w:rsidRPr="0072379C">
        <w:rPr>
          <w:rFonts w:ascii="Times New Roman" w:hAnsi="Times New Roman" w:cs="David"/>
          <w:szCs w:val="24"/>
          <w:rtl/>
        </w:rPr>
        <w:t>בנבו</w:t>
      </w:r>
      <w:proofErr w:type="spellEnd"/>
      <w:r w:rsidR="0072379C" w:rsidRPr="0072379C">
        <w:rPr>
          <w:rFonts w:ascii="Times New Roman" w:hAnsi="Times New Roman" w:cs="David"/>
          <w:szCs w:val="24"/>
          <w:rtl/>
        </w:rPr>
        <w:t xml:space="preserve">] </w:t>
      </w:r>
      <w:r>
        <w:rPr>
          <w:rFonts w:ascii="David" w:hAnsi="David" w:cs="David"/>
          <w:sz w:val="24"/>
          <w:szCs w:val="24"/>
          <w:rtl/>
        </w:rPr>
        <w:t xml:space="preserve">(10.12.19) (להלן: עניין </w:t>
      </w:r>
      <w:proofErr w:type="spellStart"/>
      <w:r>
        <w:rPr>
          <w:rFonts w:ascii="Miriam" w:hAnsi="Miriam" w:cs="Miriam"/>
          <w:sz w:val="24"/>
          <w:szCs w:val="24"/>
          <w:rtl/>
        </w:rPr>
        <w:t>ברהנו</w:t>
      </w:r>
      <w:proofErr w:type="spellEnd"/>
      <w:r>
        <w:rPr>
          <w:rFonts w:ascii="David" w:hAnsi="David" w:cs="David"/>
          <w:sz w:val="24"/>
          <w:szCs w:val="24"/>
          <w:rtl/>
        </w:rPr>
        <w:t xml:space="preserve">)). התייחסות לשני גזרי הדין לעיל ולשניים נוספים שניתנו לאחר ישיבת הטיעונים לעונש, תובא בפרק הדיון והמסקנות. </w:t>
      </w:r>
    </w:p>
    <w:p w14:paraId="35295B81" w14:textId="77777777" w:rsidR="00AB1C81" w:rsidRDefault="00AB1C81" w:rsidP="00AB1C81">
      <w:pPr>
        <w:pStyle w:val="ListParagraph"/>
        <w:spacing w:after="0" w:line="360" w:lineRule="auto"/>
        <w:ind w:left="368" w:right="284"/>
        <w:jc w:val="both"/>
        <w:rPr>
          <w:rFonts w:ascii="David" w:hAnsi="David" w:cs="David"/>
          <w:sz w:val="24"/>
          <w:szCs w:val="24"/>
        </w:rPr>
      </w:pPr>
    </w:p>
    <w:p w14:paraId="0EA83071" w14:textId="77777777" w:rsidR="00AB1C81" w:rsidRDefault="00AB1C81" w:rsidP="00AB1C81">
      <w:pPr>
        <w:pStyle w:val="ListParagraph"/>
        <w:spacing w:after="0" w:line="360" w:lineRule="auto"/>
        <w:ind w:left="368" w:right="284"/>
        <w:jc w:val="both"/>
        <w:rPr>
          <w:rFonts w:ascii="David" w:hAnsi="David" w:cs="David"/>
          <w:sz w:val="24"/>
          <w:szCs w:val="24"/>
        </w:rPr>
      </w:pPr>
      <w:r>
        <w:rPr>
          <w:rFonts w:ascii="David" w:hAnsi="David" w:cs="David"/>
          <w:sz w:val="24"/>
          <w:szCs w:val="24"/>
          <w:rtl/>
        </w:rPr>
        <w:t xml:space="preserve">על יסוד עמדת המאשימה שהובאה בפסקאות 6 ו 7 לעיל, היא לא עתרה לקביעת מתחם ענישה וטענה כי בענייננו, בהיעדר נסיבות משמעותיות המצדיקות זאת ובשים לב לנסיבות ביצוע העבירה ומידת הפגיעה בערכים המוגנים, העונש הראוי לנאשם הוא מאסר עולם בלתי קצוב. </w:t>
      </w:r>
    </w:p>
    <w:p w14:paraId="65572AF4" w14:textId="77777777" w:rsidR="00AB1C81" w:rsidRDefault="00AB1C81" w:rsidP="00AB1C81">
      <w:pPr>
        <w:spacing w:line="360" w:lineRule="auto"/>
        <w:ind w:left="368" w:right="284"/>
        <w:jc w:val="both"/>
        <w:rPr>
          <w:rFonts w:ascii="David" w:hAnsi="David"/>
          <w:rtl/>
        </w:rPr>
      </w:pPr>
    </w:p>
    <w:p w14:paraId="5C17AC8E" w14:textId="77777777" w:rsidR="00AB1C81" w:rsidRDefault="00AB1C81" w:rsidP="00AB1C81">
      <w:pPr>
        <w:spacing w:line="360" w:lineRule="auto"/>
        <w:ind w:left="368" w:right="284"/>
        <w:jc w:val="both"/>
        <w:rPr>
          <w:rFonts w:ascii="David" w:hAnsi="David"/>
          <w:rtl/>
        </w:rPr>
      </w:pPr>
      <w:r>
        <w:rPr>
          <w:rFonts w:ascii="David" w:hAnsi="David"/>
          <w:rtl/>
        </w:rPr>
        <w:t xml:space="preserve">לחילופין, נטען כי העונש שייקבע צריך להיות "נושק למאסר עולם" באופן שיהלום את ההבחנה בין מקרי רצח שבוצעו בכוונה לבין כאלה שבוצעו באדישות. לשיטת המאשימה, עמדה זו נכונה ביתר שאת בענייננו, בשים לב להסכמת הצדדים בהסדר הטיעון כי מעשי הנאשם קיימו את יסודות עבירת הרצח לפי הדין הקודם, כך שאלמלא הרפורמה - הנאשם היה נדון למאסר עולם. </w:t>
      </w:r>
    </w:p>
    <w:p w14:paraId="13439C3B" w14:textId="77777777" w:rsidR="00AB1C81" w:rsidRDefault="00AB1C81" w:rsidP="00AB1C81">
      <w:pPr>
        <w:spacing w:line="360" w:lineRule="auto"/>
        <w:ind w:left="368" w:right="284"/>
        <w:jc w:val="both"/>
        <w:rPr>
          <w:rFonts w:ascii="David" w:hAnsi="David"/>
          <w:rtl/>
        </w:rPr>
      </w:pPr>
    </w:p>
    <w:p w14:paraId="23CD3257" w14:textId="77777777" w:rsidR="00AB1C81" w:rsidRDefault="00AB1C81" w:rsidP="00AB1C81">
      <w:pPr>
        <w:spacing w:line="360" w:lineRule="auto"/>
        <w:ind w:left="368" w:right="284"/>
        <w:jc w:val="both"/>
        <w:rPr>
          <w:rFonts w:ascii="David" w:hAnsi="David"/>
          <w:rtl/>
        </w:rPr>
      </w:pPr>
      <w:r>
        <w:rPr>
          <w:rFonts w:ascii="David" w:hAnsi="David"/>
          <w:rtl/>
        </w:rPr>
        <w:t>לצד עונש המאסר, המאשימה עתרה גם לפיצוי המרבי למשפחת המנוח וכן למאסר על תנאי בגין עבירות אלימות ונשק.</w:t>
      </w:r>
    </w:p>
    <w:p w14:paraId="12110235" w14:textId="77777777" w:rsidR="00AB1C81" w:rsidRDefault="00AB1C81" w:rsidP="00AB1C81">
      <w:pPr>
        <w:spacing w:line="360" w:lineRule="auto"/>
        <w:ind w:left="368" w:right="284"/>
        <w:jc w:val="both"/>
        <w:rPr>
          <w:rFonts w:ascii="David" w:hAnsi="David"/>
          <w:rtl/>
        </w:rPr>
      </w:pPr>
    </w:p>
    <w:p w14:paraId="318E737C" w14:textId="77777777" w:rsidR="00AB1C81" w:rsidRDefault="00AB1C81" w:rsidP="00AB1C81">
      <w:pPr>
        <w:spacing w:line="360" w:lineRule="auto"/>
        <w:ind w:right="284" w:firstLine="368"/>
        <w:jc w:val="both"/>
        <w:rPr>
          <w:rFonts w:ascii="Miriam" w:hAnsi="Miriam" w:cs="Miriam"/>
          <w:rtl/>
        </w:rPr>
      </w:pPr>
      <w:r>
        <w:rPr>
          <w:rFonts w:ascii="Miriam" w:hAnsi="Miriam" w:cs="Miriam"/>
          <w:rtl/>
        </w:rPr>
        <w:t>תמצית טיעוני ההגנה לעונש ודבר הנאשם</w:t>
      </w:r>
    </w:p>
    <w:p w14:paraId="40F139C8" w14:textId="77777777" w:rsidR="00AB1C81" w:rsidRDefault="00AB1C81" w:rsidP="00AB1C81">
      <w:pPr>
        <w:pStyle w:val="ListParagraph"/>
        <w:numPr>
          <w:ilvl w:val="0"/>
          <w:numId w:val="1"/>
        </w:numPr>
        <w:spacing w:after="0" w:line="360" w:lineRule="auto"/>
        <w:ind w:left="368" w:right="284"/>
        <w:jc w:val="both"/>
        <w:rPr>
          <w:rFonts w:ascii="David" w:hAnsi="David" w:cs="David"/>
          <w:sz w:val="24"/>
          <w:szCs w:val="24"/>
          <w:rtl/>
        </w:rPr>
      </w:pPr>
      <w:r>
        <w:rPr>
          <w:rFonts w:ascii="David" w:hAnsi="David" w:cs="David"/>
          <w:sz w:val="24"/>
          <w:szCs w:val="24"/>
          <w:rtl/>
        </w:rPr>
        <w:t xml:space="preserve">בא כוח הנאשם ביקש לדחות את טענת המאשימה לעיל, היינו של כלל ולפיו הרשעה ברצח "בסיסי" תביא למאסר עולם וסטייה מעונש זה אפשרית רק בנסיבות חריגות. </w:t>
      </w:r>
    </w:p>
    <w:p w14:paraId="0142906A" w14:textId="77777777" w:rsidR="00AB1C81" w:rsidRDefault="00AB1C81" w:rsidP="00AB1C81">
      <w:pPr>
        <w:pStyle w:val="ListParagraph"/>
        <w:spacing w:after="0" w:line="360" w:lineRule="auto"/>
        <w:ind w:left="368" w:right="284"/>
        <w:jc w:val="both"/>
        <w:rPr>
          <w:rFonts w:ascii="David" w:hAnsi="David" w:cs="David"/>
          <w:sz w:val="24"/>
          <w:szCs w:val="24"/>
        </w:rPr>
      </w:pPr>
    </w:p>
    <w:p w14:paraId="71AAF56B" w14:textId="77777777" w:rsidR="00AB1C81" w:rsidRDefault="00AB1C81" w:rsidP="00AB1C81">
      <w:pPr>
        <w:spacing w:line="360" w:lineRule="auto"/>
        <w:ind w:left="368" w:right="284"/>
        <w:jc w:val="both"/>
        <w:rPr>
          <w:rFonts w:ascii="David" w:hAnsi="David"/>
          <w:rtl/>
        </w:rPr>
      </w:pPr>
      <w:r>
        <w:rPr>
          <w:rFonts w:ascii="David" w:hAnsi="David"/>
          <w:rtl/>
        </w:rPr>
        <w:t xml:space="preserve">נטען, כי קבלת עמדת המאשימה תרוקן מתוכן את תכליות תיקון 137 לחוק, שביקש בין היתר ליתן בידי בית המשפט שיקול דעת בענישה בעבירת הרצח הבסיסית. לא בכדי המחוקק קבע סעיף חוק נפרד המחייב הטלת מאסר עולם כעונש חובה, הוא </w:t>
      </w:r>
      <w:hyperlink r:id="rId25" w:history="1">
        <w:r w:rsidR="00EF71CD" w:rsidRPr="00EF71CD">
          <w:rPr>
            <w:rStyle w:val="Hyperlink"/>
            <w:rFonts w:ascii="David" w:hAnsi="David"/>
            <w:rtl/>
          </w:rPr>
          <w:t xml:space="preserve">סעיף </w:t>
        </w:r>
        <w:proofErr w:type="spellStart"/>
        <w:r w:rsidR="00EF71CD" w:rsidRPr="00EF71CD">
          <w:rPr>
            <w:rStyle w:val="Hyperlink"/>
            <w:rFonts w:ascii="David" w:hAnsi="David"/>
            <w:rtl/>
          </w:rPr>
          <w:t>301א</w:t>
        </w:r>
        <w:proofErr w:type="spellEnd"/>
        <w:r w:rsidR="00EF71CD" w:rsidRPr="00EF71CD">
          <w:rPr>
            <w:rStyle w:val="Hyperlink"/>
            <w:rFonts w:ascii="David" w:hAnsi="David"/>
            <w:rtl/>
          </w:rPr>
          <w:t>'</w:t>
        </w:r>
      </w:hyperlink>
      <w:r>
        <w:rPr>
          <w:rFonts w:ascii="David" w:hAnsi="David"/>
          <w:rtl/>
        </w:rPr>
        <w:t xml:space="preserve"> לחוק, לגבי "רצח בנסיבות מחמירות". קבלת עמדת המאשימה תאיין אם כן את ההבחנה שהמחוקק ביקש ליצור בין שתי העבירות לעיל. </w:t>
      </w:r>
    </w:p>
    <w:p w14:paraId="4695EB94" w14:textId="77777777" w:rsidR="00AB1C81" w:rsidRDefault="00AB1C81" w:rsidP="00AB1C81">
      <w:pPr>
        <w:spacing w:line="360" w:lineRule="auto"/>
        <w:ind w:left="368" w:right="284"/>
        <w:jc w:val="both"/>
        <w:rPr>
          <w:rFonts w:ascii="David" w:hAnsi="David"/>
          <w:rtl/>
        </w:rPr>
      </w:pPr>
    </w:p>
    <w:p w14:paraId="007B6CC1" w14:textId="77777777" w:rsidR="00AB1C81" w:rsidRDefault="00AB1C81" w:rsidP="00AB1C81">
      <w:pPr>
        <w:spacing w:line="360" w:lineRule="auto"/>
        <w:ind w:left="368" w:right="284"/>
        <w:jc w:val="both"/>
        <w:rPr>
          <w:rFonts w:ascii="David" w:hAnsi="David"/>
          <w:rtl/>
        </w:rPr>
      </w:pPr>
      <w:r>
        <w:rPr>
          <w:rFonts w:ascii="David" w:hAnsi="David"/>
          <w:rtl/>
        </w:rPr>
        <w:t xml:space="preserve">כמו כן נטען, כי עמדת המאשימה סותרת את תיקון 113 לחוק בנוגע להבניית שיקול הדעת השיפוטי בענישה, ובפרט את סעיף </w:t>
      </w:r>
      <w:hyperlink r:id="rId26" w:history="1">
        <w:r w:rsidR="00EF71CD" w:rsidRPr="00EF71CD">
          <w:rPr>
            <w:rStyle w:val="Hyperlink"/>
            <w:rFonts w:ascii="David" w:hAnsi="David"/>
            <w:rtl/>
          </w:rPr>
          <w:t>40ג(א)</w:t>
        </w:r>
      </w:hyperlink>
      <w:r>
        <w:rPr>
          <w:rFonts w:ascii="David" w:hAnsi="David"/>
          <w:rtl/>
        </w:rPr>
        <w:t xml:space="preserve"> המחייב קביעת מתחם עונש הולם לגבי כל עבירה, בנסיבותיה. אכן, לכלל זה חריגים, כגון ענישת קטינים ועבירות בהן נקבע עונש חובה, אך ענייננו אינו נכלל בהם. </w:t>
      </w:r>
    </w:p>
    <w:p w14:paraId="1A07CF61" w14:textId="77777777" w:rsidR="00AB1C81" w:rsidRDefault="00AB1C81" w:rsidP="00AB1C81">
      <w:pPr>
        <w:spacing w:line="360" w:lineRule="auto"/>
        <w:ind w:left="368" w:right="284"/>
        <w:jc w:val="both"/>
        <w:rPr>
          <w:rFonts w:ascii="David" w:hAnsi="David"/>
          <w:rtl/>
        </w:rPr>
      </w:pPr>
    </w:p>
    <w:p w14:paraId="38AB769C" w14:textId="77777777" w:rsidR="00AB1C81" w:rsidRDefault="00AB1C81" w:rsidP="00AB1C81">
      <w:pPr>
        <w:pStyle w:val="ListParagraph"/>
        <w:numPr>
          <w:ilvl w:val="0"/>
          <w:numId w:val="1"/>
        </w:numPr>
        <w:spacing w:after="0" w:line="360" w:lineRule="auto"/>
        <w:ind w:left="368" w:right="284"/>
        <w:jc w:val="both"/>
        <w:rPr>
          <w:rFonts w:ascii="David" w:hAnsi="David" w:cs="David"/>
          <w:sz w:val="24"/>
          <w:szCs w:val="24"/>
          <w:rtl/>
        </w:rPr>
      </w:pPr>
      <w:r>
        <w:rPr>
          <w:rFonts w:ascii="David" w:hAnsi="David" w:cs="David"/>
          <w:sz w:val="24"/>
          <w:szCs w:val="24"/>
          <w:rtl/>
        </w:rPr>
        <w:t xml:space="preserve">לגבי </w:t>
      </w:r>
      <w:r>
        <w:rPr>
          <w:rFonts w:ascii="David" w:hAnsi="David" w:cs="David"/>
          <w:sz w:val="24"/>
          <w:szCs w:val="24"/>
          <w:u w:val="single"/>
          <w:rtl/>
        </w:rPr>
        <w:t>נסיבות ביצוע העבירה</w:t>
      </w:r>
      <w:r>
        <w:rPr>
          <w:rFonts w:ascii="David" w:hAnsi="David" w:cs="David"/>
          <w:sz w:val="24"/>
          <w:szCs w:val="24"/>
          <w:rtl/>
        </w:rPr>
        <w:t xml:space="preserve"> – בא כוח הנאשם הפנה לסיטואציה בה היה נתון הנאשם והאופן שהדבר משפיע על מידת אשמו. האירוע החל כאשר המנוח התעמת עם אחיו של הנאשם סמוך לבתי המגורים של השניים. משכך, הנאשם לא היה זה ש"יזם" את האירוע מראשיתו. בהמשך, שני הצדדים קבעו להיפגש כדי "לסגור עניינים" ולכן ברור ששני הצדדים לא הגיעו למקום המפגש ב"כוונות שלום". זאת ועוד, לאחר הגעת הצדדים למקום המפגש, </w:t>
      </w:r>
      <w:proofErr w:type="spellStart"/>
      <w:r>
        <w:rPr>
          <w:rFonts w:ascii="David" w:hAnsi="David" w:cs="David"/>
          <w:sz w:val="24"/>
          <w:szCs w:val="24"/>
          <w:rtl/>
        </w:rPr>
        <w:t>כמאל</w:t>
      </w:r>
      <w:proofErr w:type="spellEnd"/>
      <w:r>
        <w:rPr>
          <w:rFonts w:ascii="David" w:hAnsi="David" w:cs="David"/>
          <w:sz w:val="24"/>
          <w:szCs w:val="24"/>
          <w:rtl/>
        </w:rPr>
        <w:t xml:space="preserve"> - אחיו של הנאשם, הוא זה שיצא את הרכב והיה מעורב בסכסוך אלים עם המנוח ומשפחתו, ורק לאחר מספר דקות ועם הסלמת האירוע, יצא הנאשם מהרכב עם האקדח וירה לעבר המנוח. נתונים אלה אמנם אינם מקימים סייג מאחריות פלילית, אך יש בהם להביא למסקנה – ככל שהדברים נוגעים לקביעת מתחם העונש – כי מדובר בסיטואציה מלחיצה ואלימה - מצד שני הצדדים. במילים אחרות, הנאשם בתחילה בחר להישאר ברכב ומילא תפקיד פאסיבי בלבד ורק עם התפתחות האירוע והסלמתו נקט באלימות. </w:t>
      </w:r>
    </w:p>
    <w:p w14:paraId="24F210C2" w14:textId="77777777" w:rsidR="00AB1C81" w:rsidRDefault="00AB1C81" w:rsidP="00AB1C81">
      <w:pPr>
        <w:pStyle w:val="ListParagraph"/>
        <w:spacing w:after="0" w:line="360" w:lineRule="auto"/>
        <w:ind w:left="368" w:right="284"/>
        <w:jc w:val="both"/>
        <w:rPr>
          <w:rFonts w:ascii="David" w:hAnsi="David" w:cs="David"/>
          <w:sz w:val="24"/>
          <w:szCs w:val="24"/>
        </w:rPr>
      </w:pPr>
    </w:p>
    <w:p w14:paraId="7579A89B" w14:textId="77777777" w:rsidR="00AB1C81" w:rsidRDefault="00AB1C81" w:rsidP="00AB1C81">
      <w:pPr>
        <w:pStyle w:val="ListParagraph"/>
        <w:numPr>
          <w:ilvl w:val="0"/>
          <w:numId w:val="1"/>
        </w:numPr>
        <w:spacing w:after="0" w:line="360" w:lineRule="auto"/>
        <w:ind w:left="368" w:right="284"/>
        <w:jc w:val="both"/>
        <w:rPr>
          <w:rFonts w:ascii="David" w:hAnsi="David" w:cs="David"/>
          <w:sz w:val="24"/>
          <w:szCs w:val="24"/>
        </w:rPr>
      </w:pPr>
      <w:r>
        <w:rPr>
          <w:rFonts w:ascii="David" w:hAnsi="David" w:cs="David"/>
          <w:sz w:val="24"/>
          <w:szCs w:val="24"/>
          <w:rtl/>
        </w:rPr>
        <w:t xml:space="preserve">לגבי </w:t>
      </w:r>
      <w:r w:rsidRPr="00F9483C">
        <w:rPr>
          <w:rFonts w:ascii="David" w:hAnsi="David" w:cs="David"/>
          <w:sz w:val="24"/>
          <w:szCs w:val="24"/>
          <w:u w:val="single"/>
          <w:rtl/>
        </w:rPr>
        <w:t>מדיניות הענישה הנוהגת</w:t>
      </w:r>
      <w:r>
        <w:rPr>
          <w:rFonts w:ascii="David" w:hAnsi="David" w:cs="David"/>
          <w:sz w:val="24"/>
          <w:szCs w:val="24"/>
          <w:rtl/>
        </w:rPr>
        <w:t xml:space="preserve">, נטען כי השוואת המקרה שבפנינו לשני גזרי הדין אליהם הפנתה המאשימה מוליך למסקנה כי הנסיבות באותם מקרים היו חמורות יותר. כאמור לעיל, בפרק הדיון והמסקנות נתייחס לפסיקה אליה הפנו הצדדים. בנוסף, הפנה בא כוח הנאשם לפסיקה שניתנה עובר לתיקון 137 במקרים בהם נאשמים הורשעו בעבירת ההריגה ונטען כי חרף התיקון ניתן ללמוד מפסיקה זו לענייננו. </w:t>
      </w:r>
    </w:p>
    <w:p w14:paraId="5746431C" w14:textId="77777777" w:rsidR="00AB1C81" w:rsidRDefault="00AB1C81" w:rsidP="00AB1C81">
      <w:pPr>
        <w:spacing w:line="360" w:lineRule="auto"/>
        <w:ind w:left="368" w:right="284"/>
        <w:jc w:val="both"/>
        <w:rPr>
          <w:rFonts w:ascii="David" w:hAnsi="David"/>
          <w:rtl/>
        </w:rPr>
      </w:pPr>
    </w:p>
    <w:p w14:paraId="3D896C4D" w14:textId="77777777" w:rsidR="00AB1C81" w:rsidRDefault="00AB1C81" w:rsidP="00AB1C81">
      <w:pPr>
        <w:pStyle w:val="ListParagraph"/>
        <w:numPr>
          <w:ilvl w:val="0"/>
          <w:numId w:val="1"/>
        </w:numPr>
        <w:spacing w:after="0" w:line="360" w:lineRule="auto"/>
        <w:ind w:left="368" w:right="284"/>
        <w:jc w:val="both"/>
        <w:rPr>
          <w:rFonts w:ascii="David" w:hAnsi="David" w:cs="David"/>
          <w:sz w:val="24"/>
          <w:szCs w:val="24"/>
          <w:rtl/>
        </w:rPr>
      </w:pPr>
      <w:r>
        <w:rPr>
          <w:rFonts w:ascii="David" w:hAnsi="David" w:cs="David"/>
          <w:sz w:val="24"/>
          <w:szCs w:val="24"/>
          <w:rtl/>
        </w:rPr>
        <w:t>ביחס ל</w:t>
      </w:r>
      <w:r>
        <w:rPr>
          <w:rFonts w:ascii="David" w:hAnsi="David" w:cs="David"/>
          <w:sz w:val="24"/>
          <w:szCs w:val="24"/>
          <w:u w:val="single"/>
          <w:rtl/>
        </w:rPr>
        <w:t>נסיבות שאינן קשורות בביצוע העבירה</w:t>
      </w:r>
      <w:r>
        <w:rPr>
          <w:rFonts w:ascii="David" w:hAnsi="David" w:cs="David"/>
          <w:sz w:val="24"/>
          <w:szCs w:val="24"/>
          <w:rtl/>
        </w:rPr>
        <w:t xml:space="preserve">, הפנה בא כוח הנאשם להודיית הנאשם בשלב מוקדם יחסית של ההליך - הודיה שמעבר לכך שחסכה בזמן שיפוטי יקר, מגלמת הבעת חרטה כנה על ביצוע המעשים. </w:t>
      </w:r>
    </w:p>
    <w:p w14:paraId="5C0CABB9" w14:textId="77777777" w:rsidR="00AB1C81" w:rsidRDefault="00AB1C81" w:rsidP="00AB1C81">
      <w:pPr>
        <w:spacing w:line="360" w:lineRule="auto"/>
        <w:ind w:left="368" w:right="284"/>
        <w:jc w:val="both"/>
        <w:rPr>
          <w:rFonts w:ascii="David" w:hAnsi="David"/>
          <w:rtl/>
        </w:rPr>
      </w:pPr>
    </w:p>
    <w:p w14:paraId="6D24CBAB" w14:textId="77777777" w:rsidR="00AB1C81" w:rsidRDefault="00AB1C81" w:rsidP="00AB1C81">
      <w:pPr>
        <w:spacing w:line="360" w:lineRule="auto"/>
        <w:ind w:left="368" w:right="284"/>
        <w:jc w:val="both"/>
        <w:rPr>
          <w:rFonts w:ascii="David" w:hAnsi="David"/>
          <w:rtl/>
        </w:rPr>
      </w:pPr>
      <w:r>
        <w:rPr>
          <w:rFonts w:ascii="David" w:hAnsi="David"/>
          <w:rtl/>
        </w:rPr>
        <w:t>הודגש, כי הודיית הנאשם בעבירת הרצח הבסיסית איננה דבר של מה בכך, בשים לב לעונש המאסר הממושך לו הוא צפוי וכן משום מדובר בעבירה "חדשה", שטרם התגבשה לגביה מדיניות ענישה שניתן להעריכה, ולכן אי הודאות וה"סיכון" מצד הנאשם היו גבוהים.</w:t>
      </w:r>
    </w:p>
    <w:p w14:paraId="37A65BCD" w14:textId="77777777" w:rsidR="00AB1C81" w:rsidRDefault="00AB1C81" w:rsidP="00AB1C81">
      <w:pPr>
        <w:spacing w:line="360" w:lineRule="auto"/>
        <w:ind w:left="368" w:right="284"/>
        <w:jc w:val="both"/>
        <w:rPr>
          <w:rFonts w:ascii="David" w:hAnsi="David"/>
          <w:rtl/>
        </w:rPr>
      </w:pPr>
    </w:p>
    <w:p w14:paraId="041CAAE8" w14:textId="77777777" w:rsidR="00AB1C81" w:rsidRDefault="00AB1C81" w:rsidP="00AB1C81">
      <w:pPr>
        <w:spacing w:line="360" w:lineRule="auto"/>
        <w:ind w:left="368" w:right="284"/>
        <w:jc w:val="both"/>
        <w:rPr>
          <w:rFonts w:ascii="David" w:hAnsi="David"/>
          <w:rtl/>
        </w:rPr>
      </w:pPr>
      <w:r>
        <w:rPr>
          <w:rFonts w:ascii="David" w:hAnsi="David"/>
          <w:rtl/>
        </w:rPr>
        <w:t xml:space="preserve">ב"כ הנאשם הפנה לנתוני הנאשם - אדם נורמטיבי, עברו אינו מכביד וזו תהיה הפעם הראשונה בה ירצה מאסר מאחורי סורג ובריח. כן הפנה להשלכות האירוע והמעצר על משפחתו של הנאשם, כפי שעלה מעדויות עדי האופי והראיות שהוגשו מטעמו. </w:t>
      </w:r>
    </w:p>
    <w:p w14:paraId="5AD53B2E" w14:textId="77777777" w:rsidR="00AB1C81" w:rsidRDefault="00AB1C81" w:rsidP="00AB1C81">
      <w:pPr>
        <w:spacing w:line="360" w:lineRule="auto"/>
        <w:ind w:left="368" w:right="284"/>
        <w:jc w:val="both"/>
        <w:rPr>
          <w:rFonts w:ascii="David" w:hAnsi="David"/>
          <w:rtl/>
        </w:rPr>
      </w:pPr>
    </w:p>
    <w:p w14:paraId="414C36B1" w14:textId="77777777" w:rsidR="00AB1C81" w:rsidRDefault="00AB1C81" w:rsidP="00AB1C81">
      <w:pPr>
        <w:spacing w:line="360" w:lineRule="auto"/>
        <w:ind w:left="368" w:right="284"/>
        <w:jc w:val="both"/>
        <w:rPr>
          <w:rFonts w:ascii="David" w:hAnsi="David"/>
          <w:rtl/>
        </w:rPr>
      </w:pPr>
      <w:r>
        <w:rPr>
          <w:rFonts w:ascii="David" w:hAnsi="David"/>
          <w:rtl/>
        </w:rPr>
        <w:t xml:space="preserve">לאור האמור, ב"כ הנאשם עתר שלא למצות את הדין עם הנאשם וטען כי יש לתת לשיקולים אחרונים אלה משקל ממשי בקביעת עונשו של הנאשם. </w:t>
      </w:r>
    </w:p>
    <w:p w14:paraId="23DAFC1E" w14:textId="77777777" w:rsidR="00AB1C81" w:rsidRDefault="00AB1C81" w:rsidP="00AB1C81">
      <w:pPr>
        <w:spacing w:line="360" w:lineRule="auto"/>
        <w:ind w:left="368" w:right="284"/>
        <w:jc w:val="both"/>
        <w:rPr>
          <w:rFonts w:ascii="David" w:hAnsi="David"/>
          <w:rtl/>
        </w:rPr>
      </w:pPr>
    </w:p>
    <w:p w14:paraId="2306E03E" w14:textId="77777777" w:rsidR="00AB1C81" w:rsidRDefault="00AB1C81" w:rsidP="00AB1C81">
      <w:pPr>
        <w:pStyle w:val="ListParagraph"/>
        <w:numPr>
          <w:ilvl w:val="0"/>
          <w:numId w:val="1"/>
        </w:numPr>
        <w:spacing w:after="0" w:line="360" w:lineRule="auto"/>
        <w:ind w:left="368" w:right="284"/>
        <w:jc w:val="both"/>
        <w:rPr>
          <w:rFonts w:ascii="David" w:hAnsi="David" w:cs="David"/>
          <w:sz w:val="24"/>
          <w:szCs w:val="24"/>
          <w:rtl/>
        </w:rPr>
      </w:pPr>
      <w:r>
        <w:rPr>
          <w:rFonts w:ascii="David" w:hAnsi="David" w:cs="David"/>
          <w:sz w:val="24"/>
          <w:szCs w:val="24"/>
          <w:rtl/>
        </w:rPr>
        <w:t>הנאשם, בדבריו במסגרת "זכות המילה האחרונה", הביע צער על מעשיו וביקש להקל בעונשו. עוד הפנה לכך כי הוא משמש כ"עציר תומך" בכלא גלבוע.</w:t>
      </w:r>
    </w:p>
    <w:p w14:paraId="59D58017" w14:textId="77777777" w:rsidR="00AB1C81" w:rsidRDefault="00AB1C81" w:rsidP="00AB1C81">
      <w:pPr>
        <w:pStyle w:val="ListParagraph"/>
        <w:spacing w:after="0" w:line="360" w:lineRule="auto"/>
        <w:ind w:left="368" w:right="284"/>
        <w:jc w:val="both"/>
        <w:rPr>
          <w:rFonts w:ascii="David" w:hAnsi="David" w:cs="David"/>
          <w:sz w:val="24"/>
          <w:szCs w:val="24"/>
        </w:rPr>
      </w:pPr>
    </w:p>
    <w:p w14:paraId="6E9FDCD3" w14:textId="77777777" w:rsidR="00AB1C81" w:rsidRDefault="00AB1C81" w:rsidP="00AB1C81">
      <w:pPr>
        <w:pStyle w:val="ListParagraph"/>
        <w:spacing w:after="0" w:line="360" w:lineRule="auto"/>
        <w:ind w:left="368" w:right="284"/>
        <w:jc w:val="both"/>
        <w:rPr>
          <w:rFonts w:ascii="Miriam" w:hAnsi="Miriam" w:cs="Miriam"/>
          <w:sz w:val="24"/>
          <w:szCs w:val="24"/>
        </w:rPr>
      </w:pPr>
      <w:r>
        <w:rPr>
          <w:rFonts w:ascii="Miriam" w:hAnsi="Miriam" w:cs="Miriam"/>
          <w:sz w:val="24"/>
          <w:szCs w:val="24"/>
          <w:rtl/>
        </w:rPr>
        <w:t>דיון ומסקנות</w:t>
      </w:r>
    </w:p>
    <w:p w14:paraId="05E78F21" w14:textId="77777777" w:rsidR="00AB1C81" w:rsidRDefault="00AB1C81" w:rsidP="00AB1C81">
      <w:pPr>
        <w:pStyle w:val="ListParagraph"/>
        <w:numPr>
          <w:ilvl w:val="0"/>
          <w:numId w:val="1"/>
        </w:numPr>
        <w:spacing w:after="0" w:line="360" w:lineRule="auto"/>
        <w:ind w:left="368" w:right="284"/>
        <w:jc w:val="both"/>
        <w:rPr>
          <w:rFonts w:ascii="David" w:hAnsi="David" w:cs="David"/>
          <w:sz w:val="24"/>
          <w:szCs w:val="24"/>
        </w:rPr>
      </w:pPr>
      <w:r>
        <w:rPr>
          <w:rFonts w:ascii="David" w:hAnsi="David" w:cs="David"/>
          <w:sz w:val="24"/>
          <w:szCs w:val="24"/>
          <w:rtl/>
        </w:rPr>
        <w:t>העבירה העיקרית בה הורשע הנאשם היא רצח "בסיסי", שנחקקה במסגרת תיקון 137 ל</w:t>
      </w:r>
      <w:hyperlink r:id="rId27" w:history="1">
        <w:r w:rsidR="009A0C5D" w:rsidRPr="009A0C5D">
          <w:rPr>
            <w:rFonts w:ascii="David" w:hAnsi="David" w:cs="David"/>
            <w:color w:val="0000FF"/>
            <w:sz w:val="24"/>
            <w:szCs w:val="24"/>
            <w:u w:val="single"/>
            <w:rtl/>
          </w:rPr>
          <w:t>חוק העונשין</w:t>
        </w:r>
      </w:hyperlink>
      <w:r>
        <w:rPr>
          <w:rFonts w:ascii="David" w:hAnsi="David" w:cs="David"/>
          <w:sz w:val="24"/>
          <w:szCs w:val="24"/>
          <w:rtl/>
        </w:rPr>
        <w:t xml:space="preserve"> בנוגע לרפורמה בעבירות המתה. התיקון נכנס לתוקף ביום 10.7.19 והביא לשינוי משמעותי בהגדרת עבירות ההמתה ובענישה לגביהן. </w:t>
      </w:r>
    </w:p>
    <w:p w14:paraId="1F6A9DDC" w14:textId="77777777" w:rsidR="00AB1C81" w:rsidRDefault="00AB1C81" w:rsidP="00AB1C81">
      <w:pPr>
        <w:pStyle w:val="ListParagraph"/>
        <w:spacing w:after="0" w:line="360" w:lineRule="auto"/>
        <w:ind w:left="368" w:right="284"/>
        <w:jc w:val="both"/>
        <w:rPr>
          <w:rFonts w:ascii="David" w:hAnsi="David" w:cs="David"/>
          <w:sz w:val="24"/>
          <w:szCs w:val="24"/>
        </w:rPr>
      </w:pPr>
    </w:p>
    <w:p w14:paraId="5836D597" w14:textId="77777777" w:rsidR="00AB1C81" w:rsidRDefault="00AB1C81" w:rsidP="00AB1C81">
      <w:pPr>
        <w:pStyle w:val="ListParagraph"/>
        <w:spacing w:after="0" w:line="360" w:lineRule="auto"/>
        <w:ind w:left="368" w:right="284"/>
        <w:jc w:val="both"/>
        <w:rPr>
          <w:rFonts w:ascii="David" w:hAnsi="David" w:cs="David"/>
          <w:sz w:val="24"/>
          <w:szCs w:val="24"/>
        </w:rPr>
      </w:pPr>
      <w:r>
        <w:rPr>
          <w:rFonts w:ascii="David" w:hAnsi="David" w:cs="David"/>
          <w:sz w:val="24"/>
          <w:szCs w:val="24"/>
          <w:rtl/>
        </w:rPr>
        <w:t xml:space="preserve">התיקון המרכזי </w:t>
      </w:r>
      <w:r>
        <w:rPr>
          <w:rFonts w:ascii="David" w:hAnsi="David" w:cs="David"/>
          <w:sz w:val="24"/>
          <w:szCs w:val="24"/>
          <w:u w:val="single"/>
          <w:rtl/>
        </w:rPr>
        <w:t>והרלוונטי לענייננו</w:t>
      </w:r>
      <w:r>
        <w:rPr>
          <w:rFonts w:ascii="David" w:hAnsi="David" w:cs="David"/>
          <w:sz w:val="24"/>
          <w:szCs w:val="24"/>
          <w:rtl/>
        </w:rPr>
        <w:t xml:space="preserve">, הוא ביחס לרצח בכוונה תחילה (טרם התיקון) לפי </w:t>
      </w:r>
      <w:hyperlink r:id="rId28" w:history="1">
        <w:r w:rsidR="00EF71CD" w:rsidRPr="00EF71CD">
          <w:rPr>
            <w:rStyle w:val="Hyperlink"/>
            <w:rFonts w:ascii="David" w:hAnsi="David" w:cs="David"/>
            <w:sz w:val="24"/>
            <w:szCs w:val="24"/>
            <w:rtl/>
          </w:rPr>
          <w:t>סעיף 300(א)(2).</w:t>
        </w:r>
      </w:hyperlink>
      <w:r>
        <w:rPr>
          <w:rFonts w:ascii="David" w:hAnsi="David" w:cs="David"/>
          <w:sz w:val="24"/>
          <w:szCs w:val="24"/>
          <w:rtl/>
        </w:rPr>
        <w:t xml:space="preserve"> עבירה זו בוטלה ונקבעו תחתיה שתי חלופות עיקריות למעשי רצח שבוצעו בכוונה - </w:t>
      </w:r>
    </w:p>
    <w:p w14:paraId="4AACE56F" w14:textId="77777777" w:rsidR="00AB1C81" w:rsidRDefault="00AB1C81" w:rsidP="00AB1C81">
      <w:pPr>
        <w:spacing w:line="360" w:lineRule="auto"/>
        <w:ind w:left="368" w:right="284"/>
        <w:jc w:val="both"/>
        <w:rPr>
          <w:rFonts w:ascii="David" w:hAnsi="David"/>
          <w:rtl/>
        </w:rPr>
      </w:pPr>
    </w:p>
    <w:p w14:paraId="65EABC86" w14:textId="77777777" w:rsidR="00AB1C81" w:rsidRDefault="00AB1C81" w:rsidP="00AB1C81">
      <w:pPr>
        <w:spacing w:line="360" w:lineRule="auto"/>
        <w:ind w:left="368" w:right="284"/>
        <w:jc w:val="both"/>
        <w:rPr>
          <w:rFonts w:ascii="David" w:hAnsi="David"/>
          <w:rtl/>
        </w:rPr>
      </w:pPr>
      <w:r>
        <w:rPr>
          <w:rFonts w:ascii="David" w:hAnsi="David"/>
          <w:u w:val="single"/>
          <w:rtl/>
        </w:rPr>
        <w:t>הראשונה</w:t>
      </w:r>
      <w:r>
        <w:rPr>
          <w:rFonts w:ascii="David" w:hAnsi="David"/>
          <w:rtl/>
        </w:rPr>
        <w:t xml:space="preserve"> - </w:t>
      </w:r>
      <w:r>
        <w:rPr>
          <w:rFonts w:ascii="David" w:hAnsi="David"/>
          <w:u w:val="single"/>
          <w:rtl/>
        </w:rPr>
        <w:t>רצח בנסיבות מחמירות</w:t>
      </w:r>
      <w:r>
        <w:rPr>
          <w:rFonts w:ascii="David" w:hAnsi="David"/>
          <w:rtl/>
        </w:rPr>
        <w:t xml:space="preserve">, לפי </w:t>
      </w:r>
      <w:hyperlink r:id="rId29" w:history="1">
        <w:r w:rsidR="00EF71CD" w:rsidRPr="00EF71CD">
          <w:rPr>
            <w:rStyle w:val="Hyperlink"/>
            <w:rFonts w:ascii="David" w:hAnsi="David"/>
            <w:rtl/>
          </w:rPr>
          <w:t xml:space="preserve">סעיף </w:t>
        </w:r>
        <w:proofErr w:type="spellStart"/>
        <w:r w:rsidR="00EF71CD" w:rsidRPr="00EF71CD">
          <w:rPr>
            <w:rStyle w:val="Hyperlink"/>
            <w:rFonts w:ascii="David" w:hAnsi="David"/>
            <w:rtl/>
          </w:rPr>
          <w:t>301א</w:t>
        </w:r>
        <w:proofErr w:type="spellEnd"/>
        <w:r w:rsidR="00EF71CD" w:rsidRPr="00EF71CD">
          <w:rPr>
            <w:rStyle w:val="Hyperlink"/>
            <w:rFonts w:ascii="David" w:hAnsi="David"/>
            <w:rtl/>
          </w:rPr>
          <w:t>'</w:t>
        </w:r>
      </w:hyperlink>
      <w:r>
        <w:rPr>
          <w:rFonts w:ascii="David" w:hAnsi="David"/>
          <w:rtl/>
        </w:rPr>
        <w:t xml:space="preserve"> לחוק. הסעיף מונה 11 נסיבות מחמירות, שבהתקיים אחת מהן ייקבע שהרצח הוא "בנסיבות מחמירות" והעונש שיוטל הוא מאסר עולם כעונש חובה; לצד אפשרות לסטות מעונש זה בנסיבות מיוחדות (</w:t>
      </w:r>
      <w:hyperlink r:id="rId30" w:history="1">
        <w:r w:rsidR="00EF71CD" w:rsidRPr="00EF71CD">
          <w:rPr>
            <w:rStyle w:val="Hyperlink"/>
            <w:rFonts w:ascii="David" w:hAnsi="David"/>
            <w:rtl/>
          </w:rPr>
          <w:t>סעיף 301א(ב)</w:t>
        </w:r>
      </w:hyperlink>
      <w:r>
        <w:rPr>
          <w:rFonts w:ascii="David" w:hAnsi="David"/>
          <w:rtl/>
        </w:rPr>
        <w:t xml:space="preserve"> לחוק). בדברי ההסבר לחוק [הצעת </w:t>
      </w:r>
      <w:hyperlink r:id="rId31" w:history="1">
        <w:r w:rsidR="009A0C5D" w:rsidRPr="009A0C5D">
          <w:rPr>
            <w:rFonts w:ascii="David" w:hAnsi="David"/>
            <w:color w:val="0000FF"/>
            <w:u w:val="single"/>
            <w:rtl/>
          </w:rPr>
          <w:t>חוק העונשין</w:t>
        </w:r>
      </w:hyperlink>
      <w:r>
        <w:rPr>
          <w:rFonts w:ascii="David" w:hAnsi="David"/>
          <w:rtl/>
        </w:rPr>
        <w:t xml:space="preserve"> (תיקון מס' 124) (עבירות המתה), </w:t>
      </w:r>
      <w:proofErr w:type="spellStart"/>
      <w:r>
        <w:rPr>
          <w:rFonts w:ascii="David" w:hAnsi="David"/>
          <w:rtl/>
        </w:rPr>
        <w:t>התשע"ו</w:t>
      </w:r>
      <w:proofErr w:type="spellEnd"/>
      <w:r>
        <w:rPr>
          <w:rFonts w:ascii="David" w:hAnsi="David"/>
          <w:rtl/>
        </w:rPr>
        <w:t xml:space="preserve">-2015, </w:t>
      </w:r>
      <w:proofErr w:type="spellStart"/>
      <w:r>
        <w:rPr>
          <w:rFonts w:ascii="David" w:hAnsi="David"/>
          <w:rtl/>
        </w:rPr>
        <w:t>ה"ח</w:t>
      </w:r>
      <w:proofErr w:type="spellEnd"/>
      <w:r>
        <w:rPr>
          <w:rFonts w:ascii="David" w:hAnsi="David"/>
          <w:rtl/>
        </w:rPr>
        <w:t xml:space="preserve"> 972], צוין כי עבירה זו מהווה במידה רבה המחליפה המהותית של עבירת הרצח, בנוסחה טרם התיקון. הנסיבה המחמירה הראשונה שנקבעה בסעיף זה עניינה ברצח שבוצע "</w:t>
      </w:r>
      <w:r>
        <w:rPr>
          <w:rFonts w:ascii="Miriam" w:hAnsi="Miriam" w:cs="Miriam"/>
          <w:rtl/>
        </w:rPr>
        <w:t>לאחר תכנון או לאחר הליך ממשי של שקילה וגיבוש החלטה להמית</w:t>
      </w:r>
      <w:r>
        <w:rPr>
          <w:rFonts w:ascii="David" w:hAnsi="David"/>
          <w:rtl/>
        </w:rPr>
        <w:t>" (</w:t>
      </w:r>
      <w:hyperlink r:id="rId32" w:history="1">
        <w:r w:rsidR="00EF71CD" w:rsidRPr="00EF71CD">
          <w:rPr>
            <w:rStyle w:val="Hyperlink"/>
            <w:rFonts w:ascii="David" w:hAnsi="David"/>
            <w:rtl/>
          </w:rPr>
          <w:t>סעיף 301א(א)(1)</w:t>
        </w:r>
      </w:hyperlink>
      <w:r>
        <w:rPr>
          <w:rFonts w:ascii="David" w:hAnsi="David"/>
          <w:rtl/>
        </w:rPr>
        <w:t xml:space="preserve"> לחוק). חלופה זו נועדה להחליף את מבחני היסוד הנפשי לבחינת ה"כוונה תחילה" בעבירת הרצח ה"ישנה" שהייתה מושא לביקורת בספרות המשפטית ובפסיקה. כך, בדברי ההסבר לתיקון צוין כי יסודות ה"כוונה תחילה" שהיו קבועים </w:t>
      </w:r>
      <w:hyperlink r:id="rId33" w:history="1">
        <w:r w:rsidR="00EF71CD" w:rsidRPr="00EF71CD">
          <w:rPr>
            <w:rStyle w:val="Hyperlink"/>
            <w:rFonts w:ascii="David" w:hAnsi="David"/>
            <w:rtl/>
          </w:rPr>
          <w:t>בסעיף 301</w:t>
        </w:r>
      </w:hyperlink>
      <w:r>
        <w:rPr>
          <w:rFonts w:ascii="David" w:hAnsi="David"/>
          <w:rtl/>
        </w:rPr>
        <w:t xml:space="preserve"> לחוק (הכנה, החלטה להמית והיעדר קנטור) פורשו בפסיקה, הלכה למעשה, באופן שקירב מאוד את הכוונה תחילה, לכוונה (ור' בנדון דו"ח הצוות לבחינת יסודות עבירות ההמתה (2011), בעמ' 9; וכן </w:t>
      </w:r>
      <w:hyperlink r:id="rId34" w:history="1">
        <w:r w:rsidR="009A0C5D" w:rsidRPr="009A0C5D">
          <w:rPr>
            <w:rFonts w:ascii="David" w:hAnsi="David"/>
            <w:color w:val="0000FF"/>
            <w:u w:val="single"/>
            <w:rtl/>
          </w:rPr>
          <w:t>תפ"ח (מחוזי חיפה) 37706-12-17</w:t>
        </w:r>
      </w:hyperlink>
      <w:r>
        <w:rPr>
          <w:rFonts w:ascii="David" w:hAnsi="David"/>
          <w:rtl/>
        </w:rPr>
        <w:t xml:space="preserve"> </w:t>
      </w:r>
      <w:r>
        <w:rPr>
          <w:rFonts w:ascii="Miriam" w:hAnsi="Miriam" w:cs="Miriam"/>
          <w:rtl/>
        </w:rPr>
        <w:t xml:space="preserve">מדינת ישראל נ' </w:t>
      </w:r>
      <w:proofErr w:type="spellStart"/>
      <w:r>
        <w:rPr>
          <w:rFonts w:ascii="Miriam" w:hAnsi="Miriam" w:cs="Miriam"/>
          <w:rtl/>
        </w:rPr>
        <w:t>טאהא</w:t>
      </w:r>
      <w:proofErr w:type="spellEnd"/>
      <w:r>
        <w:rPr>
          <w:rFonts w:ascii="David" w:hAnsi="David"/>
          <w:rtl/>
        </w:rPr>
        <w:t xml:space="preserve"> </w:t>
      </w:r>
      <w:r w:rsidR="0072379C" w:rsidRPr="0072379C">
        <w:rPr>
          <w:sz w:val="22"/>
          <w:rtl/>
        </w:rPr>
        <w:t xml:space="preserve">[פורסם </w:t>
      </w:r>
      <w:proofErr w:type="spellStart"/>
      <w:r w:rsidR="0072379C" w:rsidRPr="0072379C">
        <w:rPr>
          <w:sz w:val="22"/>
          <w:rtl/>
        </w:rPr>
        <w:t>בנבו</w:t>
      </w:r>
      <w:proofErr w:type="spellEnd"/>
      <w:r w:rsidR="0072379C" w:rsidRPr="0072379C">
        <w:rPr>
          <w:sz w:val="22"/>
          <w:rtl/>
        </w:rPr>
        <w:t xml:space="preserve">] </w:t>
      </w:r>
      <w:r>
        <w:rPr>
          <w:rFonts w:ascii="David" w:hAnsi="David"/>
          <w:rtl/>
        </w:rPr>
        <w:t>(15.7.20), פסקאות 402-410).</w:t>
      </w:r>
    </w:p>
    <w:p w14:paraId="794F3B6A" w14:textId="77777777" w:rsidR="00AB1C81" w:rsidRDefault="00AB1C81" w:rsidP="00AB1C81">
      <w:pPr>
        <w:spacing w:line="360" w:lineRule="auto"/>
        <w:ind w:left="368" w:right="284"/>
        <w:jc w:val="both"/>
        <w:rPr>
          <w:rFonts w:ascii="David" w:hAnsi="David"/>
          <w:rtl/>
        </w:rPr>
      </w:pPr>
    </w:p>
    <w:p w14:paraId="6FA7506F" w14:textId="77777777" w:rsidR="00AB1C81" w:rsidRDefault="00AB1C81" w:rsidP="00AB1C81">
      <w:pPr>
        <w:spacing w:line="360" w:lineRule="auto"/>
        <w:ind w:left="368" w:right="284"/>
        <w:jc w:val="both"/>
        <w:rPr>
          <w:rFonts w:ascii="David" w:hAnsi="David"/>
          <w:rtl/>
        </w:rPr>
      </w:pPr>
      <w:r>
        <w:rPr>
          <w:rFonts w:ascii="David" w:hAnsi="David"/>
          <w:u w:val="single"/>
          <w:rtl/>
        </w:rPr>
        <w:t>החלופה השנייה</w:t>
      </w:r>
      <w:r>
        <w:rPr>
          <w:rFonts w:ascii="David" w:hAnsi="David"/>
          <w:rtl/>
        </w:rPr>
        <w:t xml:space="preserve"> לעבירת הרצח הקודמת שהתקבלה במסגרת התיקון – והרלוונטית לענייננו - היא </w:t>
      </w:r>
      <w:r>
        <w:rPr>
          <w:rFonts w:ascii="David" w:hAnsi="David"/>
          <w:u w:val="single"/>
          <w:rtl/>
        </w:rPr>
        <w:t>עבירה של רצח "בסיסי"</w:t>
      </w:r>
      <w:r>
        <w:rPr>
          <w:rFonts w:ascii="David" w:hAnsi="David"/>
          <w:rtl/>
        </w:rPr>
        <w:t xml:space="preserve">, כקבוע </w:t>
      </w:r>
      <w:hyperlink r:id="rId35" w:history="1">
        <w:r w:rsidR="00EF71CD" w:rsidRPr="00EF71CD">
          <w:rPr>
            <w:rStyle w:val="Hyperlink"/>
            <w:rFonts w:ascii="David" w:hAnsi="David"/>
            <w:rtl/>
          </w:rPr>
          <w:t>סעיף 300(א)</w:t>
        </w:r>
      </w:hyperlink>
      <w:r>
        <w:rPr>
          <w:rFonts w:ascii="David" w:hAnsi="David"/>
          <w:rtl/>
        </w:rPr>
        <w:t xml:space="preserve"> לחוק, לפיה: "</w:t>
      </w:r>
      <w:r>
        <w:rPr>
          <w:rFonts w:ascii="Miriam" w:hAnsi="Miriam" w:cs="Miriam"/>
          <w:rtl/>
        </w:rPr>
        <w:t>הגורם בכוונה או באדישות למותו של אדם, דינו –  מאסר עולם</w:t>
      </w:r>
      <w:r>
        <w:rPr>
          <w:rFonts w:ascii="David" w:hAnsi="David"/>
          <w:rtl/>
        </w:rPr>
        <w:t xml:space="preserve">". במישור </w:t>
      </w:r>
      <w:r>
        <w:rPr>
          <w:rFonts w:ascii="David" w:hAnsi="David"/>
          <w:u w:val="single"/>
          <w:rtl/>
        </w:rPr>
        <w:t>המהותי</w:t>
      </w:r>
      <w:r>
        <w:rPr>
          <w:rFonts w:ascii="David" w:hAnsi="David"/>
          <w:rtl/>
        </w:rPr>
        <w:t xml:space="preserve">, השינוי המשמעותי שכלל סעיף זה הוא הכללת יסוד נפשי מסוג "אדישות" לעבירת הרצח, לצד היסוד הנפשי מסוג </w:t>
      </w:r>
      <w:r>
        <w:rPr>
          <w:rFonts w:ascii="David" w:hAnsi="David"/>
          <w:u w:val="single"/>
          <w:rtl/>
        </w:rPr>
        <w:t>כוונה</w:t>
      </w:r>
      <w:r>
        <w:rPr>
          <w:rFonts w:ascii="David" w:hAnsi="David"/>
          <w:rtl/>
        </w:rPr>
        <w:t xml:space="preserve">. במישור </w:t>
      </w:r>
      <w:proofErr w:type="spellStart"/>
      <w:r>
        <w:rPr>
          <w:rFonts w:ascii="David" w:hAnsi="David"/>
          <w:u w:val="single"/>
          <w:rtl/>
        </w:rPr>
        <w:t>העונשי</w:t>
      </w:r>
      <w:proofErr w:type="spellEnd"/>
      <w:r>
        <w:rPr>
          <w:rFonts w:ascii="David" w:hAnsi="David"/>
          <w:rtl/>
        </w:rPr>
        <w:t xml:space="preserve">, השינוי המרכזי הוא בכך שהסעיף קובע עונש של מאסר עולם </w:t>
      </w:r>
      <w:r>
        <w:rPr>
          <w:rFonts w:ascii="David" w:hAnsi="David"/>
          <w:u w:val="single"/>
          <w:rtl/>
        </w:rPr>
        <w:t>שלא כעונש חובה</w:t>
      </w:r>
      <w:r>
        <w:rPr>
          <w:rFonts w:ascii="David" w:hAnsi="David"/>
          <w:rtl/>
        </w:rPr>
        <w:t xml:space="preserve">. </w:t>
      </w:r>
      <w:hyperlink r:id="rId36" w:history="1">
        <w:r w:rsidR="00EF71CD" w:rsidRPr="00EF71CD">
          <w:rPr>
            <w:rStyle w:val="Hyperlink"/>
            <w:rFonts w:ascii="David" w:hAnsi="David"/>
            <w:rtl/>
          </w:rPr>
          <w:t xml:space="preserve">סעיף </w:t>
        </w:r>
        <w:proofErr w:type="spellStart"/>
        <w:r w:rsidR="00EF71CD" w:rsidRPr="00EF71CD">
          <w:rPr>
            <w:rStyle w:val="Hyperlink"/>
            <w:rFonts w:ascii="David" w:hAnsi="David"/>
            <w:rtl/>
          </w:rPr>
          <w:t>311א</w:t>
        </w:r>
        <w:proofErr w:type="spellEnd"/>
        <w:r w:rsidR="00EF71CD" w:rsidRPr="00EF71CD">
          <w:rPr>
            <w:rStyle w:val="Hyperlink"/>
            <w:rFonts w:ascii="David" w:hAnsi="David"/>
            <w:rtl/>
          </w:rPr>
          <w:t>'</w:t>
        </w:r>
      </w:hyperlink>
      <w:r>
        <w:rPr>
          <w:rFonts w:ascii="David" w:hAnsi="David"/>
          <w:rtl/>
        </w:rPr>
        <w:t xml:space="preserve"> לחוק, קובע כי לגבי מאסר עולם שאינו עונש חובה, </w:t>
      </w:r>
      <w:r>
        <w:rPr>
          <w:rFonts w:ascii="David" w:hAnsi="David"/>
          <w:u w:val="single"/>
          <w:rtl/>
        </w:rPr>
        <w:t>רשאי</w:t>
      </w:r>
      <w:r>
        <w:rPr>
          <w:rFonts w:ascii="David" w:hAnsi="David"/>
          <w:rtl/>
        </w:rPr>
        <w:t xml:space="preserve"> בית המשפט להטיל מאסר עולם לתקופה בלתי קצובה </w:t>
      </w:r>
      <w:r>
        <w:rPr>
          <w:rFonts w:ascii="David" w:hAnsi="David"/>
          <w:u w:val="single"/>
          <w:rtl/>
        </w:rPr>
        <w:t>או</w:t>
      </w:r>
      <w:r>
        <w:rPr>
          <w:rFonts w:ascii="David" w:hAnsi="David"/>
          <w:rtl/>
        </w:rPr>
        <w:t xml:space="preserve"> מאסר לתקופה שלא תעלה על שלושים שנים. שינויים אלה באו, בין היתר, בעקבות ההבנה כי ההסדר הקודם בהקשר לעבירות ההמתה היה לקוי במספר היבטים, שלגבי חלקם בתי המשפט עוררו את הצורך ברפורמה מקיפה (ור' בנדון, לדוגמה, האמור </w:t>
      </w:r>
      <w:proofErr w:type="spellStart"/>
      <w:r>
        <w:rPr>
          <w:rFonts w:ascii="David" w:hAnsi="David"/>
          <w:rtl/>
        </w:rPr>
        <w:t>ב</w:t>
      </w:r>
      <w:hyperlink r:id="rId37" w:history="1">
        <w:r w:rsidR="009A0C5D" w:rsidRPr="009A0C5D">
          <w:rPr>
            <w:rFonts w:ascii="David" w:hAnsi="David"/>
            <w:color w:val="0000FF"/>
            <w:u w:val="single"/>
            <w:rtl/>
          </w:rPr>
          <w:t>דנ"פ</w:t>
        </w:r>
        <w:proofErr w:type="spellEnd"/>
        <w:r w:rsidR="009A0C5D" w:rsidRPr="009A0C5D">
          <w:rPr>
            <w:rFonts w:ascii="David" w:hAnsi="David"/>
            <w:color w:val="0000FF"/>
            <w:u w:val="single"/>
            <w:rtl/>
          </w:rPr>
          <w:t xml:space="preserve"> 1042/04</w:t>
        </w:r>
      </w:hyperlink>
      <w:r>
        <w:rPr>
          <w:rFonts w:ascii="David" w:hAnsi="David"/>
          <w:rtl/>
        </w:rPr>
        <w:t xml:space="preserve"> </w:t>
      </w:r>
      <w:r>
        <w:rPr>
          <w:rFonts w:ascii="Miriam" w:hAnsi="Miriam" w:cs="Miriam"/>
          <w:rtl/>
        </w:rPr>
        <w:t>ביטון נ' מדינת ישראל</w:t>
      </w:r>
      <w:r>
        <w:rPr>
          <w:rFonts w:ascii="David" w:hAnsi="David"/>
          <w:rtl/>
        </w:rPr>
        <w:t xml:space="preserve"> </w:t>
      </w:r>
      <w:r w:rsidR="0072379C" w:rsidRPr="0072379C">
        <w:rPr>
          <w:sz w:val="22"/>
          <w:rtl/>
        </w:rPr>
        <w:t xml:space="preserve">[פורסם </w:t>
      </w:r>
      <w:proofErr w:type="spellStart"/>
      <w:r w:rsidR="0072379C" w:rsidRPr="0072379C">
        <w:rPr>
          <w:sz w:val="22"/>
          <w:rtl/>
        </w:rPr>
        <w:t>בנבו</w:t>
      </w:r>
      <w:proofErr w:type="spellEnd"/>
      <w:r w:rsidR="0072379C" w:rsidRPr="0072379C">
        <w:rPr>
          <w:sz w:val="22"/>
          <w:rtl/>
        </w:rPr>
        <w:t xml:space="preserve">] </w:t>
      </w:r>
      <w:r>
        <w:rPr>
          <w:rFonts w:ascii="David" w:hAnsi="David"/>
          <w:rtl/>
        </w:rPr>
        <w:t xml:space="preserve">(27.11.06)). </w:t>
      </w:r>
    </w:p>
    <w:p w14:paraId="00C5A724" w14:textId="77777777" w:rsidR="00AB1C81" w:rsidRDefault="00AB1C81" w:rsidP="00AB1C81">
      <w:pPr>
        <w:pStyle w:val="ListParagraph"/>
        <w:spacing w:after="0" w:line="360" w:lineRule="auto"/>
        <w:ind w:left="368" w:right="284"/>
        <w:jc w:val="both"/>
        <w:rPr>
          <w:rFonts w:ascii="David" w:hAnsi="David" w:cs="David"/>
          <w:sz w:val="24"/>
          <w:szCs w:val="24"/>
        </w:rPr>
      </w:pPr>
    </w:p>
    <w:p w14:paraId="39A9CA73" w14:textId="77777777" w:rsidR="00AB1C81" w:rsidRDefault="00AB1C81" w:rsidP="00AB1C81">
      <w:pPr>
        <w:pStyle w:val="ListParagraph"/>
        <w:spacing w:after="0" w:line="360" w:lineRule="auto"/>
        <w:ind w:left="368" w:right="284"/>
        <w:jc w:val="both"/>
        <w:rPr>
          <w:rFonts w:ascii="David" w:hAnsi="David" w:cs="David"/>
          <w:sz w:val="24"/>
          <w:szCs w:val="24"/>
          <w:rtl/>
        </w:rPr>
      </w:pPr>
      <w:r>
        <w:rPr>
          <w:rFonts w:ascii="David" w:hAnsi="David" w:cs="David"/>
          <w:sz w:val="24"/>
          <w:szCs w:val="24"/>
          <w:rtl/>
        </w:rPr>
        <w:t xml:space="preserve">בספרם של פרופ' </w:t>
      </w:r>
      <w:hyperlink r:id="rId38" w:history="1">
        <w:r w:rsidR="0072379C" w:rsidRPr="0072379C">
          <w:rPr>
            <w:rStyle w:val="Hyperlink"/>
            <w:rFonts w:ascii="David" w:hAnsi="David" w:cs="David"/>
            <w:sz w:val="24"/>
            <w:szCs w:val="24"/>
            <w:rtl/>
          </w:rPr>
          <w:t xml:space="preserve">מ' </w:t>
        </w:r>
        <w:proofErr w:type="spellStart"/>
        <w:r w:rsidR="0072379C" w:rsidRPr="0072379C">
          <w:rPr>
            <w:rStyle w:val="Hyperlink"/>
            <w:rFonts w:ascii="David" w:hAnsi="David" w:cs="David"/>
            <w:sz w:val="24"/>
            <w:szCs w:val="24"/>
            <w:rtl/>
          </w:rPr>
          <w:t>קרמניצר</w:t>
        </w:r>
        <w:proofErr w:type="spellEnd"/>
        <w:r w:rsidR="0072379C" w:rsidRPr="0072379C">
          <w:rPr>
            <w:rStyle w:val="Hyperlink"/>
            <w:rFonts w:ascii="David" w:hAnsi="David" w:cs="David"/>
            <w:sz w:val="24"/>
            <w:szCs w:val="24"/>
            <w:rtl/>
          </w:rPr>
          <w:t xml:space="preserve"> וד"ר ח' גנאים "הרפורמה בעבירות ההמתה - לאור עקרונות היסוד של המשפט ומחקר היסטורי והשוואתי (2020)", </w:t>
        </w:r>
      </w:hyperlink>
      <w:r>
        <w:rPr>
          <w:rFonts w:ascii="David" w:hAnsi="David" w:cs="David"/>
          <w:sz w:val="24"/>
          <w:szCs w:val="24"/>
          <w:rtl/>
        </w:rPr>
        <w:t xml:space="preserve"> מנו המחברים 7 נקודות טעונות תיקון שעלו בפסיקה ובספרות המשפטית בהקשר לעבירות ההמתה בדין הקודם. הראשונה בהן היא מאסר עולם כעונש חובה מבלי שניתן לבית המשפט שיקול דעת. צוין בהקשר זה כך -  </w:t>
      </w:r>
    </w:p>
    <w:p w14:paraId="41C8645C" w14:textId="77777777" w:rsidR="00AB1C81" w:rsidRDefault="00AB1C81" w:rsidP="00AB1C81">
      <w:pPr>
        <w:pStyle w:val="ListParagraph"/>
        <w:spacing w:after="0" w:line="360" w:lineRule="auto"/>
        <w:ind w:left="368" w:right="284"/>
        <w:jc w:val="both"/>
        <w:rPr>
          <w:rFonts w:ascii="David" w:hAnsi="David" w:cs="David"/>
          <w:sz w:val="24"/>
          <w:szCs w:val="24"/>
          <w:rtl/>
        </w:rPr>
      </w:pPr>
    </w:p>
    <w:p w14:paraId="3FBF06C5" w14:textId="77777777" w:rsidR="00AB1C81" w:rsidRDefault="00AB1C81" w:rsidP="00AB1C81">
      <w:pPr>
        <w:pStyle w:val="ListParagraph"/>
        <w:spacing w:after="0" w:line="360" w:lineRule="auto"/>
        <w:ind w:left="368" w:right="284"/>
        <w:jc w:val="both"/>
        <w:rPr>
          <w:rFonts w:ascii="David" w:hAnsi="David" w:cs="David"/>
          <w:sz w:val="24"/>
          <w:szCs w:val="24"/>
          <w:rtl/>
        </w:rPr>
      </w:pPr>
      <w:r>
        <w:rPr>
          <w:rFonts w:ascii="David" w:hAnsi="David" w:cs="David"/>
          <w:b/>
          <w:bCs/>
          <w:sz w:val="24"/>
          <w:szCs w:val="24"/>
          <w:rtl/>
        </w:rPr>
        <w:t>"זהו מצב דברים בעייתי. לא ניתן להגדיר נורמה שרק עונש אחד יתאים להתנהגויות שנופלות בתוכה. היסודות של הנורמה תופסים רק ממדים מוגבלים של המציאות, ואליהם יכולות להצטרף עוד אין ספור וריאציות של נתונים העשויות להשפיע על המשקל האנטי חברתי של ההתנהגות המוגדרת ועל אשמת העושה"</w:t>
      </w:r>
      <w:r>
        <w:rPr>
          <w:rFonts w:ascii="David" w:hAnsi="David" w:cs="David"/>
          <w:sz w:val="24"/>
          <w:szCs w:val="24"/>
          <w:rtl/>
        </w:rPr>
        <w:t xml:space="preserve"> (פרק רביעי, עמ' 207). </w:t>
      </w:r>
    </w:p>
    <w:p w14:paraId="1E739C3E" w14:textId="77777777" w:rsidR="00AB1C81" w:rsidRDefault="00AB1C81" w:rsidP="00AB1C81">
      <w:pPr>
        <w:spacing w:line="360" w:lineRule="auto"/>
        <w:ind w:left="368" w:right="284"/>
        <w:jc w:val="both"/>
        <w:rPr>
          <w:rFonts w:ascii="David" w:hAnsi="David"/>
          <w:rtl/>
        </w:rPr>
      </w:pPr>
    </w:p>
    <w:p w14:paraId="543DC6D8" w14:textId="77777777" w:rsidR="00AB1C81" w:rsidRDefault="00AB1C81" w:rsidP="00AB1C81">
      <w:pPr>
        <w:spacing w:line="360" w:lineRule="auto"/>
        <w:ind w:left="368" w:right="284"/>
        <w:jc w:val="both"/>
        <w:rPr>
          <w:rFonts w:ascii="David" w:hAnsi="David"/>
          <w:rtl/>
        </w:rPr>
      </w:pPr>
      <w:r>
        <w:rPr>
          <w:rFonts w:ascii="David" w:hAnsi="David"/>
          <w:rtl/>
        </w:rPr>
        <w:t xml:space="preserve">דברים דומים צוינו בדו"ח הצוות לבחינת יסודות עבירות ההמתה (2011) -  </w:t>
      </w:r>
    </w:p>
    <w:p w14:paraId="610241E1" w14:textId="77777777" w:rsidR="00AB1C81" w:rsidRDefault="00AB1C81" w:rsidP="00AB1C81">
      <w:pPr>
        <w:spacing w:line="360" w:lineRule="auto"/>
        <w:ind w:left="368" w:right="284"/>
        <w:jc w:val="both"/>
        <w:rPr>
          <w:rFonts w:ascii="David" w:hAnsi="David"/>
          <w:rtl/>
        </w:rPr>
      </w:pPr>
    </w:p>
    <w:p w14:paraId="2EA646C8" w14:textId="77777777" w:rsidR="00AB1C81" w:rsidRDefault="00AB1C81" w:rsidP="00AB1C81">
      <w:pPr>
        <w:spacing w:line="360" w:lineRule="auto"/>
        <w:ind w:left="368" w:right="284"/>
        <w:jc w:val="both"/>
        <w:rPr>
          <w:rFonts w:ascii="David" w:hAnsi="David"/>
          <w:rtl/>
        </w:rPr>
      </w:pPr>
      <w:r>
        <w:rPr>
          <w:rFonts w:ascii="David" w:hAnsi="David"/>
          <w:b/>
          <w:bCs/>
          <w:rtl/>
        </w:rPr>
        <w:t xml:space="preserve">"הבעייתיות בעונש מאסר עולם כעונש חובה, שאין כל אפשרות לסטות ממנו, נעוצה בקושי להגדיר נורמה באופן שרק עונש אחד יתאים לטווח התנהגויות הבאות בגדרה. לכל הגדרה יימצאו נסיבות חריגות, לא טיפוסיות, שבשל התקיימותן הטלת עונש החובה אינה מוצדקת לאור עקרונות המשפט הפלילי, שביסודם התאמת העונש לאשמה שבמעשה" </w:t>
      </w:r>
      <w:r>
        <w:rPr>
          <w:rFonts w:ascii="David" w:hAnsi="David"/>
          <w:rtl/>
        </w:rPr>
        <w:t xml:space="preserve">(עמ' 17 לדו"ח). </w:t>
      </w:r>
    </w:p>
    <w:p w14:paraId="3BF62BAA" w14:textId="77777777" w:rsidR="00AB1C81" w:rsidRDefault="00AB1C81" w:rsidP="00AB1C81">
      <w:pPr>
        <w:spacing w:line="360" w:lineRule="auto"/>
        <w:ind w:left="368" w:right="284"/>
        <w:jc w:val="both"/>
        <w:rPr>
          <w:rFonts w:ascii="David" w:hAnsi="David"/>
          <w:rtl/>
        </w:rPr>
      </w:pPr>
    </w:p>
    <w:p w14:paraId="6DF5FDC2" w14:textId="77777777" w:rsidR="00AB1C81" w:rsidRDefault="00AB1C81" w:rsidP="00AB1C81">
      <w:pPr>
        <w:spacing w:line="360" w:lineRule="auto"/>
        <w:ind w:left="368" w:right="284"/>
        <w:jc w:val="both"/>
        <w:rPr>
          <w:rFonts w:ascii="David" w:hAnsi="David"/>
          <w:rtl/>
        </w:rPr>
      </w:pPr>
      <w:r>
        <w:rPr>
          <w:rFonts w:ascii="David" w:hAnsi="David"/>
          <w:rtl/>
        </w:rPr>
        <w:t xml:space="preserve">ובדברי ההסבר של התיקון צוין בהקשר זה כך - </w:t>
      </w:r>
    </w:p>
    <w:p w14:paraId="1114F5FD" w14:textId="77777777" w:rsidR="00AB1C81" w:rsidRDefault="00AB1C81" w:rsidP="00AB1C81">
      <w:pPr>
        <w:spacing w:line="360" w:lineRule="auto"/>
        <w:ind w:left="368" w:right="284"/>
        <w:jc w:val="both"/>
        <w:rPr>
          <w:rFonts w:ascii="David" w:hAnsi="David"/>
          <w:rtl/>
        </w:rPr>
      </w:pPr>
    </w:p>
    <w:p w14:paraId="6C2D9DC9" w14:textId="77777777" w:rsidR="00AB1C81" w:rsidRDefault="00AB1C81" w:rsidP="00AB1C81">
      <w:pPr>
        <w:spacing w:line="360" w:lineRule="auto"/>
        <w:ind w:left="368" w:right="284"/>
        <w:jc w:val="both"/>
        <w:rPr>
          <w:rFonts w:ascii="David" w:hAnsi="David"/>
          <w:b/>
          <w:bCs/>
          <w:rtl/>
        </w:rPr>
      </w:pPr>
      <w:r>
        <w:rPr>
          <w:rFonts w:ascii="David" w:hAnsi="David"/>
          <w:b/>
          <w:bCs/>
          <w:rtl/>
        </w:rPr>
        <w:t xml:space="preserve">"העונש של מאסר עולם חובה הקבוע בצד עבירת הרצח לפי סעיף 300 לחוק, שלא ניתן לסטות ממנו, הוא עונש שאינו מאפשר גמישות והכרעה בהתאם לנסיבות המקרה הפרטניות, ולעיתים אינו הולם את מידת האשמה שבמעשה". </w:t>
      </w:r>
    </w:p>
    <w:p w14:paraId="2D0B0EAC" w14:textId="77777777" w:rsidR="00AB1C81" w:rsidRDefault="00AB1C81" w:rsidP="00AB1C81">
      <w:pPr>
        <w:spacing w:line="360" w:lineRule="auto"/>
        <w:ind w:left="368" w:right="284"/>
        <w:jc w:val="both"/>
        <w:rPr>
          <w:rFonts w:ascii="David" w:hAnsi="David"/>
          <w:rtl/>
        </w:rPr>
      </w:pPr>
    </w:p>
    <w:p w14:paraId="1C3EB0A2" w14:textId="77777777" w:rsidR="00AB1C81" w:rsidRDefault="00AB1C81" w:rsidP="00AB1C81">
      <w:pPr>
        <w:pStyle w:val="ListParagraph"/>
        <w:spacing w:after="0" w:line="360" w:lineRule="auto"/>
        <w:ind w:left="368" w:right="284"/>
        <w:jc w:val="both"/>
        <w:rPr>
          <w:rFonts w:ascii="David" w:hAnsi="David" w:cs="David"/>
          <w:b/>
          <w:bCs/>
          <w:sz w:val="24"/>
          <w:szCs w:val="24"/>
          <w:rtl/>
        </w:rPr>
      </w:pPr>
      <w:r>
        <w:rPr>
          <w:rFonts w:ascii="David" w:hAnsi="David" w:cs="David"/>
          <w:sz w:val="24"/>
          <w:szCs w:val="24"/>
          <w:rtl/>
        </w:rPr>
        <w:t xml:space="preserve">עוד אפנה בהקשר זה לכך כי עקרון הענישה המרבית הוא עקרון יסוד בשיטת הענישה הישראלית, כקבוע </w:t>
      </w:r>
      <w:hyperlink r:id="rId39" w:history="1">
        <w:r w:rsidR="00EF71CD" w:rsidRPr="00EF71CD">
          <w:rPr>
            <w:rStyle w:val="Hyperlink"/>
            <w:rFonts w:ascii="David" w:hAnsi="David" w:cs="David"/>
            <w:sz w:val="24"/>
            <w:szCs w:val="24"/>
            <w:rtl/>
          </w:rPr>
          <w:t>בסעיף 35(א)</w:t>
        </w:r>
      </w:hyperlink>
      <w:r>
        <w:rPr>
          <w:rFonts w:ascii="David" w:hAnsi="David" w:cs="David"/>
          <w:sz w:val="24"/>
          <w:szCs w:val="24"/>
          <w:rtl/>
        </w:rPr>
        <w:t xml:space="preserve"> לחוק, לפיו: "</w:t>
      </w:r>
      <w:r>
        <w:rPr>
          <w:rFonts w:ascii="David" w:hAnsi="David" w:cs="David"/>
          <w:b/>
          <w:bCs/>
          <w:sz w:val="24"/>
          <w:szCs w:val="24"/>
          <w:rtl/>
        </w:rPr>
        <w:t>בית המשפט שהרשיע אדם בשל עבירה, רשאי להטיל עליו כל עונש אשר אינו עולה על העונש שנקבע בדין לאותה עבירה"</w:t>
      </w:r>
      <w:r>
        <w:rPr>
          <w:rFonts w:ascii="David" w:hAnsi="David" w:cs="David"/>
          <w:sz w:val="24"/>
          <w:szCs w:val="24"/>
          <w:rtl/>
        </w:rPr>
        <w:t>. משמע, הכלל הוא כי העונשים הקבועים בחקיקה הפלילית הם עונשים מרביים, לצד החריגים לכלל זה - דוגמת רצח בנסיבות מחמירות, שגם לו קבועים חריגים. בנדון ציין פרופ' גבריאל הלוי (</w:t>
      </w:r>
      <w:r>
        <w:rPr>
          <w:rFonts w:ascii="Miriam" w:hAnsi="Miriam" w:cs="Miriam"/>
          <w:sz w:val="24"/>
          <w:szCs w:val="24"/>
          <w:rtl/>
        </w:rPr>
        <w:t>תורת דיני העונשין</w:t>
      </w:r>
      <w:r>
        <w:rPr>
          <w:rFonts w:ascii="David" w:hAnsi="David" w:cs="David"/>
          <w:sz w:val="24"/>
          <w:szCs w:val="24"/>
          <w:rtl/>
        </w:rPr>
        <w:t xml:space="preserve"> (2010), כרך ג', בעמ' 778), כי:</w:t>
      </w:r>
      <w:r>
        <w:rPr>
          <w:rFonts w:ascii="David" w:hAnsi="David" w:cs="David"/>
          <w:b/>
          <w:bCs/>
          <w:sz w:val="24"/>
          <w:szCs w:val="24"/>
          <w:rtl/>
        </w:rPr>
        <w:t xml:space="preserve"> "שיטת הענישה המרבית מאפשרת לערכאה השיפוטית להשתמש בשיקול דעתה באופן הנרחב ביותר לאור התחשבות בנסיבות העבירה ובנסיבות העבריין לצורך הבחירה בענישה המתאימה ביותר למקרה הספציפי. במסגרת טווח שיקול הדעת המוקנה לערכאה השיפוטית בשיטת הענישה המרבית על הערכאה השיפוטית לשקלל את ההתחשבות בנתוני העבירה ואת ההתחשבות בנתוני העבריין לצורך התאמתה של הענישה הנדרשת לאותו טווח ענישה".</w:t>
      </w:r>
    </w:p>
    <w:p w14:paraId="2C0AE9A8" w14:textId="77777777" w:rsidR="00AB1C81" w:rsidRDefault="00AB1C81" w:rsidP="00AB1C81">
      <w:pPr>
        <w:spacing w:line="360" w:lineRule="auto"/>
        <w:ind w:left="368" w:right="284"/>
        <w:jc w:val="both"/>
        <w:rPr>
          <w:rFonts w:ascii="David" w:hAnsi="David"/>
          <w:rtl/>
        </w:rPr>
      </w:pPr>
    </w:p>
    <w:p w14:paraId="39B28B5A" w14:textId="77777777" w:rsidR="00AB1C81" w:rsidRDefault="00AB1C81" w:rsidP="00AB1C81">
      <w:pPr>
        <w:pStyle w:val="ListParagraph"/>
        <w:numPr>
          <w:ilvl w:val="0"/>
          <w:numId w:val="1"/>
        </w:numPr>
        <w:spacing w:after="0" w:line="360" w:lineRule="auto"/>
        <w:ind w:left="368" w:right="284"/>
        <w:jc w:val="both"/>
        <w:rPr>
          <w:rFonts w:ascii="David" w:hAnsi="David" w:cs="David"/>
          <w:sz w:val="24"/>
          <w:szCs w:val="24"/>
          <w:rtl/>
        </w:rPr>
      </w:pPr>
      <w:r>
        <w:rPr>
          <w:rFonts w:ascii="David" w:hAnsi="David" w:cs="David"/>
          <w:sz w:val="24"/>
          <w:szCs w:val="24"/>
          <w:rtl/>
        </w:rPr>
        <w:t xml:space="preserve">על יסוד כלל הנימוקים לעיל, המקובלים עלי ואני מאמצם, איני יכול לקבל את טענת המאשימה לפיה הרשעת הנאשם בעבירת הרצח הבסיסית מחייבת השתת מאסר עולם "כעונש מוצא" וכי סטייה מעונש זה תיעשה רק במקרים חריגים. לא בכדי המחוקק בחר לאפשר לבית המשפט להפעיל שיקול דעת </w:t>
      </w:r>
      <w:r>
        <w:rPr>
          <w:rFonts w:ascii="David" w:hAnsi="David" w:cs="David"/>
          <w:sz w:val="24"/>
          <w:szCs w:val="24"/>
          <w:u w:val="single"/>
          <w:rtl/>
        </w:rPr>
        <w:t>גם</w:t>
      </w:r>
      <w:r>
        <w:rPr>
          <w:rFonts w:ascii="David" w:hAnsi="David" w:cs="David"/>
          <w:sz w:val="24"/>
          <w:szCs w:val="24"/>
          <w:rtl/>
        </w:rPr>
        <w:t xml:space="preserve"> כאשר מדובר ברצח בכוונה. ויובהר, בנסיבות המתאימות ניתן גם ניתן יהיה לגזור מאסר עולם גם ברצח "בסיסי". </w:t>
      </w:r>
    </w:p>
    <w:p w14:paraId="1198D3D0" w14:textId="77777777" w:rsidR="00AB1C81" w:rsidRDefault="00AB1C81" w:rsidP="00AB1C81">
      <w:pPr>
        <w:spacing w:line="360" w:lineRule="auto"/>
        <w:ind w:left="368" w:right="284"/>
        <w:jc w:val="both"/>
        <w:rPr>
          <w:rFonts w:ascii="David" w:hAnsi="David"/>
          <w:rtl/>
        </w:rPr>
      </w:pPr>
    </w:p>
    <w:p w14:paraId="2F029D6B" w14:textId="77777777" w:rsidR="00AB1C81" w:rsidRDefault="00AB1C81" w:rsidP="00AB1C81">
      <w:pPr>
        <w:pStyle w:val="ListParagraph"/>
        <w:numPr>
          <w:ilvl w:val="0"/>
          <w:numId w:val="1"/>
        </w:numPr>
        <w:spacing w:after="0" w:line="360" w:lineRule="auto"/>
        <w:ind w:left="368" w:right="284"/>
        <w:jc w:val="both"/>
        <w:rPr>
          <w:rFonts w:ascii="David" w:hAnsi="David" w:cs="David"/>
          <w:sz w:val="24"/>
          <w:szCs w:val="24"/>
          <w:rtl/>
        </w:rPr>
      </w:pPr>
      <w:r>
        <w:rPr>
          <w:rFonts w:ascii="David" w:hAnsi="David" w:cs="David"/>
          <w:sz w:val="24"/>
          <w:szCs w:val="24"/>
          <w:rtl/>
        </w:rPr>
        <w:t xml:space="preserve">חזרה לענייננו – </w:t>
      </w:r>
    </w:p>
    <w:p w14:paraId="125DD6F5" w14:textId="77777777" w:rsidR="00AB1C81" w:rsidRDefault="00AB1C81" w:rsidP="00AB1C81">
      <w:pPr>
        <w:pStyle w:val="ListParagraph"/>
        <w:spacing w:after="0" w:line="360" w:lineRule="auto"/>
        <w:ind w:left="368" w:right="284"/>
        <w:jc w:val="both"/>
        <w:rPr>
          <w:rFonts w:ascii="David" w:hAnsi="David" w:cs="David"/>
          <w:sz w:val="24"/>
          <w:szCs w:val="24"/>
        </w:rPr>
      </w:pPr>
    </w:p>
    <w:p w14:paraId="350C3A9D" w14:textId="77777777" w:rsidR="00AB1C81" w:rsidRDefault="00AB1C81" w:rsidP="00AB1C81">
      <w:pPr>
        <w:pStyle w:val="ListParagraph"/>
        <w:numPr>
          <w:ilvl w:val="0"/>
          <w:numId w:val="1"/>
        </w:numPr>
        <w:spacing w:after="0" w:line="360" w:lineRule="auto"/>
        <w:ind w:left="368" w:right="284"/>
        <w:jc w:val="both"/>
        <w:rPr>
          <w:rFonts w:cs="David"/>
          <w:sz w:val="24"/>
          <w:szCs w:val="24"/>
        </w:rPr>
      </w:pPr>
      <w:r>
        <w:rPr>
          <w:rFonts w:cs="David"/>
          <w:sz w:val="24"/>
          <w:szCs w:val="24"/>
          <w:rtl/>
        </w:rPr>
        <w:t xml:space="preserve">המנוח,  אב ל 4 קטינים הותיר משפחה כואבת והמומה. הנאשם הוא זה שאחראי לנטילת חייו של המנוח ולפגיעה בערך החשוב מכל של קדושת החיים. הפגיעה, והדברים ברורים מאליהם, קשה ביותר. </w:t>
      </w:r>
    </w:p>
    <w:p w14:paraId="3131690F" w14:textId="77777777" w:rsidR="00AB1C81" w:rsidRDefault="00AB1C81" w:rsidP="00AB1C81">
      <w:pPr>
        <w:pStyle w:val="ListParagraph"/>
        <w:ind w:left="368" w:right="284"/>
        <w:rPr>
          <w:rFonts w:cs="David"/>
          <w:sz w:val="24"/>
          <w:szCs w:val="24"/>
        </w:rPr>
      </w:pPr>
    </w:p>
    <w:p w14:paraId="4F983DFD" w14:textId="77777777" w:rsidR="00AB1C81" w:rsidRDefault="00AB1C81" w:rsidP="00AB1C81">
      <w:pPr>
        <w:pStyle w:val="ListParagraph"/>
        <w:spacing w:after="0" w:line="360" w:lineRule="auto"/>
        <w:ind w:left="368" w:right="284"/>
        <w:jc w:val="both"/>
        <w:rPr>
          <w:rFonts w:cs="David"/>
          <w:sz w:val="24"/>
          <w:szCs w:val="24"/>
          <w:rtl/>
        </w:rPr>
      </w:pPr>
      <w:r w:rsidRPr="004B7DF4">
        <w:rPr>
          <w:rFonts w:cs="David"/>
          <w:sz w:val="24"/>
          <w:szCs w:val="24"/>
          <w:rtl/>
        </w:rPr>
        <w:t>ב</w:t>
      </w:r>
      <w:hyperlink r:id="rId40" w:history="1">
        <w:r w:rsidR="009A0C5D" w:rsidRPr="009A0C5D">
          <w:rPr>
            <w:rFonts w:cs="David" w:hint="cs"/>
            <w:color w:val="0000FF"/>
            <w:sz w:val="24"/>
            <w:szCs w:val="24"/>
            <w:u w:val="single"/>
            <w:rtl/>
          </w:rPr>
          <w:t>ע</w:t>
        </w:r>
        <w:r w:rsidR="009A0C5D" w:rsidRPr="009A0C5D">
          <w:rPr>
            <w:rFonts w:cs="David"/>
            <w:color w:val="0000FF"/>
            <w:sz w:val="24"/>
            <w:szCs w:val="24"/>
            <w:u w:val="single"/>
            <w:rtl/>
          </w:rPr>
          <w:t>"</w:t>
        </w:r>
        <w:r w:rsidR="009A0C5D" w:rsidRPr="009A0C5D">
          <w:rPr>
            <w:rFonts w:cs="David" w:hint="cs"/>
            <w:color w:val="0000FF"/>
            <w:sz w:val="24"/>
            <w:szCs w:val="24"/>
            <w:u w:val="single"/>
            <w:rtl/>
          </w:rPr>
          <w:t>פ</w:t>
        </w:r>
        <w:r w:rsidR="009A0C5D" w:rsidRPr="009A0C5D">
          <w:rPr>
            <w:rFonts w:cs="David"/>
            <w:color w:val="0000FF"/>
            <w:sz w:val="24"/>
            <w:szCs w:val="24"/>
            <w:u w:val="single"/>
            <w:rtl/>
          </w:rPr>
          <w:t xml:space="preserve"> 9422/11</w:t>
        </w:r>
      </w:hyperlink>
      <w:r>
        <w:rPr>
          <w:rFonts w:cs="David"/>
          <w:sz w:val="24"/>
          <w:szCs w:val="24"/>
          <w:rtl/>
        </w:rPr>
        <w:t xml:space="preserve"> </w:t>
      </w:r>
      <w:r>
        <w:rPr>
          <w:rFonts w:ascii="Miriam" w:hAnsi="Miriam" w:cs="Miriam"/>
          <w:sz w:val="24"/>
          <w:szCs w:val="24"/>
          <w:rtl/>
        </w:rPr>
        <w:t xml:space="preserve">דהן נ' מדינת ישראל </w:t>
      </w:r>
      <w:r w:rsidR="0072379C" w:rsidRPr="0072379C">
        <w:rPr>
          <w:rFonts w:ascii="Times New Roman" w:hAnsi="Times New Roman" w:cs="David"/>
          <w:szCs w:val="24"/>
          <w:rtl/>
        </w:rPr>
        <w:t xml:space="preserve">[פורסם </w:t>
      </w:r>
      <w:proofErr w:type="spellStart"/>
      <w:r w:rsidR="0072379C" w:rsidRPr="0072379C">
        <w:rPr>
          <w:rFonts w:ascii="Times New Roman" w:hAnsi="Times New Roman" w:cs="David"/>
          <w:szCs w:val="24"/>
          <w:rtl/>
        </w:rPr>
        <w:t>בנבו</w:t>
      </w:r>
      <w:proofErr w:type="spellEnd"/>
      <w:r w:rsidR="0072379C" w:rsidRPr="0072379C">
        <w:rPr>
          <w:rFonts w:ascii="Times New Roman" w:hAnsi="Times New Roman" w:cs="David"/>
          <w:szCs w:val="24"/>
          <w:rtl/>
        </w:rPr>
        <w:t xml:space="preserve">] </w:t>
      </w:r>
      <w:r>
        <w:rPr>
          <w:rFonts w:cs="David"/>
          <w:sz w:val="24"/>
          <w:szCs w:val="24"/>
          <w:rtl/>
        </w:rPr>
        <w:t xml:space="preserve">(3.7.13), הובאו הדברים הבאים שנכונים גם לענייננו: </w:t>
      </w:r>
    </w:p>
    <w:p w14:paraId="1E8EEF13" w14:textId="77777777" w:rsidR="00AB1C81" w:rsidRDefault="00AB1C81" w:rsidP="00AB1C81">
      <w:pPr>
        <w:pStyle w:val="ListParagraph"/>
        <w:spacing w:after="0" w:line="360" w:lineRule="auto"/>
        <w:ind w:left="368" w:right="284"/>
        <w:jc w:val="both"/>
        <w:rPr>
          <w:rFonts w:cs="David"/>
          <w:sz w:val="24"/>
          <w:szCs w:val="24"/>
          <w:rtl/>
        </w:rPr>
      </w:pPr>
    </w:p>
    <w:p w14:paraId="6C766F69" w14:textId="77777777" w:rsidR="00AB1C81" w:rsidRDefault="00AB1C81" w:rsidP="00AB1C81">
      <w:pPr>
        <w:pStyle w:val="ListParagraph"/>
        <w:spacing w:after="0" w:line="360" w:lineRule="auto"/>
        <w:ind w:left="368" w:right="284"/>
        <w:jc w:val="both"/>
        <w:rPr>
          <w:rFonts w:ascii="David" w:hAnsi="David" w:cs="David"/>
          <w:b/>
          <w:bCs/>
          <w:sz w:val="24"/>
          <w:szCs w:val="24"/>
          <w:rtl/>
        </w:rPr>
      </w:pPr>
      <w:r>
        <w:rPr>
          <w:rFonts w:ascii="David" w:hAnsi="David" w:cs="David"/>
          <w:b/>
          <w:bCs/>
          <w:sz w:val="24"/>
          <w:szCs w:val="24"/>
          <w:rtl/>
        </w:rPr>
        <w:t xml:space="preserve">"דומה, כי כבר נאמר כל שניתן על הקלות הבלתי נתפסת בה נגדעים בארצנו חיי אדם, ולא נותר אלא לחזור על הדברים. חילופי דברים וסכסוכים של מה בכך מובילים במקרים רבים מדי ובמהירות גדולה מדי לשליפת כלי נשק, קר או חם, או לנקיטה במעשי אלימות קטלנים. יתרה מכך, לעיתים נדמה שחל פיחות בלתי נסלח ובלתי נסבל בערכם של חיי אדם. בראש ובראשונה עלינו לשוות לנגד עיננו את המנוח שחייו קופדו בנסיבות שאין להשלים עימן, ולהגנה על ערך החיים וקדושתם שמור משקל משמעותי ביותר במלאכת הענישה". </w:t>
      </w:r>
    </w:p>
    <w:p w14:paraId="169D023D" w14:textId="77777777" w:rsidR="00AB1C81" w:rsidRDefault="00AB1C81" w:rsidP="00AB1C81">
      <w:pPr>
        <w:pStyle w:val="ListParagraph"/>
        <w:spacing w:after="0" w:line="360" w:lineRule="auto"/>
        <w:ind w:left="368" w:right="284"/>
        <w:jc w:val="both"/>
        <w:rPr>
          <w:rFonts w:cs="David"/>
          <w:sz w:val="24"/>
          <w:szCs w:val="24"/>
          <w:rtl/>
        </w:rPr>
      </w:pPr>
    </w:p>
    <w:p w14:paraId="206B91A3" w14:textId="77777777" w:rsidR="00AB1C81" w:rsidRDefault="00AB1C81" w:rsidP="00AB1C81">
      <w:pPr>
        <w:pStyle w:val="ListParagraph"/>
        <w:numPr>
          <w:ilvl w:val="0"/>
          <w:numId w:val="1"/>
        </w:numPr>
        <w:spacing w:after="0" w:line="360" w:lineRule="auto"/>
        <w:ind w:left="368" w:right="284"/>
        <w:jc w:val="both"/>
        <w:rPr>
          <w:rFonts w:ascii="David" w:hAnsi="David" w:cs="David"/>
          <w:sz w:val="24"/>
          <w:szCs w:val="24"/>
          <w:rtl/>
        </w:rPr>
      </w:pPr>
      <w:r>
        <w:rPr>
          <w:rFonts w:ascii="David" w:hAnsi="David" w:cs="David"/>
          <w:sz w:val="24"/>
          <w:szCs w:val="24"/>
          <w:rtl/>
        </w:rPr>
        <w:t xml:space="preserve">הנאשם הורשע ב 3 עבירות, ומשום שכלל מעשיו בוצעו בהקשר לאותה תכנית עבריינית, מדובר באירוע אחד ולכן יש לקבוע מתחם אחד. </w:t>
      </w:r>
    </w:p>
    <w:p w14:paraId="59BEEBE3" w14:textId="77777777" w:rsidR="00AB1C81" w:rsidRDefault="00AB1C81" w:rsidP="00AB1C81">
      <w:pPr>
        <w:pStyle w:val="ListParagraph"/>
        <w:ind w:left="368" w:right="284"/>
        <w:rPr>
          <w:rFonts w:ascii="David" w:hAnsi="David" w:cs="David"/>
          <w:sz w:val="24"/>
          <w:szCs w:val="24"/>
        </w:rPr>
      </w:pPr>
    </w:p>
    <w:p w14:paraId="0C6C3CDC" w14:textId="77777777" w:rsidR="00AB1C81" w:rsidRDefault="00AB1C81" w:rsidP="00AB1C81">
      <w:pPr>
        <w:pStyle w:val="ListParagraph"/>
        <w:numPr>
          <w:ilvl w:val="0"/>
          <w:numId w:val="1"/>
        </w:numPr>
        <w:spacing w:after="0" w:line="360" w:lineRule="auto"/>
        <w:ind w:left="368" w:right="284"/>
        <w:jc w:val="both"/>
        <w:rPr>
          <w:rFonts w:ascii="David" w:hAnsi="David" w:cs="David"/>
          <w:sz w:val="24"/>
          <w:szCs w:val="24"/>
          <w:rtl/>
        </w:rPr>
      </w:pPr>
      <w:r>
        <w:rPr>
          <w:rFonts w:ascii="David" w:hAnsi="David" w:cs="David"/>
          <w:sz w:val="24"/>
          <w:szCs w:val="24"/>
          <w:u w:val="single"/>
          <w:rtl/>
        </w:rPr>
        <w:t>לגבי נסיבות ביצוע העבירה</w:t>
      </w:r>
      <w:r>
        <w:rPr>
          <w:rFonts w:ascii="David" w:hAnsi="David" w:cs="David"/>
          <w:sz w:val="24"/>
          <w:szCs w:val="24"/>
          <w:rtl/>
        </w:rPr>
        <w:t xml:space="preserve"> - על רקע סכסוך קודם (בכתב האישום לא </w:t>
      </w:r>
      <w:proofErr w:type="spellStart"/>
      <w:r>
        <w:rPr>
          <w:rFonts w:ascii="David" w:hAnsi="David" w:cs="David"/>
          <w:sz w:val="24"/>
          <w:szCs w:val="24"/>
          <w:rtl/>
        </w:rPr>
        <w:t>צויין</w:t>
      </w:r>
      <w:proofErr w:type="spellEnd"/>
      <w:r>
        <w:rPr>
          <w:rFonts w:ascii="David" w:hAnsi="David" w:cs="David"/>
          <w:sz w:val="24"/>
          <w:szCs w:val="24"/>
          <w:rtl/>
        </w:rPr>
        <w:t xml:space="preserve"> מה הרקע לו, אך לא היה חולק כי לפחות בחלקו הוא על רקע בניה מצד המנוח, שהיה שכנו של הנאשם ואחיו), התפתח זמן קצר לפני האירוע הקטלני ויכוח מילולי בין אחיו של הנאשם (</w:t>
      </w:r>
      <w:proofErr w:type="spellStart"/>
      <w:r>
        <w:rPr>
          <w:rFonts w:ascii="David" w:hAnsi="David" w:cs="David"/>
          <w:sz w:val="24"/>
          <w:szCs w:val="24"/>
          <w:rtl/>
        </w:rPr>
        <w:t>כמאל</w:t>
      </w:r>
      <w:proofErr w:type="spellEnd"/>
      <w:r>
        <w:rPr>
          <w:rFonts w:ascii="David" w:hAnsi="David" w:cs="David"/>
          <w:sz w:val="24"/>
          <w:szCs w:val="24"/>
          <w:rtl/>
        </w:rPr>
        <w:t xml:space="preserve">) לבין המנוח. </w:t>
      </w:r>
    </w:p>
    <w:p w14:paraId="2F676BC9" w14:textId="77777777" w:rsidR="00AB1C81" w:rsidRDefault="00AB1C81" w:rsidP="00AB1C81">
      <w:pPr>
        <w:pStyle w:val="ListParagraph"/>
        <w:spacing w:after="0" w:line="360" w:lineRule="auto"/>
        <w:ind w:left="368" w:right="284"/>
        <w:jc w:val="both"/>
        <w:rPr>
          <w:rFonts w:ascii="David" w:hAnsi="David" w:cs="David"/>
          <w:sz w:val="24"/>
          <w:szCs w:val="24"/>
        </w:rPr>
      </w:pPr>
      <w:r>
        <w:rPr>
          <w:rFonts w:ascii="David" w:hAnsi="David" w:cs="David"/>
          <w:sz w:val="24"/>
          <w:szCs w:val="24"/>
          <w:rtl/>
        </w:rPr>
        <w:t xml:space="preserve">הנאשם היה עד לוויכוח זה. בעקבות אותו ויכוח קבעו המנוח </w:t>
      </w:r>
      <w:proofErr w:type="spellStart"/>
      <w:r>
        <w:rPr>
          <w:rFonts w:ascii="David" w:hAnsi="David" w:cs="David"/>
          <w:sz w:val="24"/>
          <w:szCs w:val="24"/>
          <w:rtl/>
        </w:rPr>
        <w:t>וכמאל</w:t>
      </w:r>
      <w:proofErr w:type="spellEnd"/>
      <w:r>
        <w:rPr>
          <w:rFonts w:ascii="David" w:hAnsi="David" w:cs="David"/>
          <w:sz w:val="24"/>
          <w:szCs w:val="24"/>
          <w:rtl/>
        </w:rPr>
        <w:t xml:space="preserve"> להיפגש סמוך לכביש 6 על מנת "לסגור עניינים". בשלב זה, הנאשם נכנס לביתו והצטייד באקדח אותו החזיק שלא כדין. הנאשם יצא מהבית, נכנס לרכבו של אחיו </w:t>
      </w:r>
      <w:proofErr w:type="spellStart"/>
      <w:r>
        <w:rPr>
          <w:rFonts w:ascii="David" w:hAnsi="David" w:cs="David"/>
          <w:sz w:val="24"/>
          <w:szCs w:val="24"/>
          <w:rtl/>
        </w:rPr>
        <w:t>כמאל</w:t>
      </w:r>
      <w:proofErr w:type="spellEnd"/>
      <w:r>
        <w:rPr>
          <w:rFonts w:ascii="David" w:hAnsi="David" w:cs="David"/>
          <w:sz w:val="24"/>
          <w:szCs w:val="24"/>
          <w:rtl/>
        </w:rPr>
        <w:t xml:space="preserve"> כשהוא נושא עמו את האקדח שהיה טעון בכדורים והשניים נסעו להיפגש עם המנוח. </w:t>
      </w:r>
    </w:p>
    <w:p w14:paraId="2D9EC9C6" w14:textId="77777777" w:rsidR="00AB1C81" w:rsidRDefault="00AB1C81" w:rsidP="00AB1C81">
      <w:pPr>
        <w:pStyle w:val="ListParagraph"/>
        <w:ind w:left="368" w:right="284"/>
        <w:rPr>
          <w:rFonts w:ascii="David" w:hAnsi="David" w:cs="David"/>
          <w:sz w:val="24"/>
          <w:szCs w:val="24"/>
        </w:rPr>
      </w:pPr>
    </w:p>
    <w:p w14:paraId="3FAF7CE8" w14:textId="77777777" w:rsidR="00AB1C81" w:rsidRDefault="00AB1C81" w:rsidP="00AB1C81">
      <w:pPr>
        <w:pStyle w:val="ListParagraph"/>
        <w:numPr>
          <w:ilvl w:val="0"/>
          <w:numId w:val="1"/>
        </w:numPr>
        <w:spacing w:after="0" w:line="360" w:lineRule="auto"/>
        <w:ind w:left="368" w:right="284"/>
        <w:jc w:val="both"/>
        <w:rPr>
          <w:rFonts w:ascii="David" w:hAnsi="David" w:cs="David"/>
          <w:sz w:val="24"/>
          <w:szCs w:val="24"/>
          <w:rtl/>
        </w:rPr>
      </w:pPr>
      <w:r>
        <w:rPr>
          <w:rFonts w:ascii="David" w:hAnsi="David" w:cs="David"/>
          <w:sz w:val="24"/>
          <w:szCs w:val="24"/>
          <w:rtl/>
        </w:rPr>
        <w:t xml:space="preserve">כבר בשלב זה ניתן לעמוד על חומרת מעשי הנאשם – </w:t>
      </w:r>
    </w:p>
    <w:p w14:paraId="4A57B12A" w14:textId="77777777" w:rsidR="00AB1C81" w:rsidRDefault="00AB1C81" w:rsidP="00AB1C81">
      <w:pPr>
        <w:pStyle w:val="ListParagraph"/>
        <w:ind w:left="368" w:right="284"/>
        <w:rPr>
          <w:rFonts w:ascii="David" w:hAnsi="David" w:cs="David"/>
          <w:sz w:val="24"/>
          <w:szCs w:val="24"/>
          <w:u w:val="single"/>
        </w:rPr>
      </w:pPr>
    </w:p>
    <w:p w14:paraId="21346CC7" w14:textId="77777777" w:rsidR="00AB1C81" w:rsidRDefault="00AB1C81" w:rsidP="00AB1C81">
      <w:pPr>
        <w:pStyle w:val="ListParagraph"/>
        <w:spacing w:after="0" w:line="360" w:lineRule="auto"/>
        <w:ind w:left="368" w:right="284"/>
        <w:jc w:val="both"/>
        <w:rPr>
          <w:rFonts w:ascii="David" w:hAnsi="David" w:cs="David"/>
          <w:sz w:val="24"/>
          <w:szCs w:val="24"/>
          <w:rtl/>
        </w:rPr>
      </w:pPr>
      <w:r>
        <w:rPr>
          <w:rFonts w:ascii="David" w:hAnsi="David" w:cs="David"/>
          <w:sz w:val="24"/>
          <w:szCs w:val="24"/>
          <w:u w:val="single"/>
          <w:rtl/>
        </w:rPr>
        <w:t xml:space="preserve">הכוונה להחלטתו להצטרף לאחיו לצורך מפגש עם המנוח שמטרתו "לסגור עניינים", ובעיקר להחלטתו להביא עמו נשק </w:t>
      </w:r>
      <w:r>
        <w:rPr>
          <w:rFonts w:ascii="David" w:hAnsi="David" w:cs="David"/>
          <w:sz w:val="24"/>
          <w:szCs w:val="24"/>
          <w:rtl/>
        </w:rPr>
        <w:t xml:space="preserve">(שהוחזק על ידו שלא כדין) למפגש שכזה. החלטה הרת גורל תתגלה כעבור מספר דקות כטראגית וקשה.  </w:t>
      </w:r>
    </w:p>
    <w:p w14:paraId="733DE3EF" w14:textId="77777777" w:rsidR="00AB1C81" w:rsidRDefault="00AB1C81" w:rsidP="00AB1C81">
      <w:pPr>
        <w:pStyle w:val="ListParagraph"/>
        <w:spacing w:after="0" w:line="360" w:lineRule="auto"/>
        <w:ind w:left="368" w:right="284"/>
        <w:jc w:val="both"/>
        <w:rPr>
          <w:rFonts w:ascii="David" w:hAnsi="David" w:cs="David"/>
          <w:sz w:val="24"/>
          <w:szCs w:val="24"/>
          <w:rtl/>
        </w:rPr>
      </w:pPr>
    </w:p>
    <w:p w14:paraId="285E3944" w14:textId="77777777" w:rsidR="00AB1C81" w:rsidRDefault="00AB1C81" w:rsidP="00AB1C81">
      <w:pPr>
        <w:pStyle w:val="ListParagraph"/>
        <w:spacing w:after="0" w:line="360" w:lineRule="auto"/>
        <w:ind w:left="368" w:right="284"/>
        <w:jc w:val="both"/>
        <w:rPr>
          <w:rFonts w:ascii="David" w:hAnsi="David" w:cs="David"/>
          <w:sz w:val="24"/>
          <w:szCs w:val="24"/>
          <w:rtl/>
        </w:rPr>
      </w:pPr>
      <w:r>
        <w:rPr>
          <w:rFonts w:ascii="David" w:hAnsi="David" w:cs="David"/>
          <w:sz w:val="24"/>
          <w:szCs w:val="24"/>
          <w:rtl/>
        </w:rPr>
        <w:t xml:space="preserve">בטיעוניו לעונש הציג הנאשם את עצמו כאיש משפחה ועבודה, אך החזקת האקדח מעיבה על הצגת דברים זו. אפנה לפסיקה הענפה בהקשר זה - </w:t>
      </w:r>
      <w:r>
        <w:rPr>
          <w:rFonts w:ascii="David" w:eastAsia="Times New Roman" w:hAnsi="David" w:cs="David"/>
          <w:sz w:val="24"/>
          <w:szCs w:val="24"/>
          <w:rtl/>
        </w:rPr>
        <w:t xml:space="preserve">בית המשפט העליון קבע כי החומרה הטמונה בהחזקת נשק לא חוקי נובעת בין היתר מהסכנה הממשית, שהתממשה לצערנו במקרה דנן, פן המחזיק בו יתפתה לעשות בו שימוש (ר' </w:t>
      </w:r>
      <w:hyperlink r:id="rId41" w:history="1">
        <w:r w:rsidR="009A0C5D" w:rsidRPr="009A0C5D">
          <w:rPr>
            <w:rFonts w:ascii="David" w:eastAsia="Times New Roman" w:hAnsi="David" w:cs="David"/>
            <w:color w:val="0000FF"/>
            <w:sz w:val="24"/>
            <w:szCs w:val="24"/>
            <w:u w:val="single"/>
            <w:rtl/>
          </w:rPr>
          <w:t>ע"פ 4945/13</w:t>
        </w:r>
      </w:hyperlink>
      <w:r>
        <w:rPr>
          <w:rFonts w:ascii="David" w:eastAsia="Times New Roman" w:hAnsi="David" w:cs="David"/>
          <w:sz w:val="24"/>
          <w:szCs w:val="24"/>
          <w:rtl/>
        </w:rPr>
        <w:t xml:space="preserve"> </w:t>
      </w:r>
      <w:r>
        <w:rPr>
          <w:rFonts w:ascii="Miriam" w:eastAsia="Times New Roman" w:hAnsi="Miriam" w:cs="Miriam"/>
          <w:sz w:val="24"/>
          <w:szCs w:val="24"/>
          <w:rtl/>
        </w:rPr>
        <w:t xml:space="preserve">מדינת ישראל נ' </w:t>
      </w:r>
      <w:proofErr w:type="spellStart"/>
      <w:r>
        <w:rPr>
          <w:rFonts w:ascii="Miriam" w:eastAsia="Times New Roman" w:hAnsi="Miriam" w:cs="Miriam"/>
          <w:sz w:val="24"/>
          <w:szCs w:val="24"/>
          <w:rtl/>
        </w:rPr>
        <w:t>סלימאן</w:t>
      </w:r>
      <w:proofErr w:type="spellEnd"/>
      <w:r>
        <w:rPr>
          <w:rFonts w:ascii="David" w:eastAsia="Times New Roman" w:hAnsi="David" w:cs="David"/>
          <w:sz w:val="24"/>
          <w:szCs w:val="24"/>
          <w:rtl/>
        </w:rPr>
        <w:t xml:space="preserve"> </w:t>
      </w:r>
      <w:r w:rsidR="0072379C" w:rsidRPr="0072379C">
        <w:rPr>
          <w:rFonts w:ascii="Times New Roman" w:eastAsia="Times New Roman" w:hAnsi="Times New Roman" w:cs="David"/>
          <w:szCs w:val="24"/>
          <w:rtl/>
        </w:rPr>
        <w:t xml:space="preserve">[פורסם </w:t>
      </w:r>
      <w:proofErr w:type="spellStart"/>
      <w:r w:rsidR="0072379C" w:rsidRPr="0072379C">
        <w:rPr>
          <w:rFonts w:ascii="Times New Roman" w:eastAsia="Times New Roman" w:hAnsi="Times New Roman" w:cs="David"/>
          <w:szCs w:val="24"/>
          <w:rtl/>
        </w:rPr>
        <w:t>בנבו</w:t>
      </w:r>
      <w:proofErr w:type="spellEnd"/>
      <w:r w:rsidR="0072379C" w:rsidRPr="0072379C">
        <w:rPr>
          <w:rFonts w:ascii="Times New Roman" w:eastAsia="Times New Roman" w:hAnsi="Times New Roman" w:cs="David"/>
          <w:szCs w:val="24"/>
          <w:rtl/>
        </w:rPr>
        <w:t xml:space="preserve">] </w:t>
      </w:r>
      <w:r>
        <w:rPr>
          <w:rFonts w:ascii="David" w:eastAsia="Times New Roman" w:hAnsi="David" w:cs="David"/>
          <w:sz w:val="24"/>
          <w:szCs w:val="24"/>
          <w:rtl/>
        </w:rPr>
        <w:t xml:space="preserve">(19.1.14); </w:t>
      </w:r>
      <w:hyperlink r:id="rId42" w:history="1">
        <w:r w:rsidR="009A0C5D" w:rsidRPr="009A0C5D">
          <w:rPr>
            <w:rFonts w:ascii="David" w:eastAsia="Times New Roman" w:hAnsi="David" w:cs="David"/>
            <w:color w:val="0000FF"/>
            <w:sz w:val="24"/>
            <w:szCs w:val="24"/>
            <w:u w:val="single"/>
            <w:rtl/>
          </w:rPr>
          <w:t>ע"פ 3300/06</w:t>
        </w:r>
      </w:hyperlink>
      <w:r>
        <w:rPr>
          <w:rFonts w:ascii="David" w:eastAsia="Times New Roman" w:hAnsi="David" w:cs="David"/>
          <w:sz w:val="24"/>
          <w:szCs w:val="24"/>
          <w:rtl/>
        </w:rPr>
        <w:t xml:space="preserve"> </w:t>
      </w:r>
      <w:r>
        <w:rPr>
          <w:rFonts w:ascii="Miriam" w:eastAsia="Times New Roman" w:hAnsi="Miriam" w:cs="Miriam"/>
          <w:sz w:val="24"/>
          <w:szCs w:val="24"/>
          <w:rtl/>
        </w:rPr>
        <w:t xml:space="preserve">אבו </w:t>
      </w:r>
      <w:proofErr w:type="spellStart"/>
      <w:r>
        <w:rPr>
          <w:rFonts w:ascii="Miriam" w:eastAsia="Times New Roman" w:hAnsi="Miriam" w:cs="Miriam"/>
          <w:sz w:val="24"/>
          <w:szCs w:val="24"/>
          <w:rtl/>
        </w:rPr>
        <w:t>סנינה</w:t>
      </w:r>
      <w:proofErr w:type="spellEnd"/>
      <w:r>
        <w:rPr>
          <w:rFonts w:ascii="Miriam" w:eastAsia="Times New Roman" w:hAnsi="Miriam" w:cs="Miriam"/>
          <w:sz w:val="24"/>
          <w:szCs w:val="24"/>
          <w:rtl/>
        </w:rPr>
        <w:t xml:space="preserve"> נ' מדינת ישראל</w:t>
      </w:r>
      <w:r>
        <w:rPr>
          <w:rFonts w:ascii="David" w:eastAsia="Times New Roman" w:hAnsi="David" w:cs="David"/>
          <w:sz w:val="24"/>
          <w:szCs w:val="24"/>
          <w:rtl/>
        </w:rPr>
        <w:t xml:space="preserve"> </w:t>
      </w:r>
      <w:r w:rsidR="0072379C" w:rsidRPr="0072379C">
        <w:rPr>
          <w:rFonts w:ascii="Times New Roman" w:eastAsia="Times New Roman" w:hAnsi="Times New Roman" w:cs="David"/>
          <w:szCs w:val="24"/>
          <w:rtl/>
        </w:rPr>
        <w:t xml:space="preserve">[פורסם </w:t>
      </w:r>
      <w:proofErr w:type="spellStart"/>
      <w:r w:rsidR="0072379C" w:rsidRPr="0072379C">
        <w:rPr>
          <w:rFonts w:ascii="Times New Roman" w:eastAsia="Times New Roman" w:hAnsi="Times New Roman" w:cs="David"/>
          <w:szCs w:val="24"/>
          <w:rtl/>
        </w:rPr>
        <w:t>בנבו</w:t>
      </w:r>
      <w:proofErr w:type="spellEnd"/>
      <w:r w:rsidR="0072379C" w:rsidRPr="0072379C">
        <w:rPr>
          <w:rFonts w:ascii="Times New Roman" w:eastAsia="Times New Roman" w:hAnsi="Times New Roman" w:cs="David"/>
          <w:szCs w:val="24"/>
          <w:rtl/>
        </w:rPr>
        <w:t xml:space="preserve">] </w:t>
      </w:r>
      <w:r>
        <w:rPr>
          <w:rFonts w:ascii="David" w:eastAsia="Times New Roman" w:hAnsi="David" w:cs="David"/>
          <w:sz w:val="24"/>
          <w:szCs w:val="24"/>
          <w:rtl/>
        </w:rPr>
        <w:t xml:space="preserve">(10.8.06)). לכן, הוחמרה בשנים האחרונות הענישה בעבירות נשק ונקבע כי יש להשית עונשים ממשיים ומרתיעים על מי שמחזיק ונושא נשק שלא כדין </w:t>
      </w:r>
      <w:r>
        <w:rPr>
          <w:rFonts w:ascii="David" w:hAnsi="David" w:cs="David"/>
          <w:sz w:val="24"/>
          <w:szCs w:val="24"/>
          <w:rtl/>
        </w:rPr>
        <w:t xml:space="preserve">(ר' לדוגמה </w:t>
      </w:r>
      <w:hyperlink r:id="rId43" w:history="1">
        <w:r w:rsidR="009A0C5D" w:rsidRPr="009A0C5D">
          <w:rPr>
            <w:rFonts w:ascii="David" w:hAnsi="David" w:cs="David"/>
            <w:color w:val="0000FF"/>
            <w:sz w:val="24"/>
            <w:szCs w:val="24"/>
            <w:u w:val="single"/>
            <w:rtl/>
          </w:rPr>
          <w:t>ע"פ 1509/20</w:t>
        </w:r>
      </w:hyperlink>
      <w:r>
        <w:rPr>
          <w:rFonts w:ascii="David" w:hAnsi="David" w:cs="David"/>
          <w:sz w:val="24"/>
          <w:szCs w:val="24"/>
          <w:rtl/>
        </w:rPr>
        <w:t xml:space="preserve"> </w:t>
      </w:r>
      <w:proofErr w:type="spellStart"/>
      <w:r>
        <w:rPr>
          <w:rFonts w:ascii="Miriam" w:hAnsi="Miriam" w:cs="Miriam"/>
          <w:sz w:val="24"/>
          <w:szCs w:val="24"/>
          <w:rtl/>
        </w:rPr>
        <w:t>נבארי</w:t>
      </w:r>
      <w:proofErr w:type="spellEnd"/>
      <w:r>
        <w:rPr>
          <w:rFonts w:ascii="Miriam" w:hAnsi="Miriam" w:cs="Miriam"/>
          <w:sz w:val="24"/>
          <w:szCs w:val="24"/>
          <w:rtl/>
        </w:rPr>
        <w:t xml:space="preserve"> נ' מדינת ישראל</w:t>
      </w:r>
      <w:r>
        <w:rPr>
          <w:rFonts w:ascii="David" w:hAnsi="David" w:cs="David"/>
          <w:sz w:val="24"/>
          <w:szCs w:val="24"/>
          <w:rtl/>
        </w:rPr>
        <w:t xml:space="preserve"> </w:t>
      </w:r>
      <w:r w:rsidR="0072379C" w:rsidRPr="0072379C">
        <w:rPr>
          <w:rFonts w:ascii="Times New Roman" w:hAnsi="Times New Roman" w:cs="David"/>
          <w:szCs w:val="24"/>
          <w:rtl/>
        </w:rPr>
        <w:t xml:space="preserve">[פורסם </w:t>
      </w:r>
      <w:proofErr w:type="spellStart"/>
      <w:r w:rsidR="0072379C" w:rsidRPr="0072379C">
        <w:rPr>
          <w:rFonts w:ascii="Times New Roman" w:hAnsi="Times New Roman" w:cs="David"/>
          <w:szCs w:val="24"/>
          <w:rtl/>
        </w:rPr>
        <w:t>בנבו</w:t>
      </w:r>
      <w:proofErr w:type="spellEnd"/>
      <w:r w:rsidR="0072379C" w:rsidRPr="0072379C">
        <w:rPr>
          <w:rFonts w:ascii="Times New Roman" w:hAnsi="Times New Roman" w:cs="David"/>
          <w:szCs w:val="24"/>
          <w:rtl/>
        </w:rPr>
        <w:t xml:space="preserve">] </w:t>
      </w:r>
      <w:r>
        <w:rPr>
          <w:rFonts w:ascii="David" w:hAnsi="David" w:cs="David"/>
          <w:sz w:val="24"/>
          <w:szCs w:val="24"/>
          <w:rtl/>
        </w:rPr>
        <w:t xml:space="preserve">(2.7.20)). </w:t>
      </w:r>
    </w:p>
    <w:p w14:paraId="41C7BFD8" w14:textId="77777777" w:rsidR="00AB1C81" w:rsidRDefault="00AB1C81" w:rsidP="00AB1C81">
      <w:pPr>
        <w:pStyle w:val="ListParagraph"/>
        <w:spacing w:after="0" w:line="360" w:lineRule="auto"/>
        <w:ind w:left="368" w:right="284"/>
        <w:jc w:val="both"/>
        <w:rPr>
          <w:rFonts w:ascii="David" w:hAnsi="David" w:cs="David"/>
          <w:sz w:val="24"/>
          <w:szCs w:val="24"/>
          <w:rtl/>
        </w:rPr>
      </w:pPr>
    </w:p>
    <w:p w14:paraId="271788A7" w14:textId="77777777" w:rsidR="00AB1C81" w:rsidRDefault="00AB1C81" w:rsidP="00AB1C81">
      <w:pPr>
        <w:pStyle w:val="ListParagraph"/>
        <w:spacing w:after="0" w:line="360" w:lineRule="auto"/>
        <w:ind w:left="368" w:right="284"/>
        <w:jc w:val="both"/>
        <w:rPr>
          <w:rFonts w:ascii="David" w:hAnsi="David" w:cs="David"/>
          <w:sz w:val="24"/>
          <w:szCs w:val="24"/>
          <w:rtl/>
        </w:rPr>
      </w:pPr>
      <w:r>
        <w:rPr>
          <w:rFonts w:ascii="David" w:hAnsi="David" w:cs="David"/>
          <w:sz w:val="24"/>
          <w:szCs w:val="24"/>
          <w:rtl/>
        </w:rPr>
        <w:t xml:space="preserve">המשך האירוע מוסיף נסיבות מחמירות מבחינתו של הנאשם – הנאשם שהה ברכב עם </w:t>
      </w:r>
      <w:proofErr w:type="spellStart"/>
      <w:r>
        <w:rPr>
          <w:rFonts w:ascii="David" w:hAnsi="David" w:cs="David"/>
          <w:sz w:val="24"/>
          <w:szCs w:val="24"/>
          <w:rtl/>
        </w:rPr>
        <w:t>כמאל</w:t>
      </w:r>
      <w:proofErr w:type="spellEnd"/>
      <w:r>
        <w:rPr>
          <w:rFonts w:ascii="David" w:hAnsi="David" w:cs="David"/>
          <w:sz w:val="24"/>
          <w:szCs w:val="24"/>
          <w:rtl/>
        </w:rPr>
        <w:t xml:space="preserve"> בעת שחיפשו אחר המנוח במשך מספר דקות. משמעות הדבר היא, כי הנאשם לא בחר ב"נקודת יציאה" שהזדמנה לו כדי לשכנע את אחיו לעצור באיבו את הוצאתו לפועל של אותו מפגש שנועד "לסגירת עניינים". כל אדם בר דעת הבין באותה סיטואציה כי גם אם אותו מפגש לא יסתיים באופן הקטלני כפי שארע בפועל, מדובר במפגש שטמונה בו סכנה ותוצאותיו שליליות.</w:t>
      </w:r>
    </w:p>
    <w:p w14:paraId="4CE23793" w14:textId="77777777" w:rsidR="00AB1C81" w:rsidRDefault="00AB1C81" w:rsidP="00AB1C81">
      <w:pPr>
        <w:pStyle w:val="ListParagraph"/>
        <w:spacing w:after="0" w:line="360" w:lineRule="auto"/>
        <w:ind w:left="368" w:right="284"/>
        <w:jc w:val="both"/>
        <w:rPr>
          <w:rFonts w:ascii="David" w:hAnsi="David" w:cs="David"/>
          <w:sz w:val="24"/>
          <w:szCs w:val="24"/>
        </w:rPr>
      </w:pPr>
    </w:p>
    <w:p w14:paraId="1D7AD221" w14:textId="77777777" w:rsidR="00AB1C81" w:rsidRDefault="00AB1C81" w:rsidP="00AB1C81">
      <w:pPr>
        <w:pStyle w:val="ListParagraph"/>
        <w:spacing w:after="0" w:line="360" w:lineRule="auto"/>
        <w:ind w:left="368" w:right="284"/>
        <w:jc w:val="both"/>
        <w:rPr>
          <w:rFonts w:ascii="David" w:hAnsi="David" w:cs="David"/>
          <w:sz w:val="24"/>
          <w:szCs w:val="24"/>
          <w:rtl/>
        </w:rPr>
      </w:pPr>
      <w:r>
        <w:rPr>
          <w:rFonts w:ascii="David" w:hAnsi="David" w:cs="David"/>
          <w:sz w:val="24"/>
          <w:szCs w:val="24"/>
          <w:rtl/>
        </w:rPr>
        <w:t xml:space="preserve">לאחר ששני הרכבים עצרו, ירד </w:t>
      </w:r>
      <w:proofErr w:type="spellStart"/>
      <w:r>
        <w:rPr>
          <w:rFonts w:ascii="David" w:hAnsi="David" w:cs="David"/>
          <w:sz w:val="24"/>
          <w:szCs w:val="24"/>
          <w:rtl/>
        </w:rPr>
        <w:t>כמאל</w:t>
      </w:r>
      <w:proofErr w:type="spellEnd"/>
      <w:r>
        <w:rPr>
          <w:rFonts w:ascii="David" w:hAnsi="David" w:cs="David"/>
          <w:sz w:val="24"/>
          <w:szCs w:val="24"/>
          <w:rtl/>
        </w:rPr>
        <w:t xml:space="preserve"> מהרכב והנאשם נותר בו לבדו. </w:t>
      </w:r>
      <w:proofErr w:type="spellStart"/>
      <w:r>
        <w:rPr>
          <w:rFonts w:ascii="David" w:hAnsi="David" w:cs="David"/>
          <w:sz w:val="24"/>
          <w:szCs w:val="24"/>
          <w:rtl/>
        </w:rPr>
        <w:t>כמאל</w:t>
      </w:r>
      <w:proofErr w:type="spellEnd"/>
      <w:r>
        <w:rPr>
          <w:rFonts w:ascii="David" w:hAnsi="David" w:cs="David"/>
          <w:sz w:val="24"/>
          <w:szCs w:val="24"/>
          <w:rtl/>
        </w:rPr>
        <w:t xml:space="preserve"> התקרב לרכב המנוח, וכתב האישום המתוקן מתאר כי </w:t>
      </w:r>
      <w:r>
        <w:rPr>
          <w:rFonts w:ascii="David" w:hAnsi="David" w:cs="David"/>
          <w:b/>
          <w:bCs/>
          <w:sz w:val="24"/>
          <w:szCs w:val="24"/>
          <w:rtl/>
        </w:rPr>
        <w:t xml:space="preserve">"בין </w:t>
      </w:r>
      <w:proofErr w:type="spellStart"/>
      <w:r>
        <w:rPr>
          <w:rFonts w:ascii="David" w:hAnsi="David" w:cs="David"/>
          <w:b/>
          <w:bCs/>
          <w:sz w:val="24"/>
          <w:szCs w:val="24"/>
          <w:rtl/>
        </w:rPr>
        <w:t>כמאל</w:t>
      </w:r>
      <w:proofErr w:type="spellEnd"/>
      <w:r>
        <w:rPr>
          <w:rFonts w:ascii="David" w:hAnsi="David" w:cs="David"/>
          <w:b/>
          <w:bCs/>
          <w:sz w:val="24"/>
          <w:szCs w:val="24"/>
          <w:rtl/>
        </w:rPr>
        <w:t xml:space="preserve"> לבין המנוח, אחִיו ובניו החל עימות שנמשך דקות ספורות".</w:t>
      </w:r>
      <w:r>
        <w:rPr>
          <w:rFonts w:ascii="David" w:hAnsi="David" w:cs="David"/>
          <w:sz w:val="24"/>
          <w:szCs w:val="24"/>
          <w:rtl/>
        </w:rPr>
        <w:t xml:space="preserve"> כתב האישום המתוקן המשיך ותיאר, כי </w:t>
      </w:r>
      <w:r>
        <w:rPr>
          <w:rFonts w:ascii="David" w:hAnsi="David" w:cs="David"/>
          <w:b/>
          <w:bCs/>
          <w:sz w:val="24"/>
          <w:szCs w:val="24"/>
          <w:rtl/>
        </w:rPr>
        <w:t xml:space="preserve">"בשלב זה, הנאשם יצא מהרכב כשהוא אוחז באקדח, התקרב לעבר החבורה, ובהיותו מרחק מטרים בודדים מהם כיוון את האקדח לעברו של המנוח וירה לעברו 5 יריות לפחות, בכוונה להמיתו". </w:t>
      </w:r>
    </w:p>
    <w:p w14:paraId="0BDBF9A8" w14:textId="77777777" w:rsidR="00AB1C81" w:rsidRDefault="00AB1C81" w:rsidP="00AB1C81">
      <w:pPr>
        <w:pStyle w:val="ListParagraph"/>
        <w:spacing w:after="0" w:line="360" w:lineRule="auto"/>
        <w:ind w:left="368" w:right="284"/>
        <w:jc w:val="both"/>
        <w:rPr>
          <w:rFonts w:ascii="David" w:hAnsi="David" w:cs="David"/>
          <w:sz w:val="24"/>
          <w:szCs w:val="24"/>
          <w:rtl/>
        </w:rPr>
      </w:pPr>
    </w:p>
    <w:p w14:paraId="11056851" w14:textId="77777777" w:rsidR="00AB1C81" w:rsidRDefault="00AB1C81" w:rsidP="00AB1C81">
      <w:pPr>
        <w:pStyle w:val="ListParagraph"/>
        <w:spacing w:after="0" w:line="360" w:lineRule="auto"/>
        <w:ind w:left="368" w:right="284"/>
        <w:jc w:val="both"/>
        <w:rPr>
          <w:rFonts w:ascii="David" w:hAnsi="David" w:cs="David"/>
          <w:sz w:val="24"/>
          <w:szCs w:val="24"/>
          <w:rtl/>
        </w:rPr>
      </w:pPr>
      <w:r>
        <w:rPr>
          <w:rFonts w:ascii="David" w:hAnsi="David" w:cs="David"/>
          <w:sz w:val="24"/>
          <w:szCs w:val="24"/>
          <w:rtl/>
        </w:rPr>
        <w:t xml:space="preserve">צודקת המאשימה בהפנותה למספר נתונים המהווים נסיבות משמעותיות לחומרה (וכן הביאו להתגבשות עבירת הרצח בכוונה) – יציאת הנאשם מהרכב כשבידו האקדח; ההתקרבות למנוח ובני משפחתו עד כדי מטרים ספורים; הירי של לא פחות מ 5 כדורים לעבר המנוח; ולבסוף – הנתון המרכזי – כי הירי היה </w:t>
      </w:r>
      <w:r>
        <w:rPr>
          <w:rFonts w:ascii="David" w:hAnsi="David" w:cs="David"/>
          <w:sz w:val="24"/>
          <w:szCs w:val="24"/>
          <w:u w:val="single"/>
          <w:rtl/>
        </w:rPr>
        <w:t>בכוונה להמית את המנוח</w:t>
      </w:r>
      <w:r>
        <w:rPr>
          <w:rFonts w:ascii="David" w:hAnsi="David" w:cs="David"/>
          <w:sz w:val="24"/>
          <w:szCs w:val="24"/>
          <w:rtl/>
        </w:rPr>
        <w:t>. מדובר בנתונים כבדי משקל המשליכים מטבע הדברים גם לעונש שיושת על הנאשם.</w:t>
      </w:r>
    </w:p>
    <w:p w14:paraId="177FAD71" w14:textId="77777777" w:rsidR="00AB1C81" w:rsidRDefault="00AB1C81" w:rsidP="00AB1C81">
      <w:pPr>
        <w:pStyle w:val="ListParagraph"/>
        <w:spacing w:after="0" w:line="360" w:lineRule="auto"/>
        <w:ind w:left="368" w:right="284"/>
        <w:jc w:val="both"/>
        <w:rPr>
          <w:rFonts w:ascii="David" w:hAnsi="David" w:cs="David"/>
          <w:sz w:val="24"/>
          <w:szCs w:val="24"/>
          <w:rtl/>
        </w:rPr>
      </w:pPr>
    </w:p>
    <w:p w14:paraId="182D7C81" w14:textId="77777777" w:rsidR="00AB1C81" w:rsidRDefault="00AB1C81" w:rsidP="00AB1C81">
      <w:pPr>
        <w:pStyle w:val="ListParagraph"/>
        <w:numPr>
          <w:ilvl w:val="0"/>
          <w:numId w:val="1"/>
        </w:numPr>
        <w:spacing w:after="0" w:line="360" w:lineRule="auto"/>
        <w:ind w:left="368" w:right="284"/>
        <w:jc w:val="both"/>
        <w:rPr>
          <w:rFonts w:ascii="David" w:hAnsi="David" w:cs="David"/>
          <w:sz w:val="24"/>
          <w:szCs w:val="24"/>
          <w:rtl/>
        </w:rPr>
      </w:pPr>
      <w:r>
        <w:rPr>
          <w:rFonts w:ascii="David" w:hAnsi="David" w:cs="David"/>
          <w:sz w:val="24"/>
          <w:szCs w:val="24"/>
          <w:rtl/>
        </w:rPr>
        <w:t xml:space="preserve">מנגד, יש להפנות וליתן משקל למספר נתונים הפועלים באופן מסוים כנסיבות מקלות בהקשר לקביעת המתחם – </w:t>
      </w:r>
    </w:p>
    <w:p w14:paraId="240E1A09" w14:textId="77777777" w:rsidR="00AB1C81" w:rsidRDefault="00AB1C81" w:rsidP="00AB1C81">
      <w:pPr>
        <w:pStyle w:val="ListParagraph"/>
        <w:spacing w:after="0" w:line="360" w:lineRule="auto"/>
        <w:ind w:left="368" w:right="284"/>
        <w:jc w:val="both"/>
        <w:rPr>
          <w:rFonts w:ascii="David" w:hAnsi="David" w:cs="David"/>
          <w:sz w:val="24"/>
          <w:szCs w:val="24"/>
        </w:rPr>
      </w:pPr>
    </w:p>
    <w:p w14:paraId="4C099573" w14:textId="77777777" w:rsidR="00AB1C81" w:rsidRDefault="00AB1C81" w:rsidP="00AB1C81">
      <w:pPr>
        <w:pStyle w:val="ListParagraph"/>
        <w:spacing w:after="0" w:line="360" w:lineRule="auto"/>
        <w:ind w:left="368" w:right="284"/>
        <w:jc w:val="both"/>
        <w:rPr>
          <w:rFonts w:ascii="David" w:hAnsi="David" w:cs="David"/>
          <w:sz w:val="24"/>
          <w:szCs w:val="24"/>
          <w:rtl/>
        </w:rPr>
      </w:pPr>
      <w:r>
        <w:rPr>
          <w:rFonts w:ascii="David" w:hAnsi="David" w:cs="David"/>
          <w:sz w:val="24"/>
          <w:szCs w:val="24"/>
          <w:rtl/>
        </w:rPr>
        <w:t>עולה כי הנאשם בחר במרבית שלבי האירוע "להישאר מאחור" – הוא לא היה חלק מ</w:t>
      </w:r>
      <w:r>
        <w:rPr>
          <w:rFonts w:ascii="David" w:hAnsi="David" w:cs="David" w:hint="cs"/>
          <w:sz w:val="24"/>
          <w:szCs w:val="24"/>
          <w:rtl/>
        </w:rPr>
        <w:t>ה</w:t>
      </w:r>
      <w:r>
        <w:rPr>
          <w:rFonts w:ascii="David" w:hAnsi="David" w:cs="David"/>
          <w:sz w:val="24"/>
          <w:szCs w:val="24"/>
          <w:rtl/>
        </w:rPr>
        <w:t xml:space="preserve">עימות המילולי בין </w:t>
      </w:r>
      <w:proofErr w:type="spellStart"/>
      <w:r>
        <w:rPr>
          <w:rFonts w:ascii="David" w:hAnsi="David" w:cs="David"/>
          <w:sz w:val="24"/>
          <w:szCs w:val="24"/>
          <w:rtl/>
        </w:rPr>
        <w:t>כמאל</w:t>
      </w:r>
      <w:proofErr w:type="spellEnd"/>
      <w:r>
        <w:rPr>
          <w:rFonts w:ascii="David" w:hAnsi="David" w:cs="David"/>
          <w:sz w:val="24"/>
          <w:szCs w:val="24"/>
          <w:rtl/>
        </w:rPr>
        <w:t xml:space="preserve"> לבין המנוח סמוך לביתם; הוא לא יזם את המפגש שנועד כדי "לסגור עניינים"; ולא הוא נהג ברכב וקבע את יעדו. זאת ועוד, גם לאחר שהגיע עם </w:t>
      </w:r>
      <w:proofErr w:type="spellStart"/>
      <w:r>
        <w:rPr>
          <w:rFonts w:ascii="David" w:hAnsi="David" w:cs="David"/>
          <w:sz w:val="24"/>
          <w:szCs w:val="24"/>
          <w:rtl/>
        </w:rPr>
        <w:t>כאמל</w:t>
      </w:r>
      <w:proofErr w:type="spellEnd"/>
      <w:r>
        <w:rPr>
          <w:rFonts w:ascii="David" w:hAnsi="David" w:cs="David"/>
          <w:sz w:val="24"/>
          <w:szCs w:val="24"/>
          <w:rtl/>
        </w:rPr>
        <w:t xml:space="preserve"> למקום המפגש, נותר הנאשם יושב ברכב בתחילה רק אחיו </w:t>
      </w:r>
      <w:proofErr w:type="spellStart"/>
      <w:r>
        <w:rPr>
          <w:rFonts w:ascii="David" w:hAnsi="David" w:cs="David"/>
          <w:sz w:val="24"/>
          <w:szCs w:val="24"/>
          <w:rtl/>
        </w:rPr>
        <w:t>כמאל</w:t>
      </w:r>
      <w:proofErr w:type="spellEnd"/>
      <w:r>
        <w:rPr>
          <w:rFonts w:ascii="David" w:hAnsi="David" w:cs="David"/>
          <w:sz w:val="24"/>
          <w:szCs w:val="24"/>
          <w:rtl/>
        </w:rPr>
        <w:t xml:space="preserve"> יצא את הרכב, לבדו, ונפגש עם הנאשם וגם בני משפחתו.</w:t>
      </w:r>
    </w:p>
    <w:p w14:paraId="26B72FE0" w14:textId="77777777" w:rsidR="00AB1C81" w:rsidRDefault="00AB1C81" w:rsidP="00AB1C81">
      <w:pPr>
        <w:pStyle w:val="ListParagraph"/>
        <w:spacing w:after="0" w:line="360" w:lineRule="auto"/>
        <w:ind w:left="368" w:right="284"/>
        <w:jc w:val="both"/>
        <w:rPr>
          <w:rFonts w:ascii="David" w:hAnsi="David" w:cs="David"/>
          <w:sz w:val="24"/>
          <w:szCs w:val="24"/>
          <w:rtl/>
        </w:rPr>
      </w:pPr>
    </w:p>
    <w:p w14:paraId="5CB468B5" w14:textId="77777777" w:rsidR="00AB1C81" w:rsidRDefault="00AB1C81" w:rsidP="00AB1C81">
      <w:pPr>
        <w:pStyle w:val="ListParagraph"/>
        <w:spacing w:after="0" w:line="360" w:lineRule="auto"/>
        <w:ind w:left="368" w:right="284"/>
        <w:jc w:val="both"/>
        <w:rPr>
          <w:rFonts w:ascii="David" w:hAnsi="David" w:cs="David"/>
          <w:sz w:val="24"/>
          <w:szCs w:val="24"/>
          <w:rtl/>
        </w:rPr>
      </w:pPr>
      <w:r>
        <w:rPr>
          <w:rFonts w:ascii="David" w:hAnsi="David" w:cs="David"/>
          <w:sz w:val="24"/>
          <w:szCs w:val="24"/>
          <w:rtl/>
        </w:rPr>
        <w:t xml:space="preserve">כתב האישום המתוקן מפרט כי גם לאחר </w:t>
      </w:r>
      <w:proofErr w:type="spellStart"/>
      <w:r>
        <w:rPr>
          <w:rFonts w:ascii="David" w:hAnsi="David" w:cs="David"/>
          <w:sz w:val="24"/>
          <w:szCs w:val="24"/>
          <w:rtl/>
        </w:rPr>
        <w:t>שכמאל</w:t>
      </w:r>
      <w:proofErr w:type="spellEnd"/>
      <w:r>
        <w:rPr>
          <w:rFonts w:ascii="David" w:hAnsi="David" w:cs="David"/>
          <w:sz w:val="24"/>
          <w:szCs w:val="24"/>
          <w:rtl/>
        </w:rPr>
        <w:t xml:space="preserve"> ירד את הרכב ונפגש עם המנוח ובני משפחתו, החל בין הניצים </w:t>
      </w:r>
      <w:r>
        <w:rPr>
          <w:rFonts w:ascii="David" w:hAnsi="David" w:cs="David"/>
          <w:b/>
          <w:bCs/>
          <w:sz w:val="24"/>
          <w:szCs w:val="24"/>
          <w:rtl/>
        </w:rPr>
        <w:t>"עימות אשר נמשך דקות ספורות"</w:t>
      </w:r>
      <w:r>
        <w:rPr>
          <w:rFonts w:ascii="David" w:hAnsi="David" w:cs="David"/>
          <w:sz w:val="24"/>
          <w:szCs w:val="24"/>
          <w:rtl/>
        </w:rPr>
        <w:t>. גם בפרק זמן זה, נותר הנאשם יושב ברכב.</w:t>
      </w:r>
    </w:p>
    <w:p w14:paraId="1021DAC6" w14:textId="77777777" w:rsidR="00AB1C81" w:rsidRDefault="00AB1C81" w:rsidP="00AB1C81">
      <w:pPr>
        <w:pStyle w:val="ListParagraph"/>
        <w:spacing w:after="0" w:line="360" w:lineRule="auto"/>
        <w:ind w:left="368" w:right="284"/>
        <w:jc w:val="both"/>
        <w:rPr>
          <w:rFonts w:ascii="David" w:hAnsi="David" w:cs="David"/>
          <w:sz w:val="24"/>
          <w:szCs w:val="24"/>
          <w:rtl/>
        </w:rPr>
      </w:pPr>
    </w:p>
    <w:p w14:paraId="7DD28A6F" w14:textId="77777777" w:rsidR="00AB1C81" w:rsidRDefault="00AB1C81" w:rsidP="00AB1C81">
      <w:pPr>
        <w:pStyle w:val="ListParagraph"/>
        <w:spacing w:after="0" w:line="360" w:lineRule="auto"/>
        <w:ind w:left="368" w:right="284"/>
        <w:jc w:val="both"/>
        <w:rPr>
          <w:rFonts w:ascii="David" w:hAnsi="David" w:cs="David"/>
          <w:sz w:val="24"/>
          <w:szCs w:val="24"/>
          <w:rtl/>
        </w:rPr>
      </w:pPr>
      <w:r>
        <w:rPr>
          <w:rFonts w:ascii="David" w:hAnsi="David" w:cs="David"/>
          <w:sz w:val="24"/>
          <w:szCs w:val="24"/>
          <w:rtl/>
        </w:rPr>
        <w:t xml:space="preserve">משכך, גם אם יציאת הנאשם מהרכב כשהוא אוחז בנשק והירי לעבר המנוח מתוך כוונה להמיתו (כאשר אין חולק כי הכוונה התגבשה בעת היציאה ולא לפני כן) - עומדים באופן ברור לחובתו; בשים לב לנתונים שהובאו לעיל, עולה כי הנאשם – ולו עד לשלב האחרון של האירוע - לא נהג כמי ש"שש אלי קרב". </w:t>
      </w:r>
    </w:p>
    <w:p w14:paraId="1115C07C" w14:textId="77777777" w:rsidR="00AB1C81" w:rsidRDefault="00AB1C81" w:rsidP="00AB1C81">
      <w:pPr>
        <w:pStyle w:val="ListParagraph"/>
        <w:spacing w:after="0" w:line="360" w:lineRule="auto"/>
        <w:ind w:left="368" w:right="284"/>
        <w:jc w:val="both"/>
        <w:rPr>
          <w:rFonts w:ascii="David" w:hAnsi="David" w:cs="David"/>
          <w:sz w:val="24"/>
          <w:szCs w:val="24"/>
          <w:rtl/>
        </w:rPr>
      </w:pPr>
    </w:p>
    <w:p w14:paraId="0A8607C7" w14:textId="77777777" w:rsidR="00AB1C81" w:rsidRDefault="00AB1C81" w:rsidP="00AB1C81">
      <w:pPr>
        <w:pStyle w:val="ListParagraph"/>
        <w:numPr>
          <w:ilvl w:val="0"/>
          <w:numId w:val="1"/>
        </w:numPr>
        <w:spacing w:after="0" w:line="360" w:lineRule="auto"/>
        <w:ind w:left="368" w:right="284"/>
        <w:jc w:val="both"/>
        <w:rPr>
          <w:rFonts w:ascii="David" w:hAnsi="David" w:cs="David"/>
          <w:sz w:val="24"/>
          <w:szCs w:val="24"/>
          <w:rtl/>
        </w:rPr>
      </w:pPr>
      <w:r>
        <w:rPr>
          <w:rFonts w:ascii="David" w:hAnsi="David" w:cs="David"/>
          <w:sz w:val="24"/>
          <w:szCs w:val="24"/>
          <w:rtl/>
        </w:rPr>
        <w:t xml:space="preserve">להשלמת התמונה אפנה לכך כי כתב האישום המתוקן תיאר את ההתרחשות לאחר הירי ובמהלכה זינק אחיו של המנוח על הנאשם וניסה לחלץ ממנו את האקדח. הנאשם </w:t>
      </w:r>
      <w:proofErr w:type="spellStart"/>
      <w:r>
        <w:rPr>
          <w:rFonts w:ascii="David" w:hAnsi="David" w:cs="David"/>
          <w:sz w:val="24"/>
          <w:szCs w:val="24"/>
          <w:rtl/>
        </w:rPr>
        <w:t>היכה</w:t>
      </w:r>
      <w:proofErr w:type="spellEnd"/>
      <w:r>
        <w:rPr>
          <w:rFonts w:ascii="David" w:hAnsi="David" w:cs="David"/>
          <w:sz w:val="24"/>
          <w:szCs w:val="24"/>
          <w:rtl/>
        </w:rPr>
        <w:t xml:space="preserve"> את האח בראשו וגרם לו לחבלה; ובהמשך – בעת שהנאשם החל להימלט רגלית מהזירה – דלק אחד מבניו של המנוח אחר הנאשם והאחרון הניף וכיוון לעברו את האקדח ואז המשיך במנוסתו. </w:t>
      </w:r>
    </w:p>
    <w:p w14:paraId="52E50FA5" w14:textId="77777777" w:rsidR="00AB1C81" w:rsidRDefault="00AB1C81" w:rsidP="00AB1C81">
      <w:pPr>
        <w:pStyle w:val="ListParagraph"/>
        <w:spacing w:after="0" w:line="360" w:lineRule="auto"/>
        <w:ind w:left="368" w:right="284"/>
        <w:jc w:val="both"/>
        <w:rPr>
          <w:rFonts w:ascii="David" w:hAnsi="David" w:cs="David"/>
          <w:sz w:val="24"/>
          <w:szCs w:val="24"/>
        </w:rPr>
      </w:pPr>
    </w:p>
    <w:p w14:paraId="3896092E" w14:textId="77777777" w:rsidR="00AB1C81" w:rsidRDefault="00AB1C81" w:rsidP="00AB1C81">
      <w:pPr>
        <w:pStyle w:val="ListParagraph"/>
        <w:numPr>
          <w:ilvl w:val="0"/>
          <w:numId w:val="1"/>
        </w:numPr>
        <w:spacing w:after="0" w:line="360" w:lineRule="auto"/>
        <w:ind w:left="368" w:right="284"/>
        <w:jc w:val="both"/>
        <w:rPr>
          <w:rFonts w:ascii="David" w:hAnsi="David" w:cs="David"/>
          <w:sz w:val="24"/>
          <w:szCs w:val="24"/>
        </w:rPr>
      </w:pPr>
      <w:r>
        <w:rPr>
          <w:rFonts w:ascii="David" w:hAnsi="David" w:cs="David"/>
          <w:sz w:val="24"/>
          <w:szCs w:val="24"/>
          <w:rtl/>
        </w:rPr>
        <w:t xml:space="preserve">כאמור לעיל, </w:t>
      </w:r>
      <w:r>
        <w:rPr>
          <w:rFonts w:ascii="David" w:hAnsi="David" w:cs="David"/>
          <w:sz w:val="24"/>
          <w:szCs w:val="24"/>
          <w:u w:val="single"/>
          <w:rtl/>
        </w:rPr>
        <w:t>הערכים החברתיים שנפגעו</w:t>
      </w:r>
      <w:r>
        <w:rPr>
          <w:rFonts w:ascii="David" w:hAnsi="David" w:cs="David"/>
          <w:sz w:val="24"/>
          <w:szCs w:val="24"/>
          <w:rtl/>
        </w:rPr>
        <w:t xml:space="preserve"> כתוצאה מביצוע העבירות הם השמירה על חיי אדם, שלמות הגוף וקדושת החיים. בנסיבות המקרה, ובין היתר בשים לב לכך שהנאשם עשה שימוש באקדח שלא כדין, ולתוצאה הטראגית שנגרמה כתוצאה מביצוע העבירה – מות המנוח, לצד הפגיעה הגופנית </w:t>
      </w:r>
      <w:proofErr w:type="spellStart"/>
      <w:r>
        <w:rPr>
          <w:rFonts w:ascii="David" w:hAnsi="David" w:cs="David"/>
          <w:sz w:val="24"/>
          <w:szCs w:val="24"/>
          <w:rtl/>
        </w:rPr>
        <w:t>במוחמד</w:t>
      </w:r>
      <w:proofErr w:type="spellEnd"/>
      <w:r>
        <w:rPr>
          <w:rFonts w:ascii="David" w:hAnsi="David" w:cs="David"/>
          <w:sz w:val="24"/>
          <w:szCs w:val="24"/>
          <w:rtl/>
        </w:rPr>
        <w:t xml:space="preserve">, מידת הפגיעה בערכים החברתיים גבוהה ביותר. </w:t>
      </w:r>
    </w:p>
    <w:p w14:paraId="6EEAF430" w14:textId="77777777" w:rsidR="00AB1C81" w:rsidRDefault="00AB1C81" w:rsidP="00AB1C81">
      <w:pPr>
        <w:pStyle w:val="ListParagraph"/>
        <w:ind w:left="368" w:right="284"/>
        <w:rPr>
          <w:rFonts w:ascii="David" w:hAnsi="David" w:cs="David"/>
          <w:sz w:val="24"/>
          <w:szCs w:val="24"/>
        </w:rPr>
      </w:pPr>
    </w:p>
    <w:p w14:paraId="46A6C468" w14:textId="77777777" w:rsidR="00AB1C81" w:rsidRDefault="00AB1C81" w:rsidP="00AB1C81">
      <w:pPr>
        <w:pStyle w:val="ListParagraph"/>
        <w:numPr>
          <w:ilvl w:val="0"/>
          <w:numId w:val="1"/>
        </w:numPr>
        <w:spacing w:after="0" w:line="360" w:lineRule="auto"/>
        <w:ind w:left="368" w:right="284"/>
        <w:jc w:val="both"/>
        <w:rPr>
          <w:rFonts w:ascii="David" w:hAnsi="David" w:cs="David"/>
          <w:sz w:val="24"/>
          <w:szCs w:val="24"/>
          <w:rtl/>
        </w:rPr>
      </w:pPr>
      <w:r>
        <w:rPr>
          <w:rFonts w:ascii="David" w:hAnsi="David" w:cs="David"/>
          <w:sz w:val="24"/>
          <w:szCs w:val="24"/>
          <w:u w:val="single"/>
          <w:rtl/>
        </w:rPr>
        <w:t>אשר למדיניות הענישה הנהוגה</w:t>
      </w:r>
      <w:r>
        <w:rPr>
          <w:rFonts w:ascii="David" w:hAnsi="David" w:cs="David"/>
          <w:sz w:val="24"/>
          <w:szCs w:val="24"/>
          <w:rtl/>
        </w:rPr>
        <w:t xml:space="preserve"> – כפי שצוין לעיל בפרק טענות הצדדים, מאחר והעבירה העיקרית בה הורשע הנאשם "חדשה" ונכנסה לתוקפה במסגרת התיקון ביולי 2019, טרם התגבשה מדיניות ענישה של הערכאה </w:t>
      </w:r>
      <w:proofErr w:type="spellStart"/>
      <w:r>
        <w:rPr>
          <w:rFonts w:ascii="David" w:hAnsi="David" w:cs="David"/>
          <w:sz w:val="24"/>
          <w:szCs w:val="24"/>
          <w:rtl/>
        </w:rPr>
        <w:t>הדיונית</w:t>
      </w:r>
      <w:proofErr w:type="spellEnd"/>
      <w:r>
        <w:rPr>
          <w:rFonts w:ascii="David" w:hAnsi="David" w:cs="David"/>
          <w:sz w:val="24"/>
          <w:szCs w:val="24"/>
          <w:rtl/>
        </w:rPr>
        <w:t xml:space="preserve"> שניתן ללמוד ממנה באופן מקיף ממצה, וגם המקרים הספורים בהם נתנו גזרי דין מנומקים ושלא במסגרת הסדרים "סגורים" טרם הגיעו לפתחו של בית המשפט העליון. הצדדים הפנו לשני גזרי דין שניתנו בנדון בבתי המשפט המחוזיים (עניין </w:t>
      </w:r>
      <w:proofErr w:type="spellStart"/>
      <w:r>
        <w:rPr>
          <w:rFonts w:ascii="David" w:hAnsi="David" w:cs="David"/>
          <w:sz w:val="24"/>
          <w:szCs w:val="24"/>
          <w:rtl/>
        </w:rPr>
        <w:t>ברהנו</w:t>
      </w:r>
      <w:proofErr w:type="spellEnd"/>
      <w:r>
        <w:rPr>
          <w:rFonts w:ascii="David" w:hAnsi="David" w:cs="David"/>
          <w:sz w:val="24"/>
          <w:szCs w:val="24"/>
          <w:rtl/>
        </w:rPr>
        <w:t xml:space="preserve"> ועניין ברוך) וניסו למצוא בהם תימוכין לטענותיהם. לאחר ישיבת הטיעונים לעונש שהתקיימה ביום 7.12.20, ניתנו שני גזרי דין נוספים בעבירת הרצח הבסיסית - </w:t>
      </w:r>
      <w:hyperlink r:id="rId44" w:history="1">
        <w:r w:rsidR="009A0C5D" w:rsidRPr="009A0C5D">
          <w:rPr>
            <w:rFonts w:ascii="David" w:hAnsi="David" w:cs="David"/>
            <w:color w:val="0000FF"/>
            <w:sz w:val="24"/>
            <w:szCs w:val="24"/>
            <w:u w:val="single"/>
            <w:rtl/>
          </w:rPr>
          <w:t>תפ"ח (מחוזי חיפה) 612-10-16</w:t>
        </w:r>
      </w:hyperlink>
      <w:r>
        <w:rPr>
          <w:rFonts w:ascii="David" w:hAnsi="David" w:cs="David"/>
          <w:sz w:val="24"/>
          <w:szCs w:val="24"/>
          <w:rtl/>
        </w:rPr>
        <w:t xml:space="preserve"> </w:t>
      </w:r>
      <w:r>
        <w:rPr>
          <w:rFonts w:ascii="Miriam" w:hAnsi="Miriam" w:cs="Miriam"/>
          <w:sz w:val="24"/>
          <w:szCs w:val="24"/>
          <w:rtl/>
        </w:rPr>
        <w:t xml:space="preserve">מדינת ישראל נ' </w:t>
      </w:r>
      <w:proofErr w:type="spellStart"/>
      <w:r>
        <w:rPr>
          <w:rFonts w:ascii="Miriam" w:hAnsi="Miriam" w:cs="Miriam"/>
          <w:sz w:val="24"/>
          <w:szCs w:val="24"/>
          <w:rtl/>
        </w:rPr>
        <w:t>עאמר</w:t>
      </w:r>
      <w:proofErr w:type="spellEnd"/>
      <w:r>
        <w:rPr>
          <w:rFonts w:ascii="David" w:hAnsi="David" w:cs="David"/>
          <w:sz w:val="24"/>
          <w:szCs w:val="24"/>
          <w:rtl/>
        </w:rPr>
        <w:t xml:space="preserve"> </w:t>
      </w:r>
      <w:r w:rsidR="0072379C" w:rsidRPr="0072379C">
        <w:rPr>
          <w:rFonts w:ascii="Times New Roman" w:hAnsi="Times New Roman" w:cs="David"/>
          <w:szCs w:val="24"/>
          <w:rtl/>
        </w:rPr>
        <w:t xml:space="preserve">[פורסם </w:t>
      </w:r>
      <w:proofErr w:type="spellStart"/>
      <w:r w:rsidR="0072379C" w:rsidRPr="0072379C">
        <w:rPr>
          <w:rFonts w:ascii="Times New Roman" w:hAnsi="Times New Roman" w:cs="David"/>
          <w:szCs w:val="24"/>
          <w:rtl/>
        </w:rPr>
        <w:t>בנבו</w:t>
      </w:r>
      <w:proofErr w:type="spellEnd"/>
      <w:r w:rsidR="0072379C" w:rsidRPr="0072379C">
        <w:rPr>
          <w:rFonts w:ascii="Times New Roman" w:hAnsi="Times New Roman" w:cs="David"/>
          <w:szCs w:val="24"/>
          <w:rtl/>
        </w:rPr>
        <w:t xml:space="preserve">] </w:t>
      </w:r>
      <w:r>
        <w:rPr>
          <w:rFonts w:ascii="David" w:hAnsi="David" w:cs="David"/>
          <w:sz w:val="24"/>
          <w:szCs w:val="24"/>
          <w:rtl/>
        </w:rPr>
        <w:t xml:space="preserve">(15.12.20) (להלן: </w:t>
      </w:r>
      <w:r>
        <w:rPr>
          <w:rFonts w:ascii="Miriam" w:hAnsi="Miriam" w:cs="Miriam"/>
          <w:sz w:val="24"/>
          <w:szCs w:val="24"/>
          <w:rtl/>
        </w:rPr>
        <w:t xml:space="preserve">עניין </w:t>
      </w:r>
      <w:proofErr w:type="spellStart"/>
      <w:r>
        <w:rPr>
          <w:rFonts w:ascii="Miriam" w:hAnsi="Miriam" w:cs="Miriam"/>
          <w:sz w:val="24"/>
          <w:szCs w:val="24"/>
          <w:rtl/>
        </w:rPr>
        <w:t>עאמר</w:t>
      </w:r>
      <w:proofErr w:type="spellEnd"/>
      <w:r>
        <w:rPr>
          <w:rFonts w:ascii="David" w:hAnsi="David" w:cs="David"/>
          <w:sz w:val="24"/>
          <w:szCs w:val="24"/>
          <w:rtl/>
        </w:rPr>
        <w:t>); ו</w:t>
      </w:r>
      <w:hyperlink r:id="rId45" w:history="1">
        <w:r w:rsidR="009A0C5D" w:rsidRPr="009A0C5D">
          <w:rPr>
            <w:rFonts w:ascii="David" w:hAnsi="David" w:cs="David"/>
            <w:color w:val="0000FF"/>
            <w:sz w:val="24"/>
            <w:szCs w:val="24"/>
            <w:u w:val="single"/>
            <w:rtl/>
          </w:rPr>
          <w:t>תפ"ח (מחוזי מרכז) 885-11-18</w:t>
        </w:r>
      </w:hyperlink>
      <w:r>
        <w:rPr>
          <w:rFonts w:ascii="David" w:hAnsi="David" w:cs="David"/>
          <w:sz w:val="24"/>
          <w:szCs w:val="24"/>
          <w:rtl/>
        </w:rPr>
        <w:t xml:space="preserve"> </w:t>
      </w:r>
      <w:r>
        <w:rPr>
          <w:rFonts w:ascii="Miriam" w:hAnsi="Miriam" w:cs="Miriam"/>
          <w:sz w:val="24"/>
          <w:szCs w:val="24"/>
          <w:rtl/>
        </w:rPr>
        <w:t xml:space="preserve">מדינת ישראל נ' </w:t>
      </w:r>
      <w:proofErr w:type="spellStart"/>
      <w:r>
        <w:rPr>
          <w:rFonts w:ascii="Miriam" w:hAnsi="Miriam" w:cs="Miriam"/>
          <w:sz w:val="24"/>
          <w:szCs w:val="24"/>
          <w:rtl/>
        </w:rPr>
        <w:t>מסרשה</w:t>
      </w:r>
      <w:proofErr w:type="spellEnd"/>
      <w:r>
        <w:rPr>
          <w:rFonts w:ascii="David" w:hAnsi="David" w:cs="David"/>
          <w:sz w:val="24"/>
          <w:szCs w:val="24"/>
          <w:rtl/>
        </w:rPr>
        <w:t xml:space="preserve"> </w:t>
      </w:r>
      <w:r w:rsidR="0072379C" w:rsidRPr="0072379C">
        <w:rPr>
          <w:rFonts w:ascii="Times New Roman" w:hAnsi="Times New Roman" w:cs="David"/>
          <w:szCs w:val="24"/>
          <w:rtl/>
        </w:rPr>
        <w:t xml:space="preserve">[פורסם </w:t>
      </w:r>
      <w:proofErr w:type="spellStart"/>
      <w:r w:rsidR="0072379C" w:rsidRPr="0072379C">
        <w:rPr>
          <w:rFonts w:ascii="Times New Roman" w:hAnsi="Times New Roman" w:cs="David"/>
          <w:szCs w:val="24"/>
          <w:rtl/>
        </w:rPr>
        <w:t>בנבו</w:t>
      </w:r>
      <w:proofErr w:type="spellEnd"/>
      <w:r w:rsidR="0072379C" w:rsidRPr="0072379C">
        <w:rPr>
          <w:rFonts w:ascii="Times New Roman" w:hAnsi="Times New Roman" w:cs="David"/>
          <w:szCs w:val="24"/>
          <w:rtl/>
        </w:rPr>
        <w:t xml:space="preserve">] </w:t>
      </w:r>
      <w:r>
        <w:rPr>
          <w:rFonts w:ascii="David" w:hAnsi="David" w:cs="David"/>
          <w:sz w:val="24"/>
          <w:szCs w:val="24"/>
          <w:rtl/>
        </w:rPr>
        <w:t xml:space="preserve">(6.1.21) (להלן: </w:t>
      </w:r>
      <w:r>
        <w:rPr>
          <w:rFonts w:ascii="Miriam" w:hAnsi="Miriam" w:cs="Miriam"/>
          <w:sz w:val="24"/>
          <w:szCs w:val="24"/>
          <w:rtl/>
        </w:rPr>
        <w:t xml:space="preserve">עניין </w:t>
      </w:r>
      <w:proofErr w:type="spellStart"/>
      <w:r>
        <w:rPr>
          <w:rFonts w:ascii="Miriam" w:hAnsi="Miriam" w:cs="Miriam"/>
          <w:sz w:val="24"/>
          <w:szCs w:val="24"/>
          <w:rtl/>
        </w:rPr>
        <w:t>מסרשה</w:t>
      </w:r>
      <w:proofErr w:type="spellEnd"/>
      <w:r>
        <w:rPr>
          <w:rFonts w:ascii="David" w:hAnsi="David" w:cs="David"/>
          <w:sz w:val="24"/>
          <w:szCs w:val="24"/>
          <w:rtl/>
        </w:rPr>
        <w:t xml:space="preserve">). </w:t>
      </w:r>
    </w:p>
    <w:p w14:paraId="06C9A413" w14:textId="77777777" w:rsidR="00AB1C81" w:rsidRDefault="00AB1C81" w:rsidP="00AB1C81">
      <w:pPr>
        <w:pStyle w:val="ListParagraph"/>
        <w:ind w:left="368" w:right="284"/>
        <w:rPr>
          <w:rFonts w:ascii="David" w:hAnsi="David" w:cs="David"/>
          <w:sz w:val="24"/>
          <w:szCs w:val="24"/>
        </w:rPr>
      </w:pPr>
    </w:p>
    <w:p w14:paraId="00A81BA9" w14:textId="77777777" w:rsidR="00AB1C81" w:rsidRDefault="00AB1C81" w:rsidP="00AB1C81">
      <w:pPr>
        <w:pStyle w:val="ListParagraph"/>
        <w:spacing w:after="0" w:line="360" w:lineRule="auto"/>
        <w:ind w:left="368" w:right="284"/>
        <w:jc w:val="both"/>
        <w:rPr>
          <w:rFonts w:ascii="David" w:hAnsi="David" w:cs="David"/>
          <w:sz w:val="24"/>
          <w:szCs w:val="24"/>
          <w:rtl/>
        </w:rPr>
      </w:pPr>
      <w:r>
        <w:rPr>
          <w:rFonts w:ascii="David" w:hAnsi="David" w:cs="David"/>
          <w:sz w:val="24"/>
          <w:szCs w:val="24"/>
          <w:rtl/>
        </w:rPr>
        <w:t xml:space="preserve">אתייחס בקצרה לגזרי הדין לעיל, תוך הפנייה לכך כי בעניין </w:t>
      </w:r>
      <w:proofErr w:type="spellStart"/>
      <w:r>
        <w:rPr>
          <w:rFonts w:ascii="David" w:hAnsi="David" w:cs="David"/>
          <w:sz w:val="24"/>
          <w:szCs w:val="24"/>
          <w:rtl/>
        </w:rPr>
        <w:t>ברהנו</w:t>
      </w:r>
      <w:proofErr w:type="spellEnd"/>
      <w:r>
        <w:rPr>
          <w:rFonts w:ascii="David" w:hAnsi="David" w:cs="David"/>
          <w:sz w:val="24"/>
          <w:szCs w:val="24"/>
          <w:rtl/>
        </w:rPr>
        <w:t xml:space="preserve"> תלוי ועומד ערעור ההגנה; בעניין ברוך הוגש ערעור הגנה אולם ההליך הופסק ביום 10.12.20 עם פטירת  המערער; ושאר ההליכים אינם חלוטים ולא ברור אם הוגש או יוגש ערעור במי מהם. </w:t>
      </w:r>
    </w:p>
    <w:p w14:paraId="4C39E30F" w14:textId="77777777" w:rsidR="00AB1C81" w:rsidRDefault="00AB1C81" w:rsidP="00AB1C81">
      <w:pPr>
        <w:spacing w:line="360" w:lineRule="auto"/>
        <w:ind w:left="368" w:right="284"/>
        <w:jc w:val="both"/>
        <w:rPr>
          <w:rFonts w:ascii="David" w:hAnsi="David"/>
          <w:rtl/>
        </w:rPr>
      </w:pPr>
      <w:r>
        <w:rPr>
          <w:rFonts w:ascii="David" w:hAnsi="David"/>
          <w:rtl/>
        </w:rPr>
        <w:t xml:space="preserve">         </w:t>
      </w:r>
    </w:p>
    <w:p w14:paraId="63C886EC" w14:textId="77777777" w:rsidR="00AB1C81" w:rsidRDefault="00AB1C81" w:rsidP="00AB1C81">
      <w:pPr>
        <w:spacing w:line="360" w:lineRule="auto"/>
        <w:ind w:left="368" w:right="284"/>
        <w:jc w:val="both"/>
        <w:rPr>
          <w:rFonts w:ascii="David" w:hAnsi="David"/>
          <w:rtl/>
        </w:rPr>
      </w:pPr>
      <w:r>
        <w:rPr>
          <w:rFonts w:ascii="David" w:hAnsi="David"/>
          <w:rtl/>
        </w:rPr>
        <w:t xml:space="preserve">בעניין </w:t>
      </w:r>
      <w:proofErr w:type="spellStart"/>
      <w:r>
        <w:rPr>
          <w:rFonts w:ascii="David" w:hAnsi="David"/>
          <w:rtl/>
        </w:rPr>
        <w:t>ברהנו</w:t>
      </w:r>
      <w:proofErr w:type="spellEnd"/>
      <w:r>
        <w:rPr>
          <w:rFonts w:ascii="David" w:hAnsi="David"/>
          <w:rtl/>
        </w:rPr>
        <w:t xml:space="preserve"> (</w:t>
      </w:r>
      <w:hyperlink r:id="rId46" w:history="1">
        <w:r w:rsidR="009A0C5D" w:rsidRPr="009A0C5D">
          <w:rPr>
            <w:rFonts w:ascii="David" w:hAnsi="David"/>
            <w:color w:val="0000FF"/>
            <w:u w:val="single"/>
            <w:rtl/>
          </w:rPr>
          <w:t>תפ"ח (מחוזי מרכז) 58246-02-18</w:t>
        </w:r>
      </w:hyperlink>
      <w:r>
        <w:rPr>
          <w:rFonts w:ascii="David" w:hAnsi="David"/>
          <w:rtl/>
        </w:rPr>
        <w:t xml:space="preserve"> </w:t>
      </w:r>
      <w:r>
        <w:rPr>
          <w:rFonts w:ascii="Miriam" w:hAnsi="Miriam" w:cs="Miriam"/>
          <w:rtl/>
        </w:rPr>
        <w:t xml:space="preserve">מדינת ישראל נ' </w:t>
      </w:r>
      <w:proofErr w:type="spellStart"/>
      <w:r>
        <w:rPr>
          <w:rFonts w:ascii="Miriam" w:hAnsi="Miriam" w:cs="Miriam"/>
          <w:rtl/>
        </w:rPr>
        <w:t>ברהנו</w:t>
      </w:r>
      <w:proofErr w:type="spellEnd"/>
      <w:r>
        <w:rPr>
          <w:rFonts w:ascii="David" w:hAnsi="David"/>
          <w:rtl/>
        </w:rPr>
        <w:t xml:space="preserve"> </w:t>
      </w:r>
      <w:r w:rsidR="0072379C" w:rsidRPr="0072379C">
        <w:rPr>
          <w:sz w:val="22"/>
          <w:rtl/>
        </w:rPr>
        <w:t xml:space="preserve">[פורסם </w:t>
      </w:r>
      <w:proofErr w:type="spellStart"/>
      <w:r w:rsidR="0072379C" w:rsidRPr="0072379C">
        <w:rPr>
          <w:sz w:val="22"/>
          <w:rtl/>
        </w:rPr>
        <w:t>בנבו</w:t>
      </w:r>
      <w:proofErr w:type="spellEnd"/>
      <w:r w:rsidR="0072379C" w:rsidRPr="0072379C">
        <w:rPr>
          <w:sz w:val="22"/>
          <w:rtl/>
        </w:rPr>
        <w:t xml:space="preserve">] </w:t>
      </w:r>
      <w:r>
        <w:rPr>
          <w:rFonts w:ascii="David" w:hAnsi="David"/>
          <w:rtl/>
        </w:rPr>
        <w:t xml:space="preserve">(10.12.19), הורשע הנאשם ברצח "בסיסי" (יסוד נפשי של כוונה) בהסדר טיעון שהושג – כך צוין בגזר הדין – "בשל קשיים </w:t>
      </w:r>
      <w:proofErr w:type="spellStart"/>
      <w:r>
        <w:rPr>
          <w:rFonts w:ascii="David" w:hAnsi="David"/>
          <w:rtl/>
        </w:rPr>
        <w:t>ראייתיים</w:t>
      </w:r>
      <w:proofErr w:type="spellEnd"/>
      <w:r>
        <w:rPr>
          <w:rFonts w:ascii="David" w:hAnsi="David"/>
          <w:rtl/>
        </w:rPr>
        <w:t xml:space="preserve"> מסוימים". במסגרת ההסדר הגבילה עצמה המאשימה בטיעון לעונש של 30 שנות מאסר ואילו ההגנה טענה באופן חופשי. הנאשם והמנוח – קשיש כבן 80,  היו שכנים אך לא </w:t>
      </w:r>
      <w:proofErr w:type="spellStart"/>
      <w:r>
        <w:rPr>
          <w:rFonts w:ascii="David" w:hAnsi="David"/>
          <w:rtl/>
        </w:rPr>
        <w:t>היתה</w:t>
      </w:r>
      <w:proofErr w:type="spellEnd"/>
      <w:r>
        <w:rPr>
          <w:rFonts w:ascii="David" w:hAnsi="David"/>
          <w:rtl/>
        </w:rPr>
        <w:t xml:space="preserve"> ביניהם היכרות. תואר כי הנאשם נכנס לבית המנוח ומסיבה שאינה ידועה </w:t>
      </w:r>
      <w:proofErr w:type="spellStart"/>
      <w:r>
        <w:rPr>
          <w:rFonts w:ascii="David" w:hAnsi="David"/>
          <w:rtl/>
        </w:rPr>
        <w:t>היכה</w:t>
      </w:r>
      <w:proofErr w:type="spellEnd"/>
      <w:r>
        <w:rPr>
          <w:rFonts w:ascii="David" w:hAnsi="David"/>
          <w:rtl/>
        </w:rPr>
        <w:t xml:space="preserve"> אותו  באגרופים בכוונה לגרום למותו. לאחר שגרם למות המנוח, הנאשם לקח את מפתחות הבית ובמשך מספר ימים הגיע לדירת המנוח כדי לגנוב רכוש. באחד מהימים לאחר הרצח הגיעה למקום בת המנוח, הנאשם פתח את הדלת, תקף אותה באמצעות פטיש ונמלט מהמקום. כמו כן, הנאשם ניסה להסוות את מעשיו בכך שניסה להצית את גופת המנוח. </w:t>
      </w:r>
      <w:r w:rsidRPr="004E10D2">
        <w:rPr>
          <w:rFonts w:ascii="David" w:hAnsi="David"/>
          <w:u w:val="single"/>
          <w:rtl/>
        </w:rPr>
        <w:t>בית המשפט לא קבע מתחם ענישה לנוכח הסדר הטיעון</w:t>
      </w:r>
      <w:r>
        <w:rPr>
          <w:rFonts w:ascii="David" w:hAnsi="David"/>
          <w:rtl/>
        </w:rPr>
        <w:t xml:space="preserve"> והקשיים </w:t>
      </w:r>
      <w:proofErr w:type="spellStart"/>
      <w:r>
        <w:rPr>
          <w:rFonts w:ascii="David" w:hAnsi="David"/>
          <w:rtl/>
        </w:rPr>
        <w:t>הראייתיים</w:t>
      </w:r>
      <w:proofErr w:type="spellEnd"/>
      <w:r>
        <w:rPr>
          <w:rFonts w:ascii="David" w:hAnsi="David"/>
          <w:rtl/>
        </w:rPr>
        <w:t xml:space="preserve"> שביסודו וכן "לנוכח התקרה </w:t>
      </w:r>
      <w:proofErr w:type="spellStart"/>
      <w:r>
        <w:rPr>
          <w:rFonts w:ascii="David" w:hAnsi="David"/>
          <w:rtl/>
        </w:rPr>
        <w:t>העונשית</w:t>
      </w:r>
      <w:proofErr w:type="spellEnd"/>
      <w:r>
        <w:rPr>
          <w:rFonts w:ascii="David" w:hAnsi="David"/>
          <w:rtl/>
        </w:rPr>
        <w:t xml:space="preserve"> המוסכמת, שאינה משקפת לדעתנו את הרף העליון האפשרי של מתחם העונש בגין עבירת הרצח שבפנינו". בשים לב לכלל נתוני האירוע וכן נתוני הנאשם (הודה לאחר פרשת התביעה, בן 36 ונעדר עבר פלילי), נגזרו עליו </w:t>
      </w:r>
      <w:r w:rsidRPr="004E10D2">
        <w:rPr>
          <w:rFonts w:ascii="David" w:hAnsi="David"/>
          <w:u w:val="single"/>
          <w:rtl/>
        </w:rPr>
        <w:t>28 שנות מאסר</w:t>
      </w:r>
      <w:r>
        <w:rPr>
          <w:rFonts w:ascii="David" w:hAnsi="David"/>
          <w:rtl/>
        </w:rPr>
        <w:t>. על חומרת העונש הוגש ערעור מטעם הנאשם (</w:t>
      </w:r>
      <w:hyperlink r:id="rId47" w:history="1">
        <w:r w:rsidR="009A0C5D" w:rsidRPr="009A0C5D">
          <w:rPr>
            <w:rFonts w:ascii="David" w:hAnsi="David"/>
            <w:color w:val="0000FF"/>
            <w:u w:val="single"/>
            <w:rtl/>
          </w:rPr>
          <w:t>ע"פ 616/20</w:t>
        </w:r>
      </w:hyperlink>
      <w:r>
        <w:rPr>
          <w:rFonts w:ascii="David" w:hAnsi="David"/>
          <w:rtl/>
        </w:rPr>
        <w:t xml:space="preserve">), </w:t>
      </w:r>
      <w:r w:rsidR="0072379C" w:rsidRPr="0072379C">
        <w:rPr>
          <w:sz w:val="22"/>
          <w:rtl/>
        </w:rPr>
        <w:t xml:space="preserve">[פורסם </w:t>
      </w:r>
      <w:proofErr w:type="spellStart"/>
      <w:r w:rsidR="0072379C" w:rsidRPr="0072379C">
        <w:rPr>
          <w:sz w:val="22"/>
          <w:rtl/>
        </w:rPr>
        <w:t>בנבו</w:t>
      </w:r>
      <w:proofErr w:type="spellEnd"/>
      <w:r w:rsidR="0072379C" w:rsidRPr="0072379C">
        <w:rPr>
          <w:sz w:val="22"/>
          <w:rtl/>
        </w:rPr>
        <w:t xml:space="preserve">] </w:t>
      </w:r>
      <w:r>
        <w:rPr>
          <w:rFonts w:ascii="David" w:hAnsi="David"/>
          <w:rtl/>
        </w:rPr>
        <w:t>שנקבע לדיון בחודש 6/21.</w:t>
      </w:r>
    </w:p>
    <w:p w14:paraId="1EECF430" w14:textId="77777777" w:rsidR="00AB1C81" w:rsidRDefault="00AB1C81" w:rsidP="00AB1C81">
      <w:pPr>
        <w:spacing w:line="360" w:lineRule="auto"/>
        <w:ind w:left="368" w:right="284"/>
        <w:jc w:val="both"/>
        <w:rPr>
          <w:rFonts w:ascii="David" w:hAnsi="David"/>
          <w:rtl/>
        </w:rPr>
      </w:pPr>
    </w:p>
    <w:p w14:paraId="036090DC" w14:textId="77777777" w:rsidR="00AB1C81" w:rsidRDefault="00AB1C81" w:rsidP="00AB1C81">
      <w:pPr>
        <w:spacing w:line="360" w:lineRule="auto"/>
        <w:ind w:left="368" w:right="284"/>
        <w:jc w:val="both"/>
        <w:rPr>
          <w:rFonts w:ascii="David" w:hAnsi="David"/>
          <w:rtl/>
        </w:rPr>
      </w:pPr>
      <w:r>
        <w:rPr>
          <w:rFonts w:ascii="David" w:hAnsi="David"/>
          <w:rtl/>
        </w:rPr>
        <w:t>בעניין ברוך (</w:t>
      </w:r>
      <w:hyperlink r:id="rId48" w:history="1">
        <w:r w:rsidR="009A0C5D" w:rsidRPr="009A0C5D">
          <w:rPr>
            <w:rFonts w:ascii="David" w:hAnsi="David"/>
            <w:color w:val="0000FF"/>
            <w:u w:val="single"/>
            <w:rtl/>
          </w:rPr>
          <w:t>תפ"ח (מחוזי ת"א) 26100-07-17</w:t>
        </w:r>
      </w:hyperlink>
      <w:r>
        <w:rPr>
          <w:rFonts w:ascii="David" w:hAnsi="David"/>
          <w:rtl/>
        </w:rPr>
        <w:t xml:space="preserve"> </w:t>
      </w:r>
      <w:r>
        <w:rPr>
          <w:rFonts w:ascii="Miriam" w:hAnsi="Miriam" w:cs="Miriam"/>
          <w:rtl/>
        </w:rPr>
        <w:t>מדינת ישראל נ' ברוך</w:t>
      </w:r>
      <w:r>
        <w:rPr>
          <w:rFonts w:ascii="David" w:hAnsi="David"/>
          <w:rtl/>
        </w:rPr>
        <w:t xml:space="preserve"> </w:t>
      </w:r>
      <w:r w:rsidR="0072379C" w:rsidRPr="0072379C">
        <w:rPr>
          <w:sz w:val="22"/>
          <w:rtl/>
        </w:rPr>
        <w:t xml:space="preserve">[פורסם </w:t>
      </w:r>
      <w:proofErr w:type="spellStart"/>
      <w:r w:rsidR="0072379C" w:rsidRPr="0072379C">
        <w:rPr>
          <w:sz w:val="22"/>
          <w:rtl/>
        </w:rPr>
        <w:t>בנבו</w:t>
      </w:r>
      <w:proofErr w:type="spellEnd"/>
      <w:r w:rsidR="0072379C" w:rsidRPr="0072379C">
        <w:rPr>
          <w:sz w:val="22"/>
          <w:rtl/>
        </w:rPr>
        <w:t xml:space="preserve">] </w:t>
      </w:r>
      <w:r>
        <w:rPr>
          <w:rFonts w:ascii="David" w:hAnsi="David"/>
          <w:rtl/>
        </w:rPr>
        <w:t xml:space="preserve">(24.11.19)) הורשע הנאשם, לאחר שמיעת ראיות, ברצח "בסיסי" בכך שגרם בכוונה למות אשתו - הנאשם חסם את דרכי נשימתה של המנוחה באמצעות הצמדת כרית לפניה וחנק אותה למוות. בית המשפט קבע </w:t>
      </w:r>
      <w:r>
        <w:rPr>
          <w:rFonts w:ascii="David" w:hAnsi="David"/>
          <w:u w:val="single"/>
          <w:rtl/>
        </w:rPr>
        <w:t>מתחם עונש בין 18 ל 24 שנות מאסר</w:t>
      </w:r>
      <w:r>
        <w:rPr>
          <w:rFonts w:ascii="David" w:hAnsi="David"/>
          <w:rtl/>
        </w:rPr>
        <w:t xml:space="preserve">, בשים לב לנסיבות המקרה שתוארו על ידי בית המשפט כ"נסיבות מורכבות" - המנוחה סבלה מבעיות רפואיות, הנאשם טיפל בה ודאג לה והחליט להמיתה לאחר שקצה נפשו בטיפול בה. לאחר המעשה ניסה לשים קץ לחייו. בית המשפט גזר על הנאשם </w:t>
      </w:r>
      <w:r>
        <w:rPr>
          <w:rFonts w:ascii="David" w:hAnsi="David"/>
          <w:u w:val="single"/>
          <w:rtl/>
        </w:rPr>
        <w:t>20 שנות מאסר</w:t>
      </w:r>
      <w:r>
        <w:rPr>
          <w:rFonts w:ascii="David" w:hAnsi="David"/>
          <w:rtl/>
        </w:rPr>
        <w:t xml:space="preserve"> בפועל (נעדר עבר פלילי, ניהל כאמור את משפטו). ערעור על חומרת העונש נמחק וההליך הופסק נוכח פטירת המערער טרם ההכרעה בערעור (</w:t>
      </w:r>
      <w:hyperlink r:id="rId49" w:history="1">
        <w:r w:rsidR="009A0C5D" w:rsidRPr="009A0C5D">
          <w:rPr>
            <w:rFonts w:ascii="David" w:hAnsi="David"/>
            <w:color w:val="0000FF"/>
            <w:u w:val="single"/>
            <w:rtl/>
          </w:rPr>
          <w:t>ע"פ 90/20</w:t>
        </w:r>
      </w:hyperlink>
      <w:r>
        <w:rPr>
          <w:rFonts w:ascii="David" w:hAnsi="David"/>
          <w:rtl/>
        </w:rPr>
        <w:t xml:space="preserve">, </w:t>
      </w:r>
      <w:r w:rsidR="0072379C" w:rsidRPr="0072379C">
        <w:rPr>
          <w:sz w:val="22"/>
          <w:rtl/>
        </w:rPr>
        <w:t xml:space="preserve">[פורסם </w:t>
      </w:r>
      <w:proofErr w:type="spellStart"/>
      <w:r w:rsidR="0072379C" w:rsidRPr="0072379C">
        <w:rPr>
          <w:sz w:val="22"/>
          <w:rtl/>
        </w:rPr>
        <w:t>בנבו</w:t>
      </w:r>
      <w:proofErr w:type="spellEnd"/>
      <w:r w:rsidR="0072379C" w:rsidRPr="0072379C">
        <w:rPr>
          <w:sz w:val="22"/>
          <w:rtl/>
        </w:rPr>
        <w:t xml:space="preserve">] </w:t>
      </w:r>
      <w:r>
        <w:rPr>
          <w:rFonts w:ascii="David" w:hAnsi="David"/>
          <w:rtl/>
        </w:rPr>
        <w:t xml:space="preserve">החלטה מיום 10.12.20). </w:t>
      </w:r>
    </w:p>
    <w:p w14:paraId="2AA1FCF9" w14:textId="77777777" w:rsidR="00AB1C81" w:rsidRDefault="00AB1C81" w:rsidP="00AB1C81">
      <w:pPr>
        <w:spacing w:line="360" w:lineRule="auto"/>
        <w:ind w:left="368" w:right="284"/>
        <w:jc w:val="both"/>
        <w:rPr>
          <w:rFonts w:ascii="David" w:hAnsi="David"/>
          <w:rtl/>
        </w:rPr>
      </w:pPr>
    </w:p>
    <w:p w14:paraId="2372A703" w14:textId="77777777" w:rsidR="00AB1C81" w:rsidRDefault="00AB1C81" w:rsidP="00AB1C81">
      <w:pPr>
        <w:spacing w:line="360" w:lineRule="auto"/>
        <w:ind w:left="368" w:right="284"/>
        <w:jc w:val="both"/>
        <w:rPr>
          <w:rFonts w:ascii="David" w:hAnsi="David"/>
          <w:rtl/>
        </w:rPr>
      </w:pPr>
      <w:r>
        <w:rPr>
          <w:rFonts w:ascii="David" w:hAnsi="David"/>
          <w:rtl/>
        </w:rPr>
        <w:t xml:space="preserve">בעניין </w:t>
      </w:r>
      <w:proofErr w:type="spellStart"/>
      <w:r>
        <w:rPr>
          <w:rFonts w:ascii="David" w:hAnsi="David"/>
          <w:rtl/>
        </w:rPr>
        <w:t>עאמר</w:t>
      </w:r>
      <w:proofErr w:type="spellEnd"/>
      <w:r>
        <w:rPr>
          <w:rFonts w:ascii="David" w:hAnsi="David"/>
          <w:rtl/>
        </w:rPr>
        <w:t xml:space="preserve"> (</w:t>
      </w:r>
      <w:hyperlink r:id="rId50" w:history="1">
        <w:r w:rsidR="009A0C5D" w:rsidRPr="009A0C5D">
          <w:rPr>
            <w:rFonts w:ascii="David" w:hAnsi="David"/>
            <w:color w:val="0000FF"/>
            <w:u w:val="single"/>
            <w:rtl/>
          </w:rPr>
          <w:t>תפ"ח (מחוזי חיפה) 612-10-16</w:t>
        </w:r>
      </w:hyperlink>
      <w:r>
        <w:rPr>
          <w:rFonts w:ascii="David" w:hAnsi="David"/>
          <w:rtl/>
        </w:rPr>
        <w:t xml:space="preserve"> </w:t>
      </w:r>
      <w:r>
        <w:rPr>
          <w:rFonts w:ascii="Miriam" w:hAnsi="Miriam" w:cs="Miriam"/>
          <w:rtl/>
        </w:rPr>
        <w:t xml:space="preserve">מדינת ישראל נ' </w:t>
      </w:r>
      <w:proofErr w:type="spellStart"/>
      <w:r>
        <w:rPr>
          <w:rFonts w:ascii="Miriam" w:hAnsi="Miriam" w:cs="Miriam"/>
          <w:rtl/>
        </w:rPr>
        <w:t>עאמר</w:t>
      </w:r>
      <w:proofErr w:type="spellEnd"/>
      <w:r>
        <w:rPr>
          <w:rFonts w:ascii="David" w:hAnsi="David"/>
          <w:rtl/>
        </w:rPr>
        <w:t xml:space="preserve"> </w:t>
      </w:r>
      <w:r w:rsidR="0072379C" w:rsidRPr="0072379C">
        <w:rPr>
          <w:sz w:val="22"/>
          <w:rtl/>
        </w:rPr>
        <w:t xml:space="preserve">[פורסם </w:t>
      </w:r>
      <w:proofErr w:type="spellStart"/>
      <w:r w:rsidR="0072379C" w:rsidRPr="0072379C">
        <w:rPr>
          <w:sz w:val="22"/>
          <w:rtl/>
        </w:rPr>
        <w:t>בנבו</w:t>
      </w:r>
      <w:proofErr w:type="spellEnd"/>
      <w:r w:rsidR="0072379C" w:rsidRPr="0072379C">
        <w:rPr>
          <w:sz w:val="22"/>
          <w:rtl/>
        </w:rPr>
        <w:t xml:space="preserve">] </w:t>
      </w:r>
      <w:r>
        <w:rPr>
          <w:rFonts w:ascii="David" w:hAnsi="David"/>
          <w:rtl/>
        </w:rPr>
        <w:t xml:space="preserve">(15.12.20)), הורשע הנאשם, לאחר שמיעת ראיות, ברצח "בסיסי" כאשר היסוד הנפשי הוא כוונה, ולאחר שזוכה מעבירת הרצח בכוונה תחילה בנוסחה טרם הרפורמה. הנאשם, שכיהן כראש מועצת </w:t>
      </w:r>
      <w:proofErr w:type="spellStart"/>
      <w:r>
        <w:rPr>
          <w:rFonts w:ascii="David" w:hAnsi="David"/>
          <w:rtl/>
        </w:rPr>
        <w:t>ג'וליס</w:t>
      </w:r>
      <w:proofErr w:type="spellEnd"/>
      <w:r>
        <w:rPr>
          <w:rFonts w:ascii="David" w:hAnsi="David"/>
          <w:rtl/>
        </w:rPr>
        <w:t xml:space="preserve">, ישב ברכבו סמוך למועצה כאשר המנוח החל לחבוט באמצעות אלת עץ ברכב. ברקע הדברים, סכסוך קודם בין השניים על רקע טענות של המנוח כלפי הנאשם. בתגובה, הנאשם שלף את אקדחו וירה לעבר המנוח 7 כדורים שגרמו למותו. בית המשפט דחה את עתירת המאשימה להשית על הנאשם עונש של מאסר עולם, קבע כי </w:t>
      </w:r>
      <w:r w:rsidRPr="004E10D2">
        <w:rPr>
          <w:rFonts w:ascii="David" w:hAnsi="David"/>
          <w:u w:val="single"/>
          <w:rtl/>
        </w:rPr>
        <w:t>המתחם נע בין 18 ל 30 שנות מאסר</w:t>
      </w:r>
      <w:r>
        <w:rPr>
          <w:rFonts w:ascii="David" w:hAnsi="David"/>
          <w:rtl/>
        </w:rPr>
        <w:t xml:space="preserve"> ודן את הנאשם </w:t>
      </w:r>
      <w:r w:rsidRPr="004E10D2">
        <w:rPr>
          <w:rFonts w:ascii="David" w:hAnsi="David"/>
          <w:u w:val="single"/>
          <w:rtl/>
        </w:rPr>
        <w:t>ל 20 שנות מאסר</w:t>
      </w:r>
      <w:r>
        <w:rPr>
          <w:rFonts w:ascii="David" w:hAnsi="David"/>
          <w:rtl/>
        </w:rPr>
        <w:t xml:space="preserve"> (ניהל את משפטו, נעדר עבר פלילי, תרם רבות למדינה בהקשר הביטחוני והחברתי). כמצוין לעיל, גזר דין זה עדיין אינו חלוט. </w:t>
      </w:r>
    </w:p>
    <w:p w14:paraId="007DEDAB" w14:textId="77777777" w:rsidR="00AB1C81" w:rsidRDefault="00AB1C81" w:rsidP="00AB1C81">
      <w:pPr>
        <w:spacing w:line="360" w:lineRule="auto"/>
        <w:ind w:left="368" w:right="284"/>
        <w:jc w:val="both"/>
        <w:rPr>
          <w:rFonts w:ascii="David" w:hAnsi="David"/>
          <w:rtl/>
        </w:rPr>
      </w:pPr>
    </w:p>
    <w:p w14:paraId="7A1368D9" w14:textId="77777777" w:rsidR="00AB1C81" w:rsidRDefault="00AB1C81" w:rsidP="00AB1C81">
      <w:pPr>
        <w:spacing w:line="360" w:lineRule="auto"/>
        <w:ind w:left="368" w:right="284"/>
        <w:jc w:val="both"/>
        <w:rPr>
          <w:rFonts w:ascii="David" w:hAnsi="David"/>
          <w:rtl/>
        </w:rPr>
      </w:pPr>
      <w:r>
        <w:rPr>
          <w:rFonts w:ascii="David" w:hAnsi="David"/>
          <w:rtl/>
        </w:rPr>
        <w:t xml:space="preserve">בעניין </w:t>
      </w:r>
      <w:proofErr w:type="spellStart"/>
      <w:r>
        <w:rPr>
          <w:rFonts w:ascii="David" w:hAnsi="David"/>
          <w:rtl/>
        </w:rPr>
        <w:t>מסרשה</w:t>
      </w:r>
      <w:proofErr w:type="spellEnd"/>
      <w:r>
        <w:rPr>
          <w:rFonts w:ascii="David" w:hAnsi="David"/>
          <w:rtl/>
        </w:rPr>
        <w:t xml:space="preserve"> (</w:t>
      </w:r>
      <w:hyperlink r:id="rId51" w:history="1">
        <w:r w:rsidR="009A0C5D" w:rsidRPr="009A0C5D">
          <w:rPr>
            <w:rFonts w:ascii="David" w:hAnsi="David"/>
            <w:color w:val="0000FF"/>
            <w:u w:val="single"/>
            <w:rtl/>
          </w:rPr>
          <w:t>תפ"ח (מחוזי מרכז) 885-11-18</w:t>
        </w:r>
      </w:hyperlink>
      <w:r>
        <w:rPr>
          <w:rFonts w:ascii="David" w:hAnsi="David"/>
          <w:rtl/>
        </w:rPr>
        <w:t xml:space="preserve"> </w:t>
      </w:r>
      <w:r>
        <w:rPr>
          <w:rFonts w:ascii="Miriam" w:hAnsi="Miriam" w:cs="Miriam"/>
          <w:rtl/>
        </w:rPr>
        <w:t xml:space="preserve">מדינת ישראל נ' </w:t>
      </w:r>
      <w:proofErr w:type="spellStart"/>
      <w:r>
        <w:rPr>
          <w:rFonts w:ascii="Miriam" w:hAnsi="Miriam" w:cs="Miriam"/>
          <w:rtl/>
        </w:rPr>
        <w:t>מסרשה</w:t>
      </w:r>
      <w:proofErr w:type="spellEnd"/>
      <w:r>
        <w:rPr>
          <w:rFonts w:ascii="David" w:hAnsi="David"/>
          <w:rtl/>
        </w:rPr>
        <w:t xml:space="preserve"> </w:t>
      </w:r>
      <w:r w:rsidR="0072379C" w:rsidRPr="0072379C">
        <w:rPr>
          <w:sz w:val="22"/>
          <w:rtl/>
        </w:rPr>
        <w:t xml:space="preserve">[פורסם </w:t>
      </w:r>
      <w:proofErr w:type="spellStart"/>
      <w:r w:rsidR="0072379C" w:rsidRPr="0072379C">
        <w:rPr>
          <w:sz w:val="22"/>
          <w:rtl/>
        </w:rPr>
        <w:t>בנבו</w:t>
      </w:r>
      <w:proofErr w:type="spellEnd"/>
      <w:r w:rsidR="0072379C" w:rsidRPr="0072379C">
        <w:rPr>
          <w:sz w:val="22"/>
          <w:rtl/>
        </w:rPr>
        <w:t xml:space="preserve">] </w:t>
      </w:r>
      <w:r>
        <w:rPr>
          <w:rFonts w:ascii="David" w:hAnsi="David"/>
          <w:rtl/>
        </w:rPr>
        <w:t>(6.1.21)) הורשע הנאשם ברצח "בסיסי" כאשר היסוד הנפשי "כוונה". הנאשם, ששירת כשוטר ירה למוות ברעייתו בהמשך לויכוח ביניהם שכלל גם אלימות מצדו כלפיה (</w:t>
      </w:r>
      <w:proofErr w:type="spellStart"/>
      <w:r>
        <w:rPr>
          <w:rFonts w:ascii="David" w:hAnsi="David"/>
          <w:rtl/>
        </w:rPr>
        <w:t>היכה</w:t>
      </w:r>
      <w:proofErr w:type="spellEnd"/>
      <w:r>
        <w:rPr>
          <w:rFonts w:ascii="David" w:hAnsi="David"/>
          <w:rtl/>
        </w:rPr>
        <w:t xml:space="preserve"> אותה בגבה באמצעות מחבת וכן בעט בה). המנוחה ישבה בפינת האוכל בדירה, הנאשם הלך לחדר השינה, הוציא את אקדחו, חזר לכוון המנוחה, דרך את האקדח, כוונו וירה לעבר ראשה. מיד לאחר מכן התקשר לרשויות. נקבע </w:t>
      </w:r>
      <w:r w:rsidRPr="004E10D2">
        <w:rPr>
          <w:rFonts w:ascii="David" w:hAnsi="David"/>
          <w:u w:val="single"/>
          <w:rtl/>
        </w:rPr>
        <w:t>מתחם בין 26 שנות מאסר ועד לעונש של מאסר עולם</w:t>
      </w:r>
      <w:r>
        <w:rPr>
          <w:rFonts w:ascii="David" w:hAnsi="David"/>
          <w:rtl/>
        </w:rPr>
        <w:t xml:space="preserve"> והעונש נקבע על </w:t>
      </w:r>
      <w:r w:rsidRPr="004E10D2">
        <w:rPr>
          <w:rFonts w:ascii="David" w:hAnsi="David"/>
          <w:u w:val="single"/>
          <w:rtl/>
        </w:rPr>
        <w:t>29 שנות מאסר</w:t>
      </w:r>
      <w:r>
        <w:rPr>
          <w:rFonts w:ascii="David" w:hAnsi="David"/>
          <w:rtl/>
        </w:rPr>
        <w:t xml:space="preserve"> (ניהל את ההליך בטענה כי לא כוון את האקדח לעבר אשתו וביקש רק להפחידה; נעדר עבר, הביע חרטה מיד לאחר המעשה).</w:t>
      </w:r>
    </w:p>
    <w:p w14:paraId="55AA41B8" w14:textId="77777777" w:rsidR="00AB1C81" w:rsidRDefault="00AB1C81" w:rsidP="00AB1C81">
      <w:pPr>
        <w:spacing w:line="360" w:lineRule="auto"/>
        <w:ind w:left="368" w:right="284"/>
        <w:jc w:val="both"/>
        <w:rPr>
          <w:rFonts w:ascii="David" w:hAnsi="David"/>
          <w:rtl/>
        </w:rPr>
      </w:pPr>
    </w:p>
    <w:p w14:paraId="7FA82301" w14:textId="77777777" w:rsidR="00AB1C81" w:rsidRDefault="00AB1C81" w:rsidP="00AB1C81">
      <w:pPr>
        <w:spacing w:line="360" w:lineRule="auto"/>
        <w:ind w:left="368" w:right="284"/>
        <w:jc w:val="both"/>
        <w:rPr>
          <w:rFonts w:ascii="David" w:hAnsi="David"/>
          <w:rtl/>
        </w:rPr>
      </w:pPr>
      <w:r>
        <w:rPr>
          <w:rFonts w:ascii="David" w:hAnsi="David"/>
          <w:rtl/>
        </w:rPr>
        <w:t xml:space="preserve">אעיר, כי בא כוח הנאשם הפנה לגזרי דין שנתנו טרם התיקון במקרים בהם הורשעו נאשמים בעבירת הריגה, וטען בהקשר זה כי מדובר במקרים בעלי דמיון לענייננו וכי פסיקה זו לא "נמחקה" חרף התיקון. ואולם, יש לזכור כי היסוד הנפשי שהתקיים באותם נאשמים היה אדישות בעוד בענייננו הוא כוונה. זאת ועוד, אלמלא התיקון היה הנאשם נדון למאסר עולם כעונש חובה, כמתחייב מהסכמת הצדדים ולפיה אלמלא התיקון התקיימו בנאשם כלל יסודות עבירת הרצח טרם התיקון. </w:t>
      </w:r>
    </w:p>
    <w:p w14:paraId="7053E488" w14:textId="77777777" w:rsidR="00AB1C81" w:rsidRDefault="00AB1C81" w:rsidP="00AB1C81">
      <w:pPr>
        <w:spacing w:line="360" w:lineRule="auto"/>
        <w:ind w:left="368" w:right="284"/>
        <w:jc w:val="both"/>
        <w:rPr>
          <w:rFonts w:ascii="David" w:hAnsi="David"/>
          <w:rtl/>
        </w:rPr>
      </w:pPr>
    </w:p>
    <w:p w14:paraId="5D732952" w14:textId="77777777" w:rsidR="00AB1C81" w:rsidRDefault="00AB1C81" w:rsidP="00AB1C81">
      <w:pPr>
        <w:pStyle w:val="ListParagraph"/>
        <w:numPr>
          <w:ilvl w:val="0"/>
          <w:numId w:val="1"/>
        </w:numPr>
        <w:spacing w:after="0" w:line="360" w:lineRule="auto"/>
        <w:ind w:left="368" w:right="284"/>
        <w:jc w:val="both"/>
        <w:rPr>
          <w:rFonts w:ascii="David" w:hAnsi="David" w:cs="David"/>
          <w:sz w:val="24"/>
          <w:szCs w:val="24"/>
          <w:rtl/>
        </w:rPr>
      </w:pPr>
      <w:r>
        <w:rPr>
          <w:rFonts w:ascii="David" w:eastAsia="Times New Roman" w:hAnsi="David" w:cs="David"/>
          <w:sz w:val="24"/>
          <w:szCs w:val="24"/>
          <w:rtl/>
        </w:rPr>
        <w:t xml:space="preserve">לאחר שנתתי דעתי לחומרת העבירות ונסיבות ביצוען, לערכים החברתיים שנפגעו ומידת הפגיעה בהם ולמדיניות הענישה הנוהגת (בכפוף להערותיי בהקשר זה), </w:t>
      </w:r>
      <w:r>
        <w:rPr>
          <w:rFonts w:ascii="David" w:eastAsia="Times New Roman" w:hAnsi="David" w:cs="David"/>
          <w:sz w:val="24"/>
          <w:szCs w:val="24"/>
          <w:u w:val="single"/>
          <w:rtl/>
        </w:rPr>
        <w:t>סבורני כי מתחם העונש ההולם בענייננו נע בין 22 ל 30 שנות מאסר בפועל</w:t>
      </w:r>
      <w:r>
        <w:rPr>
          <w:rFonts w:ascii="David" w:eastAsia="Times New Roman" w:hAnsi="David" w:cs="David"/>
          <w:sz w:val="24"/>
          <w:szCs w:val="24"/>
          <w:rtl/>
        </w:rPr>
        <w:t xml:space="preserve">, וכך אציע לחבריי. </w:t>
      </w:r>
    </w:p>
    <w:p w14:paraId="260508A1" w14:textId="77777777" w:rsidR="00AB1C81" w:rsidRDefault="00AB1C81" w:rsidP="00AB1C81">
      <w:pPr>
        <w:pStyle w:val="ListParagraph"/>
        <w:spacing w:after="0" w:line="360" w:lineRule="auto"/>
        <w:ind w:left="368" w:right="284"/>
        <w:jc w:val="both"/>
        <w:rPr>
          <w:rFonts w:ascii="David" w:hAnsi="David" w:cs="David"/>
          <w:sz w:val="24"/>
          <w:szCs w:val="24"/>
        </w:rPr>
      </w:pPr>
    </w:p>
    <w:p w14:paraId="2A28DA29" w14:textId="77777777" w:rsidR="00AB1C81" w:rsidRDefault="00AB1C81" w:rsidP="00AB1C81">
      <w:pPr>
        <w:pStyle w:val="ListParagraph"/>
        <w:numPr>
          <w:ilvl w:val="0"/>
          <w:numId w:val="1"/>
        </w:numPr>
        <w:spacing w:after="0" w:line="360" w:lineRule="auto"/>
        <w:ind w:left="368" w:right="284"/>
        <w:jc w:val="both"/>
        <w:rPr>
          <w:rFonts w:ascii="David" w:hAnsi="David" w:cs="David"/>
          <w:sz w:val="24"/>
          <w:szCs w:val="24"/>
        </w:rPr>
      </w:pPr>
      <w:r>
        <w:rPr>
          <w:rFonts w:ascii="David" w:hAnsi="David" w:cs="David"/>
          <w:sz w:val="24"/>
          <w:szCs w:val="24"/>
          <w:rtl/>
        </w:rPr>
        <w:t xml:space="preserve">לא מצאתי כי יש מקום לסטות ממתחם העונש הראוי – אם לקולה משום שיקולי שיקום ואם לחומרה משום שיקולי הגנה על הציבור. </w:t>
      </w:r>
    </w:p>
    <w:p w14:paraId="7C463048" w14:textId="77777777" w:rsidR="00AB1C81" w:rsidRDefault="00AB1C81" w:rsidP="00AB1C81">
      <w:pPr>
        <w:pStyle w:val="ListParagraph"/>
        <w:ind w:left="368" w:right="284"/>
        <w:rPr>
          <w:rFonts w:ascii="David" w:hAnsi="David" w:cs="David"/>
          <w:sz w:val="24"/>
          <w:szCs w:val="24"/>
        </w:rPr>
      </w:pPr>
    </w:p>
    <w:p w14:paraId="2BB72EBF" w14:textId="77777777" w:rsidR="00AB1C81" w:rsidRDefault="00AB1C81" w:rsidP="00AB1C81">
      <w:pPr>
        <w:pStyle w:val="ListParagraph"/>
        <w:numPr>
          <w:ilvl w:val="0"/>
          <w:numId w:val="1"/>
        </w:numPr>
        <w:spacing w:after="0" w:line="360" w:lineRule="auto"/>
        <w:ind w:left="368" w:right="284"/>
        <w:jc w:val="both"/>
        <w:rPr>
          <w:rFonts w:ascii="David" w:hAnsi="David" w:cs="David"/>
          <w:sz w:val="24"/>
          <w:szCs w:val="24"/>
          <w:rtl/>
        </w:rPr>
      </w:pPr>
      <w:r w:rsidRPr="004E10D2">
        <w:rPr>
          <w:rFonts w:ascii="David" w:hAnsi="David" w:cs="David"/>
          <w:sz w:val="24"/>
          <w:szCs w:val="24"/>
          <w:u w:val="single"/>
          <w:rtl/>
        </w:rPr>
        <w:t>לעניין העונש שיש להשית על הנאשם בתוך המתחם</w:t>
      </w:r>
      <w:r>
        <w:rPr>
          <w:rFonts w:ascii="David" w:hAnsi="David" w:cs="David"/>
          <w:sz w:val="24"/>
          <w:szCs w:val="24"/>
          <w:rtl/>
        </w:rPr>
        <w:t xml:space="preserve">, יש ליתן כמובן משקל לנתוני הנאשם. מדובר, כפי שהובא לעיל, במי שהוא כבן 42 שנים, בעל משפחה שעבד לפרנסתו, ניהל על פני הדברים אורח חיים נורמטיבי וזכה להערכה מאלה שבאו עמו במגע במסגרת העבודה ובקרב בני משפחתו. </w:t>
      </w:r>
    </w:p>
    <w:p w14:paraId="2D892124" w14:textId="77777777" w:rsidR="00AB1C81" w:rsidRDefault="00AB1C81" w:rsidP="00AB1C81">
      <w:pPr>
        <w:pStyle w:val="ListParagraph"/>
        <w:ind w:left="368" w:right="284"/>
        <w:rPr>
          <w:rFonts w:ascii="David" w:hAnsi="David" w:cs="David"/>
          <w:sz w:val="24"/>
          <w:szCs w:val="24"/>
        </w:rPr>
      </w:pPr>
    </w:p>
    <w:p w14:paraId="00C92E0F" w14:textId="77777777" w:rsidR="00AB1C81" w:rsidRDefault="00AB1C81" w:rsidP="00AB1C81">
      <w:pPr>
        <w:pStyle w:val="ListParagraph"/>
        <w:tabs>
          <w:tab w:val="left" w:pos="6888"/>
        </w:tabs>
        <w:spacing w:after="0" w:line="360" w:lineRule="auto"/>
        <w:ind w:left="368" w:right="284"/>
        <w:jc w:val="both"/>
        <w:rPr>
          <w:rFonts w:ascii="David" w:hAnsi="David" w:cs="David"/>
          <w:sz w:val="24"/>
          <w:szCs w:val="24"/>
          <w:rtl/>
        </w:rPr>
      </w:pPr>
      <w:r>
        <w:rPr>
          <w:rFonts w:ascii="David" w:hAnsi="David" w:cs="David"/>
          <w:sz w:val="24"/>
          <w:szCs w:val="24"/>
          <w:rtl/>
        </w:rPr>
        <w:t xml:space="preserve">עם זאת, הפניתי להחזקת האקדח ברשותו שלא כדין, מה שמעיב על הצגתו כאדם נורמטיבי לחלוטין, וכן אפנה לעברו הפלילי תוך שנתתי דעתי לכך כי הוא אינו מכביד ואף "ישן". </w:t>
      </w:r>
    </w:p>
    <w:p w14:paraId="40F8AFF8" w14:textId="77777777" w:rsidR="00AB1C81" w:rsidRDefault="00AB1C81" w:rsidP="00AB1C81">
      <w:pPr>
        <w:pStyle w:val="ListParagraph"/>
        <w:spacing w:after="0" w:line="360" w:lineRule="auto"/>
        <w:ind w:left="368" w:right="284"/>
        <w:jc w:val="both"/>
        <w:rPr>
          <w:rFonts w:ascii="David" w:hAnsi="David" w:cs="David"/>
          <w:sz w:val="24"/>
          <w:szCs w:val="24"/>
          <w:rtl/>
        </w:rPr>
      </w:pPr>
    </w:p>
    <w:p w14:paraId="1F83919E" w14:textId="77777777" w:rsidR="00AB1C81" w:rsidRDefault="00AB1C81" w:rsidP="00AB1C81">
      <w:pPr>
        <w:pStyle w:val="ListParagraph"/>
        <w:spacing w:after="0" w:line="360" w:lineRule="auto"/>
        <w:ind w:left="368" w:right="284"/>
        <w:jc w:val="both"/>
        <w:rPr>
          <w:rFonts w:ascii="David" w:hAnsi="David" w:cs="David"/>
          <w:sz w:val="24"/>
          <w:szCs w:val="24"/>
          <w:rtl/>
        </w:rPr>
      </w:pPr>
      <w:r>
        <w:rPr>
          <w:rFonts w:ascii="David" w:hAnsi="David" w:cs="David"/>
          <w:sz w:val="24"/>
          <w:szCs w:val="24"/>
          <w:rtl/>
        </w:rPr>
        <w:t xml:space="preserve">עוד בהקשר לנסיבות האישיות, יש לזכור כי במעשיו הביא הנאשם לקטילת חיי אדם ומשום כך נסיבות אלה הן בעלות משקל נמוך באופן יחסי. כמו כן, בעבירה חמורה כמו זו בה הורשע הנאשם על העונש לתת ביטוי גם לשיקולי הרתעת הרבים. אפנה בהקשר זה </w:t>
      </w:r>
      <w:proofErr w:type="spellStart"/>
      <w:r>
        <w:rPr>
          <w:rFonts w:ascii="David" w:hAnsi="David" w:cs="David"/>
          <w:sz w:val="24"/>
          <w:szCs w:val="24"/>
          <w:rtl/>
        </w:rPr>
        <w:t>ל</w:t>
      </w:r>
      <w:hyperlink r:id="rId52" w:history="1">
        <w:r w:rsidR="009A0C5D" w:rsidRPr="009A0C5D">
          <w:rPr>
            <w:rFonts w:ascii="David" w:hAnsi="David" w:cs="David"/>
            <w:color w:val="0000FF"/>
            <w:sz w:val="24"/>
            <w:szCs w:val="24"/>
            <w:u w:val="single"/>
            <w:rtl/>
          </w:rPr>
          <w:t>ע"פ</w:t>
        </w:r>
        <w:proofErr w:type="spellEnd"/>
        <w:r w:rsidR="009A0C5D" w:rsidRPr="009A0C5D">
          <w:rPr>
            <w:rFonts w:ascii="David" w:hAnsi="David" w:cs="David"/>
            <w:color w:val="0000FF"/>
            <w:sz w:val="24"/>
            <w:szCs w:val="24"/>
            <w:u w:val="single"/>
            <w:rtl/>
          </w:rPr>
          <w:t xml:space="preserve"> 6294/11</w:t>
        </w:r>
      </w:hyperlink>
      <w:r>
        <w:rPr>
          <w:rFonts w:ascii="David" w:hAnsi="David" w:cs="David"/>
          <w:sz w:val="24"/>
          <w:szCs w:val="24"/>
          <w:rtl/>
        </w:rPr>
        <w:t xml:space="preserve"> </w:t>
      </w:r>
      <w:r>
        <w:rPr>
          <w:rFonts w:ascii="Miriam" w:hAnsi="Miriam" w:cs="Miriam"/>
          <w:sz w:val="24"/>
          <w:szCs w:val="24"/>
          <w:rtl/>
        </w:rPr>
        <w:t>פלוני נ' מדינת ישראל</w:t>
      </w:r>
      <w:r>
        <w:rPr>
          <w:rFonts w:ascii="David" w:hAnsi="David" w:cs="David"/>
          <w:sz w:val="24"/>
          <w:szCs w:val="24"/>
          <w:rtl/>
        </w:rPr>
        <w:t xml:space="preserve">, </w:t>
      </w:r>
      <w:r w:rsidR="0072379C" w:rsidRPr="0072379C">
        <w:rPr>
          <w:rFonts w:ascii="Times New Roman" w:hAnsi="Times New Roman" w:cs="David"/>
          <w:szCs w:val="24"/>
          <w:rtl/>
        </w:rPr>
        <w:t xml:space="preserve">[פורסם </w:t>
      </w:r>
      <w:proofErr w:type="spellStart"/>
      <w:r w:rsidR="0072379C" w:rsidRPr="0072379C">
        <w:rPr>
          <w:rFonts w:ascii="Times New Roman" w:hAnsi="Times New Roman" w:cs="David"/>
          <w:szCs w:val="24"/>
          <w:rtl/>
        </w:rPr>
        <w:t>בנבו</w:t>
      </w:r>
      <w:proofErr w:type="spellEnd"/>
      <w:r w:rsidR="0072379C" w:rsidRPr="0072379C">
        <w:rPr>
          <w:rFonts w:ascii="Times New Roman" w:hAnsi="Times New Roman" w:cs="David"/>
          <w:szCs w:val="24"/>
          <w:rtl/>
        </w:rPr>
        <w:t xml:space="preserve">] </w:t>
      </w:r>
      <w:r>
        <w:rPr>
          <w:rFonts w:ascii="David" w:hAnsi="David" w:cs="David"/>
          <w:sz w:val="24"/>
          <w:szCs w:val="24"/>
          <w:rtl/>
        </w:rPr>
        <w:t xml:space="preserve">פסקה 174 (20.2.14), שם צוין כי </w:t>
      </w:r>
      <w:r>
        <w:rPr>
          <w:rFonts w:ascii="David" w:hAnsi="David" w:cs="David"/>
          <w:b/>
          <w:bCs/>
          <w:sz w:val="24"/>
          <w:szCs w:val="24"/>
          <w:rtl/>
        </w:rPr>
        <w:t xml:space="preserve">".. כאשר מדובר בענישה בעבירות שעניינן קטילת חיי אדם מתוך כוונה פלילית, פוחת משקלן של הנסיבות האישיות של הנאשם ו"יש לייחס משקל כבד במיוחד" לשיקולים כגון הרתעת הרבים ושאט הנפש של החברה מקיפוח חיי אדם (ראו: עניין חדד, בעמ' 614)". </w:t>
      </w:r>
      <w:r>
        <w:rPr>
          <w:rFonts w:ascii="David" w:hAnsi="David" w:cs="David"/>
          <w:sz w:val="24"/>
          <w:szCs w:val="24"/>
          <w:rtl/>
        </w:rPr>
        <w:t xml:space="preserve">ולשיקולי ההרתעה הכללית בתוך המתחם ר' </w:t>
      </w:r>
      <w:hyperlink r:id="rId53" w:history="1">
        <w:r w:rsidR="009A0C5D" w:rsidRPr="009A0C5D">
          <w:rPr>
            <w:rFonts w:ascii="David" w:hAnsi="David" w:cs="David"/>
            <w:color w:val="0000FF"/>
            <w:sz w:val="24"/>
            <w:szCs w:val="24"/>
            <w:u w:val="single"/>
            <w:rtl/>
          </w:rPr>
          <w:t>ע"פ 2085/16</w:t>
        </w:r>
      </w:hyperlink>
      <w:r>
        <w:rPr>
          <w:rFonts w:ascii="David" w:hAnsi="David" w:cs="David"/>
          <w:sz w:val="24"/>
          <w:szCs w:val="24"/>
          <w:rtl/>
        </w:rPr>
        <w:t xml:space="preserve"> </w:t>
      </w:r>
      <w:r>
        <w:rPr>
          <w:rFonts w:ascii="Miriam" w:hAnsi="Miriam" w:cs="Miriam"/>
          <w:sz w:val="24"/>
          <w:szCs w:val="24"/>
          <w:rtl/>
        </w:rPr>
        <w:t xml:space="preserve">אזולאי נ' מדינת ישראל, </w:t>
      </w:r>
      <w:r w:rsidR="0072379C" w:rsidRPr="0072379C">
        <w:rPr>
          <w:rFonts w:ascii="Times New Roman" w:hAnsi="Times New Roman" w:cs="David"/>
          <w:szCs w:val="24"/>
          <w:rtl/>
        </w:rPr>
        <w:t xml:space="preserve">[פורסם </w:t>
      </w:r>
      <w:proofErr w:type="spellStart"/>
      <w:r w:rsidR="0072379C" w:rsidRPr="0072379C">
        <w:rPr>
          <w:rFonts w:ascii="Times New Roman" w:hAnsi="Times New Roman" w:cs="David"/>
          <w:szCs w:val="24"/>
          <w:rtl/>
        </w:rPr>
        <w:t>בנבו</w:t>
      </w:r>
      <w:proofErr w:type="spellEnd"/>
      <w:r w:rsidR="0072379C" w:rsidRPr="0072379C">
        <w:rPr>
          <w:rFonts w:ascii="Times New Roman" w:hAnsi="Times New Roman" w:cs="David"/>
          <w:szCs w:val="24"/>
          <w:rtl/>
        </w:rPr>
        <w:t xml:space="preserve">] </w:t>
      </w:r>
      <w:r>
        <w:rPr>
          <w:rFonts w:ascii="David" w:hAnsi="David" w:cs="David"/>
          <w:sz w:val="24"/>
          <w:szCs w:val="24"/>
          <w:rtl/>
        </w:rPr>
        <w:t xml:space="preserve">פסקה 11 (27.9.16); </w:t>
      </w:r>
      <w:hyperlink r:id="rId54" w:history="1">
        <w:r w:rsidR="009A0C5D" w:rsidRPr="009A0C5D">
          <w:rPr>
            <w:rFonts w:ascii="David" w:hAnsi="David" w:cs="David"/>
            <w:color w:val="0000FF"/>
            <w:sz w:val="24"/>
            <w:szCs w:val="24"/>
            <w:u w:val="single"/>
            <w:rtl/>
          </w:rPr>
          <w:t>ע"פ 2814/18</w:t>
        </w:r>
      </w:hyperlink>
      <w:r>
        <w:rPr>
          <w:rFonts w:ascii="David" w:hAnsi="David" w:cs="David"/>
          <w:sz w:val="24"/>
          <w:szCs w:val="24"/>
          <w:rtl/>
        </w:rPr>
        <w:t xml:space="preserve"> </w:t>
      </w:r>
      <w:r>
        <w:rPr>
          <w:rFonts w:ascii="Miriam" w:hAnsi="Miriam" w:cs="Miriam"/>
          <w:sz w:val="24"/>
          <w:szCs w:val="24"/>
          <w:rtl/>
        </w:rPr>
        <w:t>מנור נ' מדינת ישראל</w:t>
      </w:r>
      <w:r>
        <w:rPr>
          <w:rFonts w:ascii="David" w:hAnsi="David" w:cs="David"/>
          <w:sz w:val="24"/>
          <w:szCs w:val="24"/>
          <w:rtl/>
        </w:rPr>
        <w:t xml:space="preserve">, </w:t>
      </w:r>
      <w:r w:rsidR="0072379C" w:rsidRPr="0072379C">
        <w:rPr>
          <w:rFonts w:ascii="Times New Roman" w:hAnsi="Times New Roman" w:cs="David"/>
          <w:szCs w:val="24"/>
          <w:rtl/>
        </w:rPr>
        <w:t xml:space="preserve">[פורסם </w:t>
      </w:r>
      <w:proofErr w:type="spellStart"/>
      <w:r w:rsidR="0072379C" w:rsidRPr="0072379C">
        <w:rPr>
          <w:rFonts w:ascii="Times New Roman" w:hAnsi="Times New Roman" w:cs="David"/>
          <w:szCs w:val="24"/>
          <w:rtl/>
        </w:rPr>
        <w:t>בנבו</w:t>
      </w:r>
      <w:proofErr w:type="spellEnd"/>
      <w:r w:rsidR="0072379C" w:rsidRPr="0072379C">
        <w:rPr>
          <w:rFonts w:ascii="Times New Roman" w:hAnsi="Times New Roman" w:cs="David"/>
          <w:szCs w:val="24"/>
          <w:rtl/>
        </w:rPr>
        <w:t xml:space="preserve">] </w:t>
      </w:r>
      <w:r>
        <w:rPr>
          <w:rFonts w:ascii="David" w:hAnsi="David" w:cs="David"/>
          <w:sz w:val="24"/>
          <w:szCs w:val="24"/>
          <w:rtl/>
        </w:rPr>
        <w:t xml:space="preserve">פסקה 25 (27.2.19). </w:t>
      </w:r>
    </w:p>
    <w:p w14:paraId="15761525" w14:textId="77777777" w:rsidR="00AB1C81" w:rsidRDefault="00AB1C81" w:rsidP="00AB1C81">
      <w:pPr>
        <w:pStyle w:val="ListParagraph"/>
        <w:spacing w:after="0" w:line="360" w:lineRule="auto"/>
        <w:ind w:left="368" w:right="284"/>
        <w:jc w:val="both"/>
        <w:rPr>
          <w:rFonts w:ascii="David" w:hAnsi="David" w:cs="David"/>
          <w:sz w:val="24"/>
          <w:szCs w:val="24"/>
          <w:rtl/>
        </w:rPr>
      </w:pPr>
    </w:p>
    <w:p w14:paraId="6E15EF80" w14:textId="77777777" w:rsidR="00AB1C81" w:rsidRDefault="00AB1C81" w:rsidP="00AB1C81">
      <w:pPr>
        <w:pStyle w:val="ListParagraph"/>
        <w:spacing w:after="0" w:line="360" w:lineRule="auto"/>
        <w:ind w:left="368" w:right="284"/>
        <w:jc w:val="both"/>
        <w:rPr>
          <w:rFonts w:ascii="David" w:hAnsi="David" w:cs="David"/>
          <w:sz w:val="24"/>
          <w:szCs w:val="24"/>
        </w:rPr>
      </w:pPr>
      <w:r>
        <w:rPr>
          <w:rFonts w:ascii="David" w:hAnsi="David" w:cs="David"/>
          <w:sz w:val="24"/>
          <w:szCs w:val="24"/>
          <w:rtl/>
        </w:rPr>
        <w:t xml:space="preserve">עוד יש ליתן משקל להודיית הנאשם בשלב מוקדם ולאחר שהתקיימו שתי ישיבות הוכחות. הנאשם הודה ולקח אחריות על מעשיו. הודיית הנאשם אף חסכה זמן שיפוטי ניכר וצודק בא כוחו, כי בנסיבות העניין ובשים לב למהות העבירה בה הודה ואי הבהירות לגבי רמת הענישה, ההודיה אינה דבר של מה בכך. </w:t>
      </w:r>
    </w:p>
    <w:p w14:paraId="5A91F124" w14:textId="77777777" w:rsidR="00AB1C81" w:rsidRDefault="00AB1C81" w:rsidP="00AB1C81">
      <w:pPr>
        <w:pStyle w:val="ListParagraph"/>
        <w:spacing w:after="0" w:line="360" w:lineRule="auto"/>
        <w:ind w:left="368" w:right="284"/>
        <w:jc w:val="both"/>
        <w:rPr>
          <w:rFonts w:ascii="David" w:hAnsi="David" w:cs="David"/>
          <w:sz w:val="24"/>
          <w:szCs w:val="24"/>
          <w:rtl/>
        </w:rPr>
      </w:pPr>
    </w:p>
    <w:p w14:paraId="2BDCE4CB" w14:textId="77777777" w:rsidR="00AB1C81" w:rsidRDefault="00AB1C81" w:rsidP="00AB1C81">
      <w:pPr>
        <w:pStyle w:val="ListParagraph"/>
        <w:spacing w:after="0" w:line="360" w:lineRule="auto"/>
        <w:ind w:left="368" w:right="284"/>
        <w:jc w:val="both"/>
        <w:rPr>
          <w:rFonts w:ascii="David" w:hAnsi="David" w:cs="David"/>
          <w:sz w:val="24"/>
          <w:szCs w:val="24"/>
          <w:rtl/>
        </w:rPr>
      </w:pPr>
      <w:r>
        <w:rPr>
          <w:rFonts w:ascii="David" w:hAnsi="David" w:cs="David"/>
          <w:sz w:val="24"/>
          <w:szCs w:val="24"/>
          <w:rtl/>
        </w:rPr>
        <w:t xml:space="preserve">ציינתי לעיל כי ככלל (למעט החריגים שצוינו לעיל) הנאשם אינו מאופיין בנורמות עברייניות ומעבר לעדי האופי שהעידו בנדון, אפנה לתפקידו בבית המעצר כ"עציר תומך" – נתון התומך במסקנה לעיל. עוד נתתי משקל לכך כי מאסרו הממושך של הנאשם יפגע פגיעה ממשית בבני משפחתו וכן כי ביתם הוצת והם נאלצו לעבור ולהתגורר ביישוב אחר על כל הכרוך בכך.  </w:t>
      </w:r>
    </w:p>
    <w:p w14:paraId="54421D1B" w14:textId="77777777" w:rsidR="00AB1C81" w:rsidRDefault="00AB1C81" w:rsidP="00AB1C81">
      <w:pPr>
        <w:spacing w:line="360" w:lineRule="auto"/>
        <w:ind w:left="368" w:right="284"/>
        <w:jc w:val="both"/>
        <w:rPr>
          <w:rFonts w:ascii="David" w:hAnsi="David"/>
          <w:rtl/>
        </w:rPr>
      </w:pPr>
    </w:p>
    <w:p w14:paraId="07637B17" w14:textId="77777777" w:rsidR="00AB1C81" w:rsidRDefault="00AB1C81" w:rsidP="00AB1C81">
      <w:pPr>
        <w:pStyle w:val="ListParagraph"/>
        <w:spacing w:after="0" w:line="360" w:lineRule="auto"/>
        <w:ind w:left="368" w:right="284"/>
        <w:jc w:val="both"/>
        <w:rPr>
          <w:rFonts w:cs="David"/>
          <w:b/>
          <w:bCs/>
          <w:sz w:val="24"/>
          <w:szCs w:val="24"/>
          <w:rtl/>
        </w:rPr>
      </w:pPr>
      <w:r>
        <w:rPr>
          <w:rFonts w:ascii="David" w:hAnsi="David" w:cs="David"/>
          <w:b/>
          <w:bCs/>
          <w:sz w:val="24"/>
          <w:szCs w:val="24"/>
          <w:rtl/>
        </w:rPr>
        <w:t>בשקלול הנתונים והשיקולים לעיל, אציע לחבריי לה</w:t>
      </w:r>
      <w:r>
        <w:rPr>
          <w:rFonts w:cs="David"/>
          <w:b/>
          <w:bCs/>
          <w:sz w:val="24"/>
          <w:szCs w:val="24"/>
          <w:rtl/>
        </w:rPr>
        <w:t>שית על הנאשם את רכיבי הענישה הבאים:</w:t>
      </w:r>
    </w:p>
    <w:p w14:paraId="0E75D283" w14:textId="77777777" w:rsidR="00AB1C81" w:rsidRDefault="00AB1C81" w:rsidP="00AB1C81">
      <w:pPr>
        <w:spacing w:line="360" w:lineRule="auto"/>
        <w:ind w:left="368" w:right="284"/>
        <w:jc w:val="both"/>
        <w:rPr>
          <w:rtl/>
        </w:rPr>
      </w:pPr>
    </w:p>
    <w:p w14:paraId="5919A50F" w14:textId="77777777" w:rsidR="00AB1C81" w:rsidRDefault="00AB1C81" w:rsidP="00AB1C81">
      <w:pPr>
        <w:pStyle w:val="ListParagraph"/>
        <w:numPr>
          <w:ilvl w:val="0"/>
          <w:numId w:val="2"/>
        </w:numPr>
        <w:spacing w:after="0" w:line="360" w:lineRule="auto"/>
        <w:ind w:left="368" w:right="284"/>
        <w:jc w:val="both"/>
        <w:rPr>
          <w:rFonts w:cs="David"/>
          <w:sz w:val="24"/>
          <w:szCs w:val="24"/>
          <w:rtl/>
        </w:rPr>
      </w:pPr>
      <w:r>
        <w:rPr>
          <w:rFonts w:cs="David"/>
          <w:sz w:val="24"/>
          <w:szCs w:val="24"/>
          <w:u w:val="single"/>
          <w:rtl/>
        </w:rPr>
        <w:t>24 שנות מאסר לריצוי בפועל</w:t>
      </w:r>
      <w:r>
        <w:rPr>
          <w:rFonts w:cs="David"/>
          <w:sz w:val="24"/>
          <w:szCs w:val="24"/>
          <w:rtl/>
        </w:rPr>
        <w:t>, החל מיום מעצרו – 22.5.19.</w:t>
      </w:r>
    </w:p>
    <w:p w14:paraId="47DE1680" w14:textId="77777777" w:rsidR="00AB1C81" w:rsidRDefault="00AB1C81" w:rsidP="00AB1C81">
      <w:pPr>
        <w:pStyle w:val="ListParagraph"/>
        <w:spacing w:after="0" w:line="360" w:lineRule="auto"/>
        <w:ind w:left="368" w:right="284"/>
        <w:jc w:val="both"/>
        <w:rPr>
          <w:rFonts w:cs="David"/>
          <w:sz w:val="24"/>
          <w:szCs w:val="24"/>
        </w:rPr>
      </w:pPr>
    </w:p>
    <w:p w14:paraId="2E12157A" w14:textId="77777777" w:rsidR="00AB1C81" w:rsidRDefault="00AB1C81" w:rsidP="00AB1C81">
      <w:pPr>
        <w:pStyle w:val="ListParagraph"/>
        <w:numPr>
          <w:ilvl w:val="0"/>
          <w:numId w:val="2"/>
        </w:numPr>
        <w:spacing w:after="0" w:line="360" w:lineRule="auto"/>
        <w:ind w:left="368" w:right="284"/>
        <w:jc w:val="both"/>
        <w:rPr>
          <w:rFonts w:cs="David"/>
          <w:sz w:val="24"/>
          <w:szCs w:val="24"/>
        </w:rPr>
      </w:pPr>
      <w:r>
        <w:rPr>
          <w:rFonts w:cs="David"/>
          <w:sz w:val="24"/>
          <w:szCs w:val="24"/>
          <w:rtl/>
        </w:rPr>
        <w:t xml:space="preserve">מאסר לתקופה של 12 חודשים, </w:t>
      </w:r>
      <w:r>
        <w:rPr>
          <w:rFonts w:cs="David"/>
          <w:sz w:val="24"/>
          <w:szCs w:val="24"/>
          <w:u w:val="single"/>
          <w:rtl/>
        </w:rPr>
        <w:t>על תנאי</w:t>
      </w:r>
      <w:r>
        <w:rPr>
          <w:rFonts w:cs="David"/>
          <w:sz w:val="24"/>
          <w:szCs w:val="24"/>
          <w:rtl/>
        </w:rPr>
        <w:t xml:space="preserve"> למשך שלוש שנים מיום שחרורו; והתנאי הוא כי הנאשם לא יעבור </w:t>
      </w:r>
      <w:r>
        <w:rPr>
          <w:rFonts w:cs="David"/>
          <w:sz w:val="24"/>
          <w:szCs w:val="24"/>
          <w:u w:val="single"/>
          <w:rtl/>
        </w:rPr>
        <w:t>עבירת אלימות או עבירת נשק מסוג פשע</w:t>
      </w:r>
      <w:r>
        <w:rPr>
          <w:rFonts w:cs="David"/>
          <w:sz w:val="24"/>
          <w:szCs w:val="24"/>
          <w:rtl/>
        </w:rPr>
        <w:t xml:space="preserve">. </w:t>
      </w:r>
    </w:p>
    <w:p w14:paraId="06CEAF28" w14:textId="77777777" w:rsidR="00AB1C81" w:rsidRDefault="00AB1C81" w:rsidP="00AB1C81">
      <w:pPr>
        <w:pStyle w:val="ListParagraph"/>
        <w:spacing w:after="0" w:line="360" w:lineRule="auto"/>
        <w:ind w:left="368" w:right="284"/>
        <w:jc w:val="both"/>
        <w:rPr>
          <w:rFonts w:cs="David"/>
          <w:sz w:val="24"/>
          <w:szCs w:val="24"/>
        </w:rPr>
      </w:pPr>
    </w:p>
    <w:p w14:paraId="42225019" w14:textId="77777777" w:rsidR="00AB1C81" w:rsidRDefault="00AB1C81" w:rsidP="00AB1C81">
      <w:pPr>
        <w:pStyle w:val="ListParagraph"/>
        <w:numPr>
          <w:ilvl w:val="0"/>
          <w:numId w:val="2"/>
        </w:numPr>
        <w:spacing w:after="0" w:line="360" w:lineRule="auto"/>
        <w:ind w:left="368" w:right="284"/>
        <w:jc w:val="both"/>
        <w:rPr>
          <w:rFonts w:cs="David"/>
          <w:sz w:val="24"/>
          <w:szCs w:val="24"/>
        </w:rPr>
      </w:pPr>
      <w:r>
        <w:rPr>
          <w:rFonts w:cs="David"/>
          <w:sz w:val="24"/>
          <w:szCs w:val="24"/>
          <w:u w:val="single"/>
          <w:rtl/>
        </w:rPr>
        <w:t>פיצוי</w:t>
      </w:r>
      <w:r>
        <w:rPr>
          <w:rFonts w:cs="David"/>
          <w:sz w:val="24"/>
          <w:szCs w:val="24"/>
          <w:rtl/>
        </w:rPr>
        <w:t xml:space="preserve"> לטובת אלמנת המנוח וילדיו </w:t>
      </w:r>
      <w:r>
        <w:rPr>
          <w:rFonts w:cs="David"/>
          <w:sz w:val="24"/>
          <w:szCs w:val="24"/>
          <w:u w:val="single"/>
          <w:rtl/>
        </w:rPr>
        <w:t>בסכום כולל של 258,000 ₪</w:t>
      </w:r>
      <w:r>
        <w:rPr>
          <w:rFonts w:cs="David"/>
          <w:sz w:val="24"/>
          <w:szCs w:val="24"/>
          <w:rtl/>
        </w:rPr>
        <w:t xml:space="preserve">. מסכום זה 100,000 ₪ יהיו לפקודת אלמנת המנוח; והיתרה (158,000 ₪) תחולק לארבעה חלקים שווים לפקודת ארבעת ילדיו הקטינים. </w:t>
      </w:r>
    </w:p>
    <w:p w14:paraId="39679C42" w14:textId="77777777" w:rsidR="00AB1C81" w:rsidRDefault="00AB1C81" w:rsidP="00AB1C81">
      <w:pPr>
        <w:pStyle w:val="ListParagraph"/>
        <w:spacing w:after="0" w:line="360" w:lineRule="auto"/>
        <w:ind w:left="368" w:right="284"/>
        <w:jc w:val="both"/>
        <w:rPr>
          <w:rFonts w:cs="David"/>
          <w:sz w:val="24"/>
          <w:szCs w:val="24"/>
          <w:u w:val="single"/>
        </w:rPr>
      </w:pPr>
    </w:p>
    <w:p w14:paraId="56E26D43" w14:textId="77777777" w:rsidR="00AB1C81" w:rsidRDefault="00AB1C81" w:rsidP="00AB1C81">
      <w:pPr>
        <w:pStyle w:val="ListParagraph"/>
        <w:spacing w:after="0" w:line="360" w:lineRule="auto"/>
        <w:ind w:left="368" w:right="284"/>
        <w:jc w:val="both"/>
        <w:rPr>
          <w:rFonts w:cs="David"/>
          <w:sz w:val="24"/>
          <w:szCs w:val="24"/>
          <w:u w:val="single"/>
          <w:rtl/>
        </w:rPr>
      </w:pPr>
      <w:r>
        <w:rPr>
          <w:rFonts w:cs="David"/>
          <w:sz w:val="24"/>
          <w:szCs w:val="24"/>
          <w:u w:val="single"/>
          <w:rtl/>
        </w:rPr>
        <w:t xml:space="preserve">השופטת גלית </w:t>
      </w:r>
      <w:proofErr w:type="spellStart"/>
      <w:r>
        <w:rPr>
          <w:rFonts w:cs="David"/>
          <w:sz w:val="24"/>
          <w:szCs w:val="24"/>
          <w:u w:val="single"/>
          <w:rtl/>
        </w:rPr>
        <w:t>ציגלר</w:t>
      </w:r>
      <w:proofErr w:type="spellEnd"/>
      <w:r>
        <w:rPr>
          <w:rFonts w:cs="David"/>
          <w:sz w:val="24"/>
          <w:szCs w:val="24"/>
          <w:u w:val="single"/>
          <w:rtl/>
        </w:rPr>
        <w:t>:</w:t>
      </w:r>
    </w:p>
    <w:p w14:paraId="478682A6" w14:textId="77777777" w:rsidR="00AB1C81" w:rsidRDefault="00AB1C81" w:rsidP="00AB1C81">
      <w:pPr>
        <w:pStyle w:val="ListParagraph"/>
        <w:spacing w:after="0" w:line="360" w:lineRule="auto"/>
        <w:ind w:left="368" w:right="284"/>
        <w:jc w:val="both"/>
        <w:rPr>
          <w:rFonts w:cs="David"/>
          <w:sz w:val="24"/>
          <w:szCs w:val="24"/>
          <w:rtl/>
        </w:rPr>
      </w:pPr>
      <w:r>
        <w:rPr>
          <w:rFonts w:cs="David"/>
          <w:sz w:val="24"/>
          <w:szCs w:val="24"/>
          <w:rtl/>
        </w:rPr>
        <w:t>מסכימה.</w:t>
      </w:r>
    </w:p>
    <w:p w14:paraId="0E4EF5F2" w14:textId="77777777" w:rsidR="00AB1C81" w:rsidRDefault="00AB1C81" w:rsidP="00AB1C81">
      <w:pPr>
        <w:pStyle w:val="ListParagraph"/>
        <w:spacing w:after="0" w:line="360" w:lineRule="auto"/>
        <w:ind w:left="368" w:right="284"/>
        <w:jc w:val="both"/>
        <w:rPr>
          <w:rFonts w:cs="David"/>
          <w:sz w:val="24"/>
          <w:szCs w:val="24"/>
          <w:u w:val="single"/>
          <w:rtl/>
        </w:rPr>
      </w:pPr>
    </w:p>
    <w:p w14:paraId="063DFE03" w14:textId="77777777" w:rsidR="00AB1C81" w:rsidRDefault="00AB1C81" w:rsidP="00AB1C81">
      <w:pPr>
        <w:pStyle w:val="ListParagraph"/>
        <w:spacing w:after="0" w:line="360" w:lineRule="auto"/>
        <w:ind w:left="368" w:right="284"/>
        <w:jc w:val="both"/>
        <w:rPr>
          <w:rFonts w:cs="David"/>
          <w:sz w:val="24"/>
          <w:szCs w:val="24"/>
          <w:u w:val="single"/>
          <w:rtl/>
        </w:rPr>
      </w:pPr>
      <w:r>
        <w:rPr>
          <w:rFonts w:cs="David"/>
          <w:sz w:val="24"/>
          <w:szCs w:val="24"/>
          <w:u w:val="single"/>
          <w:rtl/>
        </w:rPr>
        <w:t xml:space="preserve">השופט שמואל </w:t>
      </w:r>
      <w:proofErr w:type="spellStart"/>
      <w:r>
        <w:rPr>
          <w:rFonts w:cs="David"/>
          <w:sz w:val="24"/>
          <w:szCs w:val="24"/>
          <w:u w:val="single"/>
          <w:rtl/>
        </w:rPr>
        <w:t>מנדלבום</w:t>
      </w:r>
      <w:proofErr w:type="spellEnd"/>
      <w:r>
        <w:rPr>
          <w:rFonts w:cs="David"/>
          <w:sz w:val="24"/>
          <w:szCs w:val="24"/>
          <w:u w:val="single"/>
          <w:rtl/>
        </w:rPr>
        <w:t>:</w:t>
      </w:r>
    </w:p>
    <w:p w14:paraId="13467C4E" w14:textId="77777777" w:rsidR="00AB1C81" w:rsidRDefault="00AB1C81" w:rsidP="00AB1C81">
      <w:pPr>
        <w:pStyle w:val="ListParagraph"/>
        <w:spacing w:after="0" w:line="360" w:lineRule="auto"/>
        <w:ind w:left="368" w:right="284"/>
        <w:jc w:val="both"/>
        <w:rPr>
          <w:rFonts w:cs="David"/>
          <w:sz w:val="24"/>
          <w:szCs w:val="24"/>
          <w:rtl/>
        </w:rPr>
      </w:pPr>
      <w:r>
        <w:rPr>
          <w:rFonts w:cs="David"/>
          <w:sz w:val="24"/>
          <w:szCs w:val="24"/>
          <w:rtl/>
        </w:rPr>
        <w:t>מסכים.</w:t>
      </w:r>
    </w:p>
    <w:p w14:paraId="121B6D31" w14:textId="77777777" w:rsidR="00AB1C81" w:rsidRDefault="00AB1C81" w:rsidP="00AB1C81">
      <w:pPr>
        <w:pStyle w:val="ListParagraph"/>
        <w:spacing w:after="0" w:line="360" w:lineRule="auto"/>
        <w:ind w:left="368" w:right="284"/>
        <w:jc w:val="both"/>
        <w:rPr>
          <w:rFonts w:cs="David"/>
          <w:sz w:val="24"/>
          <w:szCs w:val="24"/>
          <w:u w:val="single"/>
          <w:rtl/>
        </w:rPr>
      </w:pPr>
    </w:p>
    <w:p w14:paraId="4138B4C3" w14:textId="77777777" w:rsidR="00AB1C81" w:rsidRDefault="00AB1C81" w:rsidP="00AB1C81">
      <w:pPr>
        <w:pStyle w:val="ListParagraph"/>
        <w:spacing w:after="0" w:line="360" w:lineRule="auto"/>
        <w:ind w:left="368" w:right="284"/>
        <w:jc w:val="both"/>
        <w:rPr>
          <w:rFonts w:cs="David"/>
          <w:b/>
          <w:bCs/>
          <w:sz w:val="24"/>
          <w:szCs w:val="24"/>
          <w:u w:val="single"/>
          <w:rtl/>
        </w:rPr>
      </w:pPr>
      <w:r>
        <w:rPr>
          <w:rFonts w:cs="David"/>
          <w:b/>
          <w:bCs/>
          <w:sz w:val="24"/>
          <w:szCs w:val="24"/>
          <w:u w:val="single"/>
          <w:rtl/>
        </w:rPr>
        <w:t>הוחלט פה אחד לדון את הנאשם לעונשים הבאים:</w:t>
      </w:r>
    </w:p>
    <w:p w14:paraId="377B6D04" w14:textId="77777777" w:rsidR="00AB1C81" w:rsidRDefault="00AB1C81" w:rsidP="00AB1C81">
      <w:pPr>
        <w:pStyle w:val="ListParagraph"/>
        <w:spacing w:after="0" w:line="360" w:lineRule="auto"/>
        <w:ind w:left="368" w:right="284"/>
        <w:jc w:val="both"/>
        <w:rPr>
          <w:rFonts w:cs="David"/>
          <w:sz w:val="24"/>
          <w:szCs w:val="24"/>
          <w:u w:val="single"/>
          <w:rtl/>
        </w:rPr>
      </w:pPr>
    </w:p>
    <w:p w14:paraId="1511F392" w14:textId="77777777" w:rsidR="00AB1C81" w:rsidRDefault="00AB1C81" w:rsidP="00AB1C81">
      <w:pPr>
        <w:pStyle w:val="ListParagraph"/>
        <w:numPr>
          <w:ilvl w:val="0"/>
          <w:numId w:val="2"/>
        </w:numPr>
        <w:spacing w:after="0" w:line="360" w:lineRule="auto"/>
        <w:ind w:left="368" w:right="284"/>
        <w:jc w:val="both"/>
        <w:rPr>
          <w:rFonts w:cs="David"/>
          <w:sz w:val="24"/>
          <w:szCs w:val="24"/>
          <w:rtl/>
        </w:rPr>
      </w:pPr>
      <w:r>
        <w:rPr>
          <w:rFonts w:cs="David"/>
          <w:sz w:val="24"/>
          <w:szCs w:val="24"/>
          <w:u w:val="single"/>
          <w:rtl/>
        </w:rPr>
        <w:t>24 שנות מאסר לריצוי בפועל</w:t>
      </w:r>
      <w:r>
        <w:rPr>
          <w:rFonts w:cs="David"/>
          <w:sz w:val="24"/>
          <w:szCs w:val="24"/>
          <w:rtl/>
        </w:rPr>
        <w:t>, החל מיום מעצרו – 22.5.19.</w:t>
      </w:r>
    </w:p>
    <w:p w14:paraId="6CB9D598" w14:textId="77777777" w:rsidR="00AB1C81" w:rsidRDefault="00AB1C81" w:rsidP="00AB1C81">
      <w:pPr>
        <w:pStyle w:val="ListParagraph"/>
        <w:spacing w:after="0" w:line="360" w:lineRule="auto"/>
        <w:ind w:left="368" w:right="284"/>
        <w:jc w:val="both"/>
        <w:rPr>
          <w:rFonts w:cs="David"/>
          <w:sz w:val="24"/>
          <w:szCs w:val="24"/>
        </w:rPr>
      </w:pPr>
    </w:p>
    <w:p w14:paraId="304412D8" w14:textId="77777777" w:rsidR="00AB1C81" w:rsidRDefault="00AB1C81" w:rsidP="00AB1C81">
      <w:pPr>
        <w:pStyle w:val="ListParagraph"/>
        <w:numPr>
          <w:ilvl w:val="0"/>
          <w:numId w:val="2"/>
        </w:numPr>
        <w:spacing w:after="0" w:line="360" w:lineRule="auto"/>
        <w:ind w:left="368" w:right="284"/>
        <w:jc w:val="both"/>
        <w:rPr>
          <w:rFonts w:cs="David"/>
          <w:sz w:val="24"/>
          <w:szCs w:val="24"/>
        </w:rPr>
      </w:pPr>
      <w:r>
        <w:rPr>
          <w:rFonts w:cs="David"/>
          <w:sz w:val="24"/>
          <w:szCs w:val="24"/>
          <w:rtl/>
        </w:rPr>
        <w:t xml:space="preserve">מאסר לתקופה של 12 חודשים, </w:t>
      </w:r>
      <w:r>
        <w:rPr>
          <w:rFonts w:cs="David"/>
          <w:sz w:val="24"/>
          <w:szCs w:val="24"/>
          <w:u w:val="single"/>
          <w:rtl/>
        </w:rPr>
        <w:t>על תנאי</w:t>
      </w:r>
      <w:r>
        <w:rPr>
          <w:rFonts w:cs="David"/>
          <w:sz w:val="24"/>
          <w:szCs w:val="24"/>
          <w:rtl/>
        </w:rPr>
        <w:t xml:space="preserve"> למשך שלוש שנים מיום שחרורו; והתנאי הוא כי הנאשם לא יעבור </w:t>
      </w:r>
      <w:r>
        <w:rPr>
          <w:rFonts w:cs="David"/>
          <w:sz w:val="24"/>
          <w:szCs w:val="24"/>
          <w:u w:val="single"/>
          <w:rtl/>
        </w:rPr>
        <w:t>עבירת אלימות או עבירת נשק מסוג פשע</w:t>
      </w:r>
      <w:r>
        <w:rPr>
          <w:rFonts w:cs="David"/>
          <w:sz w:val="24"/>
          <w:szCs w:val="24"/>
          <w:rtl/>
        </w:rPr>
        <w:t xml:space="preserve">. </w:t>
      </w:r>
    </w:p>
    <w:p w14:paraId="3E93AE3A" w14:textId="77777777" w:rsidR="00AB1C81" w:rsidRDefault="00AB1C81" w:rsidP="00AB1C81">
      <w:pPr>
        <w:pStyle w:val="ListParagraph"/>
        <w:spacing w:after="0" w:line="360" w:lineRule="auto"/>
        <w:ind w:left="368" w:right="284"/>
        <w:jc w:val="both"/>
        <w:rPr>
          <w:rFonts w:cs="David"/>
          <w:sz w:val="24"/>
          <w:szCs w:val="24"/>
        </w:rPr>
      </w:pPr>
    </w:p>
    <w:p w14:paraId="428FC508" w14:textId="77777777" w:rsidR="00AB1C81" w:rsidRDefault="00AB1C81" w:rsidP="00AB1C81">
      <w:pPr>
        <w:pStyle w:val="ListParagraph"/>
        <w:numPr>
          <w:ilvl w:val="0"/>
          <w:numId w:val="2"/>
        </w:numPr>
        <w:spacing w:after="0" w:line="360" w:lineRule="auto"/>
        <w:ind w:left="368" w:right="284"/>
        <w:jc w:val="both"/>
        <w:rPr>
          <w:rFonts w:cs="David"/>
          <w:sz w:val="24"/>
          <w:szCs w:val="24"/>
        </w:rPr>
      </w:pPr>
      <w:r>
        <w:rPr>
          <w:rFonts w:cs="David"/>
          <w:sz w:val="24"/>
          <w:szCs w:val="24"/>
          <w:u w:val="single"/>
          <w:rtl/>
        </w:rPr>
        <w:t>פיצוי</w:t>
      </w:r>
      <w:r>
        <w:rPr>
          <w:rFonts w:cs="David"/>
          <w:sz w:val="24"/>
          <w:szCs w:val="24"/>
          <w:rtl/>
        </w:rPr>
        <w:t xml:space="preserve"> לטובת אלמנת המנוח וילדיו </w:t>
      </w:r>
      <w:r>
        <w:rPr>
          <w:rFonts w:cs="David"/>
          <w:sz w:val="24"/>
          <w:szCs w:val="24"/>
          <w:u w:val="single"/>
          <w:rtl/>
        </w:rPr>
        <w:t>בסכום כולל של 258,000 ₪</w:t>
      </w:r>
      <w:r>
        <w:rPr>
          <w:rFonts w:cs="David"/>
          <w:sz w:val="24"/>
          <w:szCs w:val="24"/>
          <w:rtl/>
        </w:rPr>
        <w:t xml:space="preserve">. מסכום זה 100,000 ₪ יהיו לפקודת אלמנת המנוח; והיתרה (158,000 ₪) תחולק לארבעה חלקים שווים לפקודת ארבעת ילדיו הקטינים. הסכומים לעיל ישולמו עד ליום 1.5.21 </w:t>
      </w:r>
      <w:r>
        <w:rPr>
          <w:rFonts w:cs="David"/>
          <w:sz w:val="24"/>
          <w:szCs w:val="24"/>
          <w:u w:val="single"/>
          <w:rtl/>
        </w:rPr>
        <w:t>רק</w:t>
      </w:r>
      <w:r>
        <w:rPr>
          <w:rFonts w:cs="David"/>
          <w:sz w:val="24"/>
          <w:szCs w:val="24"/>
          <w:rtl/>
        </w:rPr>
        <w:t xml:space="preserve"> באמצעות מזכירות בית המשפט או המרכז לגביית קנסות אגרות והוצאות. נאסר על הנאשם ליצור קשר, במישרין או בעקיפין, עם משפחת המנוח בהקשר זה. הסכומים לטובת ילדיו הקטינים של המנוח, כמצוין לעיל, יופקדו בתכניות חסכון שייפתחו על שם הקטינים ותוכניות אלה ייסגרו עד הגיעם לגיל 18. אפוטרופוס הקטינים יהיה רשאי לבקש מבית המשפט לענייני משפחה שחרור כספים אלה או חלקם. הכספים ישולמו לקטינים באמצעות המרכז לגביית קנסות, והמרכז יוודא טרם העברת הכספים מילוי התנאים לעיל.</w:t>
      </w:r>
    </w:p>
    <w:p w14:paraId="20869535" w14:textId="77777777" w:rsidR="00AB1C81" w:rsidRDefault="00AB1C81" w:rsidP="00AB1C81">
      <w:pPr>
        <w:spacing w:line="360" w:lineRule="auto"/>
        <w:ind w:left="368" w:right="284"/>
        <w:jc w:val="both"/>
      </w:pPr>
    </w:p>
    <w:p w14:paraId="6616C8CD" w14:textId="77777777" w:rsidR="00AB1C81" w:rsidRDefault="00AB1C81" w:rsidP="00AB1C81">
      <w:pPr>
        <w:spacing w:line="360" w:lineRule="auto"/>
        <w:ind w:left="368" w:right="284"/>
        <w:jc w:val="both"/>
        <w:rPr>
          <w:b/>
          <w:bCs/>
          <w:u w:val="single"/>
          <w:rtl/>
        </w:rPr>
      </w:pPr>
      <w:r>
        <w:rPr>
          <w:b/>
          <w:bCs/>
          <w:u w:val="single"/>
          <w:rtl/>
        </w:rPr>
        <w:t xml:space="preserve">זכות ערעור תוך 45 יום מהיום לבית המשפט העליון. </w:t>
      </w:r>
    </w:p>
    <w:p w14:paraId="1322434E" w14:textId="77777777" w:rsidR="00AB1C81" w:rsidRDefault="00AB1C81" w:rsidP="00AB1C81">
      <w:pPr>
        <w:spacing w:line="360" w:lineRule="auto"/>
        <w:ind w:left="368" w:right="284"/>
        <w:jc w:val="both"/>
        <w:rPr>
          <w:rFonts w:ascii="David" w:hAnsi="David"/>
          <w:rtl/>
        </w:rPr>
      </w:pPr>
    </w:p>
    <w:p w14:paraId="247CD138" w14:textId="77777777" w:rsidR="00AB1C81" w:rsidRPr="00B05847" w:rsidRDefault="00AB1C81" w:rsidP="00AB1C81">
      <w:pPr>
        <w:rPr>
          <w:rFonts w:ascii="Arial" w:hAnsi="Arial"/>
          <w:rtl/>
        </w:rPr>
      </w:pPr>
    </w:p>
    <w:tbl>
      <w:tblPr>
        <w:bidiVisual/>
        <w:tblW w:w="0" w:type="auto"/>
        <w:tblLook w:val="01E0" w:firstRow="1" w:lastRow="1" w:firstColumn="1" w:lastColumn="1" w:noHBand="0" w:noVBand="0"/>
      </w:tblPr>
      <w:tblGrid>
        <w:gridCol w:w="2834"/>
        <w:gridCol w:w="360"/>
        <w:gridCol w:w="2406"/>
        <w:gridCol w:w="346"/>
        <w:gridCol w:w="2576"/>
      </w:tblGrid>
      <w:tr w:rsidR="00AB1C81" w14:paraId="34EC26CA" w14:textId="77777777" w:rsidTr="00AB1C81">
        <w:tc>
          <w:tcPr>
            <w:tcW w:w="2834" w:type="dxa"/>
            <w:tcBorders>
              <w:top w:val="single" w:sz="4" w:space="0" w:color="auto"/>
              <w:left w:val="nil"/>
              <w:bottom w:val="nil"/>
              <w:right w:val="nil"/>
            </w:tcBorders>
            <w:shd w:val="clear" w:color="auto" w:fill="auto"/>
          </w:tcPr>
          <w:p w14:paraId="63730890" w14:textId="77777777" w:rsidR="00AB1C81" w:rsidRPr="00AB1C81" w:rsidRDefault="00AB1C81" w:rsidP="00AB1C81">
            <w:pPr>
              <w:spacing w:line="360" w:lineRule="auto"/>
              <w:jc w:val="center"/>
              <w:rPr>
                <w:b/>
                <w:bCs/>
                <w:rtl/>
              </w:rPr>
            </w:pPr>
            <w:r w:rsidRPr="00AB1C81">
              <w:rPr>
                <w:rFonts w:hint="cs"/>
                <w:b/>
                <w:bCs/>
                <w:rtl/>
              </w:rPr>
              <w:t xml:space="preserve">י. ליפשיץ , שופט </w:t>
            </w:r>
          </w:p>
          <w:p w14:paraId="4F1C777E" w14:textId="77777777" w:rsidR="00AB1C81" w:rsidRPr="00AB1C81" w:rsidRDefault="00AB1C81" w:rsidP="00AB1C81">
            <w:pPr>
              <w:spacing w:line="360" w:lineRule="auto"/>
              <w:jc w:val="center"/>
              <w:rPr>
                <w:b/>
                <w:bCs/>
              </w:rPr>
            </w:pPr>
            <w:r w:rsidRPr="00AB1C81">
              <w:rPr>
                <w:rFonts w:hint="cs"/>
                <w:b/>
                <w:bCs/>
                <w:rtl/>
              </w:rPr>
              <w:t>[אב"ד]</w:t>
            </w:r>
          </w:p>
        </w:tc>
        <w:tc>
          <w:tcPr>
            <w:tcW w:w="360" w:type="dxa"/>
            <w:shd w:val="clear" w:color="auto" w:fill="auto"/>
          </w:tcPr>
          <w:p w14:paraId="12210E4B" w14:textId="77777777" w:rsidR="00AB1C81" w:rsidRPr="00AB1C81" w:rsidRDefault="00AB1C81" w:rsidP="00AB1C81">
            <w:pPr>
              <w:spacing w:line="360" w:lineRule="auto"/>
              <w:rPr>
                <w:b/>
                <w:bCs/>
                <w:color w:val="FF0000"/>
              </w:rPr>
            </w:pPr>
          </w:p>
        </w:tc>
        <w:tc>
          <w:tcPr>
            <w:tcW w:w="2406" w:type="dxa"/>
            <w:tcBorders>
              <w:top w:val="single" w:sz="4" w:space="0" w:color="auto"/>
              <w:left w:val="nil"/>
              <w:bottom w:val="nil"/>
              <w:right w:val="nil"/>
            </w:tcBorders>
            <w:shd w:val="clear" w:color="auto" w:fill="auto"/>
          </w:tcPr>
          <w:p w14:paraId="192E0DD8" w14:textId="77777777" w:rsidR="00AB1C81" w:rsidRPr="00AB1C81" w:rsidRDefault="00AB1C81" w:rsidP="00AB1C81">
            <w:pPr>
              <w:spacing w:line="360" w:lineRule="auto"/>
              <w:jc w:val="center"/>
              <w:rPr>
                <w:b/>
                <w:bCs/>
                <w:rtl/>
              </w:rPr>
            </w:pPr>
            <w:r w:rsidRPr="00AB1C81">
              <w:rPr>
                <w:rFonts w:hint="cs"/>
                <w:b/>
                <w:bCs/>
                <w:rtl/>
              </w:rPr>
              <w:t xml:space="preserve">ג. </w:t>
            </w:r>
            <w:proofErr w:type="spellStart"/>
            <w:r w:rsidRPr="00AB1C81">
              <w:rPr>
                <w:rFonts w:hint="cs"/>
                <w:b/>
                <w:bCs/>
                <w:rtl/>
              </w:rPr>
              <w:t>ציגלר</w:t>
            </w:r>
            <w:proofErr w:type="spellEnd"/>
            <w:r w:rsidRPr="00AB1C81">
              <w:rPr>
                <w:rFonts w:hint="cs"/>
                <w:b/>
                <w:bCs/>
                <w:rtl/>
              </w:rPr>
              <w:t xml:space="preserve"> , שופטת</w:t>
            </w:r>
          </w:p>
        </w:tc>
        <w:tc>
          <w:tcPr>
            <w:tcW w:w="346" w:type="dxa"/>
            <w:shd w:val="clear" w:color="auto" w:fill="auto"/>
          </w:tcPr>
          <w:p w14:paraId="16D5CC99" w14:textId="77777777" w:rsidR="00AB1C81" w:rsidRPr="00AB1C81" w:rsidRDefault="00AB1C81" w:rsidP="00AB1C81">
            <w:pPr>
              <w:spacing w:line="360" w:lineRule="auto"/>
              <w:rPr>
                <w:b/>
                <w:bCs/>
                <w:color w:val="FF0000"/>
              </w:rPr>
            </w:pPr>
          </w:p>
        </w:tc>
        <w:tc>
          <w:tcPr>
            <w:tcW w:w="2576" w:type="dxa"/>
            <w:tcBorders>
              <w:top w:val="single" w:sz="4" w:space="0" w:color="auto"/>
              <w:left w:val="nil"/>
              <w:bottom w:val="nil"/>
              <w:right w:val="nil"/>
            </w:tcBorders>
            <w:shd w:val="clear" w:color="auto" w:fill="auto"/>
          </w:tcPr>
          <w:p w14:paraId="2316B4BE" w14:textId="77777777" w:rsidR="00AB1C81" w:rsidRPr="00AB1C81" w:rsidRDefault="00AB1C81" w:rsidP="00AB1C81">
            <w:pPr>
              <w:spacing w:line="360" w:lineRule="auto"/>
              <w:rPr>
                <w:b/>
                <w:bCs/>
              </w:rPr>
            </w:pPr>
            <w:r w:rsidRPr="00AB1C81">
              <w:rPr>
                <w:rFonts w:hint="cs"/>
                <w:b/>
                <w:bCs/>
                <w:rtl/>
              </w:rPr>
              <w:t xml:space="preserve">         </w:t>
            </w:r>
            <w:r w:rsidRPr="00AB1C81">
              <w:rPr>
                <w:rFonts w:ascii="Courier New" w:hAnsi="Courier New" w:hint="cs"/>
                <w:b/>
                <w:bCs/>
                <w:rtl/>
              </w:rPr>
              <w:t xml:space="preserve">ש. </w:t>
            </w:r>
            <w:proofErr w:type="spellStart"/>
            <w:r w:rsidRPr="00AB1C81">
              <w:rPr>
                <w:rFonts w:ascii="Courier New" w:hAnsi="Courier New" w:hint="cs"/>
                <w:b/>
                <w:bCs/>
                <w:rtl/>
              </w:rPr>
              <w:t>מנדלבום</w:t>
            </w:r>
            <w:proofErr w:type="spellEnd"/>
            <w:r w:rsidRPr="00AB1C81">
              <w:rPr>
                <w:rFonts w:ascii="Courier New" w:hAnsi="Courier New" w:hint="cs"/>
                <w:b/>
                <w:bCs/>
                <w:rtl/>
              </w:rPr>
              <w:t>, שופט</w:t>
            </w:r>
          </w:p>
          <w:p w14:paraId="3920A87A" w14:textId="77777777" w:rsidR="00AB1C81" w:rsidRPr="00AB1C81" w:rsidRDefault="00AB1C81" w:rsidP="00AB1C81">
            <w:pPr>
              <w:spacing w:line="360" w:lineRule="auto"/>
              <w:jc w:val="center"/>
              <w:rPr>
                <w:b/>
                <w:bCs/>
                <w:rtl/>
              </w:rPr>
            </w:pPr>
          </w:p>
        </w:tc>
      </w:tr>
    </w:tbl>
    <w:p w14:paraId="6298DE62" w14:textId="77777777" w:rsidR="00AB1C81" w:rsidRDefault="00AB1C81" w:rsidP="00AB1C81">
      <w:pPr>
        <w:rPr>
          <w:rtl/>
        </w:rPr>
      </w:pPr>
    </w:p>
    <w:p w14:paraId="1D984EFD" w14:textId="77777777" w:rsidR="00AB1C81" w:rsidRDefault="00AB1C81" w:rsidP="00AB1C81">
      <w:pPr>
        <w:rPr>
          <w:rtl/>
        </w:rPr>
      </w:pPr>
    </w:p>
    <w:p w14:paraId="771AFD46" w14:textId="77777777" w:rsidR="00AB1C81" w:rsidRPr="009A0C5D" w:rsidRDefault="009A0C5D" w:rsidP="00AB1C81">
      <w:pPr>
        <w:rPr>
          <w:color w:val="FFFFFF"/>
          <w:sz w:val="2"/>
          <w:szCs w:val="2"/>
          <w:rtl/>
        </w:rPr>
      </w:pPr>
      <w:r w:rsidRPr="009A0C5D">
        <w:rPr>
          <w:color w:val="FFFFFF"/>
          <w:sz w:val="2"/>
          <w:szCs w:val="2"/>
          <w:rtl/>
        </w:rPr>
        <w:t>5129371</w:t>
      </w:r>
    </w:p>
    <w:p w14:paraId="61735D90" w14:textId="77777777" w:rsidR="00AB1C81" w:rsidRPr="0072379C" w:rsidRDefault="009A0C5D" w:rsidP="00AB1C81">
      <w:pPr>
        <w:rPr>
          <w:rFonts w:cs="FrankRuehl"/>
          <w:b/>
          <w:bCs/>
          <w:sz w:val="28"/>
          <w:szCs w:val="28"/>
          <w:rtl/>
        </w:rPr>
      </w:pPr>
      <w:bookmarkStart w:id="9" w:name="Nitan"/>
      <w:r w:rsidRPr="0072379C">
        <w:rPr>
          <w:rFonts w:ascii="Arial" w:hAnsi="Arial"/>
          <w:b/>
          <w:bCs/>
          <w:color w:val="FFFFFF"/>
          <w:sz w:val="2"/>
          <w:szCs w:val="2"/>
          <w:rtl/>
        </w:rPr>
        <w:t>54678313</w:t>
      </w:r>
      <w:r w:rsidRPr="0072379C">
        <w:rPr>
          <w:rFonts w:ascii="Arial" w:hAnsi="Arial"/>
          <w:b/>
          <w:bCs/>
          <w:rtl/>
        </w:rPr>
        <w:t xml:space="preserve">ניתן היום,  ח' שבט תשפ"א, 21 ינואר 2021, בהעדר הצדדים. </w:t>
      </w:r>
      <w:bookmarkEnd w:id="9"/>
    </w:p>
    <w:p w14:paraId="21D95653" w14:textId="77777777" w:rsidR="00AB1C81" w:rsidRDefault="00AB1C81" w:rsidP="009A0C5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9D16F0B" w14:textId="77777777" w:rsidR="00AB1C81" w:rsidRDefault="00AB1C81" w:rsidP="00AB1C81">
      <w:pPr>
        <w:jc w:val="center"/>
        <w:rPr>
          <w:rFonts w:ascii="Arial" w:hAnsi="Arial" w:cs="FrankRuehl"/>
          <w:sz w:val="28"/>
          <w:szCs w:val="28"/>
          <w:rtl/>
        </w:rPr>
      </w:pPr>
    </w:p>
    <w:p w14:paraId="629DB802" w14:textId="77777777" w:rsidR="009A0C5D" w:rsidRDefault="009A0C5D" w:rsidP="009A0C5D">
      <w:pPr>
        <w:rPr>
          <w:rtl/>
        </w:rPr>
      </w:pPr>
    </w:p>
    <w:p w14:paraId="57A91BB6" w14:textId="77777777" w:rsidR="009A0C5D" w:rsidRDefault="009A0C5D" w:rsidP="009A0C5D">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0D99000B" w14:textId="77777777" w:rsidR="00EF71CD" w:rsidRPr="00EF71CD" w:rsidRDefault="00EF71CD" w:rsidP="00EF71CD">
      <w:pPr>
        <w:keepNext/>
        <w:rPr>
          <w:rFonts w:ascii="David" w:hAnsi="David"/>
          <w:color w:val="000000"/>
          <w:sz w:val="22"/>
          <w:szCs w:val="22"/>
          <w:rtl/>
        </w:rPr>
      </w:pPr>
    </w:p>
    <w:p w14:paraId="41A36131" w14:textId="77777777" w:rsidR="00EF71CD" w:rsidRPr="00EF71CD" w:rsidRDefault="00EF71CD" w:rsidP="00EF71CD">
      <w:pPr>
        <w:keepNext/>
        <w:rPr>
          <w:rFonts w:ascii="David" w:hAnsi="David"/>
          <w:color w:val="000000"/>
          <w:sz w:val="22"/>
          <w:szCs w:val="22"/>
          <w:rtl/>
        </w:rPr>
      </w:pPr>
      <w:r w:rsidRPr="00EF71CD">
        <w:rPr>
          <w:rFonts w:ascii="David" w:hAnsi="David"/>
          <w:color w:val="000000"/>
          <w:sz w:val="22"/>
          <w:szCs w:val="22"/>
          <w:rtl/>
        </w:rPr>
        <w:t>יחיאל ליפשיץ 54678313-/</w:t>
      </w:r>
    </w:p>
    <w:p w14:paraId="33D45B4F" w14:textId="77777777" w:rsidR="009A0C5D" w:rsidRPr="009A0C5D" w:rsidRDefault="00EF71CD" w:rsidP="00EF71CD">
      <w:pPr>
        <w:rPr>
          <w:color w:val="0000FF"/>
          <w:u w:val="single"/>
        </w:rPr>
      </w:pPr>
      <w:r w:rsidRPr="00EF71CD">
        <w:rPr>
          <w:color w:val="000000"/>
          <w:u w:val="single"/>
          <w:rtl/>
        </w:rPr>
        <w:t>נוסח מסמך זה כפוף לשינויי ניסוח ועריכה</w:t>
      </w:r>
    </w:p>
    <w:sectPr w:rsidR="009A0C5D" w:rsidRPr="009A0C5D" w:rsidSect="00EF71CD">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42881" w14:textId="77777777" w:rsidR="00724BFE" w:rsidRDefault="00724BFE" w:rsidP="003E0E42">
      <w:r>
        <w:separator/>
      </w:r>
    </w:p>
  </w:endnote>
  <w:endnote w:type="continuationSeparator" w:id="0">
    <w:p w14:paraId="586A3C00" w14:textId="77777777" w:rsidR="00724BFE" w:rsidRDefault="00724BFE" w:rsidP="003E0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CA980" w14:textId="77777777" w:rsidR="00EF71CD" w:rsidRDefault="00EF71CD" w:rsidP="00EF71C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7AF5CC7" w14:textId="77777777" w:rsidR="00F12BE6" w:rsidRPr="00EF71CD" w:rsidRDefault="00EF71CD" w:rsidP="00EF71CD">
    <w:pPr>
      <w:pStyle w:val="a5"/>
      <w:pBdr>
        <w:top w:val="single" w:sz="4" w:space="1" w:color="auto"/>
        <w:between w:val="single" w:sz="4" w:space="0" w:color="auto"/>
      </w:pBdr>
      <w:spacing w:after="60"/>
      <w:jc w:val="center"/>
      <w:rPr>
        <w:rFonts w:ascii="FrankRuehl" w:hAnsi="FrankRuehl" w:cs="FrankRuehl"/>
        <w:color w:val="000000"/>
      </w:rPr>
    </w:pPr>
    <w:r w:rsidRPr="00EF71C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A376B" w14:textId="77777777" w:rsidR="00EF71CD" w:rsidRDefault="00EF71CD" w:rsidP="00EF71C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97E9D">
      <w:rPr>
        <w:rFonts w:ascii="FrankRuehl" w:hAnsi="FrankRuehl" w:cs="FrankRuehl"/>
        <w:noProof/>
        <w:rtl/>
      </w:rPr>
      <w:t>1</w:t>
    </w:r>
    <w:r>
      <w:rPr>
        <w:rFonts w:ascii="FrankRuehl" w:hAnsi="FrankRuehl" w:cs="FrankRuehl"/>
        <w:rtl/>
      </w:rPr>
      <w:fldChar w:fldCharType="end"/>
    </w:r>
  </w:p>
  <w:p w14:paraId="13DCF95D" w14:textId="77777777" w:rsidR="00F12BE6" w:rsidRPr="00EF71CD" w:rsidRDefault="00EF71CD" w:rsidP="00EF71CD">
    <w:pPr>
      <w:pStyle w:val="a5"/>
      <w:pBdr>
        <w:top w:val="single" w:sz="4" w:space="1" w:color="auto"/>
        <w:between w:val="single" w:sz="4" w:space="0" w:color="auto"/>
      </w:pBdr>
      <w:spacing w:after="60"/>
      <w:jc w:val="center"/>
      <w:rPr>
        <w:rFonts w:ascii="FrankRuehl" w:hAnsi="FrankRuehl" w:cs="FrankRuehl"/>
        <w:color w:val="000000"/>
      </w:rPr>
    </w:pPr>
    <w:r w:rsidRPr="00EF71CD">
      <w:rPr>
        <w:rFonts w:ascii="FrankRuehl" w:hAnsi="FrankRuehl" w:cs="FrankRuehl"/>
        <w:color w:val="000000"/>
      </w:rPr>
      <w:pict w14:anchorId="4CB55A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3C7D8" w14:textId="77777777" w:rsidR="00724BFE" w:rsidRDefault="00724BFE" w:rsidP="003E0E42">
      <w:r>
        <w:separator/>
      </w:r>
    </w:p>
  </w:footnote>
  <w:footnote w:type="continuationSeparator" w:id="0">
    <w:p w14:paraId="41B07155" w14:textId="77777777" w:rsidR="00724BFE" w:rsidRDefault="00724BFE" w:rsidP="003E0E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F1198" w14:textId="77777777" w:rsidR="009A0C5D" w:rsidRPr="00EF71CD" w:rsidRDefault="00EF71CD" w:rsidP="00EF71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34802-06-19</w:t>
    </w:r>
    <w:r>
      <w:rPr>
        <w:rFonts w:ascii="David" w:hAnsi="David"/>
        <w:color w:val="000000"/>
        <w:sz w:val="22"/>
        <w:szCs w:val="22"/>
        <w:rtl/>
      </w:rPr>
      <w:tab/>
      <w:t xml:space="preserve"> מדינת ישראל נ' אכרם בולבול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E8F24" w14:textId="77777777" w:rsidR="009A0C5D" w:rsidRPr="00EF71CD" w:rsidRDefault="00EF71CD" w:rsidP="00EF71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34802-06-19</w:t>
    </w:r>
    <w:r>
      <w:rPr>
        <w:rFonts w:ascii="David" w:hAnsi="David"/>
        <w:color w:val="000000"/>
        <w:sz w:val="22"/>
        <w:szCs w:val="22"/>
        <w:rtl/>
      </w:rPr>
      <w:tab/>
      <w:t xml:space="preserve"> מדינת ישראל נ' אכרם בולבול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961086"/>
    <w:multiLevelType w:val="hybridMultilevel"/>
    <w:tmpl w:val="39DCF7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62397443"/>
    <w:multiLevelType w:val="hybridMultilevel"/>
    <w:tmpl w:val="7966B66C"/>
    <w:lvl w:ilvl="0" w:tplc="75E2F60A">
      <w:start w:val="10"/>
      <w:numFmt w:val="bullet"/>
      <w:lvlText w:val=""/>
      <w:lvlJc w:val="left"/>
      <w:pPr>
        <w:ind w:left="720" w:hanging="360"/>
      </w:pPr>
      <w:rPr>
        <w:rFonts w:ascii="Symbol" w:eastAsia="Calibr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621864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2589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B1C81"/>
    <w:rsid w:val="00097E9D"/>
    <w:rsid w:val="0012714C"/>
    <w:rsid w:val="003A33AF"/>
    <w:rsid w:val="003E0E42"/>
    <w:rsid w:val="004B3606"/>
    <w:rsid w:val="004B463B"/>
    <w:rsid w:val="0072379C"/>
    <w:rsid w:val="00724BFE"/>
    <w:rsid w:val="00772394"/>
    <w:rsid w:val="007D299E"/>
    <w:rsid w:val="008448E9"/>
    <w:rsid w:val="009A0C5D"/>
    <w:rsid w:val="00AB1C81"/>
    <w:rsid w:val="00BE7BA5"/>
    <w:rsid w:val="00D31787"/>
    <w:rsid w:val="00EF71CD"/>
    <w:rsid w:val="00F12B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C14EF9"/>
  <w15:chartTrackingRefBased/>
  <w15:docId w15:val="{262CA5EB-5F1C-4DD8-8258-272F66EB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B1C8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B1C81"/>
    <w:pPr>
      <w:tabs>
        <w:tab w:val="center" w:pos="4153"/>
        <w:tab w:val="right" w:pos="8306"/>
      </w:tabs>
    </w:pPr>
  </w:style>
  <w:style w:type="character" w:customStyle="1" w:styleId="a4">
    <w:name w:val="כותרת עליונה תו"/>
    <w:link w:val="a3"/>
    <w:rsid w:val="00AB1C81"/>
    <w:rPr>
      <w:rFonts w:ascii="Times New Roman" w:eastAsia="Times New Roman" w:hAnsi="Times New Roman" w:cs="David"/>
      <w:sz w:val="24"/>
      <w:szCs w:val="24"/>
    </w:rPr>
  </w:style>
  <w:style w:type="paragraph" w:styleId="a5">
    <w:name w:val="footer"/>
    <w:basedOn w:val="a"/>
    <w:link w:val="a6"/>
    <w:rsid w:val="00AB1C81"/>
    <w:pPr>
      <w:tabs>
        <w:tab w:val="center" w:pos="4153"/>
        <w:tab w:val="right" w:pos="8306"/>
      </w:tabs>
    </w:pPr>
  </w:style>
  <w:style w:type="character" w:customStyle="1" w:styleId="a6">
    <w:name w:val="כותרת תחתונה תו"/>
    <w:link w:val="a5"/>
    <w:rsid w:val="00AB1C81"/>
    <w:rPr>
      <w:rFonts w:ascii="Times New Roman" w:eastAsia="Times New Roman" w:hAnsi="Times New Roman" w:cs="David"/>
      <w:sz w:val="24"/>
      <w:szCs w:val="24"/>
    </w:rPr>
  </w:style>
  <w:style w:type="table" w:styleId="a7">
    <w:name w:val="Table Grid"/>
    <w:basedOn w:val="a1"/>
    <w:rsid w:val="00AB1C8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B1C81"/>
  </w:style>
  <w:style w:type="character" w:customStyle="1" w:styleId="TimesNewRomanTimesNewRoman">
    <w:name w:val="סגנון (לטיני) Times New Roman (עברית ושפות אחרות) Times New Roman..."/>
    <w:rsid w:val="00AB1C81"/>
    <w:rPr>
      <w:rFonts w:ascii="Times New Roman" w:hAnsi="Times New Roman" w:cs="David" w:hint="default"/>
      <w:b/>
      <w:bCs/>
      <w:sz w:val="26"/>
      <w:szCs w:val="26"/>
    </w:rPr>
  </w:style>
  <w:style w:type="character" w:styleId="Hyperlink">
    <w:name w:val="Hyperlink"/>
    <w:rsid w:val="00AB1C81"/>
    <w:rPr>
      <w:color w:val="0000FF"/>
      <w:u w:val="single"/>
    </w:rPr>
  </w:style>
  <w:style w:type="paragraph" w:customStyle="1" w:styleId="ListParagraph">
    <w:name w:val="List Paragraph"/>
    <w:basedOn w:val="a"/>
    <w:qFormat/>
    <w:rsid w:val="00AB1C81"/>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01" TargetMode="External"/><Relationship Id="rId18" Type="http://schemas.openxmlformats.org/officeDocument/2006/relationships/hyperlink" Target="http://www.nevo.co.il/law/70301/380" TargetMode="External"/><Relationship Id="rId26" Type="http://schemas.openxmlformats.org/officeDocument/2006/relationships/hyperlink" Target="http://www.nevo.co.il/law/70301/40c.a" TargetMode="External"/><Relationship Id="rId39" Type="http://schemas.openxmlformats.org/officeDocument/2006/relationships/hyperlink" Target="http://www.nevo.co.il/law/70301/35.a" TargetMode="External"/><Relationship Id="rId21" Type="http://schemas.openxmlformats.org/officeDocument/2006/relationships/hyperlink" Target="http://www.nevo.co.il/law/70301/380" TargetMode="External"/><Relationship Id="rId34" Type="http://schemas.openxmlformats.org/officeDocument/2006/relationships/hyperlink" Target="http://www.nevo.co.il/case/23420882" TargetMode="External"/><Relationship Id="rId42" Type="http://schemas.openxmlformats.org/officeDocument/2006/relationships/hyperlink" Target="http://www.nevo.co.il/case/5887664" TargetMode="External"/><Relationship Id="rId47" Type="http://schemas.openxmlformats.org/officeDocument/2006/relationships/hyperlink" Target="http://www.nevo.co.il/case/26386796" TargetMode="External"/><Relationship Id="rId50" Type="http://schemas.openxmlformats.org/officeDocument/2006/relationships/hyperlink" Target="http://www.nevo.co.il/case/21480900"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01a.b" TargetMode="External"/><Relationship Id="rId29" Type="http://schemas.openxmlformats.org/officeDocument/2006/relationships/hyperlink" Target="http://www.nevo.co.il/law/70301/301a" TargetMode="External"/><Relationship Id="rId11" Type="http://schemas.openxmlformats.org/officeDocument/2006/relationships/hyperlink" Target="http://www.nevo.co.il/law/70301/300.a" TargetMode="External"/><Relationship Id="rId24" Type="http://schemas.openxmlformats.org/officeDocument/2006/relationships/hyperlink" Target="http://www.nevo.co.il/case/23668723" TargetMode="External"/><Relationship Id="rId32" Type="http://schemas.openxmlformats.org/officeDocument/2006/relationships/hyperlink" Target="http://www.nevo.co.il/law/70301/301a.a.1" TargetMode="External"/><Relationship Id="rId37" Type="http://schemas.openxmlformats.org/officeDocument/2006/relationships/hyperlink" Target="http://www.nevo.co.il/case/5743107" TargetMode="External"/><Relationship Id="rId40" Type="http://schemas.openxmlformats.org/officeDocument/2006/relationships/hyperlink" Target="http://www.nevo.co.il/case/5612802" TargetMode="External"/><Relationship Id="rId45" Type="http://schemas.openxmlformats.org/officeDocument/2006/relationships/hyperlink" Target="http://www.nevo.co.il/case/25104606" TargetMode="External"/><Relationship Id="rId53" Type="http://schemas.openxmlformats.org/officeDocument/2006/relationships/hyperlink" Target="http://www.nevo.co.il/case/21477247"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70301/300.a" TargetMode="External"/><Relationship Id="rId14" Type="http://schemas.openxmlformats.org/officeDocument/2006/relationships/hyperlink" Target="http://www.nevo.co.il/law/70301/301a"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301a.b" TargetMode="External"/><Relationship Id="rId35" Type="http://schemas.openxmlformats.org/officeDocument/2006/relationships/hyperlink" Target="http://www.nevo.co.il/law/70301/300.a" TargetMode="External"/><Relationship Id="rId43" Type="http://schemas.openxmlformats.org/officeDocument/2006/relationships/hyperlink" Target="http://www.nevo.co.il/case/26492590" TargetMode="External"/><Relationship Id="rId48" Type="http://schemas.openxmlformats.org/officeDocument/2006/relationships/hyperlink" Target="http://www.nevo.co.il/case/22824888" TargetMode="External"/><Relationship Id="rId56" Type="http://schemas.openxmlformats.org/officeDocument/2006/relationships/header" Target="header1.xml"/><Relationship Id="rId8" Type="http://schemas.openxmlformats.org/officeDocument/2006/relationships/hyperlink" Target="http://www.nevo.co.il/law/70301/35.a" TargetMode="External"/><Relationship Id="rId51" Type="http://schemas.openxmlformats.org/officeDocument/2006/relationships/hyperlink" Target="http://www.nevo.co.il/case/25104606" TargetMode="External"/><Relationship Id="rId3" Type="http://schemas.openxmlformats.org/officeDocument/2006/relationships/settings" Target="settings.xml"/><Relationship Id="rId12" Type="http://schemas.openxmlformats.org/officeDocument/2006/relationships/hyperlink" Target="http://www.nevo.co.il/law/70301/300.a.2" TargetMode="External"/><Relationship Id="rId17" Type="http://schemas.openxmlformats.org/officeDocument/2006/relationships/hyperlink" Target="http://www.nevo.co.il/law/70301/311a" TargetMode="External"/><Relationship Id="rId25" Type="http://schemas.openxmlformats.org/officeDocument/2006/relationships/hyperlink" Target="http://www.nevo.co.il/law/70301/301a" TargetMode="External"/><Relationship Id="rId33" Type="http://schemas.openxmlformats.org/officeDocument/2006/relationships/hyperlink" Target="http://www.nevo.co.il/law/70301/301" TargetMode="External"/><Relationship Id="rId38" Type="http://schemas.openxmlformats.org/officeDocument/2006/relationships/hyperlink" Target="http://www.nevo.co.il/safrut/bookgroup/2333" TargetMode="External"/><Relationship Id="rId46" Type="http://schemas.openxmlformats.org/officeDocument/2006/relationships/hyperlink" Target="http://www.nevo.co.il/case/23668723" TargetMode="External"/><Relationship Id="rId59" Type="http://schemas.openxmlformats.org/officeDocument/2006/relationships/footer" Target="footer2.xml"/><Relationship Id="rId20" Type="http://schemas.openxmlformats.org/officeDocument/2006/relationships/hyperlink" Target="http://www.nevo.co.il/law/70301" TargetMode="External"/><Relationship Id="rId41" Type="http://schemas.openxmlformats.org/officeDocument/2006/relationships/hyperlink" Target="http://www.nevo.co.il/case/7791493" TargetMode="External"/><Relationship Id="rId54" Type="http://schemas.openxmlformats.org/officeDocument/2006/relationships/hyperlink" Target="http://www.nevo.co.il/case/2385097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01a.a.1" TargetMode="External"/><Relationship Id="rId23" Type="http://schemas.openxmlformats.org/officeDocument/2006/relationships/hyperlink" Target="http://www.nevo.co.il/case/22824888" TargetMode="External"/><Relationship Id="rId28" Type="http://schemas.openxmlformats.org/officeDocument/2006/relationships/hyperlink" Target="http://www.nevo.co.il/law/70301/300.a.2" TargetMode="External"/><Relationship Id="rId36" Type="http://schemas.openxmlformats.org/officeDocument/2006/relationships/hyperlink" Target="http://www.nevo.co.il/law/70301/311a" TargetMode="External"/><Relationship Id="rId49" Type="http://schemas.openxmlformats.org/officeDocument/2006/relationships/hyperlink" Target="http://www.nevo.co.il/case/26333848" TargetMode="External"/><Relationship Id="rId57" Type="http://schemas.openxmlformats.org/officeDocument/2006/relationships/header" Target="header2.xml"/><Relationship Id="rId10" Type="http://schemas.openxmlformats.org/officeDocument/2006/relationships/hyperlink" Target="http://www.nevo.co.il/law/70301/144.b"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1480900" TargetMode="External"/><Relationship Id="rId52" Type="http://schemas.openxmlformats.org/officeDocument/2006/relationships/hyperlink" Target="http://www.nevo.co.il/case/5594098"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5912</Words>
  <Characters>29565</Characters>
  <Application>Microsoft Office Word</Application>
  <DocSecurity>0</DocSecurity>
  <Lines>246</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35407</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3997819</vt:i4>
      </vt:variant>
      <vt:variant>
        <vt:i4>141</vt:i4>
      </vt:variant>
      <vt:variant>
        <vt:i4>0</vt:i4>
      </vt:variant>
      <vt:variant>
        <vt:i4>5</vt:i4>
      </vt:variant>
      <vt:variant>
        <vt:lpwstr>http://www.nevo.co.il/case/23850973</vt:lpwstr>
      </vt:variant>
      <vt:variant>
        <vt:lpwstr/>
      </vt:variant>
      <vt:variant>
        <vt:i4>3473520</vt:i4>
      </vt:variant>
      <vt:variant>
        <vt:i4>138</vt:i4>
      </vt:variant>
      <vt:variant>
        <vt:i4>0</vt:i4>
      </vt:variant>
      <vt:variant>
        <vt:i4>5</vt:i4>
      </vt:variant>
      <vt:variant>
        <vt:lpwstr>http://www.nevo.co.il/case/21477247</vt:lpwstr>
      </vt:variant>
      <vt:variant>
        <vt:lpwstr/>
      </vt:variant>
      <vt:variant>
        <vt:i4>3407996</vt:i4>
      </vt:variant>
      <vt:variant>
        <vt:i4>135</vt:i4>
      </vt:variant>
      <vt:variant>
        <vt:i4>0</vt:i4>
      </vt:variant>
      <vt:variant>
        <vt:i4>5</vt:i4>
      </vt:variant>
      <vt:variant>
        <vt:lpwstr>http://www.nevo.co.il/case/5594098</vt:lpwstr>
      </vt:variant>
      <vt:variant>
        <vt:lpwstr/>
      </vt:variant>
      <vt:variant>
        <vt:i4>3604599</vt:i4>
      </vt:variant>
      <vt:variant>
        <vt:i4>132</vt:i4>
      </vt:variant>
      <vt:variant>
        <vt:i4>0</vt:i4>
      </vt:variant>
      <vt:variant>
        <vt:i4>5</vt:i4>
      </vt:variant>
      <vt:variant>
        <vt:lpwstr>http://www.nevo.co.il/case/25104606</vt:lpwstr>
      </vt:variant>
      <vt:variant>
        <vt:lpwstr/>
      </vt:variant>
      <vt:variant>
        <vt:i4>3539060</vt:i4>
      </vt:variant>
      <vt:variant>
        <vt:i4>129</vt:i4>
      </vt:variant>
      <vt:variant>
        <vt:i4>0</vt:i4>
      </vt:variant>
      <vt:variant>
        <vt:i4>5</vt:i4>
      </vt:variant>
      <vt:variant>
        <vt:lpwstr>http://www.nevo.co.il/case/21480900</vt:lpwstr>
      </vt:variant>
      <vt:variant>
        <vt:lpwstr/>
      </vt:variant>
      <vt:variant>
        <vt:i4>3539065</vt:i4>
      </vt:variant>
      <vt:variant>
        <vt:i4>126</vt:i4>
      </vt:variant>
      <vt:variant>
        <vt:i4>0</vt:i4>
      </vt:variant>
      <vt:variant>
        <vt:i4>5</vt:i4>
      </vt:variant>
      <vt:variant>
        <vt:lpwstr>http://www.nevo.co.il/case/26333848</vt:lpwstr>
      </vt:variant>
      <vt:variant>
        <vt:lpwstr/>
      </vt:variant>
      <vt:variant>
        <vt:i4>3539068</vt:i4>
      </vt:variant>
      <vt:variant>
        <vt:i4>123</vt:i4>
      </vt:variant>
      <vt:variant>
        <vt:i4>0</vt:i4>
      </vt:variant>
      <vt:variant>
        <vt:i4>5</vt:i4>
      </vt:variant>
      <vt:variant>
        <vt:lpwstr>http://www.nevo.co.il/case/22824888</vt:lpwstr>
      </vt:variant>
      <vt:variant>
        <vt:lpwstr/>
      </vt:variant>
      <vt:variant>
        <vt:i4>4063357</vt:i4>
      </vt:variant>
      <vt:variant>
        <vt:i4>120</vt:i4>
      </vt:variant>
      <vt:variant>
        <vt:i4>0</vt:i4>
      </vt:variant>
      <vt:variant>
        <vt:i4>5</vt:i4>
      </vt:variant>
      <vt:variant>
        <vt:lpwstr>http://www.nevo.co.il/case/26386796</vt:lpwstr>
      </vt:variant>
      <vt:variant>
        <vt:lpwstr/>
      </vt:variant>
      <vt:variant>
        <vt:i4>4063350</vt:i4>
      </vt:variant>
      <vt:variant>
        <vt:i4>117</vt:i4>
      </vt:variant>
      <vt:variant>
        <vt:i4>0</vt:i4>
      </vt:variant>
      <vt:variant>
        <vt:i4>5</vt:i4>
      </vt:variant>
      <vt:variant>
        <vt:lpwstr>http://www.nevo.co.il/case/23668723</vt:lpwstr>
      </vt:variant>
      <vt:variant>
        <vt:lpwstr/>
      </vt:variant>
      <vt:variant>
        <vt:i4>3604599</vt:i4>
      </vt:variant>
      <vt:variant>
        <vt:i4>114</vt:i4>
      </vt:variant>
      <vt:variant>
        <vt:i4>0</vt:i4>
      </vt:variant>
      <vt:variant>
        <vt:i4>5</vt:i4>
      </vt:variant>
      <vt:variant>
        <vt:lpwstr>http://www.nevo.co.il/case/25104606</vt:lpwstr>
      </vt:variant>
      <vt:variant>
        <vt:lpwstr/>
      </vt:variant>
      <vt:variant>
        <vt:i4>3539060</vt:i4>
      </vt:variant>
      <vt:variant>
        <vt:i4>111</vt:i4>
      </vt:variant>
      <vt:variant>
        <vt:i4>0</vt:i4>
      </vt:variant>
      <vt:variant>
        <vt:i4>5</vt:i4>
      </vt:variant>
      <vt:variant>
        <vt:lpwstr>http://www.nevo.co.il/case/21480900</vt:lpwstr>
      </vt:variant>
      <vt:variant>
        <vt:lpwstr/>
      </vt:variant>
      <vt:variant>
        <vt:i4>3997822</vt:i4>
      </vt:variant>
      <vt:variant>
        <vt:i4>108</vt:i4>
      </vt:variant>
      <vt:variant>
        <vt:i4>0</vt:i4>
      </vt:variant>
      <vt:variant>
        <vt:i4>5</vt:i4>
      </vt:variant>
      <vt:variant>
        <vt:lpwstr>http://www.nevo.co.il/case/26492590</vt:lpwstr>
      </vt:variant>
      <vt:variant>
        <vt:lpwstr/>
      </vt:variant>
      <vt:variant>
        <vt:i4>4128893</vt:i4>
      </vt:variant>
      <vt:variant>
        <vt:i4>105</vt:i4>
      </vt:variant>
      <vt:variant>
        <vt:i4>0</vt:i4>
      </vt:variant>
      <vt:variant>
        <vt:i4>5</vt:i4>
      </vt:variant>
      <vt:variant>
        <vt:lpwstr>http://www.nevo.co.il/case/5887664</vt:lpwstr>
      </vt:variant>
      <vt:variant>
        <vt:lpwstr/>
      </vt:variant>
      <vt:variant>
        <vt:i4>3735675</vt:i4>
      </vt:variant>
      <vt:variant>
        <vt:i4>102</vt:i4>
      </vt:variant>
      <vt:variant>
        <vt:i4>0</vt:i4>
      </vt:variant>
      <vt:variant>
        <vt:i4>5</vt:i4>
      </vt:variant>
      <vt:variant>
        <vt:lpwstr>http://www.nevo.co.il/case/7791493</vt:lpwstr>
      </vt:variant>
      <vt:variant>
        <vt:lpwstr/>
      </vt:variant>
      <vt:variant>
        <vt:i4>4063344</vt:i4>
      </vt:variant>
      <vt:variant>
        <vt:i4>99</vt:i4>
      </vt:variant>
      <vt:variant>
        <vt:i4>0</vt:i4>
      </vt:variant>
      <vt:variant>
        <vt:i4>5</vt:i4>
      </vt:variant>
      <vt:variant>
        <vt:lpwstr>http://www.nevo.co.il/case/5612802</vt:lpwstr>
      </vt:variant>
      <vt:variant>
        <vt:lpwstr/>
      </vt:variant>
      <vt:variant>
        <vt:i4>65608</vt:i4>
      </vt:variant>
      <vt:variant>
        <vt:i4>96</vt:i4>
      </vt:variant>
      <vt:variant>
        <vt:i4>0</vt:i4>
      </vt:variant>
      <vt:variant>
        <vt:i4>5</vt:i4>
      </vt:variant>
      <vt:variant>
        <vt:lpwstr>http://www.nevo.co.il/law/70301/35.a</vt:lpwstr>
      </vt:variant>
      <vt:variant>
        <vt:lpwstr/>
      </vt:variant>
      <vt:variant>
        <vt:i4>2555947</vt:i4>
      </vt:variant>
      <vt:variant>
        <vt:i4>93</vt:i4>
      </vt:variant>
      <vt:variant>
        <vt:i4>0</vt:i4>
      </vt:variant>
      <vt:variant>
        <vt:i4>5</vt:i4>
      </vt:variant>
      <vt:variant>
        <vt:lpwstr>http://www.nevo.co.il/safrut/bookgroup/2333</vt:lpwstr>
      </vt:variant>
      <vt:variant>
        <vt:lpwstr/>
      </vt:variant>
      <vt:variant>
        <vt:i4>3604592</vt:i4>
      </vt:variant>
      <vt:variant>
        <vt:i4>90</vt:i4>
      </vt:variant>
      <vt:variant>
        <vt:i4>0</vt:i4>
      </vt:variant>
      <vt:variant>
        <vt:i4>5</vt:i4>
      </vt:variant>
      <vt:variant>
        <vt:lpwstr>http://www.nevo.co.il/case/5743107</vt:lpwstr>
      </vt:variant>
      <vt:variant>
        <vt:lpwstr/>
      </vt:variant>
      <vt:variant>
        <vt:i4>327767</vt:i4>
      </vt:variant>
      <vt:variant>
        <vt:i4>87</vt:i4>
      </vt:variant>
      <vt:variant>
        <vt:i4>0</vt:i4>
      </vt:variant>
      <vt:variant>
        <vt:i4>5</vt:i4>
      </vt:variant>
      <vt:variant>
        <vt:lpwstr>http://www.nevo.co.il/law/70301/311a</vt:lpwstr>
      </vt:variant>
      <vt:variant>
        <vt:lpwstr/>
      </vt:variant>
      <vt:variant>
        <vt:i4>4915286</vt:i4>
      </vt:variant>
      <vt:variant>
        <vt:i4>84</vt:i4>
      </vt:variant>
      <vt:variant>
        <vt:i4>0</vt:i4>
      </vt:variant>
      <vt:variant>
        <vt:i4>5</vt:i4>
      </vt:variant>
      <vt:variant>
        <vt:lpwstr>http://www.nevo.co.il/law/70301/300.a</vt:lpwstr>
      </vt:variant>
      <vt:variant>
        <vt:lpwstr/>
      </vt:variant>
      <vt:variant>
        <vt:i4>4063357</vt:i4>
      </vt:variant>
      <vt:variant>
        <vt:i4>81</vt:i4>
      </vt:variant>
      <vt:variant>
        <vt:i4>0</vt:i4>
      </vt:variant>
      <vt:variant>
        <vt:i4>5</vt:i4>
      </vt:variant>
      <vt:variant>
        <vt:lpwstr>http://www.nevo.co.il/case/23420882</vt:lpwstr>
      </vt:variant>
      <vt:variant>
        <vt:lpwstr/>
      </vt:variant>
      <vt:variant>
        <vt:i4>6619238</vt:i4>
      </vt:variant>
      <vt:variant>
        <vt:i4>78</vt:i4>
      </vt:variant>
      <vt:variant>
        <vt:i4>0</vt:i4>
      </vt:variant>
      <vt:variant>
        <vt:i4>5</vt:i4>
      </vt:variant>
      <vt:variant>
        <vt:lpwstr>http://www.nevo.co.il/law/70301/301</vt:lpwstr>
      </vt:variant>
      <vt:variant>
        <vt:lpwstr/>
      </vt:variant>
      <vt:variant>
        <vt:i4>5505111</vt:i4>
      </vt:variant>
      <vt:variant>
        <vt:i4>75</vt:i4>
      </vt:variant>
      <vt:variant>
        <vt:i4>0</vt:i4>
      </vt:variant>
      <vt:variant>
        <vt:i4>5</vt:i4>
      </vt:variant>
      <vt:variant>
        <vt:lpwstr>http://www.nevo.co.il/law/70301/301a.a.1</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6684793</vt:i4>
      </vt:variant>
      <vt:variant>
        <vt:i4>69</vt:i4>
      </vt:variant>
      <vt:variant>
        <vt:i4>0</vt:i4>
      </vt:variant>
      <vt:variant>
        <vt:i4>5</vt:i4>
      </vt:variant>
      <vt:variant>
        <vt:lpwstr>http://www.nevo.co.il/law/70301/301a.b</vt:lpwstr>
      </vt:variant>
      <vt:variant>
        <vt:lpwstr/>
      </vt:variant>
      <vt:variant>
        <vt:i4>262231</vt:i4>
      </vt:variant>
      <vt:variant>
        <vt:i4>66</vt:i4>
      </vt:variant>
      <vt:variant>
        <vt:i4>0</vt:i4>
      </vt:variant>
      <vt:variant>
        <vt:i4>5</vt:i4>
      </vt:variant>
      <vt:variant>
        <vt:lpwstr>http://www.nevo.co.il/law/70301/301a</vt:lpwstr>
      </vt:variant>
      <vt:variant>
        <vt:lpwstr/>
      </vt:variant>
      <vt:variant>
        <vt:i4>6619191</vt:i4>
      </vt:variant>
      <vt:variant>
        <vt:i4>63</vt:i4>
      </vt:variant>
      <vt:variant>
        <vt:i4>0</vt:i4>
      </vt:variant>
      <vt:variant>
        <vt:i4>5</vt:i4>
      </vt:variant>
      <vt:variant>
        <vt:lpwstr>http://www.nevo.co.il/law/70301/300.a.2</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4915202</vt:i4>
      </vt:variant>
      <vt:variant>
        <vt:i4>57</vt:i4>
      </vt:variant>
      <vt:variant>
        <vt:i4>0</vt:i4>
      </vt:variant>
      <vt:variant>
        <vt:i4>5</vt:i4>
      </vt:variant>
      <vt:variant>
        <vt:lpwstr>http://www.nevo.co.il/law/70301/40c.a</vt:lpwstr>
      </vt:variant>
      <vt:variant>
        <vt:lpwstr/>
      </vt:variant>
      <vt:variant>
        <vt:i4>262231</vt:i4>
      </vt:variant>
      <vt:variant>
        <vt:i4>54</vt:i4>
      </vt:variant>
      <vt:variant>
        <vt:i4>0</vt:i4>
      </vt:variant>
      <vt:variant>
        <vt:i4>5</vt:i4>
      </vt:variant>
      <vt:variant>
        <vt:lpwstr>http://www.nevo.co.il/law/70301/301a</vt:lpwstr>
      </vt:variant>
      <vt:variant>
        <vt:lpwstr/>
      </vt:variant>
      <vt:variant>
        <vt:i4>4063350</vt:i4>
      </vt:variant>
      <vt:variant>
        <vt:i4>51</vt:i4>
      </vt:variant>
      <vt:variant>
        <vt:i4>0</vt:i4>
      </vt:variant>
      <vt:variant>
        <vt:i4>5</vt:i4>
      </vt:variant>
      <vt:variant>
        <vt:lpwstr>http://www.nevo.co.il/case/23668723</vt:lpwstr>
      </vt:variant>
      <vt:variant>
        <vt:lpwstr/>
      </vt:variant>
      <vt:variant>
        <vt:i4>3539068</vt:i4>
      </vt:variant>
      <vt:variant>
        <vt:i4>48</vt:i4>
      </vt:variant>
      <vt:variant>
        <vt:i4>0</vt:i4>
      </vt:variant>
      <vt:variant>
        <vt:i4>5</vt:i4>
      </vt:variant>
      <vt:variant>
        <vt:lpwstr>http://www.nevo.co.il/case/22824888</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7143526</vt:i4>
      </vt:variant>
      <vt:variant>
        <vt:i4>42</vt:i4>
      </vt:variant>
      <vt:variant>
        <vt:i4>0</vt:i4>
      </vt:variant>
      <vt:variant>
        <vt:i4>5</vt:i4>
      </vt:variant>
      <vt:variant>
        <vt:lpwstr>http://www.nevo.co.il/law/70301/380</vt:lpwstr>
      </vt:variant>
      <vt:variant>
        <vt:lpwstr/>
      </vt:variant>
      <vt:variant>
        <vt:i4>7995492</vt:i4>
      </vt:variant>
      <vt:variant>
        <vt:i4>39</vt:i4>
      </vt:variant>
      <vt:variant>
        <vt:i4>0</vt:i4>
      </vt:variant>
      <vt:variant>
        <vt:i4>5</vt:i4>
      </vt:variant>
      <vt:variant>
        <vt:lpwstr>http://www.nevo.co.il/law/70301</vt:lpwstr>
      </vt:variant>
      <vt:variant>
        <vt:lpwstr/>
      </vt:variant>
      <vt:variant>
        <vt:i4>4915286</vt:i4>
      </vt:variant>
      <vt:variant>
        <vt:i4>36</vt:i4>
      </vt:variant>
      <vt:variant>
        <vt:i4>0</vt:i4>
      </vt:variant>
      <vt:variant>
        <vt:i4>5</vt:i4>
      </vt:variant>
      <vt:variant>
        <vt:lpwstr>http://www.nevo.co.il/law/70301/300.a</vt:lpwstr>
      </vt:variant>
      <vt:variant>
        <vt:lpwstr/>
      </vt:variant>
      <vt:variant>
        <vt:i4>7143526</vt:i4>
      </vt:variant>
      <vt:variant>
        <vt:i4>33</vt:i4>
      </vt:variant>
      <vt:variant>
        <vt:i4>0</vt:i4>
      </vt:variant>
      <vt:variant>
        <vt:i4>5</vt:i4>
      </vt:variant>
      <vt:variant>
        <vt:lpwstr>http://www.nevo.co.il/law/70301/380</vt:lpwstr>
      </vt:variant>
      <vt:variant>
        <vt:lpwstr/>
      </vt:variant>
      <vt:variant>
        <vt:i4>327767</vt:i4>
      </vt:variant>
      <vt:variant>
        <vt:i4>30</vt:i4>
      </vt:variant>
      <vt:variant>
        <vt:i4>0</vt:i4>
      </vt:variant>
      <vt:variant>
        <vt:i4>5</vt:i4>
      </vt:variant>
      <vt:variant>
        <vt:lpwstr>http://www.nevo.co.il/law/70301/311a</vt:lpwstr>
      </vt:variant>
      <vt:variant>
        <vt:lpwstr/>
      </vt:variant>
      <vt:variant>
        <vt:i4>6684793</vt:i4>
      </vt:variant>
      <vt:variant>
        <vt:i4>27</vt:i4>
      </vt:variant>
      <vt:variant>
        <vt:i4>0</vt:i4>
      </vt:variant>
      <vt:variant>
        <vt:i4>5</vt:i4>
      </vt:variant>
      <vt:variant>
        <vt:lpwstr>http://www.nevo.co.il/law/70301/301a.b</vt:lpwstr>
      </vt:variant>
      <vt:variant>
        <vt:lpwstr/>
      </vt:variant>
      <vt:variant>
        <vt:i4>5505111</vt:i4>
      </vt:variant>
      <vt:variant>
        <vt:i4>24</vt:i4>
      </vt:variant>
      <vt:variant>
        <vt:i4>0</vt:i4>
      </vt:variant>
      <vt:variant>
        <vt:i4>5</vt:i4>
      </vt:variant>
      <vt:variant>
        <vt:lpwstr>http://www.nevo.co.il/law/70301/301a.a.1</vt:lpwstr>
      </vt:variant>
      <vt:variant>
        <vt:lpwstr/>
      </vt:variant>
      <vt:variant>
        <vt:i4>262231</vt:i4>
      </vt:variant>
      <vt:variant>
        <vt:i4>21</vt:i4>
      </vt:variant>
      <vt:variant>
        <vt:i4>0</vt:i4>
      </vt:variant>
      <vt:variant>
        <vt:i4>5</vt:i4>
      </vt:variant>
      <vt:variant>
        <vt:lpwstr>http://www.nevo.co.il/law/70301/301a</vt:lpwstr>
      </vt:variant>
      <vt:variant>
        <vt:lpwstr/>
      </vt:variant>
      <vt:variant>
        <vt:i4>6619238</vt:i4>
      </vt:variant>
      <vt:variant>
        <vt:i4>18</vt:i4>
      </vt:variant>
      <vt:variant>
        <vt:i4>0</vt:i4>
      </vt:variant>
      <vt:variant>
        <vt:i4>5</vt:i4>
      </vt:variant>
      <vt:variant>
        <vt:lpwstr>http://www.nevo.co.il/law/70301/301</vt:lpwstr>
      </vt:variant>
      <vt:variant>
        <vt:lpwstr/>
      </vt:variant>
      <vt:variant>
        <vt:i4>6619191</vt:i4>
      </vt:variant>
      <vt:variant>
        <vt:i4>15</vt:i4>
      </vt:variant>
      <vt:variant>
        <vt:i4>0</vt:i4>
      </vt:variant>
      <vt:variant>
        <vt:i4>5</vt:i4>
      </vt:variant>
      <vt:variant>
        <vt:lpwstr>http://www.nevo.co.il/law/70301/300.a.2</vt:lpwstr>
      </vt:variant>
      <vt:variant>
        <vt:lpwstr/>
      </vt:variant>
      <vt:variant>
        <vt:i4>4915286</vt:i4>
      </vt:variant>
      <vt:variant>
        <vt:i4>12</vt:i4>
      </vt:variant>
      <vt:variant>
        <vt:i4>0</vt:i4>
      </vt:variant>
      <vt:variant>
        <vt:i4>5</vt:i4>
      </vt:variant>
      <vt:variant>
        <vt:lpwstr>http://www.nevo.co.il/law/70301/300.a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65608</vt:i4>
      </vt:variant>
      <vt:variant>
        <vt:i4>3</vt:i4>
      </vt:variant>
      <vt:variant>
        <vt:i4>0</vt:i4>
      </vt:variant>
      <vt:variant>
        <vt:i4>5</vt:i4>
      </vt:variant>
      <vt:variant>
        <vt:lpwstr>http://www.nevo.co.il/law/70301/35.a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2025-01-19T16:27:00Z</dcterms:created>
  <dcterms:modified xsi:type="dcterms:W3CDTF">2025-01-19T16:27:00Z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34802</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אכרם בולבול</vt:lpwstr>
  </property>
  <property fmtid="{D5CDD505-2E9C-101B-9397-08002B2CF9AE}" pid="10" name="JUDGE">
    <vt:lpwstr>יחיאל ליפשיץ;גלית ציגלר;שמואל מנדלבום</vt:lpwstr>
  </property>
  <property fmtid="{D5CDD505-2E9C-101B-9397-08002B2CF9AE}" pid="11" name="CITY">
    <vt:lpwstr>חי'</vt:lpwstr>
  </property>
  <property fmtid="{D5CDD505-2E9C-101B-9397-08002B2CF9AE}" pid="12" name="DATE">
    <vt:lpwstr>20210121</vt:lpwstr>
  </property>
  <property fmtid="{D5CDD505-2E9C-101B-9397-08002B2CF9AE}" pid="13" name="TYPE_N_DATE">
    <vt:lpwstr>39020210121</vt:lpwstr>
  </property>
  <property fmtid="{D5CDD505-2E9C-101B-9397-08002B2CF9AE}" pid="14" name="WORDNUMPAGES">
    <vt:lpwstr>18</vt:lpwstr>
  </property>
  <property fmtid="{D5CDD505-2E9C-101B-9397-08002B2CF9AE}" pid="15" name="TYPE_ABS_DATE">
    <vt:lpwstr>390120210121</vt:lpwstr>
  </property>
  <property fmtid="{D5CDD505-2E9C-101B-9397-08002B2CF9AE}" pid="16" name="LAWYER">
    <vt:lpwstr>לילך תמיר;מיכאל כרמל; דן אסלנוב</vt:lpwstr>
  </property>
  <property fmtid="{D5CDD505-2E9C-101B-9397-08002B2CF9AE}" pid="17" name="ISABSTRACT">
    <vt:lpwstr>Y</vt:lpwstr>
  </property>
  <property fmtid="{D5CDD505-2E9C-101B-9397-08002B2CF9AE}" pid="18" name="CASESLISTTMP1">
    <vt:lpwstr>22824888:2;23668723:2;23420882;5743107;5612802;7791493;5887664;26492590;21480900:2;25104606:2;26386796;26333848;5594098;21477247;23850973</vt:lpwstr>
  </property>
  <property fmtid="{D5CDD505-2E9C-101B-9397-08002B2CF9AE}" pid="19" name="NOBOOKNEVO">
    <vt:lpwstr>2406</vt:lpwstr>
  </property>
  <property fmtid="{D5CDD505-2E9C-101B-9397-08002B2CF9AE}" pid="20" name="LAWLISTTMP1">
    <vt:lpwstr>70301/300.a:2;380;144.b;301a:2;040c.a;300.a.2;301a.b;301a.a.1;301;311a;035.a</vt:lpwstr>
  </property>
  <property fmtid="{D5CDD505-2E9C-101B-9397-08002B2CF9AE}" pid="21" name="NOSE1ID">
    <vt:lpwstr>77</vt:lpwstr>
  </property>
  <property fmtid="{D5CDD505-2E9C-101B-9397-08002B2CF9AE}" pid="22" name="NOSE2ID">
    <vt:lpwstr>1446</vt:lpwstr>
  </property>
  <property fmtid="{D5CDD505-2E9C-101B-9397-08002B2CF9AE}" pid="23" name="NOSE3ID">
    <vt:lpwstr>14615</vt:lpwstr>
  </property>
  <property fmtid="{D5CDD505-2E9C-101B-9397-08002B2CF9AE}" pid="24" name="NOSE11">
    <vt:lpwstr>עונשין</vt:lpwstr>
  </property>
  <property fmtid="{D5CDD505-2E9C-101B-9397-08002B2CF9AE}" pid="25" name="NOSE21">
    <vt:lpwstr>ענישה</vt:lpwstr>
  </property>
  <property fmtid="{D5CDD505-2E9C-101B-9397-08002B2CF9AE}" pid="26" name="NOSE31">
    <vt:lpwstr>מדיניות ענישה: עבירת רצח</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PADIMAIL">
    <vt:lpwstr>YES</vt:lpwstr>
  </property>
  <property fmtid="{D5CDD505-2E9C-101B-9397-08002B2CF9AE}" pid="55" name="PADIDATE">
    <vt:lpwstr>20210304</vt:lpwstr>
  </property>
  <property fmtid="{D5CDD505-2E9C-101B-9397-08002B2CF9AE}" pid="56" name="METAKZER">
    <vt:lpwstr>מיכל</vt:lpwstr>
  </property>
</Properties>
</file>