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02"/>
        <w:gridCol w:w="3603"/>
      </w:tblGrid>
      <w:tr w:rsidR="00D60DD2" w:rsidRPr="00E0317E" w14:paraId="16C85A6A" w14:textId="77777777" w:rsidTr="00A93C08">
        <w:trPr>
          <w:trHeight w:hRule="exact" w:val="418"/>
          <w:jc w:val="center"/>
        </w:trPr>
        <w:tc>
          <w:tcPr>
            <w:tcW w:w="8505" w:type="dxa"/>
            <w:gridSpan w:val="2"/>
          </w:tcPr>
          <w:p w14:paraId="0132D956" w14:textId="77777777" w:rsidR="00D60DD2" w:rsidRPr="00E0317E" w:rsidRDefault="00D60DD2" w:rsidP="00A93C08">
            <w:pPr>
              <w:pStyle w:val="a3"/>
              <w:jc w:val="center"/>
              <w:rPr>
                <w:rFonts w:ascii="Tahoma" w:hAnsi="Tahoma" w:cs="Tahoma"/>
                <w:color w:val="000080"/>
                <w:rtl/>
              </w:rPr>
            </w:pPr>
            <w:r w:rsidRPr="00E0317E">
              <w:rPr>
                <w:rFonts w:ascii="Tahoma" w:hAnsi="Tahoma" w:cs="Tahoma"/>
                <w:b/>
                <w:bCs/>
                <w:color w:val="000080"/>
                <w:rtl/>
              </w:rPr>
              <w:t>בית המשפט המחוזי בבאר שבע</w:t>
            </w:r>
          </w:p>
        </w:tc>
      </w:tr>
      <w:tr w:rsidR="00D60DD2" w:rsidRPr="00E0317E" w14:paraId="14616FE6" w14:textId="77777777" w:rsidTr="00A93C08">
        <w:trPr>
          <w:trHeight w:val="337"/>
          <w:jc w:val="center"/>
        </w:trPr>
        <w:tc>
          <w:tcPr>
            <w:tcW w:w="4902" w:type="dxa"/>
          </w:tcPr>
          <w:p w14:paraId="1F414165" w14:textId="77777777" w:rsidR="00D60DD2" w:rsidRPr="00E0317E" w:rsidRDefault="00D60DD2" w:rsidP="00A93C08">
            <w:pPr>
              <w:rPr>
                <w:rFonts w:ascii="David" w:hAnsi="David"/>
                <w:b/>
                <w:bCs/>
                <w:rtl/>
              </w:rPr>
            </w:pPr>
            <w:r w:rsidRPr="00E0317E">
              <w:rPr>
                <w:rFonts w:ascii="David" w:hAnsi="David"/>
                <w:b/>
                <w:bCs/>
                <w:rtl/>
              </w:rPr>
              <w:t xml:space="preserve">בפני כבוד סגן הנשיאה, השופט אליהו ביתן </w:t>
            </w:r>
          </w:p>
        </w:tc>
        <w:tc>
          <w:tcPr>
            <w:tcW w:w="3603" w:type="dxa"/>
          </w:tcPr>
          <w:p w14:paraId="2576771A" w14:textId="77777777" w:rsidR="00D60DD2" w:rsidRPr="00E0317E" w:rsidRDefault="00D60DD2" w:rsidP="00A93C08">
            <w:pPr>
              <w:pStyle w:val="a3"/>
              <w:jc w:val="right"/>
              <w:rPr>
                <w:rFonts w:ascii="David" w:hAnsi="David"/>
                <w:b/>
                <w:bCs/>
                <w:rtl/>
              </w:rPr>
            </w:pPr>
            <w:r w:rsidRPr="00E0317E">
              <w:rPr>
                <w:rFonts w:ascii="David" w:hAnsi="David"/>
                <w:b/>
                <w:bCs/>
                <w:rtl/>
              </w:rPr>
              <w:t>24 במאי 2020</w:t>
            </w:r>
          </w:p>
          <w:p w14:paraId="4CC3F381" w14:textId="77777777" w:rsidR="00D60DD2" w:rsidRPr="00E0317E" w:rsidRDefault="00D60DD2" w:rsidP="00A93C08">
            <w:pPr>
              <w:jc w:val="right"/>
              <w:rPr>
                <w:rFonts w:ascii="David" w:hAnsi="David"/>
                <w:b/>
                <w:bCs/>
                <w:rtl/>
              </w:rPr>
            </w:pPr>
            <w:r w:rsidRPr="00E0317E">
              <w:rPr>
                <w:rFonts w:ascii="David" w:hAnsi="David"/>
                <w:b/>
                <w:bCs/>
                <w:rtl/>
              </w:rPr>
              <w:br/>
              <w:t>ת"פ 50481-07-19 מדינת ישראל נ' אזברגה(עציר)</w:t>
            </w:r>
          </w:p>
        </w:tc>
      </w:tr>
    </w:tbl>
    <w:p w14:paraId="790E860B" w14:textId="77777777" w:rsidR="00D60DD2" w:rsidRPr="00E0317E" w:rsidRDefault="00D60DD2" w:rsidP="00D60DD2">
      <w:pPr>
        <w:pStyle w:val="a3"/>
        <w:rPr>
          <w:rtl/>
        </w:rPr>
      </w:pPr>
      <w:bookmarkStart w:id="0" w:name="LastJudge"/>
      <w:bookmarkEnd w:id="0"/>
      <w:r w:rsidRPr="00E0317E">
        <w:rPr>
          <w:rFonts w:hint="cs"/>
          <w:rtl/>
        </w:rPr>
        <w:t xml:space="preserve"> </w:t>
      </w:r>
    </w:p>
    <w:p w14:paraId="3D395CBE" w14:textId="77777777" w:rsidR="00D60DD2" w:rsidRPr="00E0317E" w:rsidRDefault="00D60DD2" w:rsidP="00D60DD2">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9"/>
        <w:gridCol w:w="3625"/>
      </w:tblGrid>
      <w:tr w:rsidR="00D60DD2" w:rsidRPr="00E0317E" w14:paraId="0BCEC99B" w14:textId="77777777" w:rsidTr="00D60DD2">
        <w:trPr>
          <w:trHeight w:val="355"/>
          <w:jc w:val="center"/>
        </w:trPr>
        <w:tc>
          <w:tcPr>
            <w:tcW w:w="1246" w:type="dxa"/>
            <w:tcBorders>
              <w:top w:val="nil"/>
              <w:left w:val="nil"/>
              <w:bottom w:val="nil"/>
              <w:right w:val="nil"/>
            </w:tcBorders>
            <w:shd w:val="clear" w:color="auto" w:fill="auto"/>
          </w:tcPr>
          <w:p w14:paraId="5CA7AB88" w14:textId="77777777" w:rsidR="00D60DD2" w:rsidRPr="00E0317E" w:rsidRDefault="00D60DD2" w:rsidP="00D60DD2">
            <w:pPr>
              <w:spacing w:line="360" w:lineRule="auto"/>
              <w:jc w:val="both"/>
              <w:rPr>
                <w:rFonts w:ascii="David" w:hAnsi="David"/>
                <w:b/>
                <w:bCs/>
              </w:rPr>
            </w:pPr>
            <w:r w:rsidRPr="00E0317E">
              <w:rPr>
                <w:rFonts w:ascii="David" w:hAnsi="David"/>
                <w:b/>
                <w:bCs/>
                <w:rtl/>
              </w:rPr>
              <w:t>בעניין:</w:t>
            </w:r>
          </w:p>
        </w:tc>
        <w:tc>
          <w:tcPr>
            <w:tcW w:w="3949" w:type="dxa"/>
            <w:tcBorders>
              <w:top w:val="nil"/>
              <w:left w:val="nil"/>
              <w:bottom w:val="nil"/>
              <w:right w:val="nil"/>
            </w:tcBorders>
            <w:shd w:val="clear" w:color="auto" w:fill="auto"/>
          </w:tcPr>
          <w:p w14:paraId="276C5753" w14:textId="77777777" w:rsidR="00D60DD2" w:rsidRPr="00E0317E" w:rsidRDefault="00D60DD2" w:rsidP="00D60DD2">
            <w:pPr>
              <w:spacing w:line="360" w:lineRule="auto"/>
              <w:jc w:val="both"/>
              <w:rPr>
                <w:rFonts w:ascii="David" w:hAnsi="David"/>
                <w:b/>
                <w:bCs/>
              </w:rPr>
            </w:pPr>
            <w:r w:rsidRPr="00E0317E">
              <w:rPr>
                <w:rFonts w:ascii="David" w:hAnsi="David"/>
                <w:b/>
                <w:bCs/>
                <w:rtl/>
              </w:rPr>
              <w:t xml:space="preserve">     </w:t>
            </w:r>
          </w:p>
        </w:tc>
        <w:tc>
          <w:tcPr>
            <w:tcW w:w="3625" w:type="dxa"/>
            <w:tcBorders>
              <w:top w:val="nil"/>
              <w:left w:val="nil"/>
              <w:bottom w:val="nil"/>
              <w:right w:val="nil"/>
            </w:tcBorders>
            <w:shd w:val="clear" w:color="auto" w:fill="auto"/>
          </w:tcPr>
          <w:p w14:paraId="025ED99B" w14:textId="77777777" w:rsidR="00D60DD2" w:rsidRPr="00E0317E" w:rsidRDefault="00D60DD2" w:rsidP="00D60DD2">
            <w:pPr>
              <w:spacing w:line="360" w:lineRule="auto"/>
              <w:jc w:val="both"/>
              <w:rPr>
                <w:rFonts w:ascii="David" w:hAnsi="David"/>
                <w:b/>
                <w:bCs/>
              </w:rPr>
            </w:pPr>
          </w:p>
        </w:tc>
      </w:tr>
      <w:tr w:rsidR="00D60DD2" w:rsidRPr="00E0317E" w14:paraId="15F54D8F" w14:textId="77777777" w:rsidTr="00D60DD2">
        <w:trPr>
          <w:trHeight w:val="355"/>
          <w:jc w:val="center"/>
        </w:trPr>
        <w:tc>
          <w:tcPr>
            <w:tcW w:w="1246" w:type="dxa"/>
            <w:tcBorders>
              <w:top w:val="nil"/>
              <w:left w:val="nil"/>
              <w:bottom w:val="nil"/>
              <w:right w:val="nil"/>
            </w:tcBorders>
            <w:shd w:val="clear" w:color="auto" w:fill="auto"/>
          </w:tcPr>
          <w:p w14:paraId="1718FEEE" w14:textId="77777777" w:rsidR="00D60DD2" w:rsidRPr="00E0317E" w:rsidRDefault="00D60DD2" w:rsidP="00D60DD2">
            <w:pPr>
              <w:spacing w:line="360" w:lineRule="auto"/>
              <w:jc w:val="both"/>
              <w:rPr>
                <w:rFonts w:ascii="David" w:hAnsi="David"/>
                <w:b/>
                <w:bCs/>
                <w:rtl/>
              </w:rPr>
            </w:pPr>
            <w:bookmarkStart w:id="1" w:name="FirstAppellant"/>
            <w:r w:rsidRPr="00E0317E">
              <w:rPr>
                <w:rFonts w:ascii="David" w:hAnsi="David" w:hint="cs"/>
                <w:b/>
                <w:bCs/>
                <w:rtl/>
              </w:rPr>
              <w:t>המאשימה:</w:t>
            </w:r>
          </w:p>
        </w:tc>
        <w:tc>
          <w:tcPr>
            <w:tcW w:w="3949" w:type="dxa"/>
            <w:tcBorders>
              <w:top w:val="nil"/>
              <w:left w:val="nil"/>
              <w:bottom w:val="nil"/>
              <w:right w:val="nil"/>
            </w:tcBorders>
            <w:shd w:val="clear" w:color="auto" w:fill="auto"/>
          </w:tcPr>
          <w:p w14:paraId="34F89CBC" w14:textId="77777777" w:rsidR="00D60DD2" w:rsidRPr="00E0317E" w:rsidRDefault="00D60DD2" w:rsidP="00D60DD2">
            <w:pPr>
              <w:spacing w:line="360" w:lineRule="auto"/>
              <w:jc w:val="both"/>
              <w:rPr>
                <w:rFonts w:ascii="David" w:hAnsi="David"/>
                <w:b/>
                <w:bCs/>
                <w:rtl/>
              </w:rPr>
            </w:pPr>
            <w:r w:rsidRPr="00E0317E">
              <w:rPr>
                <w:rFonts w:ascii="David" w:hAnsi="David" w:hint="cs"/>
                <w:b/>
                <w:bCs/>
                <w:rtl/>
              </w:rPr>
              <w:t xml:space="preserve">מדינת ישראל </w:t>
            </w:r>
          </w:p>
        </w:tc>
        <w:tc>
          <w:tcPr>
            <w:tcW w:w="3625" w:type="dxa"/>
            <w:tcBorders>
              <w:top w:val="nil"/>
              <w:left w:val="nil"/>
              <w:bottom w:val="nil"/>
              <w:right w:val="nil"/>
            </w:tcBorders>
            <w:shd w:val="clear" w:color="auto" w:fill="auto"/>
          </w:tcPr>
          <w:p w14:paraId="40A1B04D" w14:textId="77777777" w:rsidR="00D60DD2" w:rsidRPr="00E0317E" w:rsidRDefault="00D60DD2" w:rsidP="00D60DD2">
            <w:pPr>
              <w:spacing w:line="360" w:lineRule="auto"/>
              <w:jc w:val="both"/>
              <w:rPr>
                <w:rFonts w:ascii="David" w:hAnsi="David"/>
                <w:b/>
                <w:bCs/>
                <w:rtl/>
              </w:rPr>
            </w:pPr>
          </w:p>
        </w:tc>
      </w:tr>
      <w:bookmarkEnd w:id="1"/>
      <w:tr w:rsidR="00D60DD2" w:rsidRPr="00E0317E" w14:paraId="375B00DD" w14:textId="77777777" w:rsidTr="00D60DD2">
        <w:trPr>
          <w:trHeight w:val="355"/>
          <w:jc w:val="center"/>
        </w:trPr>
        <w:tc>
          <w:tcPr>
            <w:tcW w:w="1246" w:type="dxa"/>
            <w:tcBorders>
              <w:top w:val="nil"/>
              <w:left w:val="nil"/>
              <w:bottom w:val="nil"/>
              <w:right w:val="nil"/>
            </w:tcBorders>
            <w:shd w:val="clear" w:color="auto" w:fill="auto"/>
          </w:tcPr>
          <w:p w14:paraId="7EAD1EFE" w14:textId="77777777" w:rsidR="00D60DD2" w:rsidRPr="00E0317E" w:rsidRDefault="00D60DD2" w:rsidP="00D60DD2">
            <w:pPr>
              <w:spacing w:line="360" w:lineRule="auto"/>
              <w:jc w:val="both"/>
              <w:rPr>
                <w:rFonts w:ascii="David" w:hAnsi="David"/>
                <w:b/>
                <w:bCs/>
                <w:rtl/>
              </w:rPr>
            </w:pPr>
          </w:p>
        </w:tc>
        <w:tc>
          <w:tcPr>
            <w:tcW w:w="7574" w:type="dxa"/>
            <w:gridSpan w:val="2"/>
            <w:tcBorders>
              <w:top w:val="nil"/>
              <w:left w:val="nil"/>
              <w:bottom w:val="nil"/>
              <w:right w:val="nil"/>
            </w:tcBorders>
            <w:shd w:val="clear" w:color="auto" w:fill="auto"/>
          </w:tcPr>
          <w:p w14:paraId="528AF161" w14:textId="77777777" w:rsidR="00D60DD2" w:rsidRPr="00E0317E" w:rsidRDefault="00D60DD2" w:rsidP="00D60DD2">
            <w:pPr>
              <w:spacing w:line="360" w:lineRule="auto"/>
              <w:jc w:val="center"/>
              <w:rPr>
                <w:rFonts w:ascii="David" w:hAnsi="David"/>
                <w:b/>
                <w:bCs/>
              </w:rPr>
            </w:pPr>
            <w:r w:rsidRPr="00E0317E">
              <w:rPr>
                <w:rFonts w:ascii="David" w:hAnsi="David"/>
                <w:b/>
                <w:bCs/>
                <w:sz w:val="28"/>
                <w:szCs w:val="28"/>
                <w:rtl/>
              </w:rPr>
              <w:t>נגד</w:t>
            </w:r>
          </w:p>
        </w:tc>
      </w:tr>
      <w:tr w:rsidR="00D60DD2" w:rsidRPr="00E0317E" w14:paraId="2166CDAF" w14:textId="77777777" w:rsidTr="00D60DD2">
        <w:trPr>
          <w:trHeight w:val="355"/>
          <w:jc w:val="center"/>
        </w:trPr>
        <w:tc>
          <w:tcPr>
            <w:tcW w:w="1246" w:type="dxa"/>
            <w:tcBorders>
              <w:top w:val="nil"/>
              <w:left w:val="nil"/>
              <w:bottom w:val="nil"/>
              <w:right w:val="nil"/>
            </w:tcBorders>
            <w:shd w:val="clear" w:color="auto" w:fill="auto"/>
          </w:tcPr>
          <w:p w14:paraId="393CE3F8" w14:textId="77777777" w:rsidR="00D60DD2" w:rsidRPr="00E0317E" w:rsidRDefault="00D60DD2" w:rsidP="00D60DD2">
            <w:pPr>
              <w:spacing w:line="360" w:lineRule="auto"/>
              <w:jc w:val="both"/>
              <w:rPr>
                <w:rFonts w:ascii="David" w:hAnsi="David"/>
                <w:b/>
                <w:bCs/>
                <w:rtl/>
              </w:rPr>
            </w:pPr>
            <w:r w:rsidRPr="00E0317E">
              <w:rPr>
                <w:rFonts w:ascii="David" w:hAnsi="David" w:hint="cs"/>
                <w:b/>
                <w:bCs/>
                <w:rtl/>
              </w:rPr>
              <w:t>הנאשם:</w:t>
            </w:r>
          </w:p>
        </w:tc>
        <w:tc>
          <w:tcPr>
            <w:tcW w:w="3949" w:type="dxa"/>
            <w:tcBorders>
              <w:top w:val="nil"/>
              <w:left w:val="nil"/>
              <w:bottom w:val="nil"/>
              <w:right w:val="nil"/>
            </w:tcBorders>
            <w:shd w:val="clear" w:color="auto" w:fill="auto"/>
          </w:tcPr>
          <w:p w14:paraId="70027815" w14:textId="77777777" w:rsidR="00D60DD2" w:rsidRPr="00E0317E" w:rsidRDefault="00D60DD2" w:rsidP="00D60DD2">
            <w:pPr>
              <w:spacing w:line="360" w:lineRule="auto"/>
              <w:jc w:val="both"/>
              <w:rPr>
                <w:rFonts w:ascii="David" w:hAnsi="David"/>
                <w:b/>
                <w:bCs/>
                <w:rtl/>
              </w:rPr>
            </w:pPr>
            <w:r w:rsidRPr="00E0317E">
              <w:rPr>
                <w:rFonts w:ascii="David" w:hAnsi="David"/>
                <w:b/>
                <w:bCs/>
                <w:rtl/>
              </w:rPr>
              <w:t>נאיף אזברגה (עציר)</w:t>
            </w:r>
          </w:p>
        </w:tc>
        <w:tc>
          <w:tcPr>
            <w:tcW w:w="3625" w:type="dxa"/>
            <w:tcBorders>
              <w:top w:val="nil"/>
              <w:left w:val="nil"/>
              <w:bottom w:val="nil"/>
              <w:right w:val="nil"/>
            </w:tcBorders>
            <w:shd w:val="clear" w:color="auto" w:fill="auto"/>
          </w:tcPr>
          <w:p w14:paraId="29C5B96A" w14:textId="77777777" w:rsidR="00D60DD2" w:rsidRPr="00E0317E" w:rsidRDefault="00D60DD2" w:rsidP="00D60DD2">
            <w:pPr>
              <w:spacing w:line="360" w:lineRule="auto"/>
              <w:jc w:val="both"/>
              <w:rPr>
                <w:rFonts w:ascii="David" w:hAnsi="David"/>
                <w:b/>
                <w:bCs/>
              </w:rPr>
            </w:pPr>
          </w:p>
        </w:tc>
      </w:tr>
    </w:tbl>
    <w:p w14:paraId="7FED728F" w14:textId="77777777" w:rsidR="005409D1" w:rsidRPr="005409D1" w:rsidRDefault="005409D1" w:rsidP="005409D1">
      <w:pPr>
        <w:spacing w:before="120" w:after="120" w:line="240" w:lineRule="exact"/>
        <w:ind w:left="283" w:hanging="283"/>
        <w:jc w:val="both"/>
        <w:rPr>
          <w:rFonts w:ascii="FrankRuehl" w:hAnsi="FrankRuehl" w:cs="FrankRuehl"/>
          <w:rtl/>
        </w:rPr>
      </w:pPr>
      <w:bookmarkStart w:id="2" w:name="LawTable"/>
      <w:bookmarkEnd w:id="2"/>
    </w:p>
    <w:p w14:paraId="5350DCCC" w14:textId="77777777" w:rsidR="005409D1" w:rsidRPr="005409D1" w:rsidRDefault="005409D1" w:rsidP="005409D1">
      <w:pPr>
        <w:spacing w:before="120" w:after="120" w:line="240" w:lineRule="exact"/>
        <w:ind w:left="283" w:hanging="283"/>
        <w:jc w:val="both"/>
        <w:rPr>
          <w:rFonts w:ascii="FrankRuehl" w:hAnsi="FrankRuehl" w:cs="FrankRuehl"/>
          <w:rtl/>
        </w:rPr>
      </w:pPr>
      <w:r w:rsidRPr="005409D1">
        <w:rPr>
          <w:rFonts w:ascii="FrankRuehl" w:hAnsi="FrankRuehl" w:cs="FrankRuehl"/>
          <w:rtl/>
        </w:rPr>
        <w:t xml:space="preserve">חקיקה שאוזכרה: </w:t>
      </w:r>
    </w:p>
    <w:p w14:paraId="603359E5" w14:textId="77777777" w:rsidR="005409D1" w:rsidRPr="005409D1" w:rsidRDefault="005409D1" w:rsidP="005409D1">
      <w:pPr>
        <w:spacing w:before="120" w:after="120" w:line="240" w:lineRule="exact"/>
        <w:ind w:left="283" w:hanging="283"/>
        <w:jc w:val="both"/>
        <w:rPr>
          <w:rFonts w:ascii="FrankRuehl" w:hAnsi="FrankRuehl" w:cs="FrankRuehl"/>
          <w:color w:val="0000FF"/>
          <w:rtl/>
        </w:rPr>
      </w:pPr>
      <w:hyperlink r:id="rId6" w:history="1">
        <w:r w:rsidRPr="005409D1">
          <w:rPr>
            <w:rStyle w:val="Hyperlink"/>
            <w:rFonts w:ascii="FrankRuehl" w:hAnsi="FrankRuehl" w:cs="FrankRuehl"/>
            <w:rtl/>
          </w:rPr>
          <w:t>חוק העונשין, תשל"ז-1977</w:t>
        </w:r>
      </w:hyperlink>
      <w:r w:rsidRPr="005409D1">
        <w:rPr>
          <w:rFonts w:ascii="FrankRuehl" w:hAnsi="FrankRuehl" w:cs="FrankRuehl"/>
          <w:color w:val="0000FF"/>
          <w:u w:val="single"/>
          <w:rtl/>
        </w:rPr>
        <w:t xml:space="preserve">: סע'  </w:t>
      </w:r>
      <w:hyperlink r:id="rId7" w:history="1">
        <w:r w:rsidRPr="005409D1">
          <w:rPr>
            <w:rStyle w:val="Hyperlink"/>
            <w:rFonts w:ascii="FrankRuehl" w:hAnsi="FrankRuehl" w:cs="FrankRuehl"/>
          </w:rPr>
          <w:t>144</w:t>
        </w:r>
      </w:hyperlink>
      <w:r w:rsidRPr="005409D1">
        <w:rPr>
          <w:rFonts w:ascii="FrankRuehl" w:hAnsi="FrankRuehl" w:cs="FrankRuehl"/>
          <w:color w:val="0000FF"/>
          <w:rtl/>
        </w:rPr>
        <w:t xml:space="preserve">(ב), </w:t>
      </w:r>
      <w:hyperlink r:id="rId8" w:history="1">
        <w:r w:rsidRPr="005409D1">
          <w:rPr>
            <w:rStyle w:val="Hyperlink"/>
            <w:rFonts w:ascii="FrankRuehl" w:hAnsi="FrankRuehl" w:cs="FrankRuehl"/>
          </w:rPr>
          <w:t>334</w:t>
        </w:r>
      </w:hyperlink>
      <w:r w:rsidRPr="005409D1">
        <w:rPr>
          <w:rFonts w:ascii="FrankRuehl" w:hAnsi="FrankRuehl" w:cs="FrankRuehl"/>
          <w:color w:val="0000FF"/>
          <w:rtl/>
        </w:rPr>
        <w:t xml:space="preserve">, </w:t>
      </w:r>
      <w:hyperlink r:id="rId9" w:history="1">
        <w:r w:rsidRPr="005409D1">
          <w:rPr>
            <w:rStyle w:val="Hyperlink"/>
            <w:rFonts w:ascii="FrankRuehl" w:hAnsi="FrankRuehl" w:cs="FrankRuehl"/>
          </w:rPr>
          <w:t xml:space="preserve">335 </w:t>
        </w:r>
      </w:hyperlink>
      <w:r w:rsidRPr="005409D1">
        <w:rPr>
          <w:rFonts w:ascii="FrankRuehl" w:hAnsi="FrankRuehl" w:cs="FrankRuehl"/>
          <w:color w:val="0000FF"/>
          <w:rtl/>
        </w:rPr>
        <w:t>(א)(1)</w:t>
      </w:r>
    </w:p>
    <w:p w14:paraId="2D0C9397" w14:textId="77777777" w:rsidR="00D60DD2" w:rsidRPr="005409D1" w:rsidRDefault="00D60DD2" w:rsidP="005409D1">
      <w:pPr>
        <w:spacing w:line="360" w:lineRule="auto"/>
        <w:jc w:val="both"/>
        <w:rPr>
          <w:rFonts w:ascii="David" w:hAnsi="David"/>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0DD2" w:rsidRPr="002831D2" w14:paraId="3ED7C0AE" w14:textId="77777777" w:rsidTr="00D60DD2">
        <w:trPr>
          <w:trHeight w:val="355"/>
          <w:jc w:val="center"/>
        </w:trPr>
        <w:tc>
          <w:tcPr>
            <w:tcW w:w="8820" w:type="dxa"/>
            <w:tcBorders>
              <w:top w:val="nil"/>
              <w:left w:val="nil"/>
              <w:bottom w:val="nil"/>
              <w:right w:val="nil"/>
            </w:tcBorders>
            <w:shd w:val="clear" w:color="auto" w:fill="auto"/>
          </w:tcPr>
          <w:p w14:paraId="5686C2D3" w14:textId="77777777" w:rsidR="00E0317E" w:rsidRPr="00E0317E" w:rsidRDefault="00E0317E" w:rsidP="00E0317E">
            <w:pPr>
              <w:spacing w:line="360" w:lineRule="auto"/>
              <w:jc w:val="center"/>
              <w:rPr>
                <w:rFonts w:ascii="David" w:hAnsi="David"/>
                <w:b/>
                <w:bCs/>
                <w:sz w:val="28"/>
                <w:szCs w:val="28"/>
                <w:u w:val="single"/>
                <w:rtl/>
              </w:rPr>
            </w:pPr>
            <w:bookmarkStart w:id="4" w:name="PsakDin" w:colFirst="0" w:colLast="0"/>
            <w:r w:rsidRPr="00E0317E">
              <w:rPr>
                <w:rFonts w:ascii="David" w:hAnsi="David"/>
                <w:b/>
                <w:bCs/>
                <w:sz w:val="28"/>
                <w:szCs w:val="28"/>
                <w:u w:val="single"/>
                <w:rtl/>
              </w:rPr>
              <w:t>גזר דין</w:t>
            </w:r>
          </w:p>
          <w:p w14:paraId="0AECF09F" w14:textId="77777777" w:rsidR="00D60DD2" w:rsidRPr="00E0317E" w:rsidRDefault="00D60DD2" w:rsidP="00E0317E">
            <w:pPr>
              <w:spacing w:line="360" w:lineRule="auto"/>
              <w:jc w:val="center"/>
              <w:rPr>
                <w:rFonts w:ascii="David" w:hAnsi="David"/>
                <w:b/>
                <w:bCs/>
                <w:sz w:val="28"/>
                <w:szCs w:val="28"/>
                <w:u w:val="single"/>
                <w:rtl/>
              </w:rPr>
            </w:pPr>
          </w:p>
        </w:tc>
      </w:tr>
      <w:bookmarkEnd w:id="4"/>
    </w:tbl>
    <w:p w14:paraId="7607A089" w14:textId="77777777" w:rsidR="00D60DD2" w:rsidRPr="002831D2" w:rsidRDefault="00D60DD2" w:rsidP="00D60DD2">
      <w:pPr>
        <w:spacing w:line="360" w:lineRule="auto"/>
        <w:jc w:val="both"/>
        <w:rPr>
          <w:rFonts w:ascii="David" w:hAnsi="David"/>
          <w:rtl/>
        </w:rPr>
      </w:pPr>
    </w:p>
    <w:p w14:paraId="1DA692FF" w14:textId="77777777" w:rsidR="00D60DD2" w:rsidRPr="002831D2" w:rsidRDefault="00D60DD2" w:rsidP="00D60DD2">
      <w:pPr>
        <w:spacing w:line="360" w:lineRule="auto"/>
        <w:ind w:left="720" w:hanging="720"/>
        <w:jc w:val="both"/>
        <w:rPr>
          <w:rFonts w:ascii="David" w:hAnsi="David"/>
          <w:rtl/>
        </w:rPr>
      </w:pPr>
      <w:r w:rsidRPr="002831D2">
        <w:rPr>
          <w:rFonts w:ascii="David" w:hAnsi="David"/>
          <w:rtl/>
        </w:rPr>
        <w:t>1.</w:t>
      </w:r>
      <w:r w:rsidRPr="002831D2">
        <w:rPr>
          <w:rFonts w:ascii="David" w:hAnsi="David"/>
          <w:rtl/>
        </w:rPr>
        <w:tab/>
      </w:r>
      <w:bookmarkStart w:id="5" w:name="ABSTRACT_START"/>
      <w:bookmarkEnd w:id="5"/>
      <w:r w:rsidRPr="002831D2">
        <w:rPr>
          <w:rFonts w:ascii="David" w:hAnsi="David"/>
          <w:rtl/>
        </w:rPr>
        <w:t xml:space="preserve">בטרם שמיעת הראיות הגיעו הצדדים להסדר טיעון במסגרתו הוגש נגד הנאשם כתב אישום מתוקן והוא הודה בעובדותיו, לפיהן, ביום 19.06.19 בסמוך לשעה 23:30 התפתח ריב בין ילדיו של יונס אבוצהיבאן (להלן: "המתלונן") לבין בני משפחת הנאשם. המתלונן והנאשם הגיעו למקום, כשהנאשם אוחז בידו אקדח. במהלך הדברים הנאשם ירה כדור בודד לעבר הרצפה בסמוך למקום בו עמדו המתלונן ובני משפחתו. הכדור ניתז ופגע בשוק הימני של המתלונן, ויצר פצעי כניסה ויציאה משני עברי השוק. המתלונן פונה לבית החולים שם אובחן כי נגרם לו שבר של הפיבולה הדיסטאלית והוא אושפז למשך יומיים. </w:t>
      </w:r>
      <w:bookmarkStart w:id="6" w:name="ABSTRACT_END"/>
      <w:bookmarkEnd w:id="6"/>
    </w:p>
    <w:p w14:paraId="1A61F16B" w14:textId="77777777" w:rsidR="00D60DD2" w:rsidRPr="002831D2" w:rsidRDefault="00D60DD2" w:rsidP="00D60DD2">
      <w:pPr>
        <w:spacing w:line="360" w:lineRule="auto"/>
        <w:ind w:left="720" w:hanging="720"/>
        <w:jc w:val="both"/>
        <w:rPr>
          <w:rFonts w:ascii="David" w:hAnsi="David"/>
          <w:rtl/>
        </w:rPr>
      </w:pPr>
    </w:p>
    <w:p w14:paraId="3A7752DD" w14:textId="77777777" w:rsidR="00D60DD2" w:rsidRPr="002831D2" w:rsidRDefault="00D60DD2" w:rsidP="00D60DD2">
      <w:pPr>
        <w:spacing w:line="360" w:lineRule="auto"/>
        <w:ind w:left="720" w:hanging="720"/>
        <w:jc w:val="both"/>
        <w:rPr>
          <w:rFonts w:ascii="David" w:hAnsi="David"/>
          <w:b/>
          <w:rtl/>
        </w:rPr>
      </w:pPr>
      <w:r w:rsidRPr="002831D2">
        <w:rPr>
          <w:rFonts w:ascii="David" w:hAnsi="David"/>
          <w:rtl/>
        </w:rPr>
        <w:t>2.</w:t>
      </w:r>
      <w:r w:rsidRPr="002831D2">
        <w:rPr>
          <w:rFonts w:ascii="David" w:hAnsi="David"/>
          <w:rtl/>
        </w:rPr>
        <w:tab/>
        <w:t xml:space="preserve">על יסוד הודאת הנאשם בעובדות, כאמור, הוא הורשע בנשיאת נשק, לפי </w:t>
      </w:r>
      <w:hyperlink r:id="rId10" w:history="1">
        <w:r w:rsidR="005409D1" w:rsidRPr="005409D1">
          <w:rPr>
            <w:rStyle w:val="Hyperlink"/>
            <w:rFonts w:ascii="David" w:hAnsi="David"/>
            <w:color w:val="0000FF"/>
            <w:rtl/>
          </w:rPr>
          <w:t>סעיף 144(ב)</w:t>
        </w:r>
      </w:hyperlink>
      <w:r w:rsidRPr="002831D2">
        <w:rPr>
          <w:rFonts w:ascii="David" w:hAnsi="David"/>
          <w:rtl/>
        </w:rPr>
        <w:t xml:space="preserve"> רישא ב</w:t>
      </w:r>
      <w:hyperlink r:id="rId11" w:history="1">
        <w:r w:rsidR="00E0317E" w:rsidRPr="00E0317E">
          <w:rPr>
            <w:rFonts w:ascii="David" w:hAnsi="David"/>
            <w:color w:val="0000FF"/>
            <w:u w:val="single"/>
            <w:rtl/>
          </w:rPr>
          <w:t>חוק העונשין</w:t>
        </w:r>
      </w:hyperlink>
      <w:r w:rsidRPr="002831D2">
        <w:rPr>
          <w:rFonts w:ascii="David" w:hAnsi="David"/>
          <w:rtl/>
        </w:rPr>
        <w:t xml:space="preserve"> התשל"ז-1977 (להלן: "החוק") ובפציעה בנסיבות מחמירות, לפי </w:t>
      </w:r>
      <w:hyperlink r:id="rId12" w:history="1">
        <w:r w:rsidR="005409D1" w:rsidRPr="005409D1">
          <w:rPr>
            <w:rStyle w:val="Hyperlink"/>
            <w:rFonts w:ascii="David" w:hAnsi="David"/>
            <w:color w:val="0000FF"/>
            <w:rtl/>
          </w:rPr>
          <w:t>סעיפים 334</w:t>
        </w:r>
      </w:hyperlink>
      <w:r w:rsidRPr="002831D2">
        <w:rPr>
          <w:rFonts w:ascii="David" w:hAnsi="David"/>
          <w:rtl/>
        </w:rPr>
        <w:t xml:space="preserve"> ו- </w:t>
      </w:r>
      <w:hyperlink r:id="rId13" w:history="1">
        <w:r w:rsidR="005409D1" w:rsidRPr="005409D1">
          <w:rPr>
            <w:rStyle w:val="Hyperlink"/>
            <w:rFonts w:ascii="David" w:hAnsi="David"/>
            <w:color w:val="0000FF"/>
            <w:rtl/>
          </w:rPr>
          <w:t>335 (א)(1)</w:t>
        </w:r>
      </w:hyperlink>
      <w:r w:rsidRPr="002831D2">
        <w:rPr>
          <w:rFonts w:ascii="David" w:hAnsi="David"/>
          <w:rtl/>
        </w:rPr>
        <w:t xml:space="preserve"> לחוק.</w:t>
      </w:r>
    </w:p>
    <w:p w14:paraId="0EB2BC95" w14:textId="77777777" w:rsidR="00D60DD2" w:rsidRPr="002831D2" w:rsidRDefault="00D60DD2" w:rsidP="00D60DD2">
      <w:pPr>
        <w:spacing w:line="360" w:lineRule="auto"/>
        <w:jc w:val="both"/>
        <w:rPr>
          <w:rFonts w:ascii="David" w:hAnsi="David"/>
          <w:b/>
          <w:rtl/>
        </w:rPr>
      </w:pPr>
    </w:p>
    <w:p w14:paraId="79F960DD" w14:textId="77777777" w:rsidR="00D60DD2" w:rsidRPr="002831D2" w:rsidRDefault="00D60DD2" w:rsidP="00D60DD2">
      <w:pPr>
        <w:spacing w:line="360" w:lineRule="auto"/>
        <w:ind w:left="720" w:hanging="720"/>
        <w:jc w:val="both"/>
        <w:rPr>
          <w:rFonts w:ascii="David" w:hAnsi="David"/>
          <w:b/>
          <w:rtl/>
        </w:rPr>
      </w:pPr>
      <w:r w:rsidRPr="002831D2">
        <w:rPr>
          <w:rFonts w:ascii="David" w:hAnsi="David"/>
          <w:b/>
          <w:rtl/>
        </w:rPr>
        <w:t>3.</w:t>
      </w:r>
      <w:r w:rsidRPr="002831D2">
        <w:rPr>
          <w:rFonts w:ascii="David" w:hAnsi="David"/>
          <w:b/>
          <w:rtl/>
        </w:rPr>
        <w:tab/>
        <w:t xml:space="preserve">במסגרת הסדר הטיעון הוסכם בין הצדדים להמליץ לבית המשפט להטיל על הנאשם 34 חודשי מאסר בפועל בניכוי ימי מעצרו, מאסר על תנאי ופיצוי למתלונן בסך 10,000 ₪. </w:t>
      </w:r>
    </w:p>
    <w:p w14:paraId="6F05FC16" w14:textId="77777777" w:rsidR="00D60DD2" w:rsidRPr="002831D2" w:rsidRDefault="00D60DD2" w:rsidP="00D60DD2">
      <w:pPr>
        <w:spacing w:line="360" w:lineRule="auto"/>
        <w:ind w:left="360"/>
        <w:jc w:val="both"/>
        <w:rPr>
          <w:rFonts w:ascii="David" w:hAnsi="David"/>
          <w:b/>
          <w:rtl/>
        </w:rPr>
      </w:pPr>
    </w:p>
    <w:p w14:paraId="53A4D74B" w14:textId="77777777" w:rsidR="00D60DD2" w:rsidRPr="002831D2" w:rsidRDefault="00D60DD2" w:rsidP="00D60DD2">
      <w:pPr>
        <w:spacing w:line="360" w:lineRule="auto"/>
        <w:ind w:left="720" w:hanging="720"/>
        <w:jc w:val="both"/>
        <w:rPr>
          <w:rFonts w:ascii="David" w:hAnsi="David"/>
          <w:b/>
          <w:rtl/>
        </w:rPr>
      </w:pPr>
      <w:r w:rsidRPr="002831D2">
        <w:rPr>
          <w:rFonts w:ascii="David" w:hAnsi="David"/>
          <w:b/>
          <w:rtl/>
        </w:rPr>
        <w:t>4.</w:t>
      </w:r>
      <w:r w:rsidRPr="002831D2">
        <w:rPr>
          <w:rFonts w:ascii="David" w:hAnsi="David"/>
          <w:b/>
          <w:rtl/>
        </w:rPr>
        <w:tab/>
        <w:t xml:space="preserve">ב"כ המאשימה ציינה כי ההסדר הוא תולדה של הליך גישור שנערך בין הצדדים. טענה כי ברקע ההסדר קשיים ראייתיים הנובעים מכך שמדובר באירוע רב משתתפים. הוסיפה כי הנאשם נעדר עבר פלילי אשר הודה במיוחס לו, חסך זמן שיפוטי ולקח אחריות על מעשיו. </w:t>
      </w:r>
      <w:r w:rsidRPr="002831D2">
        <w:rPr>
          <w:rFonts w:ascii="David" w:hAnsi="David"/>
          <w:b/>
          <w:rtl/>
        </w:rPr>
        <w:lastRenderedPageBreak/>
        <w:t xml:space="preserve">טענה כי כתב האישום תוקן משמעותית, והעונש המוצע מאוזן ותואם לפסיקה הנהוגה בעבירות מסוג זה. ועתרה לכבד את הסדר הטיעון. </w:t>
      </w:r>
    </w:p>
    <w:p w14:paraId="75E44976" w14:textId="77777777" w:rsidR="00D60DD2" w:rsidRPr="002831D2" w:rsidRDefault="00D60DD2" w:rsidP="00D60DD2">
      <w:pPr>
        <w:spacing w:line="360" w:lineRule="auto"/>
        <w:ind w:firstLine="720"/>
        <w:jc w:val="both"/>
        <w:rPr>
          <w:rFonts w:ascii="David" w:hAnsi="David"/>
          <w:b/>
          <w:rtl/>
        </w:rPr>
      </w:pPr>
    </w:p>
    <w:p w14:paraId="51E31F50" w14:textId="77777777" w:rsidR="00D60DD2" w:rsidRPr="002831D2" w:rsidRDefault="00D60DD2" w:rsidP="00D60DD2">
      <w:pPr>
        <w:spacing w:line="360" w:lineRule="auto"/>
        <w:ind w:left="720"/>
        <w:jc w:val="both"/>
        <w:rPr>
          <w:rFonts w:ascii="David" w:hAnsi="David"/>
          <w:b/>
          <w:rtl/>
        </w:rPr>
      </w:pPr>
      <w:r w:rsidRPr="002831D2">
        <w:rPr>
          <w:rFonts w:ascii="David" w:hAnsi="David"/>
          <w:b/>
          <w:rtl/>
        </w:rPr>
        <w:t xml:space="preserve">ב"כ הנאשם הצטרפה לדברי ב"כ המאשימה. ציינה שהצדדים קיימו פגישות רבות והשתתפו בהליך גישור. הדגישה את עברו הנקי של הנאשם ואת לקיחת האחריות. וביקשה לאמץ את הסדר. </w:t>
      </w:r>
    </w:p>
    <w:p w14:paraId="11352C30" w14:textId="77777777" w:rsidR="00D60DD2" w:rsidRPr="002831D2" w:rsidRDefault="00D60DD2" w:rsidP="00D60DD2">
      <w:pPr>
        <w:spacing w:line="360" w:lineRule="auto"/>
        <w:ind w:left="720" w:hanging="720"/>
        <w:jc w:val="both"/>
        <w:rPr>
          <w:rFonts w:ascii="David" w:hAnsi="David"/>
          <w:b/>
          <w:rtl/>
        </w:rPr>
      </w:pPr>
      <w:r w:rsidRPr="002831D2">
        <w:rPr>
          <w:rFonts w:ascii="David" w:hAnsi="David"/>
          <w:b/>
          <w:rtl/>
        </w:rPr>
        <w:tab/>
      </w:r>
    </w:p>
    <w:p w14:paraId="3FECE509" w14:textId="77777777" w:rsidR="00D60DD2" w:rsidRPr="002831D2" w:rsidRDefault="00D60DD2" w:rsidP="00D60DD2">
      <w:pPr>
        <w:spacing w:line="360" w:lineRule="auto"/>
        <w:ind w:left="720"/>
        <w:jc w:val="both"/>
        <w:rPr>
          <w:rFonts w:ascii="David" w:hAnsi="David"/>
          <w:b/>
          <w:rtl/>
        </w:rPr>
      </w:pPr>
      <w:r w:rsidRPr="002831D2">
        <w:rPr>
          <w:rFonts w:ascii="David" w:hAnsi="David"/>
          <w:b/>
          <w:rtl/>
        </w:rPr>
        <w:t>הנאשם הביע צער על מעשיו.</w:t>
      </w:r>
    </w:p>
    <w:p w14:paraId="7E1B5B90" w14:textId="77777777" w:rsidR="00D60DD2" w:rsidRPr="002831D2" w:rsidRDefault="00D60DD2" w:rsidP="00D60DD2">
      <w:pPr>
        <w:spacing w:line="360" w:lineRule="auto"/>
        <w:jc w:val="both"/>
        <w:rPr>
          <w:rFonts w:ascii="David" w:hAnsi="David"/>
          <w:b/>
          <w:bCs/>
          <w:u w:val="single"/>
          <w:rtl/>
        </w:rPr>
      </w:pPr>
    </w:p>
    <w:p w14:paraId="7A94A695" w14:textId="77777777" w:rsidR="00D60DD2" w:rsidRPr="002831D2" w:rsidRDefault="00D60DD2" w:rsidP="00D60DD2">
      <w:pPr>
        <w:spacing w:line="360" w:lineRule="auto"/>
        <w:ind w:left="720" w:hanging="720"/>
        <w:jc w:val="both"/>
        <w:rPr>
          <w:rFonts w:ascii="David" w:hAnsi="David"/>
          <w:b/>
          <w:rtl/>
        </w:rPr>
      </w:pPr>
      <w:r w:rsidRPr="002831D2">
        <w:rPr>
          <w:rFonts w:ascii="David" w:hAnsi="David"/>
          <w:rtl/>
        </w:rPr>
        <w:t>5.</w:t>
      </w:r>
      <w:r w:rsidRPr="002831D2">
        <w:rPr>
          <w:rFonts w:ascii="David" w:hAnsi="David"/>
          <w:rtl/>
        </w:rPr>
        <w:tab/>
      </w:r>
      <w:r w:rsidRPr="002831D2">
        <w:rPr>
          <w:rFonts w:ascii="David" w:hAnsi="David"/>
          <w:noProof/>
          <w:rtl/>
          <w:lang w:eastAsia="he-IL"/>
        </w:rPr>
        <w:t xml:space="preserve">התמונה העולה מכתב האישום, חמורה. הנאשם הגיע לזירת האירוע כשהוא חמוש באקדח שאין לו רישיון להחזקתו, ירה בו וגרם לפציעת המתלונן. במקרה, הכדור ניתז ופגע ברגלו של המתלונן, באותה מידה הוא יכל לפגוע באיבר אחר בגופו והתוצאה יכלה להיות חמורה הרבה יותר. </w:t>
      </w:r>
    </w:p>
    <w:p w14:paraId="33C7AB53" w14:textId="77777777" w:rsidR="00D60DD2" w:rsidRPr="002831D2" w:rsidRDefault="00D60DD2" w:rsidP="00D60DD2">
      <w:pPr>
        <w:spacing w:line="360" w:lineRule="auto"/>
        <w:ind w:left="720" w:hanging="720"/>
        <w:jc w:val="both"/>
        <w:rPr>
          <w:rFonts w:ascii="David" w:hAnsi="David"/>
          <w:b/>
          <w:rtl/>
        </w:rPr>
      </w:pPr>
    </w:p>
    <w:p w14:paraId="0E04591C" w14:textId="77777777" w:rsidR="00D60DD2" w:rsidRPr="002831D2" w:rsidRDefault="00D60DD2" w:rsidP="00D60DD2">
      <w:pPr>
        <w:spacing w:line="360" w:lineRule="auto"/>
        <w:ind w:left="720" w:hanging="720"/>
        <w:jc w:val="both"/>
        <w:rPr>
          <w:rFonts w:ascii="David" w:hAnsi="David"/>
          <w:b/>
          <w:rtl/>
        </w:rPr>
      </w:pPr>
      <w:r w:rsidRPr="002831D2">
        <w:rPr>
          <w:rFonts w:ascii="David" w:hAnsi="David"/>
          <w:b/>
          <w:rtl/>
        </w:rPr>
        <w:t>6.</w:t>
      </w:r>
      <w:r w:rsidRPr="002831D2">
        <w:rPr>
          <w:rFonts w:ascii="David" w:hAnsi="David"/>
          <w:b/>
          <w:rtl/>
        </w:rPr>
        <w:tab/>
        <w:t>ובכל זאת, לאחר ששקלתי בדבר, באתי למסקנה כי יש לכבד את הסדר הטיעון:</w:t>
      </w:r>
    </w:p>
    <w:p w14:paraId="57DB455C" w14:textId="77777777" w:rsidR="00D60DD2" w:rsidRPr="002831D2" w:rsidRDefault="00D60DD2" w:rsidP="00D60DD2">
      <w:pPr>
        <w:spacing w:line="360" w:lineRule="auto"/>
        <w:ind w:left="1440" w:hanging="720"/>
        <w:jc w:val="both"/>
        <w:rPr>
          <w:rFonts w:ascii="David" w:hAnsi="David"/>
          <w:b/>
          <w:rtl/>
        </w:rPr>
      </w:pPr>
      <w:r w:rsidRPr="002831D2">
        <w:rPr>
          <w:rFonts w:ascii="David" w:hAnsi="David"/>
          <w:b/>
          <w:rtl/>
        </w:rPr>
        <w:t>א.</w:t>
      </w:r>
      <w:r w:rsidRPr="002831D2">
        <w:rPr>
          <w:rFonts w:ascii="David" w:hAnsi="David"/>
          <w:b/>
          <w:rtl/>
        </w:rPr>
        <w:tab/>
        <w:t>"הסדר טיעון – באשר הוא – אינו רק שיקול אחד ככל יתר השיקולים העומדים בפני בית</w:t>
      </w:r>
      <w:r w:rsidRPr="002831D2">
        <w:rPr>
          <w:rFonts w:ascii="David" w:hAnsi="David"/>
          <w:b/>
          <w:vertAlign w:val="superscript"/>
          <w:rtl/>
        </w:rPr>
        <w:t>-</w:t>
      </w:r>
      <w:r w:rsidRPr="002831D2">
        <w:rPr>
          <w:rFonts w:ascii="David" w:hAnsi="David"/>
          <w:b/>
          <w:rt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sidRPr="002831D2">
        <w:rPr>
          <w:rFonts w:ascii="David" w:hAnsi="David"/>
          <w:b/>
          <w:vertAlign w:val="superscript"/>
          <w:rtl/>
        </w:rPr>
        <w:t>-</w:t>
      </w:r>
      <w:r w:rsidRPr="002831D2">
        <w:rPr>
          <w:rFonts w:ascii="David" w:hAnsi="David"/>
          <w:b/>
          <w:rt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sidRPr="002831D2">
        <w:rPr>
          <w:rFonts w:ascii="David" w:hAnsi="David"/>
          <w:b/>
          <w:vertAlign w:val="superscript"/>
          <w:rtl/>
        </w:rPr>
        <w:t>-</w:t>
      </w:r>
      <w:r w:rsidRPr="002831D2">
        <w:rPr>
          <w:rFonts w:ascii="David" w:hAnsi="David"/>
          <w:b/>
          <w:rtl/>
        </w:rPr>
        <w:t>המשפט יראה לקיים את הסדר הטיעון בשל הטעמים הקשורים בחשיבותם ובמעמדם של הסדרי הטיעון". - ע"פ 1958/98‏ פלוני נ' מדינת ישראל, פ''ד נז(1) 577</w:t>
      </w:r>
    </w:p>
    <w:p w14:paraId="1200D17C" w14:textId="77777777" w:rsidR="00D60DD2" w:rsidRPr="002831D2" w:rsidRDefault="00D60DD2" w:rsidP="00D60DD2">
      <w:pPr>
        <w:spacing w:line="360" w:lineRule="auto"/>
        <w:ind w:firstLine="720"/>
        <w:jc w:val="both"/>
        <w:rPr>
          <w:rFonts w:ascii="David" w:hAnsi="David"/>
          <w:b/>
        </w:rPr>
      </w:pPr>
      <w:r w:rsidRPr="002831D2">
        <w:rPr>
          <w:rFonts w:ascii="David" w:hAnsi="David"/>
          <w:b/>
          <w:rtl/>
        </w:rPr>
        <w:t>ב.</w:t>
      </w:r>
      <w:r w:rsidRPr="002831D2">
        <w:rPr>
          <w:rFonts w:ascii="David" w:hAnsi="David"/>
          <w:b/>
          <w:rtl/>
        </w:rPr>
        <w:tab/>
        <w:t>הסדר הטיעון נעוץ בין היתר בקשיים ראייתיים.</w:t>
      </w:r>
    </w:p>
    <w:p w14:paraId="44714D93" w14:textId="77777777" w:rsidR="00D60DD2" w:rsidRPr="002831D2" w:rsidRDefault="00D60DD2" w:rsidP="00D60DD2">
      <w:pPr>
        <w:spacing w:line="360" w:lineRule="auto"/>
        <w:ind w:firstLine="720"/>
        <w:jc w:val="both"/>
        <w:rPr>
          <w:rFonts w:ascii="David" w:hAnsi="David"/>
          <w:b/>
        </w:rPr>
      </w:pPr>
      <w:r w:rsidRPr="002831D2">
        <w:rPr>
          <w:rFonts w:ascii="David" w:hAnsi="David"/>
          <w:b/>
          <w:rtl/>
        </w:rPr>
        <w:t>ד.</w:t>
      </w:r>
      <w:r w:rsidRPr="002831D2">
        <w:rPr>
          <w:rFonts w:ascii="David" w:hAnsi="David"/>
          <w:b/>
          <w:rtl/>
        </w:rPr>
        <w:tab/>
        <w:t>הנאשם הודה במיוחס לו וחסך זמן שיפוט יקר.</w:t>
      </w:r>
    </w:p>
    <w:p w14:paraId="49B9DDD6" w14:textId="77777777" w:rsidR="00D60DD2" w:rsidRPr="002831D2" w:rsidRDefault="00D60DD2" w:rsidP="00D60DD2">
      <w:pPr>
        <w:spacing w:line="360" w:lineRule="auto"/>
        <w:ind w:firstLine="720"/>
        <w:jc w:val="both"/>
        <w:rPr>
          <w:rFonts w:ascii="David" w:hAnsi="David"/>
          <w:b/>
        </w:rPr>
      </w:pPr>
      <w:r w:rsidRPr="002831D2">
        <w:rPr>
          <w:rFonts w:ascii="David" w:hAnsi="David"/>
          <w:b/>
          <w:rtl/>
        </w:rPr>
        <w:t>ה.</w:t>
      </w:r>
      <w:r w:rsidRPr="002831D2">
        <w:rPr>
          <w:rFonts w:ascii="David" w:hAnsi="David"/>
          <w:b/>
          <w:rtl/>
        </w:rPr>
        <w:tab/>
        <w:t>הנאשם נעדר עבר פלילי. נשוי ואב לילדים. וזהו מאסרו הראשון.</w:t>
      </w:r>
    </w:p>
    <w:p w14:paraId="7A8047FC" w14:textId="77777777" w:rsidR="00D60DD2" w:rsidRPr="002831D2" w:rsidRDefault="00D60DD2" w:rsidP="00D60DD2">
      <w:pPr>
        <w:spacing w:line="360" w:lineRule="auto"/>
        <w:ind w:firstLine="720"/>
        <w:jc w:val="both"/>
        <w:rPr>
          <w:rFonts w:ascii="David" w:hAnsi="David"/>
          <w:b/>
          <w:rtl/>
        </w:rPr>
      </w:pPr>
      <w:r w:rsidRPr="002831D2">
        <w:rPr>
          <w:rFonts w:ascii="David" w:hAnsi="David"/>
          <w:b/>
          <w:rtl/>
        </w:rPr>
        <w:t>ו.</w:t>
      </w:r>
      <w:r w:rsidRPr="002831D2">
        <w:rPr>
          <w:rFonts w:ascii="David" w:hAnsi="David"/>
          <w:b/>
          <w:rtl/>
        </w:rPr>
        <w:tab/>
        <w:t>העונש המוצע כולל מאסר בפועל לתקופה ממשית והוא סביר.</w:t>
      </w:r>
    </w:p>
    <w:p w14:paraId="2656884F" w14:textId="77777777" w:rsidR="00D60DD2" w:rsidRPr="002831D2" w:rsidRDefault="00D60DD2" w:rsidP="00D60DD2">
      <w:pPr>
        <w:spacing w:line="360" w:lineRule="auto"/>
        <w:ind w:left="720" w:hanging="720"/>
        <w:jc w:val="both"/>
        <w:rPr>
          <w:rFonts w:ascii="David" w:hAnsi="David"/>
          <w:b/>
          <w:rtl/>
        </w:rPr>
      </w:pPr>
    </w:p>
    <w:p w14:paraId="60B7F89E" w14:textId="77777777" w:rsidR="00D60DD2" w:rsidRPr="002831D2" w:rsidRDefault="00D60DD2" w:rsidP="00D60DD2">
      <w:pPr>
        <w:spacing w:line="360" w:lineRule="auto"/>
        <w:ind w:left="720" w:hanging="720"/>
        <w:jc w:val="both"/>
        <w:rPr>
          <w:rFonts w:ascii="David" w:hAnsi="David"/>
          <w:b/>
          <w:rtl/>
        </w:rPr>
      </w:pPr>
      <w:r w:rsidRPr="002831D2">
        <w:rPr>
          <w:rFonts w:ascii="David" w:hAnsi="David"/>
          <w:b/>
          <w:rtl/>
        </w:rPr>
        <w:t>7.</w:t>
      </w:r>
      <w:r w:rsidRPr="002831D2">
        <w:rPr>
          <w:rFonts w:ascii="David" w:hAnsi="David"/>
          <w:b/>
          <w:rtl/>
        </w:rPr>
        <w:tab/>
        <w:t>נוכח האמור, אני דן את הנאשם לעונשים הבאים:</w:t>
      </w:r>
    </w:p>
    <w:p w14:paraId="0CC9AEE7" w14:textId="77777777" w:rsidR="00D60DD2" w:rsidRPr="002831D2" w:rsidRDefault="00E0317E" w:rsidP="00D60DD2">
      <w:pPr>
        <w:spacing w:line="360" w:lineRule="auto"/>
        <w:ind w:left="720"/>
        <w:jc w:val="both"/>
        <w:rPr>
          <w:rFonts w:ascii="David" w:hAnsi="David"/>
          <w:b/>
          <w:rtl/>
        </w:rPr>
      </w:pPr>
      <w:r w:rsidRPr="00E0317E">
        <w:rPr>
          <w:rFonts w:ascii="David" w:hAnsi="David"/>
          <w:b/>
          <w:color w:val="FFFFFF"/>
          <w:sz w:val="2"/>
          <w:szCs w:val="2"/>
          <w:rtl/>
        </w:rPr>
        <w:t>5129371</w:t>
      </w:r>
      <w:r w:rsidR="00D60DD2" w:rsidRPr="002831D2">
        <w:rPr>
          <w:rFonts w:ascii="David" w:hAnsi="David"/>
          <w:b/>
          <w:rtl/>
        </w:rPr>
        <w:t>א.</w:t>
      </w:r>
      <w:r w:rsidR="00D60DD2" w:rsidRPr="002831D2">
        <w:rPr>
          <w:rFonts w:ascii="David" w:hAnsi="David"/>
          <w:b/>
          <w:rtl/>
        </w:rPr>
        <w:tab/>
        <w:t>34 חודשי מאסר בפועל בניכוי ימי מעצרו  .</w:t>
      </w:r>
    </w:p>
    <w:p w14:paraId="30477DCE" w14:textId="77777777" w:rsidR="00D60DD2" w:rsidRPr="002831D2" w:rsidRDefault="00E0317E" w:rsidP="00D60DD2">
      <w:pPr>
        <w:spacing w:line="360" w:lineRule="auto"/>
        <w:ind w:left="1440" w:hanging="720"/>
        <w:jc w:val="both"/>
        <w:rPr>
          <w:rFonts w:ascii="David" w:hAnsi="David"/>
          <w:b/>
          <w:rtl/>
        </w:rPr>
      </w:pPr>
      <w:r w:rsidRPr="00E0317E">
        <w:rPr>
          <w:rFonts w:ascii="David" w:hAnsi="David"/>
          <w:b/>
          <w:color w:val="FFFFFF"/>
          <w:sz w:val="2"/>
          <w:szCs w:val="2"/>
          <w:rtl/>
        </w:rPr>
        <w:t>54678313</w:t>
      </w:r>
      <w:r w:rsidR="00D60DD2" w:rsidRPr="002831D2">
        <w:rPr>
          <w:rFonts w:ascii="David" w:hAnsi="David"/>
          <w:b/>
          <w:rtl/>
        </w:rPr>
        <w:t>ב.</w:t>
      </w:r>
      <w:r w:rsidR="00D60DD2" w:rsidRPr="002831D2">
        <w:rPr>
          <w:rFonts w:ascii="David" w:hAnsi="David"/>
          <w:b/>
          <w:rtl/>
        </w:rPr>
        <w:tab/>
        <w:t xml:space="preserve">12 חודשי מאסר על תנאי למשך שלוש שנים מיום שחרורו מהמאסר שלא יעבור עבירת נשק או עבירת אלימות, מסוג פשע. </w:t>
      </w:r>
    </w:p>
    <w:p w14:paraId="41B20FEB" w14:textId="77777777" w:rsidR="00D60DD2" w:rsidRPr="002831D2" w:rsidRDefault="00D60DD2" w:rsidP="00D60DD2">
      <w:pPr>
        <w:spacing w:line="360" w:lineRule="auto"/>
        <w:ind w:left="720"/>
        <w:jc w:val="both"/>
        <w:rPr>
          <w:rFonts w:ascii="David" w:hAnsi="David"/>
          <w:b/>
          <w:rtl/>
        </w:rPr>
      </w:pPr>
      <w:r w:rsidRPr="002831D2">
        <w:rPr>
          <w:rFonts w:ascii="David" w:hAnsi="David"/>
          <w:b/>
          <w:rtl/>
        </w:rPr>
        <w:t>ג.</w:t>
      </w:r>
      <w:r w:rsidRPr="002831D2">
        <w:rPr>
          <w:rFonts w:ascii="David" w:hAnsi="David"/>
          <w:b/>
          <w:rtl/>
        </w:rPr>
        <w:tab/>
        <w:t xml:space="preserve">פיצוי למתלונן בסך 10,000 ₪. </w:t>
      </w:r>
    </w:p>
    <w:p w14:paraId="67197A2B" w14:textId="77777777" w:rsidR="00D60DD2" w:rsidRPr="002831D2" w:rsidRDefault="00D60DD2" w:rsidP="00D60DD2">
      <w:pPr>
        <w:spacing w:line="360" w:lineRule="auto"/>
        <w:ind w:left="720" w:firstLine="720"/>
        <w:jc w:val="both"/>
        <w:rPr>
          <w:rFonts w:ascii="David" w:hAnsi="David"/>
          <w:rtl/>
        </w:rPr>
      </w:pPr>
      <w:r w:rsidRPr="002831D2">
        <w:rPr>
          <w:rFonts w:ascii="David" w:hAnsi="David"/>
          <w:rtl/>
        </w:rPr>
        <w:t>זכות ערעור תוך 45 יום.</w:t>
      </w:r>
    </w:p>
    <w:p w14:paraId="5770AE9E" w14:textId="77777777" w:rsidR="00D60DD2" w:rsidRPr="002831D2" w:rsidRDefault="00D60DD2" w:rsidP="00D60DD2">
      <w:pPr>
        <w:spacing w:line="360" w:lineRule="auto"/>
        <w:jc w:val="both"/>
        <w:rPr>
          <w:rFonts w:ascii="David" w:hAnsi="David"/>
          <w:rtl/>
        </w:rPr>
      </w:pPr>
    </w:p>
    <w:p w14:paraId="18E7CBED" w14:textId="77777777" w:rsidR="00DC2809" w:rsidRPr="00E0317E" w:rsidRDefault="00E0317E" w:rsidP="00E0317E">
      <w:pPr>
        <w:keepNext/>
        <w:rPr>
          <w:rFonts w:ascii="David" w:hAnsi="David"/>
          <w:color w:val="000000"/>
          <w:sz w:val="22"/>
          <w:szCs w:val="22"/>
        </w:rPr>
      </w:pPr>
      <w:bookmarkStart w:id="7" w:name="Nitan"/>
      <w:r>
        <w:rPr>
          <w:rFonts w:ascii="David" w:hAnsi="David"/>
          <w:rtl/>
        </w:rPr>
        <w:t xml:space="preserve">ניתן היום,  ב' סיוון תש"פ, 25 מאי 2020, בנוכחות הצדדים. </w:t>
      </w:r>
      <w:bookmarkEnd w:id="7"/>
    </w:p>
    <w:p w14:paraId="0F87057D" w14:textId="77777777" w:rsidR="00E0317E" w:rsidRPr="00E0317E" w:rsidRDefault="00E0317E" w:rsidP="00E0317E">
      <w:pPr>
        <w:keepNext/>
        <w:rPr>
          <w:rFonts w:ascii="David" w:hAnsi="David"/>
          <w:color w:val="000000"/>
          <w:sz w:val="22"/>
          <w:szCs w:val="22"/>
          <w:rtl/>
        </w:rPr>
      </w:pPr>
      <w:r w:rsidRPr="00E0317E">
        <w:rPr>
          <w:rFonts w:ascii="David" w:hAnsi="David"/>
          <w:color w:val="000000"/>
          <w:sz w:val="22"/>
          <w:szCs w:val="22"/>
          <w:rtl/>
        </w:rPr>
        <w:t>אליהו ביתן 54678313</w:t>
      </w:r>
    </w:p>
    <w:p w14:paraId="49EA3D57" w14:textId="77777777" w:rsidR="00E0317E" w:rsidRDefault="00E0317E" w:rsidP="00E0317E">
      <w:r w:rsidRPr="00E0317E">
        <w:rPr>
          <w:color w:val="000000"/>
          <w:rtl/>
        </w:rPr>
        <w:t>נוסח מסמך זה כפוף לשינויי ניסוח ועריכה</w:t>
      </w:r>
    </w:p>
    <w:p w14:paraId="3A3FFD89" w14:textId="77777777" w:rsidR="00E0317E" w:rsidRDefault="00E0317E" w:rsidP="00E0317E">
      <w:pPr>
        <w:rPr>
          <w:rtl/>
        </w:rPr>
      </w:pPr>
    </w:p>
    <w:p w14:paraId="43EE3CD2" w14:textId="77777777" w:rsidR="00E0317E" w:rsidRDefault="00E0317E" w:rsidP="00E0317E">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25A02C24" w14:textId="77777777" w:rsidR="00E0317E" w:rsidRPr="00E0317E" w:rsidRDefault="00E0317E" w:rsidP="00E0317E">
      <w:pPr>
        <w:jc w:val="center"/>
        <w:rPr>
          <w:color w:val="0000FF"/>
          <w:u w:val="single"/>
        </w:rPr>
      </w:pPr>
    </w:p>
    <w:sectPr w:rsidR="00E0317E" w:rsidRPr="00E0317E" w:rsidSect="00E0317E">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3E618" w14:textId="77777777" w:rsidR="005F5A8F" w:rsidRDefault="005F5A8F" w:rsidP="007B7F1C">
      <w:r>
        <w:separator/>
      </w:r>
    </w:p>
  </w:endnote>
  <w:endnote w:type="continuationSeparator" w:id="0">
    <w:p w14:paraId="7C170BC6" w14:textId="77777777" w:rsidR="005F5A8F" w:rsidRDefault="005F5A8F" w:rsidP="007B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38683" w14:textId="77777777" w:rsidR="00E0317E" w:rsidRDefault="00E0317E" w:rsidP="00E031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5C48AD" w14:textId="77777777" w:rsidR="00A93C08" w:rsidRPr="00E0317E" w:rsidRDefault="00E0317E" w:rsidP="00E031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BC6A7" w14:textId="77777777" w:rsidR="00E0317E" w:rsidRDefault="00E0317E" w:rsidP="00E031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529D">
      <w:rPr>
        <w:rFonts w:ascii="FrankRuehl" w:hAnsi="FrankRuehl" w:cs="FrankRuehl"/>
        <w:noProof/>
        <w:rtl/>
      </w:rPr>
      <w:t>1</w:t>
    </w:r>
    <w:r>
      <w:rPr>
        <w:rFonts w:ascii="FrankRuehl" w:hAnsi="FrankRuehl" w:cs="FrankRuehl"/>
        <w:rtl/>
      </w:rPr>
      <w:fldChar w:fldCharType="end"/>
    </w:r>
  </w:p>
  <w:p w14:paraId="5E509F4D" w14:textId="77777777" w:rsidR="00A93C08" w:rsidRPr="00E0317E" w:rsidRDefault="00E0317E" w:rsidP="00E031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92E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8EB57" w14:textId="77777777" w:rsidR="005F5A8F" w:rsidRDefault="005F5A8F" w:rsidP="007B7F1C">
      <w:r>
        <w:separator/>
      </w:r>
    </w:p>
  </w:footnote>
  <w:footnote w:type="continuationSeparator" w:id="0">
    <w:p w14:paraId="084980A5" w14:textId="77777777" w:rsidR="005F5A8F" w:rsidRDefault="005F5A8F" w:rsidP="007B7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F8368" w14:textId="77777777" w:rsidR="00E0317E" w:rsidRPr="00E0317E" w:rsidRDefault="00E0317E" w:rsidP="00E031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50481-07-19</w:t>
    </w:r>
    <w:r>
      <w:rPr>
        <w:rFonts w:ascii="David" w:hAnsi="David"/>
        <w:color w:val="000000"/>
        <w:sz w:val="22"/>
        <w:szCs w:val="22"/>
        <w:rtl/>
      </w:rPr>
      <w:tab/>
      <w:t xml:space="preserve"> מדינת ישראל נ' נאיף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4563B" w14:textId="77777777" w:rsidR="00E0317E" w:rsidRPr="00E0317E" w:rsidRDefault="00E0317E" w:rsidP="00E031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50481-07-19</w:t>
    </w:r>
    <w:r>
      <w:rPr>
        <w:rFonts w:ascii="David" w:hAnsi="David"/>
        <w:color w:val="000000"/>
        <w:sz w:val="22"/>
        <w:szCs w:val="22"/>
        <w:rtl/>
      </w:rPr>
      <w:tab/>
      <w:t xml:space="preserve"> מדינת ישראל נ' נאיף אזברגה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0DD2"/>
    <w:rsid w:val="0009529D"/>
    <w:rsid w:val="00223CE6"/>
    <w:rsid w:val="005409D1"/>
    <w:rsid w:val="005F5A8F"/>
    <w:rsid w:val="007B7F1C"/>
    <w:rsid w:val="00A93C08"/>
    <w:rsid w:val="00BD6761"/>
    <w:rsid w:val="00C501AB"/>
    <w:rsid w:val="00D60DD2"/>
    <w:rsid w:val="00DC2809"/>
    <w:rsid w:val="00E031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5AB5D9"/>
  <w15:chartTrackingRefBased/>
  <w15:docId w15:val="{954769C3-ED06-4143-B383-227352EA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DD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0DD2"/>
    <w:pPr>
      <w:tabs>
        <w:tab w:val="center" w:pos="4153"/>
        <w:tab w:val="right" w:pos="8306"/>
      </w:tabs>
    </w:pPr>
  </w:style>
  <w:style w:type="character" w:customStyle="1" w:styleId="a4">
    <w:name w:val="כותרת עליונה תו"/>
    <w:link w:val="a3"/>
    <w:rsid w:val="00D60DD2"/>
    <w:rPr>
      <w:rFonts w:ascii="Times New Roman" w:eastAsia="Times New Roman" w:hAnsi="Times New Roman" w:cs="David"/>
      <w:sz w:val="24"/>
      <w:szCs w:val="24"/>
    </w:rPr>
  </w:style>
  <w:style w:type="paragraph" w:styleId="a5">
    <w:name w:val="footer"/>
    <w:basedOn w:val="a"/>
    <w:link w:val="a6"/>
    <w:rsid w:val="00D60DD2"/>
    <w:pPr>
      <w:tabs>
        <w:tab w:val="center" w:pos="4153"/>
        <w:tab w:val="right" w:pos="8306"/>
      </w:tabs>
    </w:pPr>
  </w:style>
  <w:style w:type="character" w:customStyle="1" w:styleId="a6">
    <w:name w:val="כותרת תחתונה תו"/>
    <w:link w:val="a5"/>
    <w:rsid w:val="00D60DD2"/>
    <w:rPr>
      <w:rFonts w:ascii="Times New Roman" w:eastAsia="Times New Roman" w:hAnsi="Times New Roman" w:cs="David"/>
      <w:sz w:val="24"/>
      <w:szCs w:val="24"/>
    </w:rPr>
  </w:style>
  <w:style w:type="table" w:styleId="a7">
    <w:name w:val="Table Grid"/>
    <w:basedOn w:val="a1"/>
    <w:rsid w:val="00D60DD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0DD2"/>
  </w:style>
  <w:style w:type="character" w:styleId="Hyperlink">
    <w:name w:val="Hyperlink"/>
    <w:rsid w:val="00E031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34" TargetMode="External"/><Relationship Id="rId13" Type="http://schemas.openxmlformats.org/officeDocument/2006/relationships/hyperlink" Target="http://www.nevo.co.il/law/70301/335.a.1"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144.b" TargetMode="External"/><Relationship Id="rId12" Type="http://schemas.openxmlformats.org/officeDocument/2006/relationships/hyperlink" Target="http://www.nevo.co.il/law/70301/334"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35.a.1"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3777</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6684722</vt:i4>
      </vt:variant>
      <vt:variant>
        <vt:i4>9</vt:i4>
      </vt:variant>
      <vt:variant>
        <vt:i4>0</vt:i4>
      </vt:variant>
      <vt:variant>
        <vt:i4>5</vt:i4>
      </vt:variant>
      <vt:variant>
        <vt:lpwstr>http://www.nevo.co.il/law/70301/335.a.1</vt:lpwstr>
      </vt:variant>
      <vt:variant>
        <vt:lpwstr/>
      </vt:variant>
      <vt:variant>
        <vt:i4>6684774</vt:i4>
      </vt:variant>
      <vt:variant>
        <vt:i4>6</vt:i4>
      </vt:variant>
      <vt:variant>
        <vt:i4>0</vt:i4>
      </vt:variant>
      <vt:variant>
        <vt:i4>5</vt:i4>
      </vt:variant>
      <vt:variant>
        <vt:lpwstr>http://www.nevo.co.il/law/70301/334</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50481</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נאיף אזברגה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20200525</vt:lpwstr>
  </property>
  <property fmtid="{D5CDD505-2E9C-101B-9397-08002B2CF9AE}" pid="13" name="TYPE_N_DATE">
    <vt:lpwstr>39020200525</vt:lpwstr>
  </property>
  <property fmtid="{D5CDD505-2E9C-101B-9397-08002B2CF9AE}" pid="14" name="WORDNUMPAGES">
    <vt:lpwstr>3</vt:lpwstr>
  </property>
  <property fmtid="{D5CDD505-2E9C-101B-9397-08002B2CF9AE}" pid="15" name="TYPE_ABS_DATE">
    <vt:lpwstr>390020200525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70301/144.b;334;335.a.1</vt:lpwstr>
  </property>
</Properties>
</file>