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1C54D9" w:rsidRPr="00CB2FC5" w14:paraId="1B2EBF4B" w14:textId="77777777" w:rsidTr="00E4540A">
        <w:trPr>
          <w:trHeight w:hRule="exact" w:val="418"/>
          <w:jc w:val="center"/>
        </w:trPr>
        <w:tc>
          <w:tcPr>
            <w:tcW w:w="8721" w:type="dxa"/>
            <w:gridSpan w:val="2"/>
          </w:tcPr>
          <w:p w14:paraId="32F925E0" w14:textId="77777777" w:rsidR="001C54D9" w:rsidRPr="00CB2FC5" w:rsidRDefault="001C54D9" w:rsidP="00502D20">
            <w:pPr>
              <w:pStyle w:val="a3"/>
              <w:jc w:val="center"/>
              <w:rPr>
                <w:rFonts w:ascii="Tahoma" w:hAnsi="Tahoma" w:cs="Tahoma"/>
                <w:color w:val="000080"/>
                <w:rtl/>
              </w:rPr>
            </w:pPr>
            <w:bookmarkStart w:id="0" w:name="LastJudge"/>
            <w:r w:rsidRPr="00CB2FC5">
              <w:rPr>
                <w:rFonts w:ascii="Tahoma" w:hAnsi="Tahoma" w:cs="Tahoma"/>
                <w:b/>
                <w:bCs/>
                <w:color w:val="000080"/>
                <w:rtl/>
              </w:rPr>
              <w:t>בית המשפט המחוזי בחיפה</w:t>
            </w:r>
          </w:p>
        </w:tc>
      </w:tr>
      <w:tr w:rsidR="001C54D9" w:rsidRPr="00CB2FC5" w14:paraId="780E5C09" w14:textId="77777777" w:rsidTr="00E4540A">
        <w:trPr>
          <w:trHeight w:val="337"/>
          <w:jc w:val="center"/>
        </w:trPr>
        <w:tc>
          <w:tcPr>
            <w:tcW w:w="5062" w:type="dxa"/>
          </w:tcPr>
          <w:p w14:paraId="6B6D6D92" w14:textId="77777777" w:rsidR="001C54D9" w:rsidRPr="00CB2FC5" w:rsidRDefault="001C54D9" w:rsidP="00502D20">
            <w:pPr>
              <w:rPr>
                <w:rFonts w:cs="FrankRuehl"/>
                <w:sz w:val="28"/>
                <w:szCs w:val="28"/>
                <w:rtl/>
              </w:rPr>
            </w:pPr>
            <w:r w:rsidRPr="00CB2FC5">
              <w:rPr>
                <w:rFonts w:cs="FrankRuehl"/>
                <w:sz w:val="28"/>
                <w:szCs w:val="28"/>
                <w:rtl/>
              </w:rPr>
              <w:t>ת"פ</w:t>
            </w:r>
            <w:r w:rsidRPr="00CB2FC5">
              <w:rPr>
                <w:rFonts w:cs="FrankRuehl" w:hint="cs"/>
                <w:sz w:val="28"/>
                <w:szCs w:val="28"/>
                <w:rtl/>
              </w:rPr>
              <w:t xml:space="preserve"> </w:t>
            </w:r>
            <w:r w:rsidRPr="00CB2FC5">
              <w:rPr>
                <w:rFonts w:cs="FrankRuehl"/>
                <w:sz w:val="28"/>
                <w:szCs w:val="28"/>
                <w:rtl/>
              </w:rPr>
              <w:t>22765-09-19</w:t>
            </w:r>
            <w:r w:rsidRPr="00CB2FC5">
              <w:rPr>
                <w:rFonts w:cs="FrankRuehl" w:hint="cs"/>
                <w:sz w:val="28"/>
                <w:szCs w:val="28"/>
                <w:rtl/>
              </w:rPr>
              <w:t xml:space="preserve"> </w:t>
            </w:r>
            <w:r w:rsidRPr="00CB2FC5">
              <w:rPr>
                <w:rFonts w:cs="FrankRuehl"/>
                <w:sz w:val="28"/>
                <w:szCs w:val="28"/>
                <w:rtl/>
              </w:rPr>
              <w:t>מדינת ישראל נ' מטרי(עצור/אסיר בפיקוח)</w:t>
            </w:r>
          </w:p>
          <w:p w14:paraId="60116543" w14:textId="77777777" w:rsidR="001C54D9" w:rsidRPr="00CB2FC5" w:rsidRDefault="001C54D9" w:rsidP="00502D20">
            <w:pPr>
              <w:pStyle w:val="a3"/>
              <w:rPr>
                <w:rFonts w:cs="FrankRuehl"/>
                <w:sz w:val="28"/>
                <w:szCs w:val="28"/>
                <w:rtl/>
              </w:rPr>
            </w:pPr>
          </w:p>
        </w:tc>
        <w:tc>
          <w:tcPr>
            <w:tcW w:w="3659" w:type="dxa"/>
          </w:tcPr>
          <w:p w14:paraId="1666927C" w14:textId="77777777" w:rsidR="001C54D9" w:rsidRPr="00CB2FC5" w:rsidRDefault="001C54D9" w:rsidP="00502D20">
            <w:pPr>
              <w:pStyle w:val="a3"/>
              <w:jc w:val="right"/>
              <w:rPr>
                <w:rFonts w:cs="FrankRuehl"/>
                <w:sz w:val="28"/>
                <w:szCs w:val="28"/>
                <w:rtl/>
              </w:rPr>
            </w:pPr>
          </w:p>
        </w:tc>
      </w:tr>
    </w:tbl>
    <w:p w14:paraId="59EDBFED" w14:textId="77777777" w:rsidR="001C54D9" w:rsidRPr="00CB2FC5" w:rsidRDefault="001C54D9" w:rsidP="001C54D9">
      <w:pPr>
        <w:pStyle w:val="a3"/>
        <w:rPr>
          <w:rtl/>
        </w:rPr>
      </w:pPr>
      <w:r w:rsidRPr="00CB2FC5">
        <w:rPr>
          <w:rFonts w:hint="cs"/>
          <w:rtl/>
        </w:rPr>
        <w:t xml:space="preserve"> </w:t>
      </w:r>
    </w:p>
    <w:p w14:paraId="10E8CE47" w14:textId="77777777" w:rsidR="001C54D9" w:rsidRPr="00CB2FC5" w:rsidRDefault="001C54D9" w:rsidP="001C54D9">
      <w:pPr>
        <w:spacing w:line="360" w:lineRule="auto"/>
        <w:jc w:val="both"/>
        <w:rPr>
          <w:rtl/>
        </w:rPr>
      </w:pPr>
    </w:p>
    <w:p w14:paraId="4E3E31D7" w14:textId="77777777" w:rsidR="001C54D9" w:rsidRPr="00CB2FC5" w:rsidRDefault="001C54D9" w:rsidP="001C54D9">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C54D9" w:rsidRPr="00CB2FC5" w14:paraId="006E7B2E" w14:textId="77777777" w:rsidTr="001C54D9">
        <w:trPr>
          <w:trHeight w:val="295"/>
          <w:jc w:val="center"/>
        </w:trPr>
        <w:tc>
          <w:tcPr>
            <w:tcW w:w="923" w:type="dxa"/>
            <w:tcBorders>
              <w:top w:val="nil"/>
              <w:left w:val="nil"/>
              <w:bottom w:val="nil"/>
              <w:right w:val="nil"/>
            </w:tcBorders>
            <w:shd w:val="clear" w:color="auto" w:fill="auto"/>
          </w:tcPr>
          <w:p w14:paraId="430AD9D9" w14:textId="77777777" w:rsidR="001C54D9" w:rsidRPr="00CB2FC5" w:rsidRDefault="001C54D9" w:rsidP="001C54D9">
            <w:pPr>
              <w:jc w:val="both"/>
              <w:rPr>
                <w:rFonts w:ascii="David" w:hAnsi="David"/>
                <w:b/>
                <w:bCs/>
                <w:sz w:val="26"/>
                <w:szCs w:val="26"/>
              </w:rPr>
            </w:pPr>
            <w:r w:rsidRPr="00CB2FC5">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2544462" w14:textId="77777777" w:rsidR="001C54D9" w:rsidRPr="00CB2FC5" w:rsidRDefault="001C54D9" w:rsidP="00502D20">
            <w:pPr>
              <w:rPr>
                <w:rFonts w:ascii="David" w:hAnsi="David"/>
                <w:b/>
                <w:bCs/>
                <w:sz w:val="26"/>
                <w:szCs w:val="26"/>
                <w:rtl/>
              </w:rPr>
            </w:pPr>
            <w:r w:rsidRPr="00CB2FC5">
              <w:rPr>
                <w:rFonts w:ascii="David" w:hAnsi="David"/>
                <w:b/>
                <w:bCs/>
                <w:sz w:val="26"/>
                <w:szCs w:val="26"/>
                <w:rtl/>
              </w:rPr>
              <w:t>כבוד השופטת  רונית בש</w:t>
            </w:r>
          </w:p>
          <w:p w14:paraId="45D02251" w14:textId="77777777" w:rsidR="001C54D9" w:rsidRPr="00CB2FC5" w:rsidRDefault="001C54D9" w:rsidP="00502D20">
            <w:pPr>
              <w:rPr>
                <w:rFonts w:ascii="David" w:hAnsi="David"/>
                <w:b/>
                <w:bCs/>
                <w:sz w:val="26"/>
                <w:szCs w:val="26"/>
                <w:rtl/>
              </w:rPr>
            </w:pPr>
          </w:p>
          <w:p w14:paraId="5CC1588A" w14:textId="77777777" w:rsidR="001C54D9" w:rsidRPr="00CB2FC5" w:rsidRDefault="001C54D9" w:rsidP="001C54D9">
            <w:pPr>
              <w:jc w:val="both"/>
              <w:rPr>
                <w:rFonts w:ascii="David" w:hAnsi="David"/>
                <w:b/>
                <w:bCs/>
                <w:sz w:val="26"/>
                <w:szCs w:val="26"/>
              </w:rPr>
            </w:pPr>
          </w:p>
        </w:tc>
      </w:tr>
      <w:tr w:rsidR="001C54D9" w:rsidRPr="00CB2FC5" w14:paraId="1D2B5C85" w14:textId="77777777" w:rsidTr="001C54D9">
        <w:trPr>
          <w:trHeight w:val="355"/>
          <w:jc w:val="center"/>
        </w:trPr>
        <w:tc>
          <w:tcPr>
            <w:tcW w:w="923" w:type="dxa"/>
            <w:tcBorders>
              <w:top w:val="nil"/>
              <w:left w:val="nil"/>
              <w:bottom w:val="nil"/>
              <w:right w:val="nil"/>
            </w:tcBorders>
            <w:shd w:val="clear" w:color="auto" w:fill="auto"/>
          </w:tcPr>
          <w:p w14:paraId="29784D68" w14:textId="77777777" w:rsidR="001C54D9" w:rsidRPr="00CB2FC5" w:rsidRDefault="001C54D9" w:rsidP="001C54D9">
            <w:pPr>
              <w:jc w:val="both"/>
              <w:rPr>
                <w:rFonts w:ascii="David" w:hAnsi="David"/>
                <w:b/>
                <w:bCs/>
                <w:sz w:val="26"/>
                <w:szCs w:val="26"/>
              </w:rPr>
            </w:pPr>
            <w:bookmarkStart w:id="1" w:name="FirstAppellant"/>
            <w:r w:rsidRPr="00CB2FC5">
              <w:rPr>
                <w:rFonts w:ascii="David" w:hAnsi="David"/>
                <w:b/>
                <w:bCs/>
                <w:sz w:val="26"/>
                <w:szCs w:val="26"/>
                <w:rtl/>
              </w:rPr>
              <w:t>בעניין:</w:t>
            </w:r>
          </w:p>
        </w:tc>
        <w:tc>
          <w:tcPr>
            <w:tcW w:w="4126" w:type="dxa"/>
            <w:tcBorders>
              <w:top w:val="nil"/>
              <w:left w:val="nil"/>
              <w:bottom w:val="nil"/>
              <w:right w:val="nil"/>
            </w:tcBorders>
            <w:shd w:val="clear" w:color="auto" w:fill="auto"/>
          </w:tcPr>
          <w:p w14:paraId="073E6361" w14:textId="77777777" w:rsidR="001C54D9" w:rsidRPr="00CB2FC5" w:rsidRDefault="001C54D9" w:rsidP="00502D20">
            <w:pPr>
              <w:rPr>
                <w:rFonts w:ascii="David" w:hAnsi="David"/>
                <w:b/>
                <w:bCs/>
                <w:sz w:val="26"/>
                <w:szCs w:val="26"/>
              </w:rPr>
            </w:pPr>
            <w:r w:rsidRPr="00CB2FC5">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F7741FC" w14:textId="77777777" w:rsidR="001C54D9" w:rsidRPr="00CB2FC5" w:rsidRDefault="001C54D9" w:rsidP="001C54D9">
            <w:pPr>
              <w:jc w:val="both"/>
              <w:rPr>
                <w:rFonts w:ascii="David" w:hAnsi="David"/>
                <w:b/>
                <w:bCs/>
                <w:sz w:val="26"/>
                <w:szCs w:val="26"/>
              </w:rPr>
            </w:pPr>
            <w:r w:rsidRPr="00CB2FC5">
              <w:rPr>
                <w:rFonts w:ascii="David" w:hAnsi="David"/>
                <w:b/>
                <w:bCs/>
                <w:sz w:val="26"/>
                <w:szCs w:val="26"/>
                <w:rtl/>
              </w:rPr>
              <w:t>המאשימה</w:t>
            </w:r>
          </w:p>
        </w:tc>
      </w:tr>
      <w:bookmarkEnd w:id="1"/>
      <w:tr w:rsidR="001C54D9" w:rsidRPr="00CB2FC5" w14:paraId="4B710598" w14:textId="77777777" w:rsidTr="001C54D9">
        <w:trPr>
          <w:trHeight w:val="355"/>
          <w:jc w:val="center"/>
        </w:trPr>
        <w:tc>
          <w:tcPr>
            <w:tcW w:w="923" w:type="dxa"/>
            <w:tcBorders>
              <w:top w:val="nil"/>
              <w:left w:val="nil"/>
              <w:bottom w:val="nil"/>
              <w:right w:val="nil"/>
            </w:tcBorders>
            <w:shd w:val="clear" w:color="auto" w:fill="auto"/>
          </w:tcPr>
          <w:p w14:paraId="23890ED8" w14:textId="77777777" w:rsidR="001C54D9" w:rsidRPr="00CB2FC5" w:rsidRDefault="001C54D9" w:rsidP="001C54D9">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C0B349B" w14:textId="77777777" w:rsidR="001C54D9" w:rsidRPr="00CB2FC5" w:rsidRDefault="001C54D9" w:rsidP="001C54D9">
            <w:pPr>
              <w:jc w:val="center"/>
              <w:rPr>
                <w:rFonts w:ascii="David" w:hAnsi="David"/>
                <w:b/>
                <w:bCs/>
                <w:sz w:val="26"/>
                <w:szCs w:val="26"/>
                <w:rtl/>
              </w:rPr>
            </w:pPr>
          </w:p>
          <w:p w14:paraId="34EE0ABB" w14:textId="77777777" w:rsidR="001C54D9" w:rsidRPr="00CB2FC5" w:rsidRDefault="001C54D9" w:rsidP="001C54D9">
            <w:pPr>
              <w:jc w:val="center"/>
              <w:rPr>
                <w:rFonts w:ascii="David" w:hAnsi="David"/>
                <w:b/>
                <w:bCs/>
                <w:sz w:val="26"/>
                <w:szCs w:val="26"/>
                <w:rtl/>
              </w:rPr>
            </w:pPr>
            <w:r w:rsidRPr="00CB2FC5">
              <w:rPr>
                <w:rFonts w:ascii="David" w:hAnsi="David"/>
                <w:b/>
                <w:bCs/>
                <w:sz w:val="26"/>
                <w:szCs w:val="26"/>
                <w:rtl/>
              </w:rPr>
              <w:t>נגד</w:t>
            </w:r>
          </w:p>
          <w:p w14:paraId="2B1E7B68" w14:textId="77777777" w:rsidR="001C54D9" w:rsidRPr="00CB2FC5" w:rsidRDefault="001C54D9" w:rsidP="001C54D9">
            <w:pPr>
              <w:jc w:val="both"/>
              <w:rPr>
                <w:rFonts w:ascii="David" w:hAnsi="David"/>
                <w:b/>
                <w:bCs/>
                <w:sz w:val="26"/>
                <w:szCs w:val="26"/>
              </w:rPr>
            </w:pPr>
          </w:p>
        </w:tc>
      </w:tr>
      <w:tr w:rsidR="001C54D9" w:rsidRPr="00CB2FC5" w14:paraId="20874A44" w14:textId="77777777" w:rsidTr="001C54D9">
        <w:trPr>
          <w:trHeight w:val="355"/>
          <w:jc w:val="center"/>
        </w:trPr>
        <w:tc>
          <w:tcPr>
            <w:tcW w:w="923" w:type="dxa"/>
            <w:tcBorders>
              <w:top w:val="nil"/>
              <w:left w:val="nil"/>
              <w:bottom w:val="nil"/>
              <w:right w:val="nil"/>
            </w:tcBorders>
            <w:shd w:val="clear" w:color="auto" w:fill="auto"/>
          </w:tcPr>
          <w:p w14:paraId="49F076A1" w14:textId="77777777" w:rsidR="001C54D9" w:rsidRPr="00CB2FC5" w:rsidRDefault="001C54D9" w:rsidP="00502D20">
            <w:pPr>
              <w:rPr>
                <w:rFonts w:ascii="David" w:hAnsi="David"/>
                <w:b/>
                <w:bCs/>
                <w:sz w:val="26"/>
                <w:szCs w:val="26"/>
                <w:rtl/>
              </w:rPr>
            </w:pPr>
          </w:p>
        </w:tc>
        <w:tc>
          <w:tcPr>
            <w:tcW w:w="4126" w:type="dxa"/>
            <w:tcBorders>
              <w:top w:val="nil"/>
              <w:left w:val="nil"/>
              <w:bottom w:val="nil"/>
              <w:right w:val="nil"/>
            </w:tcBorders>
            <w:shd w:val="clear" w:color="auto" w:fill="auto"/>
          </w:tcPr>
          <w:p w14:paraId="2903D33C" w14:textId="77777777" w:rsidR="001C54D9" w:rsidRPr="00CB2FC5" w:rsidRDefault="001C54D9" w:rsidP="00502D20">
            <w:pPr>
              <w:rPr>
                <w:rFonts w:ascii="David" w:hAnsi="David"/>
                <w:b/>
                <w:bCs/>
                <w:sz w:val="26"/>
                <w:szCs w:val="26"/>
                <w:rtl/>
              </w:rPr>
            </w:pPr>
            <w:r w:rsidRPr="00CB2FC5">
              <w:rPr>
                <w:rFonts w:ascii="David" w:hAnsi="David"/>
                <w:b/>
                <w:bCs/>
                <w:sz w:val="26"/>
                <w:szCs w:val="26"/>
                <w:rtl/>
              </w:rPr>
              <w:t>מחמוד מטרי (עצור בפיקוח)</w:t>
            </w:r>
          </w:p>
        </w:tc>
        <w:tc>
          <w:tcPr>
            <w:tcW w:w="3771" w:type="dxa"/>
            <w:tcBorders>
              <w:top w:val="nil"/>
              <w:left w:val="nil"/>
              <w:bottom w:val="nil"/>
              <w:right w:val="nil"/>
            </w:tcBorders>
            <w:shd w:val="clear" w:color="auto" w:fill="auto"/>
          </w:tcPr>
          <w:p w14:paraId="12CB68FC" w14:textId="77777777" w:rsidR="001C54D9" w:rsidRPr="00CB2FC5" w:rsidRDefault="001C54D9" w:rsidP="00502D20">
            <w:pPr>
              <w:rPr>
                <w:rFonts w:ascii="David" w:hAnsi="David"/>
                <w:b/>
                <w:bCs/>
                <w:sz w:val="26"/>
                <w:szCs w:val="26"/>
              </w:rPr>
            </w:pPr>
            <w:r w:rsidRPr="00CB2FC5">
              <w:rPr>
                <w:rFonts w:ascii="David" w:hAnsi="David"/>
                <w:b/>
                <w:bCs/>
                <w:sz w:val="26"/>
                <w:szCs w:val="26"/>
                <w:rtl/>
              </w:rPr>
              <w:t>הנאשם</w:t>
            </w:r>
          </w:p>
        </w:tc>
      </w:tr>
    </w:tbl>
    <w:p w14:paraId="0138C775" w14:textId="77777777" w:rsidR="001C54D9" w:rsidRPr="00CB2FC5" w:rsidRDefault="001C54D9" w:rsidP="001C54D9">
      <w:pPr>
        <w:spacing w:line="360" w:lineRule="auto"/>
        <w:jc w:val="both"/>
      </w:pPr>
    </w:p>
    <w:p w14:paraId="7A48822E" w14:textId="77777777" w:rsidR="00CB2FC5" w:rsidRPr="00CB2FC5" w:rsidRDefault="00CB2FC5" w:rsidP="00CB2FC5">
      <w:pPr>
        <w:spacing w:before="120" w:after="120" w:line="240" w:lineRule="exact"/>
        <w:ind w:left="283" w:hanging="283"/>
        <w:jc w:val="both"/>
        <w:rPr>
          <w:rFonts w:ascii="FrankRuehl" w:hAnsi="FrankRuehl" w:cs="FrankRuehl"/>
          <w:rtl/>
        </w:rPr>
      </w:pPr>
    </w:p>
    <w:p w14:paraId="4AB72522" w14:textId="77777777" w:rsidR="00E4540A" w:rsidRPr="00E4540A" w:rsidRDefault="00E4540A" w:rsidP="00E4540A">
      <w:pPr>
        <w:spacing w:before="120" w:after="120" w:line="240" w:lineRule="exact"/>
        <w:ind w:left="283" w:hanging="283"/>
        <w:jc w:val="both"/>
        <w:rPr>
          <w:rFonts w:ascii="FrankRuehl" w:hAnsi="FrankRuehl" w:cs="FrankRuehl"/>
          <w:rtl/>
        </w:rPr>
      </w:pPr>
      <w:bookmarkStart w:id="2" w:name="LawTable"/>
      <w:bookmarkEnd w:id="2"/>
      <w:r w:rsidRPr="00E4540A">
        <w:rPr>
          <w:rFonts w:ascii="FrankRuehl" w:hAnsi="FrankRuehl" w:cs="FrankRuehl"/>
          <w:rtl/>
        </w:rPr>
        <w:t xml:space="preserve">חקיקה שאוזכרה: </w:t>
      </w:r>
    </w:p>
    <w:p w14:paraId="6F18697B" w14:textId="77777777" w:rsidR="00E4540A" w:rsidRPr="00E4540A" w:rsidRDefault="00E4540A" w:rsidP="00E4540A">
      <w:pPr>
        <w:spacing w:before="120" w:after="120" w:line="240" w:lineRule="exact"/>
        <w:ind w:left="283" w:hanging="283"/>
        <w:jc w:val="both"/>
        <w:rPr>
          <w:rFonts w:ascii="FrankRuehl" w:hAnsi="FrankRuehl" w:cs="FrankRuehl"/>
          <w:rtl/>
        </w:rPr>
      </w:pPr>
      <w:hyperlink r:id="rId7" w:history="1">
        <w:r w:rsidRPr="00E4540A">
          <w:rPr>
            <w:rFonts w:ascii="FrankRuehl" w:hAnsi="FrankRuehl" w:cs="FrankRuehl"/>
            <w:color w:val="0000FF"/>
            <w:u w:val="single"/>
            <w:rtl/>
          </w:rPr>
          <w:t>חוק העונשין, תשל"ז-1977</w:t>
        </w:r>
      </w:hyperlink>
      <w:r w:rsidRPr="00E4540A">
        <w:rPr>
          <w:rFonts w:ascii="FrankRuehl" w:hAnsi="FrankRuehl" w:cs="FrankRuehl"/>
          <w:rtl/>
        </w:rPr>
        <w:t xml:space="preserve">: סע'  </w:t>
      </w:r>
      <w:hyperlink r:id="rId8" w:history="1">
        <w:r w:rsidRPr="00E4540A">
          <w:rPr>
            <w:rFonts w:ascii="FrankRuehl" w:hAnsi="FrankRuehl" w:cs="FrankRuehl"/>
            <w:color w:val="0000FF"/>
            <w:u w:val="single"/>
            <w:rtl/>
          </w:rPr>
          <w:t>40ב</w:t>
        </w:r>
      </w:hyperlink>
      <w:r w:rsidRPr="00E4540A">
        <w:rPr>
          <w:rFonts w:ascii="FrankRuehl" w:hAnsi="FrankRuehl" w:cs="FrankRuehl"/>
          <w:rtl/>
        </w:rPr>
        <w:t xml:space="preserve">, </w:t>
      </w:r>
      <w:hyperlink r:id="rId9" w:history="1">
        <w:r w:rsidRPr="00E4540A">
          <w:rPr>
            <w:rFonts w:ascii="FrankRuehl" w:hAnsi="FrankRuehl" w:cs="FrankRuehl"/>
            <w:color w:val="0000FF"/>
            <w:u w:val="single"/>
            <w:rtl/>
          </w:rPr>
          <w:t>40ג</w:t>
        </w:r>
      </w:hyperlink>
      <w:r w:rsidRPr="00E4540A">
        <w:rPr>
          <w:rFonts w:ascii="FrankRuehl" w:hAnsi="FrankRuehl" w:cs="FrankRuehl"/>
          <w:rtl/>
        </w:rPr>
        <w:t xml:space="preserve">, </w:t>
      </w:r>
      <w:hyperlink r:id="rId10" w:history="1">
        <w:r w:rsidRPr="00E4540A">
          <w:rPr>
            <w:rFonts w:ascii="FrankRuehl" w:hAnsi="FrankRuehl" w:cs="FrankRuehl"/>
            <w:color w:val="0000FF"/>
            <w:u w:val="single"/>
            <w:rtl/>
          </w:rPr>
          <w:t>40ט</w:t>
        </w:r>
      </w:hyperlink>
      <w:r w:rsidRPr="00E4540A">
        <w:rPr>
          <w:rFonts w:ascii="FrankRuehl" w:hAnsi="FrankRuehl" w:cs="FrankRuehl"/>
          <w:rtl/>
        </w:rPr>
        <w:t xml:space="preserve">, </w:t>
      </w:r>
      <w:hyperlink r:id="rId11" w:history="1">
        <w:r w:rsidRPr="00E4540A">
          <w:rPr>
            <w:rFonts w:ascii="FrankRuehl" w:hAnsi="FrankRuehl" w:cs="FrankRuehl"/>
            <w:color w:val="0000FF"/>
            <w:u w:val="single"/>
            <w:rtl/>
          </w:rPr>
          <w:t>144</w:t>
        </w:r>
      </w:hyperlink>
      <w:r w:rsidRPr="00E4540A">
        <w:rPr>
          <w:rFonts w:ascii="FrankRuehl" w:hAnsi="FrankRuehl" w:cs="FrankRuehl"/>
          <w:rtl/>
        </w:rPr>
        <w:t xml:space="preserve">, </w:t>
      </w:r>
      <w:hyperlink r:id="rId12" w:history="1">
        <w:r w:rsidRPr="00E4540A">
          <w:rPr>
            <w:rFonts w:ascii="FrankRuehl" w:hAnsi="FrankRuehl" w:cs="FrankRuehl"/>
            <w:color w:val="0000FF"/>
            <w:u w:val="single"/>
            <w:rtl/>
          </w:rPr>
          <w:t>144(ב)</w:t>
        </w:r>
      </w:hyperlink>
      <w:r w:rsidRPr="00E4540A">
        <w:rPr>
          <w:rFonts w:ascii="FrankRuehl" w:hAnsi="FrankRuehl" w:cs="FrankRuehl"/>
          <w:rtl/>
        </w:rPr>
        <w:t xml:space="preserve">, </w:t>
      </w:r>
      <w:hyperlink r:id="rId13" w:history="1">
        <w:r w:rsidRPr="00E4540A">
          <w:rPr>
            <w:rFonts w:ascii="FrankRuehl" w:hAnsi="FrankRuehl" w:cs="FrankRuehl"/>
            <w:color w:val="0000FF"/>
            <w:u w:val="single"/>
            <w:rtl/>
          </w:rPr>
          <w:t>192</w:t>
        </w:r>
      </w:hyperlink>
      <w:r w:rsidRPr="00E4540A">
        <w:rPr>
          <w:rFonts w:ascii="FrankRuehl" w:hAnsi="FrankRuehl" w:cs="FrankRuehl"/>
          <w:rtl/>
        </w:rPr>
        <w:t xml:space="preserve">, </w:t>
      </w:r>
      <w:hyperlink r:id="rId14" w:history="1">
        <w:r w:rsidRPr="00E4540A">
          <w:rPr>
            <w:rFonts w:ascii="FrankRuehl" w:hAnsi="FrankRuehl" w:cs="FrankRuehl"/>
            <w:color w:val="0000FF"/>
            <w:u w:val="single"/>
            <w:rtl/>
          </w:rPr>
          <w:t>338</w:t>
        </w:r>
      </w:hyperlink>
      <w:r w:rsidRPr="00E4540A">
        <w:rPr>
          <w:rFonts w:ascii="FrankRuehl" w:hAnsi="FrankRuehl" w:cs="FrankRuehl"/>
          <w:rtl/>
        </w:rPr>
        <w:t xml:space="preserve">, </w:t>
      </w:r>
      <w:hyperlink r:id="rId15" w:history="1">
        <w:r w:rsidRPr="00E4540A">
          <w:rPr>
            <w:rFonts w:ascii="FrankRuehl" w:hAnsi="FrankRuehl" w:cs="FrankRuehl"/>
            <w:color w:val="0000FF"/>
            <w:u w:val="single"/>
            <w:rtl/>
          </w:rPr>
          <w:t>338(א)(3)</w:t>
        </w:r>
      </w:hyperlink>
    </w:p>
    <w:p w14:paraId="1693959D" w14:textId="77777777" w:rsidR="00E4540A" w:rsidRPr="00E4540A" w:rsidRDefault="00E4540A" w:rsidP="00E4540A">
      <w:pPr>
        <w:spacing w:before="120" w:after="120" w:line="240" w:lineRule="exact"/>
        <w:ind w:left="283" w:hanging="283"/>
        <w:jc w:val="both"/>
        <w:rPr>
          <w:rFonts w:ascii="FrankRuehl" w:hAnsi="FrankRuehl" w:cs="FrankRuehl"/>
          <w:rtl/>
        </w:rPr>
      </w:pPr>
      <w:hyperlink r:id="rId16" w:history="1">
        <w:r w:rsidRPr="00E4540A">
          <w:rPr>
            <w:rFonts w:ascii="FrankRuehl" w:hAnsi="FrankRuehl" w:cs="FrankRuehl"/>
            <w:color w:val="0000FF"/>
            <w:u w:val="single"/>
            <w:rtl/>
          </w:rPr>
          <w:t>פקודת סדר הדין הפלילי (מעצר וחיפוש) [נוסח חדש], תשכ"ט-1969</w:t>
        </w:r>
      </w:hyperlink>
      <w:r w:rsidRPr="00E4540A">
        <w:rPr>
          <w:rFonts w:ascii="FrankRuehl" w:hAnsi="FrankRuehl" w:cs="FrankRuehl"/>
          <w:rtl/>
        </w:rPr>
        <w:t xml:space="preserve">: סע'  </w:t>
      </w:r>
      <w:hyperlink r:id="rId17" w:history="1">
        <w:r w:rsidRPr="00E4540A">
          <w:rPr>
            <w:rFonts w:ascii="FrankRuehl" w:hAnsi="FrankRuehl" w:cs="FrankRuehl"/>
            <w:color w:val="0000FF"/>
            <w:u w:val="single"/>
            <w:rtl/>
          </w:rPr>
          <w:t>32</w:t>
        </w:r>
      </w:hyperlink>
      <w:r w:rsidRPr="00E4540A">
        <w:rPr>
          <w:rFonts w:ascii="FrankRuehl" w:hAnsi="FrankRuehl" w:cs="FrankRuehl"/>
          <w:rtl/>
        </w:rPr>
        <w:t xml:space="preserve">, </w:t>
      </w:r>
      <w:hyperlink r:id="rId18" w:history="1">
        <w:r w:rsidRPr="00E4540A">
          <w:rPr>
            <w:rFonts w:ascii="FrankRuehl" w:hAnsi="FrankRuehl" w:cs="FrankRuehl"/>
            <w:color w:val="0000FF"/>
            <w:u w:val="single"/>
            <w:rtl/>
          </w:rPr>
          <w:t>39(א)</w:t>
        </w:r>
      </w:hyperlink>
    </w:p>
    <w:p w14:paraId="36DF5A50" w14:textId="77777777" w:rsidR="001C54D9" w:rsidRDefault="001C54D9" w:rsidP="00E4540A">
      <w:pPr>
        <w:spacing w:line="360" w:lineRule="auto"/>
        <w:jc w:val="both"/>
        <w:rPr>
          <w:rFonts w:ascii="Arial" w:hAnsi="Arial" w:hint="cs"/>
          <w:rtl/>
        </w:rPr>
      </w:pPr>
      <w:bookmarkStart w:id="3" w:name="LawTable_End"/>
      <w:bookmarkEnd w:id="3"/>
    </w:p>
    <w:p w14:paraId="31988455" w14:textId="77777777" w:rsidR="00E4540A" w:rsidRDefault="00E4540A" w:rsidP="00E4540A">
      <w:pPr>
        <w:spacing w:line="360" w:lineRule="auto"/>
        <w:jc w:val="both"/>
        <w:rPr>
          <w:rFonts w:ascii="Arial" w:hAnsi="Arial" w:hint="cs"/>
          <w:rtl/>
        </w:rPr>
      </w:pPr>
    </w:p>
    <w:p w14:paraId="43197F7B" w14:textId="77777777" w:rsidR="00E4540A" w:rsidRPr="00E4540A" w:rsidRDefault="00E4540A" w:rsidP="00E4540A">
      <w:pPr>
        <w:spacing w:line="360" w:lineRule="auto"/>
        <w:jc w:val="both"/>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54D9" w14:paraId="5A5243BE" w14:textId="77777777" w:rsidTr="001C54D9">
        <w:trPr>
          <w:trHeight w:val="355"/>
          <w:jc w:val="center"/>
        </w:trPr>
        <w:tc>
          <w:tcPr>
            <w:tcW w:w="8820" w:type="dxa"/>
            <w:tcBorders>
              <w:top w:val="nil"/>
              <w:left w:val="nil"/>
              <w:bottom w:val="nil"/>
              <w:right w:val="nil"/>
            </w:tcBorders>
            <w:shd w:val="clear" w:color="auto" w:fill="auto"/>
          </w:tcPr>
          <w:p w14:paraId="443C59EA" w14:textId="77777777" w:rsidR="001C54D9" w:rsidRPr="00CB2FC5" w:rsidRDefault="00CB2FC5" w:rsidP="00CB2FC5">
            <w:pPr>
              <w:spacing w:line="360" w:lineRule="auto"/>
              <w:jc w:val="center"/>
              <w:rPr>
                <w:rFonts w:ascii="Arial" w:hAnsi="Arial" w:cs="FrankRuehl"/>
                <w:bCs/>
                <w:sz w:val="32"/>
                <w:szCs w:val="32"/>
                <w:u w:val="single"/>
              </w:rPr>
            </w:pPr>
            <w:bookmarkStart w:id="4" w:name="PsakDin" w:colFirst="0" w:colLast="0"/>
            <w:bookmarkEnd w:id="0"/>
            <w:r w:rsidRPr="00CB2FC5">
              <w:rPr>
                <w:rFonts w:ascii="Arial" w:hAnsi="Arial" w:cs="FrankRuehl"/>
                <w:b/>
                <w:bCs/>
                <w:sz w:val="32"/>
                <w:szCs w:val="32"/>
                <w:u w:val="single"/>
                <w:rtl/>
              </w:rPr>
              <w:t>גזר דין</w:t>
            </w:r>
          </w:p>
        </w:tc>
      </w:tr>
      <w:bookmarkEnd w:id="4"/>
    </w:tbl>
    <w:p w14:paraId="20FDB2C8" w14:textId="77777777" w:rsidR="001C54D9" w:rsidRDefault="001C54D9" w:rsidP="001C54D9">
      <w:pPr>
        <w:spacing w:line="360" w:lineRule="auto"/>
        <w:jc w:val="both"/>
        <w:rPr>
          <w:rFonts w:ascii="Arial" w:hAnsi="Arial"/>
        </w:rPr>
      </w:pPr>
    </w:p>
    <w:p w14:paraId="3FC06591" w14:textId="77777777" w:rsidR="001C54D9" w:rsidRDefault="001C54D9" w:rsidP="001C54D9">
      <w:pPr>
        <w:spacing w:line="360" w:lineRule="auto"/>
        <w:jc w:val="both"/>
        <w:rPr>
          <w:rtl/>
        </w:rPr>
      </w:pPr>
      <w:r>
        <w:rPr>
          <w:rtl/>
        </w:rPr>
        <w:t>1.</w:t>
      </w:r>
      <w:r>
        <w:rPr>
          <w:rtl/>
        </w:rPr>
        <w:tab/>
      </w:r>
      <w:bookmarkStart w:id="5" w:name="ABSTRACT_START"/>
      <w:bookmarkEnd w:id="5"/>
      <w:r>
        <w:rPr>
          <w:rtl/>
        </w:rPr>
        <w:t xml:space="preserve">הנאשם הורשע על יסוד הודאתו בעובדות כתב האישום בביצוע עבירות בנשק (נשיאה והובלה), עבירה לפי </w:t>
      </w:r>
      <w:hyperlink r:id="rId19" w:history="1">
        <w:r w:rsidR="00E4540A" w:rsidRPr="00E4540A">
          <w:rPr>
            <w:color w:val="0000FF"/>
            <w:u w:val="single"/>
            <w:rtl/>
          </w:rPr>
          <w:t>סעיף 144(ב)</w:t>
        </w:r>
      </w:hyperlink>
      <w:r>
        <w:rPr>
          <w:rtl/>
        </w:rPr>
        <w:t xml:space="preserve"> ל</w:t>
      </w:r>
      <w:hyperlink r:id="rId20" w:history="1">
        <w:r w:rsidR="00CB2FC5" w:rsidRPr="00CB2FC5">
          <w:rPr>
            <w:color w:val="0000FF"/>
            <w:u w:val="single"/>
            <w:rtl/>
          </w:rPr>
          <w:t>חוק העונשין</w:t>
        </w:r>
      </w:hyperlink>
      <w:r>
        <w:rPr>
          <w:rtl/>
        </w:rPr>
        <w:t xml:space="preserve">, התשל"ז – 1977 (להלן: </w:t>
      </w:r>
      <w:r>
        <w:rPr>
          <w:rFonts w:ascii="Miriam" w:hAnsi="Miriam" w:cs="Miriam"/>
          <w:rtl/>
        </w:rPr>
        <w:t>חוק העונשין</w:t>
      </w:r>
      <w:r>
        <w:rPr>
          <w:rtl/>
        </w:rPr>
        <w:t xml:space="preserve">), בעבירה של מעשה פזיזות ורשלנות, עבירה לפי </w:t>
      </w:r>
      <w:hyperlink r:id="rId21" w:history="1">
        <w:r w:rsidR="00E4540A" w:rsidRPr="00E4540A">
          <w:rPr>
            <w:color w:val="0000FF"/>
            <w:u w:val="single"/>
            <w:rtl/>
          </w:rPr>
          <w:t>סעיף 338(א)(3)</w:t>
        </w:r>
      </w:hyperlink>
      <w:r>
        <w:rPr>
          <w:rtl/>
        </w:rPr>
        <w:t xml:space="preserve"> לחוק העונשין ובעבירה של איומים, עבירה לפי </w:t>
      </w:r>
      <w:hyperlink r:id="rId22" w:history="1">
        <w:r w:rsidR="00E4540A" w:rsidRPr="00E4540A">
          <w:rPr>
            <w:color w:val="0000FF"/>
            <w:u w:val="single"/>
            <w:rtl/>
          </w:rPr>
          <w:t>סעיף 192</w:t>
        </w:r>
      </w:hyperlink>
      <w:r>
        <w:rPr>
          <w:rtl/>
        </w:rPr>
        <w:t xml:space="preserve"> לחוק העונשין.</w:t>
      </w:r>
    </w:p>
    <w:p w14:paraId="53054D62" w14:textId="77777777" w:rsidR="001C54D9" w:rsidRDefault="001C54D9" w:rsidP="001C54D9">
      <w:pPr>
        <w:spacing w:line="360" w:lineRule="auto"/>
        <w:jc w:val="both"/>
        <w:rPr>
          <w:rtl/>
        </w:rPr>
      </w:pPr>
      <w:bookmarkStart w:id="6" w:name="ABSTRACT_END"/>
      <w:bookmarkEnd w:id="6"/>
    </w:p>
    <w:p w14:paraId="0D767D0D" w14:textId="77777777" w:rsidR="001C54D9" w:rsidRPr="00E65124" w:rsidRDefault="001C54D9" w:rsidP="001C54D9">
      <w:pPr>
        <w:spacing w:line="360" w:lineRule="auto"/>
        <w:jc w:val="both"/>
        <w:rPr>
          <w:rFonts w:ascii="Miriam" w:hAnsi="Miriam" w:cs="Miriam"/>
          <w:u w:val="single"/>
        </w:rPr>
      </w:pPr>
      <w:r w:rsidRPr="00E65124">
        <w:rPr>
          <w:rFonts w:ascii="Miriam" w:hAnsi="Miriam" w:cs="Miriam"/>
          <w:u w:val="single"/>
          <w:rtl/>
        </w:rPr>
        <w:t>כתב האישום</w:t>
      </w:r>
    </w:p>
    <w:p w14:paraId="15A80409" w14:textId="77777777" w:rsidR="001C54D9" w:rsidRDefault="001C54D9" w:rsidP="001C54D9">
      <w:pPr>
        <w:spacing w:line="360" w:lineRule="auto"/>
        <w:jc w:val="both"/>
        <w:rPr>
          <w:rtl/>
        </w:rPr>
      </w:pPr>
    </w:p>
    <w:p w14:paraId="69AF9C77" w14:textId="77777777" w:rsidR="001C54D9" w:rsidRDefault="001C54D9" w:rsidP="001C54D9">
      <w:pPr>
        <w:spacing w:line="360" w:lineRule="auto"/>
        <w:jc w:val="both"/>
        <w:rPr>
          <w:rtl/>
        </w:rPr>
      </w:pPr>
      <w:r>
        <w:rPr>
          <w:rtl/>
        </w:rPr>
        <w:t>2.</w:t>
      </w:r>
      <w:r>
        <w:rPr>
          <w:rtl/>
        </w:rPr>
        <w:tab/>
        <w:t>בעובדות כתב האישום נטען, כי מוחמד</w:t>
      </w:r>
      <w:r>
        <w:rPr>
          <w:rFonts w:hint="cs"/>
          <w:rtl/>
        </w:rPr>
        <w:t xml:space="preserve"> </w:t>
      </w:r>
      <w:r>
        <w:rPr>
          <w:rtl/>
        </w:rPr>
        <w:t>חיג'אזי (להלן:</w:t>
      </w:r>
      <w:r>
        <w:rPr>
          <w:rFonts w:ascii="Miriam" w:hAnsi="Miriam" w:cs="Miriam"/>
          <w:rtl/>
        </w:rPr>
        <w:t xml:space="preserve"> המתלונן</w:t>
      </w:r>
      <w:r>
        <w:rPr>
          <w:rtl/>
        </w:rPr>
        <w:t xml:space="preserve">) מתגורר יחד עם בני משפחתו באזור הכביש הצפוני בטמרה (להלן: </w:t>
      </w:r>
      <w:r>
        <w:rPr>
          <w:rFonts w:ascii="Miriam" w:hAnsi="Miriam" w:cs="Miriam"/>
          <w:rtl/>
        </w:rPr>
        <w:t>הבית</w:t>
      </w:r>
      <w:r>
        <w:rPr>
          <w:rtl/>
        </w:rPr>
        <w:t>). הנאשם ה</w:t>
      </w:r>
      <w:r>
        <w:rPr>
          <w:rFonts w:hint="cs"/>
          <w:rtl/>
        </w:rPr>
        <w:t>וא</w:t>
      </w:r>
      <w:r>
        <w:rPr>
          <w:rtl/>
        </w:rPr>
        <w:t xml:space="preserve"> הבעלים של ג'יפ מסוג אאודי </w:t>
      </w:r>
      <w:r>
        <w:t xml:space="preserve">Q5 </w:t>
      </w:r>
      <w:r>
        <w:rPr>
          <w:rtl/>
        </w:rPr>
        <w:t xml:space="preserve"> בצבע לבן (להלן:</w:t>
      </w:r>
      <w:r>
        <w:rPr>
          <w:rFonts w:ascii="Miriam" w:hAnsi="Miriam" w:cs="Miriam"/>
          <w:rtl/>
        </w:rPr>
        <w:t xml:space="preserve"> הרכב</w:t>
      </w:r>
      <w:r>
        <w:rPr>
          <w:rtl/>
        </w:rPr>
        <w:t xml:space="preserve">). ביום 24/8/19 , סמוך לשעה 01:40, נסע הנאשם ברכב מביתו בשכונת </w:t>
      </w:r>
      <w:r>
        <w:rPr>
          <w:rtl/>
        </w:rPr>
        <w:lastRenderedPageBreak/>
        <w:t>"חלת שריף" בטמרה, לכיוון ביתו של המתלונן כשהוא נושא ומוביל רימון יד מס' 30/הלם, וזאת בלא רשות על פי דין. בכוחו של הרימון להזיק לאדם בעת הפעלתו ולפיכך הינו נשק כהגדרתו בחוק.</w:t>
      </w:r>
    </w:p>
    <w:p w14:paraId="11128136" w14:textId="77777777" w:rsidR="001C54D9" w:rsidRDefault="001C54D9" w:rsidP="001C54D9">
      <w:pPr>
        <w:spacing w:line="360" w:lineRule="auto"/>
        <w:jc w:val="both"/>
        <w:rPr>
          <w:rtl/>
        </w:rPr>
      </w:pPr>
    </w:p>
    <w:p w14:paraId="0DF3B163" w14:textId="77777777" w:rsidR="001C54D9" w:rsidRDefault="001C54D9" w:rsidP="001C54D9">
      <w:pPr>
        <w:spacing w:line="360" w:lineRule="auto"/>
        <w:ind w:firstLine="720"/>
        <w:jc w:val="both"/>
        <w:rPr>
          <w:rtl/>
        </w:rPr>
      </w:pPr>
      <w:r>
        <w:rPr>
          <w:rtl/>
        </w:rPr>
        <w:t>הנאשם התקרב עם רכבו לבית המתלונן, וכשהגיע בסמוך לגדר המפרידה בין הכביש לחצר ביתו של המתלונן, האט את מהירות הנסיעה והשליך מתוך הרכב את הרימון לחצר ביתו של המתלונן, בכוונה להפחיד או להקניט את המתלונן ובני משפחתו, באופן שיש בו כדי לסכן חיי אדם או לגרום לחבלה. הרימון התפוצץ תוך גרימת קול נפץ חזק והנאשם נמלט מהמקום עם רכבו.</w:t>
      </w:r>
    </w:p>
    <w:p w14:paraId="58E8E25A" w14:textId="77777777" w:rsidR="001C54D9" w:rsidRDefault="001C54D9" w:rsidP="001C54D9">
      <w:pPr>
        <w:pStyle w:val="a9"/>
        <w:spacing w:line="360" w:lineRule="auto"/>
        <w:jc w:val="both"/>
      </w:pPr>
    </w:p>
    <w:p w14:paraId="79408A28" w14:textId="77777777" w:rsidR="001C54D9" w:rsidRPr="00E65124" w:rsidRDefault="001C54D9" w:rsidP="001C54D9">
      <w:pPr>
        <w:spacing w:line="360" w:lineRule="auto"/>
        <w:jc w:val="both"/>
        <w:rPr>
          <w:rFonts w:ascii="Miriam" w:hAnsi="Miriam" w:cs="Miriam"/>
          <w:u w:val="single"/>
        </w:rPr>
      </w:pPr>
      <w:r w:rsidRPr="00E65124">
        <w:rPr>
          <w:rFonts w:ascii="Miriam" w:hAnsi="Miriam" w:cs="Miriam"/>
          <w:u w:val="single"/>
          <w:rtl/>
        </w:rPr>
        <w:t>טיעוני הצדדים לעונש</w:t>
      </w:r>
    </w:p>
    <w:p w14:paraId="3C011D36" w14:textId="77777777" w:rsidR="001C54D9" w:rsidRDefault="001C54D9" w:rsidP="001C54D9">
      <w:pPr>
        <w:spacing w:line="360" w:lineRule="auto"/>
        <w:jc w:val="both"/>
      </w:pPr>
    </w:p>
    <w:p w14:paraId="11CA840D" w14:textId="77777777" w:rsidR="001C54D9" w:rsidRDefault="001C54D9" w:rsidP="001C54D9">
      <w:pPr>
        <w:spacing w:line="360" w:lineRule="auto"/>
        <w:jc w:val="both"/>
        <w:rPr>
          <w:rtl/>
        </w:rPr>
      </w:pPr>
      <w:r>
        <w:rPr>
          <w:rtl/>
        </w:rPr>
        <w:t>3.</w:t>
      </w:r>
      <w:r>
        <w:rPr>
          <w:rtl/>
        </w:rPr>
        <w:tab/>
        <w:t xml:space="preserve">ב"כ המאשימה הגיש את טיעוני המאשימה  לעונש בכתב </w:t>
      </w:r>
      <w:r>
        <w:rPr>
          <w:rFonts w:ascii="Miriam" w:hAnsi="Miriam" w:cs="Miriam"/>
          <w:rtl/>
        </w:rPr>
        <w:t>(ט/1)</w:t>
      </w:r>
      <w:r>
        <w:rPr>
          <w:rtl/>
        </w:rPr>
        <w:t xml:space="preserve">  וכן את גיליון המרשם הפלילי של הנאשם </w:t>
      </w:r>
      <w:r>
        <w:rPr>
          <w:rFonts w:ascii="Miriam" w:hAnsi="Miriam" w:cs="Miriam"/>
          <w:rtl/>
        </w:rPr>
        <w:t xml:space="preserve">(ט/2) </w:t>
      </w:r>
      <w:r>
        <w:rPr>
          <w:rtl/>
        </w:rPr>
        <w:t>ממנו עולה, כי לחובת</w:t>
      </w:r>
      <w:r>
        <w:rPr>
          <w:rFonts w:hint="cs"/>
          <w:rtl/>
        </w:rPr>
        <w:t>ו</w:t>
      </w:r>
      <w:r>
        <w:rPr>
          <w:rtl/>
        </w:rPr>
        <w:t xml:space="preserve"> הרשעה אחת משנת 2010 בעבירה מסוג שונה בגינה ריצה עונש של  9 חודשי מאסר בפועל. עוד ציין ב"כ המאשימה כי הנאשם היה נתון במעצר של ממש בגין תיק זה מיום 24/8/19 ועד ליום 17/10/19, ומאז הוא נתון במעצר בית מלא באיזוק אלקטרוני.</w:t>
      </w:r>
    </w:p>
    <w:p w14:paraId="21389BA0" w14:textId="77777777" w:rsidR="001C54D9" w:rsidRDefault="001C54D9" w:rsidP="001C54D9">
      <w:pPr>
        <w:spacing w:line="360" w:lineRule="auto"/>
        <w:ind w:firstLine="720"/>
        <w:jc w:val="both"/>
        <w:rPr>
          <w:rtl/>
        </w:rPr>
      </w:pPr>
    </w:p>
    <w:p w14:paraId="13B705BF" w14:textId="77777777" w:rsidR="001C54D9" w:rsidRDefault="001C54D9" w:rsidP="001C54D9">
      <w:pPr>
        <w:spacing w:line="360" w:lineRule="auto"/>
        <w:ind w:firstLine="720"/>
        <w:jc w:val="both"/>
        <w:rPr>
          <w:rtl/>
        </w:rPr>
      </w:pPr>
      <w:r>
        <w:rPr>
          <w:rtl/>
        </w:rPr>
        <w:t xml:space="preserve">במסגרת טיעוניו </w:t>
      </w:r>
      <w:r>
        <w:rPr>
          <w:rFonts w:hint="cs"/>
          <w:rtl/>
        </w:rPr>
        <w:t xml:space="preserve">לעונש </w:t>
      </w:r>
      <w:r>
        <w:rPr>
          <w:rtl/>
        </w:rPr>
        <w:t>בעל-פה בדיון ביום 17/11/19</w:t>
      </w:r>
      <w:r>
        <w:rPr>
          <w:rFonts w:hint="cs"/>
          <w:rtl/>
        </w:rPr>
        <w:t>,</w:t>
      </w:r>
      <w:r>
        <w:rPr>
          <w:rtl/>
        </w:rPr>
        <w:t xml:space="preserve"> הפנה ב"כ המאשימה  לפסק הדין ב</w:t>
      </w:r>
      <w:hyperlink r:id="rId23" w:history="1">
        <w:r w:rsidR="00CB2FC5" w:rsidRPr="00CB2FC5">
          <w:rPr>
            <w:color w:val="0000FF"/>
            <w:u w:val="single"/>
            <w:rtl/>
          </w:rPr>
          <w:t>ע"פ  4406/19</w:t>
        </w:r>
      </w:hyperlink>
      <w:r>
        <w:rPr>
          <w:rtl/>
        </w:rPr>
        <w:t xml:space="preserve"> </w:t>
      </w:r>
      <w:r>
        <w:rPr>
          <w:rFonts w:ascii="Miriam" w:hAnsi="Miriam" w:cs="Miriam"/>
          <w:rtl/>
        </w:rPr>
        <w:t>מדינת ישראל נ' סובח ואח'</w:t>
      </w:r>
      <w:r>
        <w:rPr>
          <w:rtl/>
        </w:rPr>
        <w:t xml:space="preserve"> (להלן: </w:t>
      </w:r>
      <w:r>
        <w:rPr>
          <w:rFonts w:ascii="Miriam" w:hAnsi="Miriam" w:cs="Miriam"/>
          <w:rtl/>
        </w:rPr>
        <w:t>עניין סובח</w:t>
      </w:r>
      <w:r>
        <w:rPr>
          <w:rtl/>
        </w:rPr>
        <w:t>) (</w:t>
      </w:r>
      <w:r>
        <w:rPr>
          <w:rFonts w:ascii="Miriam" w:hAnsi="Miriam" w:cs="Miriam"/>
          <w:rtl/>
        </w:rPr>
        <w:t>ט/3)</w:t>
      </w:r>
      <w:r>
        <w:rPr>
          <w:rtl/>
        </w:rPr>
        <w:t>, תוך שהבהיר כי פסק הדין הנ"ל מוגש אך כדי ללמד על גישתו העדכנית המחמירה של בית המשפט העליון ביחס לעבירות נשק. בעניין סובח ביהמ"ש העליון קיבל את ערעור המדינה ודחה את ערעור המשיבים, תוך שהחמיר בעונשם של המשיבים שהורשעו בעבירות נשק חמורות שבוצעו לצד עבירת אלימות. בעניין סובח ציין בית המשפט העליון כי ההחמרה בעונש נעוצה במדיניות הענישה המחמירה בה יש לנקוט כלפי עבירות הכוללות שימוש בנשק חם כאמצעי ליישוב סכסוכים.</w:t>
      </w:r>
    </w:p>
    <w:p w14:paraId="6F6421D6" w14:textId="77777777" w:rsidR="001C54D9" w:rsidRDefault="001C54D9" w:rsidP="001C54D9">
      <w:pPr>
        <w:spacing w:line="360" w:lineRule="auto"/>
        <w:jc w:val="both"/>
        <w:rPr>
          <w:rtl/>
        </w:rPr>
      </w:pPr>
    </w:p>
    <w:p w14:paraId="6F730A72" w14:textId="77777777" w:rsidR="001C54D9" w:rsidRDefault="001C54D9" w:rsidP="001C54D9">
      <w:pPr>
        <w:spacing w:line="360" w:lineRule="auto"/>
        <w:ind w:firstLine="720"/>
        <w:jc w:val="both"/>
        <w:rPr>
          <w:rtl/>
        </w:rPr>
      </w:pPr>
      <w:r>
        <w:rPr>
          <w:rtl/>
        </w:rPr>
        <w:t>בטיעוניו לעונש פירט ב"כ המאשימה את עובדות כתב האישום בתיק זה, תוך שטען כי התופעה של שימוש בלתי חוקי בנשק היא התשתית לביצוע עבירות אלימות המבוצעות באמצעותו, וכי מדובר בתופעה שהפכה, למרבה הצער</w:t>
      </w:r>
      <w:r>
        <w:rPr>
          <w:rFonts w:hint="cs"/>
          <w:rtl/>
        </w:rPr>
        <w:t xml:space="preserve">, </w:t>
      </w:r>
      <w:r>
        <w:rPr>
          <w:rtl/>
        </w:rPr>
        <w:t>למכת מדינה של ממש. ב"כ המאשימה טען כי העונש המושת על מבצעי עבירות הנשק צריך לשמש גורם מוקיע, מתריע ומרתיע.</w:t>
      </w:r>
    </w:p>
    <w:p w14:paraId="2B64B36C" w14:textId="77777777" w:rsidR="001C54D9" w:rsidRDefault="001C54D9" w:rsidP="001C54D9">
      <w:pPr>
        <w:spacing w:line="360" w:lineRule="auto"/>
        <w:jc w:val="both"/>
      </w:pPr>
    </w:p>
    <w:p w14:paraId="51440163" w14:textId="77777777" w:rsidR="001C54D9" w:rsidRDefault="001C54D9" w:rsidP="001C54D9">
      <w:pPr>
        <w:spacing w:line="360" w:lineRule="auto"/>
        <w:ind w:firstLine="720"/>
        <w:jc w:val="both"/>
        <w:rPr>
          <w:rtl/>
        </w:rPr>
      </w:pPr>
      <w:r>
        <w:rPr>
          <w:rtl/>
        </w:rPr>
        <w:t>נטען ע"י המאשימה כי הערכים החברתיים שנפגעו כתוצאה ממעשיו של הנאשם הם</w:t>
      </w:r>
      <w:r>
        <w:rPr>
          <w:rFonts w:hint="cs"/>
          <w:rtl/>
        </w:rPr>
        <w:t>-</w:t>
      </w:r>
      <w:r>
        <w:rPr>
          <w:rtl/>
        </w:rPr>
        <w:t xml:space="preserve"> ההגנה על שלמות גופו של אדם, הגנה על שלומו וביטחונו של הציבור</w:t>
      </w:r>
      <w:r>
        <w:rPr>
          <w:rFonts w:hint="cs"/>
          <w:rtl/>
        </w:rPr>
        <w:t xml:space="preserve">, </w:t>
      </w:r>
      <w:r>
        <w:rPr>
          <w:rtl/>
        </w:rPr>
        <w:t xml:space="preserve">מלחמה בהחזקת כלי הנשק הבלתי חוקיים ומניעת פגיעה בשלטון החוק. </w:t>
      </w:r>
    </w:p>
    <w:p w14:paraId="38F613EC" w14:textId="77777777" w:rsidR="001C54D9" w:rsidRDefault="001C54D9" w:rsidP="001C54D9">
      <w:pPr>
        <w:spacing w:line="360" w:lineRule="auto"/>
        <w:jc w:val="both"/>
        <w:rPr>
          <w:rtl/>
        </w:rPr>
      </w:pPr>
    </w:p>
    <w:p w14:paraId="53672039" w14:textId="77777777" w:rsidR="001C54D9" w:rsidRDefault="001C54D9" w:rsidP="001C54D9">
      <w:pPr>
        <w:spacing w:line="360" w:lineRule="auto"/>
        <w:jc w:val="both"/>
        <w:rPr>
          <w:rtl/>
        </w:rPr>
      </w:pPr>
      <w:r>
        <w:rPr>
          <w:rtl/>
        </w:rPr>
        <w:tab/>
        <w:t xml:space="preserve">במסגרת סקירת הנסיבות הקשורות בביצוע העבירות, ציין ב"כ המאשימה את התכנון שקדם לביצוען. הוטעם, כי הנאשם </w:t>
      </w:r>
      <w:r>
        <w:rPr>
          <w:rFonts w:hint="cs"/>
          <w:rtl/>
        </w:rPr>
        <w:t>נסע</w:t>
      </w:r>
      <w:r>
        <w:rPr>
          <w:rtl/>
        </w:rPr>
        <w:t xml:space="preserve"> ברכבו אל עבר ביתו של המתלונן כשהוא מצויד ברימון הלם, הגיע סמוך לביתו של המתלונן ותוך כדי נסיעה איטית השליך את הרימון לחצר ביתו במטרה </w:t>
      </w:r>
      <w:r>
        <w:rPr>
          <w:rtl/>
        </w:rPr>
        <w:lastRenderedPageBreak/>
        <w:t xml:space="preserve">להפחיד אותו. נטען כי פוטנציאל הנזק </w:t>
      </w:r>
      <w:r>
        <w:rPr>
          <w:rFonts w:hint="cs"/>
          <w:rtl/>
        </w:rPr>
        <w:t>הטמון ב</w:t>
      </w:r>
      <w:r>
        <w:rPr>
          <w:rtl/>
        </w:rPr>
        <w:t>מעשיו של הנאשם  הוא עצום, ו</w:t>
      </w:r>
      <w:r>
        <w:rPr>
          <w:rFonts w:hint="cs"/>
          <w:rtl/>
        </w:rPr>
        <w:t xml:space="preserve">כי המעשים </w:t>
      </w:r>
      <w:r>
        <w:rPr>
          <w:rtl/>
        </w:rPr>
        <w:t>יכלו להסתיים</w:t>
      </w:r>
      <w:r>
        <w:rPr>
          <w:rFonts w:hint="cs"/>
          <w:rtl/>
        </w:rPr>
        <w:t>, חלילה,</w:t>
      </w:r>
      <w:r>
        <w:rPr>
          <w:rtl/>
        </w:rPr>
        <w:t xml:space="preserve"> בפגיעה בגוף ובנפש.</w:t>
      </w:r>
    </w:p>
    <w:p w14:paraId="364BFC3B" w14:textId="77777777" w:rsidR="001C54D9" w:rsidRDefault="001C54D9" w:rsidP="001C54D9">
      <w:pPr>
        <w:spacing w:line="360" w:lineRule="auto"/>
        <w:jc w:val="both"/>
        <w:rPr>
          <w:rtl/>
        </w:rPr>
      </w:pPr>
    </w:p>
    <w:p w14:paraId="1C182EE4" w14:textId="77777777" w:rsidR="001C54D9" w:rsidRDefault="001C54D9" w:rsidP="001C54D9">
      <w:pPr>
        <w:spacing w:line="360" w:lineRule="auto"/>
        <w:ind w:firstLine="720"/>
        <w:jc w:val="both"/>
        <w:rPr>
          <w:rtl/>
        </w:rPr>
      </w:pPr>
      <w:r>
        <w:rPr>
          <w:rtl/>
        </w:rPr>
        <w:t>נוכח האמור לעיל, ולאחר שהפנה בטיעוניו בכתב לפסיקה לעניין מדיניות הענישה הנוהגת, טען ב"כ המאשימה כי מתחם העונש ההולם בתיק זה נע בין 4-2 שנות מאסר בפועל. כאן יוער כי עיון בגזרי הדין אליהם הפנה ב"כ המאשימה</w:t>
      </w:r>
      <w:r>
        <w:rPr>
          <w:rFonts w:hint="cs"/>
          <w:rtl/>
        </w:rPr>
        <w:t xml:space="preserve"> בטיעוניו הכתובים, במסגרת סקירת מדיניות הענישה הנוהגת (</w:t>
      </w:r>
      <w:r>
        <w:rPr>
          <w:rFonts w:ascii="Miriam" w:hAnsi="Miriam" w:cs="Miriam"/>
          <w:rtl/>
        </w:rPr>
        <w:t>ט/2</w:t>
      </w:r>
      <w:r>
        <w:rPr>
          <w:rFonts w:ascii="Miriam" w:hAnsi="Miriam" w:cs="Miriam" w:hint="cs"/>
          <w:rtl/>
        </w:rPr>
        <w:t>),</w:t>
      </w:r>
      <w:r>
        <w:rPr>
          <w:rFonts w:hint="cs"/>
          <w:rtl/>
        </w:rPr>
        <w:t xml:space="preserve"> </w:t>
      </w:r>
      <w:r>
        <w:rPr>
          <w:rtl/>
        </w:rPr>
        <w:t xml:space="preserve">מלמד כי </w:t>
      </w:r>
      <w:r>
        <w:rPr>
          <w:rFonts w:hint="cs"/>
          <w:rtl/>
        </w:rPr>
        <w:t xml:space="preserve">הוטלו באותם גזרי דין עונשי מאסר בפועל פחות חמורים </w:t>
      </w:r>
      <w:r>
        <w:rPr>
          <w:rtl/>
        </w:rPr>
        <w:t>מהרף התחתון של מתחם העונש ההולם לו טוענת המאשימה</w:t>
      </w:r>
      <w:r>
        <w:rPr>
          <w:rFonts w:hint="cs"/>
          <w:rtl/>
        </w:rPr>
        <w:t xml:space="preserve"> בתיק זה</w:t>
      </w:r>
      <w:r>
        <w:rPr>
          <w:rtl/>
        </w:rPr>
        <w:t xml:space="preserve">.  </w:t>
      </w:r>
    </w:p>
    <w:p w14:paraId="66CB90EE" w14:textId="77777777" w:rsidR="001C54D9" w:rsidRDefault="001C54D9" w:rsidP="001C54D9">
      <w:pPr>
        <w:spacing w:line="360" w:lineRule="auto"/>
        <w:ind w:firstLine="720"/>
        <w:jc w:val="both"/>
        <w:rPr>
          <w:rtl/>
        </w:rPr>
      </w:pPr>
    </w:p>
    <w:p w14:paraId="2A83EBD4" w14:textId="77777777" w:rsidR="001C54D9" w:rsidRDefault="001C54D9" w:rsidP="001C54D9">
      <w:pPr>
        <w:spacing w:line="360" w:lineRule="auto"/>
        <w:ind w:firstLine="720"/>
        <w:jc w:val="both"/>
        <w:rPr>
          <w:rtl/>
        </w:rPr>
      </w:pPr>
    </w:p>
    <w:p w14:paraId="21FAF70A" w14:textId="77777777" w:rsidR="001C54D9" w:rsidRDefault="001C54D9" w:rsidP="001C54D9">
      <w:pPr>
        <w:spacing w:line="360" w:lineRule="auto"/>
        <w:ind w:firstLine="720"/>
        <w:jc w:val="both"/>
        <w:rPr>
          <w:rtl/>
        </w:rPr>
      </w:pPr>
      <w:r>
        <w:rPr>
          <w:rtl/>
        </w:rPr>
        <w:t xml:space="preserve">בסיכומו של דבר, ביקש ב"כ המאשימה  להשית על הנאשם עונש המצוי במחצית הראשונה של מתחם העונש ההולם </w:t>
      </w:r>
      <w:r>
        <w:rPr>
          <w:rFonts w:hint="cs"/>
          <w:rtl/>
        </w:rPr>
        <w:t>לו הוא כאמור טוען</w:t>
      </w:r>
      <w:r>
        <w:rPr>
          <w:rtl/>
        </w:rPr>
        <w:t xml:space="preserve">, וזאת לצד רכיבי ענישה של מאסר מותנה ארוך ומשמעותי, קנס כבד וחילוט הרכב  מסוג אאודי באמצעותו בוצעה העבירה, וזאת בהתאם להוראות </w:t>
      </w:r>
      <w:hyperlink r:id="rId24" w:history="1">
        <w:r w:rsidR="00E4540A" w:rsidRPr="00E4540A">
          <w:rPr>
            <w:color w:val="0000FF"/>
            <w:u w:val="single"/>
            <w:rtl/>
          </w:rPr>
          <w:t>סעיף 39(א)</w:t>
        </w:r>
      </w:hyperlink>
      <w:r>
        <w:rPr>
          <w:rtl/>
        </w:rPr>
        <w:t xml:space="preserve"> ו-</w:t>
      </w:r>
      <w:hyperlink r:id="rId25" w:history="1">
        <w:r w:rsidR="00E4540A" w:rsidRPr="00E4540A">
          <w:rPr>
            <w:color w:val="0000FF"/>
            <w:u w:val="single"/>
            <w:rtl/>
          </w:rPr>
          <w:t>32</w:t>
        </w:r>
      </w:hyperlink>
      <w:r>
        <w:rPr>
          <w:rtl/>
        </w:rPr>
        <w:t xml:space="preserve"> לפקודת סדר הפלילי (מעצר וחיפוש) [נוסח חדש], תשכ"ט- 1969.</w:t>
      </w:r>
    </w:p>
    <w:p w14:paraId="33E3F800" w14:textId="77777777" w:rsidR="001C54D9" w:rsidRDefault="001C54D9" w:rsidP="001C54D9">
      <w:pPr>
        <w:spacing w:line="360" w:lineRule="auto"/>
        <w:jc w:val="both"/>
        <w:rPr>
          <w:rtl/>
        </w:rPr>
      </w:pPr>
    </w:p>
    <w:p w14:paraId="4BADE8C6" w14:textId="77777777" w:rsidR="001C54D9" w:rsidRDefault="001C54D9" w:rsidP="001C54D9">
      <w:pPr>
        <w:spacing w:line="360" w:lineRule="auto"/>
        <w:jc w:val="both"/>
        <w:rPr>
          <w:rtl/>
        </w:rPr>
      </w:pPr>
      <w:r>
        <w:rPr>
          <w:rtl/>
        </w:rPr>
        <w:t>4.</w:t>
      </w:r>
      <w:r>
        <w:rPr>
          <w:rtl/>
        </w:rPr>
        <w:tab/>
        <w:t>בפתח טיעוניו לעונש</w:t>
      </w:r>
      <w:r>
        <w:rPr>
          <w:rFonts w:hint="cs"/>
          <w:rtl/>
        </w:rPr>
        <w:t>,</w:t>
      </w:r>
      <w:r>
        <w:rPr>
          <w:rtl/>
        </w:rPr>
        <w:t xml:space="preserve"> טען הסניגור כי לא ניתן ללמוד גזירה שווה לענייננו מעניין סובח </w:t>
      </w:r>
      <w:r>
        <w:rPr>
          <w:rFonts w:hint="cs"/>
          <w:rtl/>
        </w:rPr>
        <w:t>ב</w:t>
      </w:r>
      <w:r>
        <w:rPr>
          <w:rtl/>
        </w:rPr>
        <w:t xml:space="preserve">היות העבירות בעניין סובח חמורות יותר בנסיבותיהן מהעבירות שבפנינו. עוד הפנה הסניגור להחלטת בית המשפט העליון  ברע"פ 7124/06 </w:t>
      </w:r>
      <w:r>
        <w:rPr>
          <w:rFonts w:ascii="Miriam" w:hAnsi="Miriam" w:cs="Miriam"/>
          <w:rtl/>
        </w:rPr>
        <w:t>דרורי נ' מדינת ישראל</w:t>
      </w:r>
      <w:r>
        <w:rPr>
          <w:rtl/>
        </w:rPr>
        <w:t xml:space="preserve"> בה  צוין כי דרגת החומרה של העבירה שעניינה החזקת רימוני הלם פחותה מדרגת החומרה הטמונה בעבירה של החזקת רימונים "רגילים".</w:t>
      </w:r>
    </w:p>
    <w:p w14:paraId="69C7C66C" w14:textId="77777777" w:rsidR="001C54D9" w:rsidRDefault="001C54D9" w:rsidP="001C54D9">
      <w:pPr>
        <w:spacing w:line="360" w:lineRule="auto"/>
        <w:jc w:val="both"/>
        <w:rPr>
          <w:rtl/>
        </w:rPr>
      </w:pPr>
    </w:p>
    <w:p w14:paraId="30141CEA" w14:textId="77777777" w:rsidR="001C54D9" w:rsidRDefault="001C54D9" w:rsidP="001C54D9">
      <w:pPr>
        <w:spacing w:line="360" w:lineRule="auto"/>
        <w:jc w:val="both"/>
        <w:rPr>
          <w:rtl/>
        </w:rPr>
      </w:pPr>
      <w:r>
        <w:rPr>
          <w:rtl/>
        </w:rPr>
        <w:tab/>
        <w:t xml:space="preserve">עוד הדגיש הסנגור את הודאת הנאשם בעובדות כתב האישום, המבטאת לקיחת אחריות על ידו  </w:t>
      </w:r>
      <w:r>
        <w:rPr>
          <w:rFonts w:hint="cs"/>
          <w:rtl/>
        </w:rPr>
        <w:t>וחיסכון ב</w:t>
      </w:r>
      <w:r>
        <w:rPr>
          <w:rtl/>
        </w:rPr>
        <w:t>זמנו היקר של בית המשפט וכן את העדתם של עדי תביעה רבים. כן נטען על ידי ההגנה כי בין הנאשם למתלונן נערך הסכם סולחה (</w:t>
      </w:r>
      <w:r>
        <w:rPr>
          <w:rFonts w:ascii="Miriam" w:hAnsi="Miriam" w:cs="Miriam"/>
          <w:rtl/>
        </w:rPr>
        <w:t>נע/1</w:t>
      </w:r>
      <w:r>
        <w:rPr>
          <w:rtl/>
        </w:rPr>
        <w:t xml:space="preserve">) המלמד על תקינות מערכת היחסים כיום בין השניים והשבת חייהם למסלולם התקין. </w:t>
      </w:r>
      <w:r>
        <w:rPr>
          <w:rFonts w:hint="cs"/>
          <w:rtl/>
        </w:rPr>
        <w:t xml:space="preserve">כאן ראוי לציין כי </w:t>
      </w:r>
      <w:r w:rsidRPr="001818C0">
        <w:rPr>
          <w:rFonts w:hint="cs"/>
          <w:rtl/>
        </w:rPr>
        <w:t xml:space="preserve">משלא הגיש עד כה </w:t>
      </w:r>
      <w:r w:rsidRPr="001818C0">
        <w:rPr>
          <w:rtl/>
        </w:rPr>
        <w:t xml:space="preserve">ב"כ המאשימה הודעה בכתב </w:t>
      </w:r>
      <w:r>
        <w:rPr>
          <w:rFonts w:hint="cs"/>
          <w:rtl/>
        </w:rPr>
        <w:t>בהתייחס להסכם הסולחה הנ"ל, כמבוקש על-ידו וכאמור בהחלטתי מיום 17/11/19, הרי שיש לצאת מנקודת הנחה כי עסקינן בהסכם סולחה אותנטי ואמיתי.</w:t>
      </w:r>
    </w:p>
    <w:p w14:paraId="0EA60445" w14:textId="77777777" w:rsidR="001C54D9" w:rsidRDefault="001C54D9" w:rsidP="001C54D9">
      <w:pPr>
        <w:spacing w:line="360" w:lineRule="auto"/>
        <w:jc w:val="both"/>
        <w:rPr>
          <w:rtl/>
        </w:rPr>
      </w:pPr>
    </w:p>
    <w:p w14:paraId="11FE7494" w14:textId="77777777" w:rsidR="001C54D9" w:rsidRDefault="001C54D9" w:rsidP="001C54D9">
      <w:pPr>
        <w:spacing w:line="360" w:lineRule="auto"/>
        <w:ind w:firstLine="720"/>
        <w:jc w:val="both"/>
        <w:rPr>
          <w:rtl/>
        </w:rPr>
      </w:pPr>
      <w:r>
        <w:rPr>
          <w:rtl/>
        </w:rPr>
        <w:t>הסניגור, בהתבסס על עובדות כתב האישום, טען כי רימון ההלם נזרק לחצר ביתו של המתלונן אך במטרה להפחידו ולא מעבר לכך, מה גם שכתוצאה מזריקת הרימון נגרם רעש בלבד.</w:t>
      </w:r>
    </w:p>
    <w:p w14:paraId="69CB1D5E" w14:textId="77777777" w:rsidR="001C54D9" w:rsidRDefault="001C54D9" w:rsidP="001C54D9">
      <w:pPr>
        <w:spacing w:line="360" w:lineRule="auto"/>
        <w:jc w:val="both"/>
        <w:rPr>
          <w:rtl/>
        </w:rPr>
      </w:pPr>
      <w:r>
        <w:rPr>
          <w:rtl/>
        </w:rPr>
        <w:t xml:space="preserve">עוד צוין כי העבירות שבוצעו על ידי הנאשם מהוות מבחינתו, לכל היותר,  מעידה חד-פעמית, שכן מדובר באדם נורמטיבי, נשוי ואב לשני ילדים, </w:t>
      </w:r>
      <w:r>
        <w:rPr>
          <w:rFonts w:hint="cs"/>
          <w:rtl/>
        </w:rPr>
        <w:t xml:space="preserve">אשר </w:t>
      </w:r>
      <w:r>
        <w:rPr>
          <w:rtl/>
        </w:rPr>
        <w:t xml:space="preserve">בעברו הרשעה </w:t>
      </w:r>
      <w:r>
        <w:rPr>
          <w:rFonts w:hint="cs"/>
          <w:rtl/>
        </w:rPr>
        <w:t xml:space="preserve">קודמת </w:t>
      </w:r>
      <w:r>
        <w:rPr>
          <w:rtl/>
        </w:rPr>
        <w:t>בעבירה אחת בלבד שאינה נמנית עם סוג העבירות עליהן נותן הנאשם את הדין כיום. בנוסף</w:t>
      </w:r>
      <w:r>
        <w:rPr>
          <w:rFonts w:hint="cs"/>
          <w:rtl/>
        </w:rPr>
        <w:t>,</w:t>
      </w:r>
      <w:r>
        <w:rPr>
          <w:rtl/>
        </w:rPr>
        <w:t xml:space="preserve"> נטען כי הנאשם שהה במעצר מאחורי סורג ובריח במשך 55 יום וכי חווית המעצר הותירה בו את חותמה. הסניגור הוסיף כי השפעות </w:t>
      </w:r>
      <w:r>
        <w:rPr>
          <w:rFonts w:hint="cs"/>
          <w:rtl/>
        </w:rPr>
        <w:t>מעצרו</w:t>
      </w:r>
      <w:r>
        <w:rPr>
          <w:rtl/>
        </w:rPr>
        <w:t xml:space="preserve"> של הנאשם נתנו אותותיהם בו ובבני משפחתו, המצויים בקריסה כלכלית כתוצאה מכך.</w:t>
      </w:r>
    </w:p>
    <w:p w14:paraId="3032838E" w14:textId="77777777" w:rsidR="001C54D9" w:rsidRDefault="001C54D9" w:rsidP="001C54D9">
      <w:pPr>
        <w:spacing w:line="360" w:lineRule="auto"/>
        <w:ind w:firstLine="720"/>
        <w:jc w:val="both"/>
        <w:rPr>
          <w:rtl/>
        </w:rPr>
      </w:pPr>
    </w:p>
    <w:p w14:paraId="1CEDA159" w14:textId="77777777" w:rsidR="001C54D9" w:rsidRDefault="001C54D9" w:rsidP="001C54D9">
      <w:pPr>
        <w:spacing w:line="360" w:lineRule="auto"/>
        <w:ind w:firstLine="720"/>
        <w:jc w:val="both"/>
        <w:rPr>
          <w:rtl/>
        </w:rPr>
      </w:pPr>
      <w:r>
        <w:rPr>
          <w:rtl/>
        </w:rPr>
        <w:t xml:space="preserve">נטען על ידי הסניגור כי מן הראוי להשית על הנאשם עונש של מאסר בפועל בעבודות שירות, בהתחשב בעיקר בכך שהנאשם שהה במעצר של ממש במשך חודשיים. עוד טען הסניגור כי נוכח מדיניות הענישה הנהוגה, המלמדת בדבר הטלת עונשי מאסר קצרים בגין עבירות מסוג זו שבפנינו, הרי שראוי במקרה זה להשית על הנאשם מאסר בפועל לריצוי בדרך של עבודות שירות, מה גם ששליחת הנאשם למאסר של ממש עלולה חלילה  לגרום לכך שיחבור לעולם הפשיעה. </w:t>
      </w:r>
    </w:p>
    <w:p w14:paraId="6353A71A" w14:textId="77777777" w:rsidR="001C54D9" w:rsidRDefault="001C54D9" w:rsidP="001C54D9">
      <w:pPr>
        <w:spacing w:line="360" w:lineRule="auto"/>
        <w:ind w:firstLine="720"/>
        <w:jc w:val="both"/>
        <w:rPr>
          <w:rtl/>
        </w:rPr>
      </w:pPr>
    </w:p>
    <w:p w14:paraId="1B3E6D22" w14:textId="77777777" w:rsidR="001C54D9" w:rsidRDefault="001C54D9" w:rsidP="001C54D9">
      <w:pPr>
        <w:spacing w:line="360" w:lineRule="auto"/>
        <w:ind w:firstLine="720"/>
        <w:jc w:val="both"/>
        <w:rPr>
          <w:rtl/>
        </w:rPr>
      </w:pPr>
      <w:r>
        <w:rPr>
          <w:rtl/>
        </w:rPr>
        <w:t xml:space="preserve">הסניגור ביקש </w:t>
      </w:r>
      <w:r>
        <w:rPr>
          <w:rFonts w:hint="cs"/>
          <w:rtl/>
        </w:rPr>
        <w:t>ש</w:t>
      </w:r>
      <w:r>
        <w:rPr>
          <w:rtl/>
        </w:rPr>
        <w:t>לא להשית על הנאשם קנס, זאת נוכח הסכם הסולחה שנערך בין הצדדים והחיסכון בזמן השיפוטי. הסניגור ביקש להתחשב במצבו האישי של הנאשם, בהיותו נתון במעצר בית מלא שאינו מאפשר לו לצאת לעבודה, ובכך שעל שולחנו סמוכים אשתו ושני ילדים קטנים. אשר לחילוט רכבו של הנאשם, טען הסניגור כי הוא סבור שאין מקום להורות על חילוט הרכב שערכו עומד כיום</w:t>
      </w:r>
      <w:r>
        <w:rPr>
          <w:rFonts w:hint="cs"/>
          <w:rtl/>
        </w:rPr>
        <w:t>, לטענת הנאשם,</w:t>
      </w:r>
      <w:r>
        <w:rPr>
          <w:rtl/>
        </w:rPr>
        <w:t xml:space="preserve"> על סכום של 50,000-40,000 ₪, וזאת נוכח </w:t>
      </w:r>
      <w:r>
        <w:rPr>
          <w:rFonts w:hint="cs"/>
          <w:rtl/>
        </w:rPr>
        <w:t>תמונת הנסיבות העולה</w:t>
      </w:r>
      <w:r>
        <w:rPr>
          <w:rtl/>
        </w:rPr>
        <w:t xml:space="preserve"> מכתב האישום, הודאתו של הנאשם, מצבו הכלכלי הקשה והסכם הסולחה שנערך בין הצדדים. </w:t>
      </w:r>
    </w:p>
    <w:p w14:paraId="44ED7F47" w14:textId="77777777" w:rsidR="001C54D9" w:rsidRDefault="001C54D9" w:rsidP="001C54D9">
      <w:pPr>
        <w:spacing w:line="360" w:lineRule="auto"/>
        <w:ind w:firstLine="720"/>
        <w:jc w:val="both"/>
        <w:rPr>
          <w:rtl/>
        </w:rPr>
      </w:pPr>
    </w:p>
    <w:p w14:paraId="66389D09" w14:textId="77777777" w:rsidR="001C54D9" w:rsidRDefault="001C54D9" w:rsidP="001C54D9">
      <w:pPr>
        <w:spacing w:line="360" w:lineRule="auto"/>
        <w:ind w:firstLine="720"/>
        <w:jc w:val="both"/>
        <w:rPr>
          <w:rtl/>
        </w:rPr>
      </w:pPr>
      <w:r>
        <w:rPr>
          <w:rtl/>
        </w:rPr>
        <w:t xml:space="preserve">בסיכומו של דבר, ולאחר שהגיש אסופת פסיקה מטעמו </w:t>
      </w:r>
      <w:r>
        <w:rPr>
          <w:rFonts w:ascii="Miriam" w:hAnsi="Miriam" w:cs="Miriam"/>
          <w:rtl/>
        </w:rPr>
        <w:t>(נע/2)</w:t>
      </w:r>
      <w:r>
        <w:rPr>
          <w:rtl/>
        </w:rPr>
        <w:t xml:space="preserve">, ביקש הסניגור להסתפק בתיק זה בתקופת מעצרו של הנאשם, </w:t>
      </w:r>
      <w:r>
        <w:rPr>
          <w:rFonts w:hint="cs"/>
          <w:rtl/>
        </w:rPr>
        <w:t>ו</w:t>
      </w:r>
      <w:r>
        <w:rPr>
          <w:rtl/>
        </w:rPr>
        <w:t xml:space="preserve">לחילופין להשית עליו </w:t>
      </w:r>
      <w:r>
        <w:rPr>
          <w:rFonts w:hint="cs"/>
          <w:rtl/>
        </w:rPr>
        <w:t xml:space="preserve">צו של"צ או </w:t>
      </w:r>
      <w:r>
        <w:rPr>
          <w:rtl/>
        </w:rPr>
        <w:t xml:space="preserve">מאסר בפועל לתקופה קצרה בדרך של עבודות שירות. הסניגור ביקש, </w:t>
      </w:r>
      <w:r>
        <w:rPr>
          <w:rFonts w:hint="cs"/>
          <w:rtl/>
        </w:rPr>
        <w:t>כאמור, שלא לחלט את הרכב ולכל היותר להשית על הנאשם קנס מידתי חלף חילוט רכבו של הנאשם.</w:t>
      </w:r>
    </w:p>
    <w:p w14:paraId="24ED3EBC" w14:textId="77777777" w:rsidR="001C54D9" w:rsidRDefault="001C54D9" w:rsidP="001C54D9">
      <w:pPr>
        <w:spacing w:line="360" w:lineRule="auto"/>
        <w:ind w:firstLine="720"/>
        <w:jc w:val="both"/>
        <w:rPr>
          <w:rtl/>
        </w:rPr>
      </w:pPr>
    </w:p>
    <w:p w14:paraId="3C8C6B51" w14:textId="77777777" w:rsidR="001C54D9" w:rsidRPr="00E65124" w:rsidRDefault="001C54D9" w:rsidP="001C54D9">
      <w:pPr>
        <w:spacing w:line="360" w:lineRule="auto"/>
        <w:jc w:val="both"/>
        <w:rPr>
          <w:rFonts w:ascii="Miriam" w:hAnsi="Miriam" w:cs="Miriam"/>
          <w:u w:val="single"/>
          <w:rtl/>
        </w:rPr>
      </w:pPr>
      <w:r w:rsidRPr="00E65124">
        <w:rPr>
          <w:rFonts w:ascii="Miriam" w:hAnsi="Miriam" w:cs="Miriam"/>
          <w:u w:val="single"/>
          <w:rtl/>
        </w:rPr>
        <w:t>דבר הנאשם</w:t>
      </w:r>
    </w:p>
    <w:p w14:paraId="71FDE507" w14:textId="77777777" w:rsidR="001C54D9" w:rsidRDefault="001C54D9" w:rsidP="001C54D9">
      <w:pPr>
        <w:spacing w:line="360" w:lineRule="auto"/>
        <w:jc w:val="both"/>
        <w:rPr>
          <w:rtl/>
        </w:rPr>
      </w:pPr>
    </w:p>
    <w:p w14:paraId="34483F3F" w14:textId="77777777" w:rsidR="001C54D9" w:rsidRDefault="001C54D9" w:rsidP="001C54D9">
      <w:pPr>
        <w:spacing w:line="360" w:lineRule="auto"/>
        <w:jc w:val="both"/>
        <w:rPr>
          <w:rtl/>
        </w:rPr>
      </w:pPr>
      <w:r>
        <w:rPr>
          <w:rtl/>
        </w:rPr>
        <w:t>5.</w:t>
      </w:r>
      <w:r>
        <w:rPr>
          <w:rtl/>
        </w:rPr>
        <w:tab/>
        <w:t xml:space="preserve">להלן אביא, כלשונם, את דבריו של הנאשם בדיון </w:t>
      </w:r>
      <w:r>
        <w:rPr>
          <w:rFonts w:hint="cs"/>
          <w:rtl/>
        </w:rPr>
        <w:t>ל</w:t>
      </w:r>
      <w:r>
        <w:rPr>
          <w:rtl/>
        </w:rPr>
        <w:t xml:space="preserve">פניי, </w:t>
      </w:r>
      <w:r>
        <w:rPr>
          <w:rFonts w:hint="cs"/>
          <w:rtl/>
        </w:rPr>
        <w:t>ה</w:t>
      </w:r>
      <w:r>
        <w:rPr>
          <w:rtl/>
        </w:rPr>
        <w:t xml:space="preserve">מגלמים בחובם חרטה כנה על המעשים: </w:t>
      </w:r>
      <w:r>
        <w:rPr>
          <w:rFonts w:ascii="Miriam" w:hAnsi="Miriam" w:cs="Miriam"/>
          <w:rtl/>
        </w:rPr>
        <w:t xml:space="preserve"> "אני מצטער על מה שעשיתי, למדתי לקח לאורך כל החיים שלי. אני מאד מתחרט</w:t>
      </w:r>
      <w:r>
        <w:rPr>
          <w:rtl/>
        </w:rPr>
        <w:t>".</w:t>
      </w:r>
    </w:p>
    <w:p w14:paraId="52AF178C" w14:textId="77777777" w:rsidR="001C54D9" w:rsidRDefault="001C54D9" w:rsidP="001C54D9">
      <w:pPr>
        <w:spacing w:line="360" w:lineRule="auto"/>
        <w:jc w:val="both"/>
        <w:rPr>
          <w:rtl/>
        </w:rPr>
      </w:pPr>
    </w:p>
    <w:p w14:paraId="22273086" w14:textId="77777777" w:rsidR="001C54D9" w:rsidRPr="00E65124" w:rsidRDefault="001C54D9" w:rsidP="001C54D9">
      <w:pPr>
        <w:spacing w:line="360" w:lineRule="auto"/>
        <w:jc w:val="both"/>
        <w:rPr>
          <w:rFonts w:ascii="Miriam" w:hAnsi="Miriam" w:cs="Miriam"/>
          <w:u w:val="single"/>
          <w:rtl/>
        </w:rPr>
      </w:pPr>
      <w:r w:rsidRPr="00E65124">
        <w:rPr>
          <w:rFonts w:ascii="Miriam" w:hAnsi="Miriam" w:cs="Miriam"/>
          <w:u w:val="single"/>
          <w:rtl/>
        </w:rPr>
        <w:t>דיון והכרעה</w:t>
      </w:r>
    </w:p>
    <w:p w14:paraId="547D5647" w14:textId="77777777" w:rsidR="001C54D9" w:rsidRDefault="001C54D9" w:rsidP="001C54D9">
      <w:pPr>
        <w:spacing w:line="360" w:lineRule="auto"/>
        <w:jc w:val="both"/>
        <w:rPr>
          <w:rtl/>
        </w:rPr>
      </w:pPr>
    </w:p>
    <w:p w14:paraId="6763B436" w14:textId="77777777" w:rsidR="001C54D9" w:rsidRDefault="001C54D9" w:rsidP="001C54D9">
      <w:pPr>
        <w:spacing w:line="360" w:lineRule="auto"/>
        <w:jc w:val="both"/>
        <w:rPr>
          <w:rtl/>
        </w:rPr>
      </w:pPr>
      <w:r>
        <w:rPr>
          <w:rtl/>
        </w:rPr>
        <w:t>6.</w:t>
      </w:r>
      <w:r>
        <w:rPr>
          <w:rtl/>
        </w:rPr>
        <w:tab/>
        <w:t>תיקון מס' 113 ל</w:t>
      </w:r>
      <w:hyperlink r:id="rId26" w:history="1">
        <w:r w:rsidR="00CB2FC5" w:rsidRPr="00CB2FC5">
          <w:rPr>
            <w:color w:val="0000FF"/>
            <w:u w:val="single"/>
            <w:rtl/>
          </w:rPr>
          <w:t>חוק העונשין</w:t>
        </w:r>
      </w:hyperlink>
      <w:r>
        <w:rPr>
          <w:rtl/>
        </w:rPr>
        <w:t xml:space="preserve"> מתווה את העיקרון המנחה את ביהמ"ש בבואו לגזור דינו של נאשם שהינו, לפי </w:t>
      </w:r>
      <w:hyperlink r:id="rId27" w:history="1">
        <w:r w:rsidR="00E4540A" w:rsidRPr="00E4540A">
          <w:rPr>
            <w:color w:val="0000FF"/>
            <w:u w:val="single"/>
            <w:rtl/>
          </w:rPr>
          <w:t>סעיף 40ב</w:t>
        </w:r>
      </w:hyperlink>
      <w:r>
        <w:rPr>
          <w:rtl/>
        </w:rPr>
        <w:t xml:space="preserve"> לחוק העונשין, עיקרון ההלימה, ולפיו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8" w:history="1">
        <w:r w:rsidR="00CB2FC5" w:rsidRPr="00CB2FC5">
          <w:rPr>
            <w:color w:val="0000FF"/>
            <w:u w:val="single"/>
            <w:rtl/>
          </w:rPr>
          <w:t>ע.פ. 1523/10</w:t>
        </w:r>
      </w:hyperlink>
      <w:r>
        <w:rPr>
          <w:rFonts w:ascii="Miriam" w:hAnsi="Miriam" w:cs="Miriam"/>
          <w:rtl/>
        </w:rPr>
        <w:t xml:space="preserve"> פלוני נ' מדינת ישראל,</w:t>
      </w:r>
      <w:r>
        <w:rPr>
          <w:rtl/>
        </w:rPr>
        <w:t xml:space="preserve"> 18/4/12 ). </w:t>
      </w:r>
      <w:hyperlink r:id="rId29" w:history="1">
        <w:r w:rsidR="00E4540A" w:rsidRPr="00E4540A">
          <w:rPr>
            <w:color w:val="0000FF"/>
            <w:u w:val="single"/>
            <w:rtl/>
          </w:rPr>
          <w:t>סעיף 40ג</w:t>
        </w:r>
      </w:hyperlink>
      <w:r>
        <w:rPr>
          <w:rtl/>
        </w:rPr>
        <w:t xml:space="preserve"> ל</w:t>
      </w:r>
      <w:hyperlink r:id="rId30" w:history="1">
        <w:r w:rsidR="00CB2FC5" w:rsidRPr="00CB2FC5">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1" w:history="1">
        <w:r w:rsidR="00E4540A" w:rsidRPr="00E4540A">
          <w:rPr>
            <w:color w:val="0000FF"/>
            <w:u w:val="single"/>
            <w:rtl/>
          </w:rPr>
          <w:t>בסעיף 40ט</w:t>
        </w:r>
      </w:hyperlink>
      <w:r>
        <w:rPr>
          <w:rtl/>
        </w:rPr>
        <w:t xml:space="preserve"> ל</w:t>
      </w:r>
      <w:hyperlink r:id="rId32" w:history="1">
        <w:r w:rsidR="00CB2FC5" w:rsidRPr="00CB2FC5">
          <w:rPr>
            <w:color w:val="0000FF"/>
            <w:u w:val="single"/>
            <w:rtl/>
          </w:rPr>
          <w:t>חוק העונשין</w:t>
        </w:r>
      </w:hyperlink>
      <w:r>
        <w:rPr>
          <w:rtl/>
        </w:rPr>
        <w:t xml:space="preserve">.  אין חולק בתיק זה כי העבירות מושא כתב האישום מהוות אירוע אחד בגינו ייקבע להלן מתחם העונש ההולם. </w:t>
      </w:r>
    </w:p>
    <w:p w14:paraId="77057453" w14:textId="77777777" w:rsidR="001C54D9" w:rsidRDefault="001C54D9" w:rsidP="001C54D9">
      <w:pPr>
        <w:spacing w:line="360" w:lineRule="auto"/>
        <w:jc w:val="both"/>
        <w:rPr>
          <w:rtl/>
        </w:rPr>
      </w:pPr>
    </w:p>
    <w:p w14:paraId="274C85E5" w14:textId="77777777" w:rsidR="001C54D9" w:rsidRDefault="001C54D9" w:rsidP="001C54D9">
      <w:pPr>
        <w:spacing w:line="360" w:lineRule="auto"/>
        <w:jc w:val="both"/>
        <w:rPr>
          <w:rtl/>
        </w:rPr>
      </w:pPr>
      <w:r>
        <w:rPr>
          <w:rtl/>
        </w:rPr>
        <w:t>7.</w:t>
      </w:r>
      <w:r>
        <w:rPr>
          <w:rtl/>
        </w:rPr>
        <w:tab/>
        <w:t>אקדים ואציין כי הערכים החברתיים שנפגעו כתוצאה מביצוע העבירות על ידי הנאשם הם – שלומו ובטחונו של הציבור, הסדר הציבורי, וכן תחושת הביטחון האישי ובטחונו ושלומו של המתלונן. הנאשם הורשע, כאמור, בעבירות שעניינן נשיאה והובלה של נשק מסוג רימון הלם, וזאת לצד עבירות של מעשה פזיזות ורשלנות ועבירה של איומים. אין צורך להכביר במילים אשר לנזק הפוטנציאלי הטמון בשימוש בנשק, לסוגיו השונים. עם זאת, ראוי לציין כי סכנתו של רימון הלם פחותה באופן משמעותי מהסכנה הטמונה בכלי נשק אחרים, אשר בכוחם לגרום גם למותו של אדם</w:t>
      </w:r>
      <w:r>
        <w:rPr>
          <w:rFonts w:hint="cs"/>
          <w:rtl/>
        </w:rPr>
        <w:t>, ולפיכך יש לאבחן ככלל בין</w:t>
      </w:r>
      <w:r>
        <w:rPr>
          <w:rtl/>
        </w:rPr>
        <w:t xml:space="preserve"> </w:t>
      </w:r>
      <w:r>
        <w:rPr>
          <w:rFonts w:hint="cs"/>
          <w:rtl/>
        </w:rPr>
        <w:t xml:space="preserve">עבירה שעניינה נשק מסוג רימון הלם לבין עבירה שעניינה נשק קטלני. </w:t>
      </w:r>
      <w:r>
        <w:rPr>
          <w:rtl/>
        </w:rPr>
        <w:t>בית המשפט העליון קבע ב</w:t>
      </w:r>
      <w:hyperlink r:id="rId33" w:history="1">
        <w:r w:rsidR="00CB2FC5" w:rsidRPr="00CB2FC5">
          <w:rPr>
            <w:color w:val="0000FF"/>
            <w:u w:val="single"/>
            <w:rtl/>
          </w:rPr>
          <w:t>ע"פ 7386/13</w:t>
        </w:r>
      </w:hyperlink>
      <w:r>
        <w:rPr>
          <w:rtl/>
        </w:rPr>
        <w:t xml:space="preserve"> </w:t>
      </w:r>
      <w:r>
        <w:rPr>
          <w:rFonts w:ascii="Miriam" w:hAnsi="Miriam" w:cs="Miriam"/>
          <w:rtl/>
        </w:rPr>
        <w:t>עווד נ' מדינת ישראל</w:t>
      </w:r>
      <w:r>
        <w:rPr>
          <w:rtl/>
        </w:rPr>
        <w:t xml:space="preserve"> (23/3/13) את הדברים הבאים לעניין הנזק הטמון בשימוש ברימון הלם: "...</w:t>
      </w:r>
      <w:r>
        <w:rPr>
          <w:rFonts w:ascii="Miriam" w:hAnsi="Miriam" w:cs="Miriam"/>
          <w:rtl/>
        </w:rPr>
        <w:t>גם אם סכנתו של רימון ההלם פחותה משל רימון רסס עדיין מדובר בנשק שבכוחו לגרום פציעה לאדם, בכפוף לקרבתו למוקד הפעלתו</w:t>
      </w:r>
      <w:r>
        <w:rPr>
          <w:rtl/>
        </w:rPr>
        <w:t>...". עוד נקבע זה מכבר על ידי בית המשפט העליון כי רימון הלם נועד לגרום לאי נוחות לאדם, וכי הנזק שנגרם ממנו גורם בעצם לטשטושו של אדם, ולהכנסתו למצב של הלם;</w:t>
      </w:r>
      <w:r>
        <w:rPr>
          <w:rFonts w:hint="cs"/>
        </w:rPr>
        <w:t xml:space="preserve"> </w:t>
      </w:r>
      <w:r>
        <w:rPr>
          <w:rtl/>
        </w:rPr>
        <w:t xml:space="preserve">דירוגו של רימון ההלם אינו בין החמורים </w:t>
      </w:r>
      <w:r>
        <w:rPr>
          <w:rFonts w:hint="cs"/>
          <w:rtl/>
        </w:rPr>
        <w:t>אם כי</w:t>
      </w:r>
      <w:r>
        <w:rPr>
          <w:rtl/>
        </w:rPr>
        <w:t xml:space="preserve"> אין להקל בו ראש (ראו: רע"פ 7124/06 </w:t>
      </w:r>
      <w:r>
        <w:rPr>
          <w:rFonts w:ascii="Miriam" w:hAnsi="Miriam" w:cs="Miriam"/>
          <w:rtl/>
        </w:rPr>
        <w:t>דרורי נ' מדינת ישראל</w:t>
      </w:r>
      <w:r>
        <w:rPr>
          <w:rtl/>
        </w:rPr>
        <w:t xml:space="preserve"> (9/5/07)). </w:t>
      </w:r>
    </w:p>
    <w:p w14:paraId="3DB971D7" w14:textId="77777777" w:rsidR="001C54D9" w:rsidRDefault="001C54D9" w:rsidP="001C54D9">
      <w:pPr>
        <w:spacing w:line="360" w:lineRule="auto"/>
        <w:jc w:val="both"/>
        <w:rPr>
          <w:rtl/>
        </w:rPr>
      </w:pPr>
    </w:p>
    <w:p w14:paraId="0E51222B" w14:textId="77777777" w:rsidR="001C54D9" w:rsidRDefault="001C54D9" w:rsidP="001C54D9">
      <w:pPr>
        <w:spacing w:line="360" w:lineRule="auto"/>
        <w:jc w:val="both"/>
      </w:pPr>
      <w:r>
        <w:rPr>
          <w:rtl/>
        </w:rPr>
        <w:t>8.</w:t>
      </w:r>
      <w:r>
        <w:rPr>
          <w:rtl/>
        </w:rPr>
        <w:tab/>
        <w:t xml:space="preserve">במקרה דנן גרמה השלכת רימון ההלם ע"י הנאשם לעבר חצר ביתו של המתלונן אך </w:t>
      </w:r>
      <w:r>
        <w:rPr>
          <w:rFonts w:hint="cs"/>
          <w:rtl/>
        </w:rPr>
        <w:t>ל</w:t>
      </w:r>
      <w:r>
        <w:rPr>
          <w:rtl/>
        </w:rPr>
        <w:t>קול נפץ חזק כתוצאה מהתפוצצותו</w:t>
      </w:r>
      <w:r>
        <w:rPr>
          <w:rFonts w:hint="cs"/>
          <w:rtl/>
        </w:rPr>
        <w:t xml:space="preserve"> ולא מעבר לכך</w:t>
      </w:r>
      <w:r>
        <w:rPr>
          <w:rtl/>
        </w:rPr>
        <w:t>. עוד אציין, לטובת הנאשם, כי אנו למדים ממקרא כתב האישום כי כוונת הנאשם הייתה אך להפחיד או להקניט את המתלונן ובני משפחתו</w:t>
      </w:r>
      <w:r>
        <w:rPr>
          <w:rFonts w:hint="cs"/>
          <w:rtl/>
        </w:rPr>
        <w:t xml:space="preserve">, וכן אוסיף </w:t>
      </w:r>
      <w:r>
        <w:rPr>
          <w:rtl/>
        </w:rPr>
        <w:t xml:space="preserve">כי הרימון לא הושלך לעבר ביתו של המתלונן כי אם לעבר חצר הבית. עם זאת, אין להקל ראש אשר לתחושת הפחד שבוודאי אחזה במתלונן ובבני ביתו כתוצאה מהשלכת רימון ההלם שהתפוצץ ברעש חזק בחצר ביתם. עוד יש להוסיף, לחומרה, כי הנאשם תכנן את מעשיו, כפי שעולה ממקרא כתב האישום, וכן כי הנאשם </w:t>
      </w:r>
      <w:r>
        <w:rPr>
          <w:rFonts w:hint="cs"/>
          <w:rtl/>
        </w:rPr>
        <w:t>הורשע בגין מעשיו הנ"ל גם ב</w:t>
      </w:r>
      <w:r>
        <w:rPr>
          <w:rtl/>
        </w:rPr>
        <w:t xml:space="preserve">עבירות </w:t>
      </w:r>
      <w:r>
        <w:rPr>
          <w:rFonts w:hint="cs"/>
          <w:rtl/>
        </w:rPr>
        <w:t xml:space="preserve">נוספות </w:t>
      </w:r>
      <w:r>
        <w:rPr>
          <w:rtl/>
        </w:rPr>
        <w:t>של איומים ומעשה פזיזות ורשלנות בחומר נפיץ.</w:t>
      </w:r>
    </w:p>
    <w:p w14:paraId="59989606" w14:textId="77777777" w:rsidR="001C54D9" w:rsidRDefault="001C54D9" w:rsidP="001C54D9">
      <w:pPr>
        <w:spacing w:line="360" w:lineRule="auto"/>
        <w:jc w:val="both"/>
        <w:rPr>
          <w:rtl/>
        </w:rPr>
      </w:pPr>
    </w:p>
    <w:p w14:paraId="4DC04C2E" w14:textId="77777777" w:rsidR="001C54D9" w:rsidRDefault="001C54D9" w:rsidP="001C54D9">
      <w:pPr>
        <w:spacing w:line="360" w:lineRule="auto"/>
        <w:jc w:val="both"/>
        <w:rPr>
          <w:rtl/>
        </w:rPr>
      </w:pPr>
      <w:r>
        <w:rPr>
          <w:rtl/>
        </w:rPr>
        <w:t>9.</w:t>
      </w:r>
      <w:r>
        <w:rPr>
          <w:rtl/>
        </w:rPr>
        <w:tab/>
        <w:t>במסגרת סקירת מדיניות הענישה הנהוגה ביחס לעבירת נשק מסוג רימון הלם,  תובא הפסיקה הבאה:</w:t>
      </w:r>
    </w:p>
    <w:p w14:paraId="65375F0B" w14:textId="77777777" w:rsidR="001C54D9" w:rsidRDefault="001C54D9" w:rsidP="001C54D9">
      <w:pPr>
        <w:spacing w:line="360" w:lineRule="auto"/>
        <w:jc w:val="both"/>
        <w:rPr>
          <w:rtl/>
        </w:rPr>
      </w:pPr>
    </w:p>
    <w:p w14:paraId="18461D23" w14:textId="77777777" w:rsidR="001C54D9" w:rsidRDefault="001C54D9" w:rsidP="001C54D9">
      <w:pPr>
        <w:spacing w:line="360" w:lineRule="auto"/>
        <w:ind w:left="720"/>
        <w:jc w:val="both"/>
        <w:rPr>
          <w:rtl/>
        </w:rPr>
      </w:pPr>
      <w:r>
        <w:rPr>
          <w:rtl/>
        </w:rPr>
        <w:t>•</w:t>
      </w:r>
      <w:r>
        <w:rPr>
          <w:rtl/>
        </w:rPr>
        <w:tab/>
        <w:t>ב</w:t>
      </w:r>
      <w:hyperlink r:id="rId34" w:history="1">
        <w:r w:rsidR="00CB2FC5" w:rsidRPr="00CB2FC5">
          <w:rPr>
            <w:color w:val="0000FF"/>
            <w:u w:val="single"/>
            <w:rtl/>
          </w:rPr>
          <w:t>ת.פ. (מחוזי-חיפה) 31218-10-14</w:t>
        </w:r>
      </w:hyperlink>
      <w:r>
        <w:rPr>
          <w:rtl/>
        </w:rPr>
        <w:t xml:space="preserve"> </w:t>
      </w:r>
      <w:r>
        <w:rPr>
          <w:rFonts w:ascii="Miriam" w:hAnsi="Miriam" w:cs="Miriam"/>
          <w:rtl/>
        </w:rPr>
        <w:t>מדינת ישראל נ' אסדי</w:t>
      </w:r>
      <w:r>
        <w:rPr>
          <w:rtl/>
        </w:rPr>
        <w:t xml:space="preserve"> (11/2/15) דובר בנאשם שהשליך רימון הלם לעבר מרפסת ביתו של המתלונן. שם נקבע מתחם עונש הולם </w:t>
      </w:r>
      <w:r>
        <w:rPr>
          <w:rFonts w:hint="cs"/>
          <w:rtl/>
        </w:rPr>
        <w:t>ה</w:t>
      </w:r>
      <w:r>
        <w:rPr>
          <w:rtl/>
        </w:rPr>
        <w:t xml:space="preserve">נע בין 8 ל-20 חודשי מאסר בפועל, ובסופו של דבר הושת על הנאשם שהיה בעל עבר פלילי בעבירות נשק, עונש מאסר בפועל לתקופה של 9 חודשים. באותו מקרה  נזקפו לטובת הנאשם הודאתו ונסיבות אישיות חריגות. </w:t>
      </w:r>
    </w:p>
    <w:p w14:paraId="54D89005" w14:textId="77777777" w:rsidR="001C54D9" w:rsidRDefault="001C54D9" w:rsidP="001C54D9">
      <w:pPr>
        <w:spacing w:line="360" w:lineRule="auto"/>
        <w:jc w:val="both"/>
        <w:rPr>
          <w:rtl/>
        </w:rPr>
      </w:pPr>
    </w:p>
    <w:p w14:paraId="1319F486" w14:textId="77777777" w:rsidR="001C54D9" w:rsidRDefault="001C54D9" w:rsidP="001C54D9">
      <w:pPr>
        <w:spacing w:line="360" w:lineRule="auto"/>
        <w:ind w:left="720"/>
        <w:jc w:val="both"/>
        <w:rPr>
          <w:rtl/>
        </w:rPr>
      </w:pPr>
      <w:r>
        <w:rPr>
          <w:rtl/>
        </w:rPr>
        <w:t>•</w:t>
      </w:r>
      <w:r>
        <w:rPr>
          <w:rtl/>
        </w:rPr>
        <w:tab/>
        <w:t>ב</w:t>
      </w:r>
      <w:hyperlink r:id="rId35" w:history="1">
        <w:r w:rsidR="00CB2FC5" w:rsidRPr="00CB2FC5">
          <w:rPr>
            <w:color w:val="0000FF"/>
            <w:u w:val="single"/>
            <w:rtl/>
          </w:rPr>
          <w:t>ע"פ 8845/15</w:t>
        </w:r>
      </w:hyperlink>
      <w:r>
        <w:rPr>
          <w:rtl/>
        </w:rPr>
        <w:t xml:space="preserve"> </w:t>
      </w:r>
      <w:r>
        <w:rPr>
          <w:rFonts w:ascii="Miriam" w:hAnsi="Miriam" w:cs="Miriam"/>
          <w:rtl/>
        </w:rPr>
        <w:t>מנסור נ' מדינת ישראל</w:t>
      </w:r>
      <w:r>
        <w:rPr>
          <w:rtl/>
        </w:rPr>
        <w:t xml:space="preserve"> (17/11/16)  דובר במערער שהשליך רימון הלם לעבר בית, אשר התפוצץ סמוך לשני בני משפחה. לא נגרם נזק. בית המשפט המחוזי קבע מתחם עונש הולם שנע בין 3-1 שנות מאסר בפועל. אותו מערער היה בחור צעיר, שניהל את משפטו והיה בעל עבר פלילי אם כי לא מכביד. ערעורו על חומרת העונש (מאסר בפועל בן 18 חודשים) - נדחה. </w:t>
      </w:r>
    </w:p>
    <w:p w14:paraId="65C670F3" w14:textId="77777777" w:rsidR="001C54D9" w:rsidRDefault="001C54D9" w:rsidP="001C54D9">
      <w:pPr>
        <w:spacing w:line="360" w:lineRule="auto"/>
        <w:jc w:val="both"/>
        <w:rPr>
          <w:rtl/>
        </w:rPr>
      </w:pPr>
    </w:p>
    <w:p w14:paraId="08E803EE" w14:textId="77777777" w:rsidR="001C54D9" w:rsidRDefault="001C54D9" w:rsidP="001C54D9">
      <w:pPr>
        <w:spacing w:line="360" w:lineRule="auto"/>
        <w:ind w:left="720"/>
        <w:jc w:val="both"/>
        <w:rPr>
          <w:rtl/>
        </w:rPr>
      </w:pPr>
      <w:r>
        <w:rPr>
          <w:rtl/>
        </w:rPr>
        <w:t>•</w:t>
      </w:r>
      <w:r>
        <w:rPr>
          <w:rtl/>
        </w:rPr>
        <w:tab/>
        <w:t>ב</w:t>
      </w:r>
      <w:hyperlink r:id="rId36" w:history="1">
        <w:r w:rsidR="00CB2FC5" w:rsidRPr="00CB2FC5">
          <w:rPr>
            <w:color w:val="0000FF"/>
            <w:u w:val="single"/>
            <w:rtl/>
          </w:rPr>
          <w:t>ת.פ. (מחוזי חיפה) 40450-09-15</w:t>
        </w:r>
      </w:hyperlink>
      <w:r>
        <w:rPr>
          <w:rtl/>
        </w:rPr>
        <w:t xml:space="preserve"> </w:t>
      </w:r>
      <w:r>
        <w:rPr>
          <w:rFonts w:ascii="Miriam" w:hAnsi="Miriam" w:cs="Miriam"/>
          <w:rtl/>
        </w:rPr>
        <w:t xml:space="preserve">מדינת ישראל נ' עכאווי </w:t>
      </w:r>
      <w:r>
        <w:rPr>
          <w:rtl/>
        </w:rPr>
        <w:t xml:space="preserve">(20/1/16) דובר בנאשם שהשליך רימון הלם לתוך חנות בה עבד המתלונן. שם נקבע מתחם עונש הולם שנע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47EB7948" w14:textId="77777777" w:rsidR="001C54D9" w:rsidRDefault="001C54D9" w:rsidP="001C54D9">
      <w:pPr>
        <w:spacing w:line="360" w:lineRule="auto"/>
        <w:ind w:left="720"/>
        <w:jc w:val="both"/>
        <w:rPr>
          <w:rtl/>
        </w:rPr>
      </w:pPr>
    </w:p>
    <w:p w14:paraId="2F98A55C" w14:textId="77777777" w:rsidR="001C54D9" w:rsidRDefault="001C54D9" w:rsidP="001C54D9">
      <w:pPr>
        <w:spacing w:line="360" w:lineRule="auto"/>
        <w:jc w:val="both"/>
        <w:rPr>
          <w:rtl/>
        </w:rPr>
      </w:pPr>
      <w:r>
        <w:rPr>
          <w:rtl/>
        </w:rPr>
        <w:t>10.</w:t>
      </w:r>
      <w:r>
        <w:rPr>
          <w:rtl/>
        </w:rPr>
        <w:tab/>
        <w:t>לאחר שנתתי דעתי לערכים החברתיים שנפגעו כתוצאה מביצוע העבירות שבפנינו, וכן לנסיבות ביצוע העבירות ולמדיניות הענישה הנהוגה, לרבות לפסיקה אליה הפנה כל אחד מהצדדים, הגעתי לכלל מסקנה כי מתחם העונש ההולם בתיק זה נע בין עונש של 9 חודשי מאסר בפועל, לרבות לריצוי בדרך של עבודות שירות, לבין עונש של 24 חודשי מאסר בפועל. כאן ראוי לציין כי בקביעת מתחם העונש ההולם הנ"ל באה לידי ביטוי בעיקר העובדה שעסקינן בנשק מסוג רימון הלם, אשר מסוכנותו פחותה</w:t>
      </w:r>
      <w:r>
        <w:rPr>
          <w:rFonts w:hint="cs"/>
          <w:rtl/>
        </w:rPr>
        <w:t>, כאמור,</w:t>
      </w:r>
      <w:r>
        <w:rPr>
          <w:rtl/>
        </w:rPr>
        <w:t xml:space="preserve"> בהרבה מ</w:t>
      </w:r>
      <w:r>
        <w:rPr>
          <w:rFonts w:hint="cs"/>
          <w:rtl/>
        </w:rPr>
        <w:t>המסוכנות הגלומה ב</w:t>
      </w:r>
      <w:r>
        <w:rPr>
          <w:rtl/>
        </w:rPr>
        <w:t>נשק חם, ו</w:t>
      </w:r>
      <w:r>
        <w:rPr>
          <w:rFonts w:hint="cs"/>
          <w:rtl/>
        </w:rPr>
        <w:t xml:space="preserve">הרי </w:t>
      </w:r>
      <w:r>
        <w:rPr>
          <w:rtl/>
        </w:rPr>
        <w:t xml:space="preserve">השלכתו של הרימון לעבר חצר </w:t>
      </w:r>
      <w:r>
        <w:rPr>
          <w:rFonts w:hint="cs"/>
          <w:rtl/>
        </w:rPr>
        <w:t>הב</w:t>
      </w:r>
      <w:r>
        <w:rPr>
          <w:rtl/>
        </w:rPr>
        <w:t xml:space="preserve">ית </w:t>
      </w:r>
      <w:r>
        <w:rPr>
          <w:rFonts w:hint="cs"/>
          <w:rtl/>
        </w:rPr>
        <w:t xml:space="preserve">גרמה </w:t>
      </w:r>
      <w:r>
        <w:rPr>
          <w:rtl/>
        </w:rPr>
        <w:t>אך לרעש חזק ולא מעבר לכך.</w:t>
      </w:r>
    </w:p>
    <w:p w14:paraId="0E0C8AF9" w14:textId="77777777" w:rsidR="001C54D9" w:rsidRDefault="001C54D9" w:rsidP="001C54D9">
      <w:pPr>
        <w:spacing w:line="360" w:lineRule="auto"/>
        <w:jc w:val="both"/>
        <w:rPr>
          <w:rtl/>
        </w:rPr>
      </w:pPr>
    </w:p>
    <w:p w14:paraId="123C300D" w14:textId="77777777" w:rsidR="001C54D9" w:rsidRDefault="001C54D9" w:rsidP="001C54D9">
      <w:pPr>
        <w:spacing w:line="360" w:lineRule="auto"/>
        <w:jc w:val="both"/>
        <w:rPr>
          <w:rtl/>
        </w:rPr>
      </w:pPr>
      <w:r>
        <w:rPr>
          <w:rtl/>
        </w:rPr>
        <w:t>11.</w:t>
      </w:r>
      <w:r>
        <w:rPr>
          <w:rtl/>
        </w:rPr>
        <w:tab/>
        <w:t>במסגרת בחינת הנסיבות שאינן קשורות בביצוע העבירות, אציין לטובת הנאשם את עברו הפלילי שאינו מכביד, שכן לחובתו אך הרשעה קודמת אחת משנת 2010 בעבירה מסוג אחר לחלוטין. עוד אציין, לקולה, את העובדה שהנאשם היה נתון בגין תיק זה במעצר של ממש, במשך תקופה של חודש ושלושה שבועות, ומאז שחרורו ממעצר ביום 17/10/19 ועד כה, נתון הנאשם במעצר באיזוק אלקטרוני, דבר המשליך על מצב</w:t>
      </w:r>
      <w:r>
        <w:rPr>
          <w:rFonts w:hint="cs"/>
          <w:rtl/>
        </w:rPr>
        <w:t>ה</w:t>
      </w:r>
      <w:r>
        <w:rPr>
          <w:rtl/>
        </w:rPr>
        <w:t xml:space="preserve"> הכלכלי</w:t>
      </w:r>
      <w:r>
        <w:rPr>
          <w:rFonts w:hint="cs"/>
          <w:rtl/>
        </w:rPr>
        <w:t xml:space="preserve"> של משפחתו</w:t>
      </w:r>
      <w:r>
        <w:rPr>
          <w:rtl/>
        </w:rPr>
        <w:t xml:space="preserve">, כנטען ע"י הסניגור. כן אוסיף, לטובת הנאשם, את הודאתו בעובדות כתב האישום, אשר חסכה מזמנו היקר של בית המשפט ואת העדת עדי התביעה. התרשמתי כי </w:t>
      </w:r>
      <w:r>
        <w:rPr>
          <w:rFonts w:hint="cs"/>
          <w:rtl/>
        </w:rPr>
        <w:t>יש לראות ב</w:t>
      </w:r>
      <w:r>
        <w:rPr>
          <w:rtl/>
        </w:rPr>
        <w:t xml:space="preserve">הודאתו של הנאשם </w:t>
      </w:r>
      <w:r>
        <w:rPr>
          <w:rFonts w:hint="cs"/>
          <w:rtl/>
        </w:rPr>
        <w:t>משום</w:t>
      </w:r>
      <w:r>
        <w:rPr>
          <w:rtl/>
        </w:rPr>
        <w:t xml:space="preserve"> חרטה כנה ואמתית</w:t>
      </w:r>
      <w:r>
        <w:rPr>
          <w:rFonts w:hint="cs"/>
          <w:rtl/>
        </w:rPr>
        <w:t xml:space="preserve"> על מעשיו</w:t>
      </w:r>
      <w:r>
        <w:rPr>
          <w:rtl/>
        </w:rPr>
        <w:t>, כפי שעולה בברור מדברי</w:t>
      </w:r>
      <w:r>
        <w:rPr>
          <w:rFonts w:hint="cs"/>
          <w:rtl/>
        </w:rPr>
        <w:t>ו</w:t>
      </w:r>
      <w:r>
        <w:rPr>
          <w:rtl/>
        </w:rPr>
        <w:t xml:space="preserve"> בדיון בפניי. עוד אציין</w:t>
      </w:r>
      <w:r>
        <w:rPr>
          <w:rFonts w:hint="cs"/>
          <w:rtl/>
        </w:rPr>
        <w:t xml:space="preserve">, לקולה, </w:t>
      </w:r>
      <w:r>
        <w:rPr>
          <w:rtl/>
        </w:rPr>
        <w:t xml:space="preserve">גם את הסכם הסולחה שנערך בין הצדדים </w:t>
      </w:r>
      <w:r>
        <w:rPr>
          <w:rFonts w:ascii="Miriam" w:hAnsi="Miriam" w:cs="Miriam"/>
          <w:rtl/>
        </w:rPr>
        <w:t>(נע/1)</w:t>
      </w:r>
      <w:r>
        <w:rPr>
          <w:rtl/>
        </w:rPr>
        <w:t xml:space="preserve"> ממנו עולה כי </w:t>
      </w:r>
      <w:r>
        <w:rPr>
          <w:rFonts w:hint="cs"/>
          <w:rtl/>
        </w:rPr>
        <w:t>המתלונן סולח לנאשם ואינו מבקש פיצוי ממנו,</w:t>
      </w:r>
      <w:r>
        <w:rPr>
          <w:rtl/>
        </w:rPr>
        <w:t xml:space="preserve"> ו</w:t>
      </w:r>
      <w:r>
        <w:rPr>
          <w:rFonts w:hint="cs"/>
          <w:rtl/>
        </w:rPr>
        <w:t xml:space="preserve">כן כי שני הצדדים מבקשים </w:t>
      </w:r>
      <w:r>
        <w:rPr>
          <w:rtl/>
        </w:rPr>
        <w:t xml:space="preserve">להשיב על כנה את מערכת היחסים הטובה </w:t>
      </w:r>
      <w:r>
        <w:rPr>
          <w:rFonts w:hint="cs"/>
          <w:rtl/>
        </w:rPr>
        <w:t xml:space="preserve">ששררה </w:t>
      </w:r>
      <w:r>
        <w:rPr>
          <w:rtl/>
        </w:rPr>
        <w:t>ביניהם</w:t>
      </w:r>
      <w:r>
        <w:rPr>
          <w:rFonts w:hint="cs"/>
          <w:rtl/>
        </w:rPr>
        <w:t>.</w:t>
      </w:r>
    </w:p>
    <w:p w14:paraId="2A0C220A" w14:textId="77777777" w:rsidR="001C54D9" w:rsidRDefault="001C54D9" w:rsidP="001C54D9">
      <w:pPr>
        <w:spacing w:line="360" w:lineRule="auto"/>
        <w:jc w:val="both"/>
        <w:rPr>
          <w:rtl/>
        </w:rPr>
      </w:pPr>
    </w:p>
    <w:p w14:paraId="2E829FC4" w14:textId="77777777" w:rsidR="001C54D9" w:rsidRDefault="001C54D9" w:rsidP="001C54D9">
      <w:pPr>
        <w:spacing w:line="360" w:lineRule="auto"/>
        <w:jc w:val="both"/>
        <w:rPr>
          <w:rtl/>
        </w:rPr>
      </w:pPr>
      <w:r>
        <w:rPr>
          <w:rtl/>
        </w:rPr>
        <w:t>12.</w:t>
      </w:r>
      <w:r>
        <w:rPr>
          <w:rtl/>
        </w:rPr>
        <w:tab/>
        <w:t xml:space="preserve">לאחר ששקללתי את מכלול הנסיבות הנ"ל שאינן קשורות בביצוע העבירות, אני בדעה כי מן הראוי להשית על הנאשם בתיק זה, שהינו בחור צעיר בן 27,  עונש של 9 חודשי מאסר בפועל לריצוי בעבודות שירות, וזאת לצד רכיבי ענישה של מאסר על תנאי משמעותי וקנס כספי. בנקודה זו אציין, כי החלטתי לא להיעתר לבקשת המאשימה לחילוט </w:t>
      </w:r>
      <w:r>
        <w:rPr>
          <w:rFonts w:hint="cs"/>
          <w:rtl/>
        </w:rPr>
        <w:t>רכבו של הנאשם</w:t>
      </w:r>
      <w:r>
        <w:rPr>
          <w:rtl/>
        </w:rPr>
        <w:t xml:space="preserve"> מסוג אאודי  הנזכר בכתב האישום. אני בדעה כי אף שהרכב שימש לצורך ביצוע העבירה, הרי שבאיזון  הראוי בין ההגנה על הזכות הקניינית של הנאשם ובין האינטרס הציבורי שבחילוט הרכב, אין מקום, בנסיבות שבפנינו, להורות על חילוט הרכב לטובת אוצר המדינה, וזאת בין היתר, בהינתן העובדה שלא נגרם נזק של ממש כתוצאה מביצוע המעשים ע"י הנאשם ונוכח העובדה שהנאשם התכוון בזריקת רימון ההלם לחצר הבית, אך להפחיד ולהקניט את המתלונן ובני משפחתו, ולא מעבר לכך. </w:t>
      </w:r>
      <w:r>
        <w:rPr>
          <w:rFonts w:hint="cs"/>
          <w:rtl/>
        </w:rPr>
        <w:t xml:space="preserve">אשר על כן, מתבקשת המאשימה לדאוג להשבת הרכב לידי הנאשם. </w:t>
      </w:r>
      <w:r>
        <w:rPr>
          <w:rtl/>
        </w:rPr>
        <w:t>חלף חילוטו של הרכב, ש</w:t>
      </w:r>
      <w:r>
        <w:rPr>
          <w:rFonts w:hint="cs"/>
          <w:rtl/>
        </w:rPr>
        <w:t xml:space="preserve">שוויו </w:t>
      </w:r>
      <w:r>
        <w:rPr>
          <w:rtl/>
        </w:rPr>
        <w:t>נע</w:t>
      </w:r>
      <w:r>
        <w:rPr>
          <w:rFonts w:hint="cs"/>
          <w:rtl/>
        </w:rPr>
        <w:t>, לטענת הנאשם,</w:t>
      </w:r>
      <w:r>
        <w:rPr>
          <w:rtl/>
        </w:rPr>
        <w:t xml:space="preserve"> בין 40,000 ₪ לבין 50,000 ₪ , יושת על הנאשם קנס כספי</w:t>
      </w:r>
      <w:r>
        <w:rPr>
          <w:rFonts w:hint="cs"/>
          <w:rtl/>
        </w:rPr>
        <w:t xml:space="preserve">, דבר המשרת את </w:t>
      </w:r>
      <w:r>
        <w:rPr>
          <w:rtl/>
        </w:rPr>
        <w:t xml:space="preserve">האינטרס הציבורי ובד בבד </w:t>
      </w:r>
      <w:r>
        <w:rPr>
          <w:rFonts w:hint="cs"/>
          <w:rtl/>
        </w:rPr>
        <w:t>פוגע</w:t>
      </w:r>
      <w:r>
        <w:rPr>
          <w:rtl/>
        </w:rPr>
        <w:t xml:space="preserve"> פחות בזכות הקניין של הנאשם.</w:t>
      </w:r>
    </w:p>
    <w:p w14:paraId="6437FCA4" w14:textId="77777777" w:rsidR="001C54D9" w:rsidRDefault="001C54D9" w:rsidP="001C54D9">
      <w:pPr>
        <w:spacing w:line="360" w:lineRule="auto"/>
        <w:jc w:val="both"/>
        <w:rPr>
          <w:rtl/>
        </w:rPr>
      </w:pPr>
    </w:p>
    <w:p w14:paraId="52E402A2" w14:textId="77777777" w:rsidR="001C54D9" w:rsidRDefault="001C54D9" w:rsidP="001C54D9">
      <w:pPr>
        <w:spacing w:line="360" w:lineRule="auto"/>
        <w:jc w:val="both"/>
        <w:rPr>
          <w:b/>
          <w:bCs/>
          <w:rtl/>
        </w:rPr>
      </w:pPr>
      <w:r>
        <w:rPr>
          <w:rtl/>
        </w:rPr>
        <w:t>13.</w:t>
      </w:r>
      <w:r>
        <w:rPr>
          <w:rtl/>
        </w:rPr>
        <w:tab/>
        <w:t>בסיכומו של דבר, אני דנה את הנאשם, כדלקמן:</w:t>
      </w:r>
    </w:p>
    <w:p w14:paraId="1045DFA4" w14:textId="77777777" w:rsidR="001C54D9" w:rsidRDefault="001C54D9" w:rsidP="001C54D9">
      <w:pPr>
        <w:spacing w:line="360" w:lineRule="auto"/>
        <w:ind w:firstLine="720"/>
        <w:jc w:val="both"/>
        <w:rPr>
          <w:rtl/>
        </w:rPr>
      </w:pPr>
    </w:p>
    <w:p w14:paraId="63A1416F" w14:textId="77777777" w:rsidR="001C54D9" w:rsidRDefault="001C54D9" w:rsidP="001C54D9">
      <w:pPr>
        <w:pStyle w:val="a9"/>
        <w:numPr>
          <w:ilvl w:val="0"/>
          <w:numId w:val="1"/>
        </w:numPr>
        <w:spacing w:line="360" w:lineRule="auto"/>
        <w:jc w:val="both"/>
        <w:rPr>
          <w:rtl/>
        </w:rPr>
      </w:pPr>
      <w:r>
        <w:rPr>
          <w:rtl/>
        </w:rPr>
        <w:t>למאסר בפועל למשך 9 חודשים שירוצה בדרך של עבודות שירות, כאמור בחוות דעת הממונה על עבודות שירות, היינו ב</w:t>
      </w:r>
      <w:r>
        <w:rPr>
          <w:rFonts w:hint="cs"/>
          <w:rtl/>
        </w:rPr>
        <w:t>חברת קדישא חיפ</w:t>
      </w:r>
      <w:r>
        <w:rPr>
          <w:rtl/>
        </w:rPr>
        <w:t>ה</w:t>
      </w:r>
      <w:r>
        <w:rPr>
          <w:rFonts w:hint="cs"/>
          <w:rtl/>
        </w:rPr>
        <w:t>- תל רגב. ה</w:t>
      </w:r>
      <w:r>
        <w:rPr>
          <w:rtl/>
        </w:rPr>
        <w:t>נאשם יתייצב ביום</w:t>
      </w:r>
      <w:r>
        <w:rPr>
          <w:rFonts w:hint="cs"/>
          <w:rtl/>
        </w:rPr>
        <w:t xml:space="preserve"> 8/12/19 </w:t>
      </w:r>
      <w:r>
        <w:rPr>
          <w:rtl/>
        </w:rPr>
        <w:t>בשעה 08:00 לתחילת ריצוי עבודות השירות בשד' הציונות 14, טבריה. הנאשם מוזהר בזה, לבקשת הממונה על עבודות שירות, כי מדובר בתנאי העסקה קפדניים וכל חריגה מהכללים עלולה להביא להפסקת ריצוי עבודות השירות ולריצוי יתרת העונש במאסר של ממש.</w:t>
      </w:r>
    </w:p>
    <w:p w14:paraId="3C583BA1" w14:textId="77777777" w:rsidR="001C54D9" w:rsidRDefault="001C54D9" w:rsidP="001C54D9">
      <w:pPr>
        <w:pStyle w:val="a9"/>
        <w:spacing w:line="360" w:lineRule="auto"/>
        <w:jc w:val="both"/>
      </w:pPr>
    </w:p>
    <w:p w14:paraId="1FF47671" w14:textId="77777777" w:rsidR="001C54D9" w:rsidRDefault="001C54D9" w:rsidP="001C54D9">
      <w:pPr>
        <w:pStyle w:val="a9"/>
        <w:numPr>
          <w:ilvl w:val="0"/>
          <w:numId w:val="1"/>
        </w:numPr>
        <w:spacing w:line="360" w:lineRule="auto"/>
        <w:jc w:val="both"/>
      </w:pPr>
      <w:r>
        <w:rPr>
          <w:rtl/>
        </w:rPr>
        <w:t xml:space="preserve">למאסר על תנאי לתקופה של 12 חודשים למשך 3 שנים והתנאי הוא לבל יעבור הנאשם עבירה מסוג פשע, לפי </w:t>
      </w:r>
      <w:hyperlink r:id="rId37" w:history="1">
        <w:r w:rsidR="00E4540A" w:rsidRPr="00E4540A">
          <w:rPr>
            <w:color w:val="0000FF"/>
            <w:u w:val="single"/>
            <w:rtl/>
          </w:rPr>
          <w:t>סעיף 144</w:t>
        </w:r>
      </w:hyperlink>
      <w:r>
        <w:rPr>
          <w:rtl/>
        </w:rPr>
        <w:t xml:space="preserve"> ל</w:t>
      </w:r>
      <w:hyperlink r:id="rId38" w:history="1">
        <w:r w:rsidR="00CB2FC5" w:rsidRPr="00CB2FC5">
          <w:rPr>
            <w:color w:val="0000FF"/>
            <w:u w:val="single"/>
            <w:rtl/>
          </w:rPr>
          <w:t>חוק העונשין</w:t>
        </w:r>
      </w:hyperlink>
      <w:r>
        <w:rPr>
          <w:rtl/>
        </w:rPr>
        <w:t xml:space="preserve"> התשל"ז-1977 ויורשע בגינה.</w:t>
      </w:r>
    </w:p>
    <w:p w14:paraId="0070968F" w14:textId="77777777" w:rsidR="001C54D9" w:rsidRDefault="001C54D9" w:rsidP="001C54D9">
      <w:pPr>
        <w:spacing w:line="360" w:lineRule="auto"/>
        <w:jc w:val="both"/>
      </w:pPr>
    </w:p>
    <w:p w14:paraId="7A4CA6B1" w14:textId="77777777" w:rsidR="001C54D9" w:rsidRDefault="001C54D9" w:rsidP="001C54D9">
      <w:pPr>
        <w:pStyle w:val="a9"/>
        <w:numPr>
          <w:ilvl w:val="0"/>
          <w:numId w:val="1"/>
        </w:numPr>
        <w:spacing w:line="360" w:lineRule="auto"/>
        <w:jc w:val="both"/>
      </w:pPr>
      <w:r>
        <w:rPr>
          <w:rtl/>
        </w:rPr>
        <w:t xml:space="preserve">למאסר על תנאי לתקופה של  5 חודשים למשך 3 שנים והתנאי הוא לבל יעבור הנאשם עבירה מסוג עוון, לפי </w:t>
      </w:r>
      <w:hyperlink r:id="rId39" w:history="1">
        <w:r w:rsidR="00E4540A" w:rsidRPr="00E4540A">
          <w:rPr>
            <w:color w:val="0000FF"/>
            <w:u w:val="single"/>
            <w:rtl/>
          </w:rPr>
          <w:t>סעיף 144</w:t>
        </w:r>
      </w:hyperlink>
      <w:r>
        <w:rPr>
          <w:rtl/>
        </w:rPr>
        <w:t xml:space="preserve"> ל</w:t>
      </w:r>
      <w:hyperlink r:id="rId40" w:history="1">
        <w:r w:rsidR="00CB2FC5" w:rsidRPr="00CB2FC5">
          <w:rPr>
            <w:color w:val="0000FF"/>
            <w:u w:val="single"/>
            <w:rtl/>
          </w:rPr>
          <w:t>חוק העונשין</w:t>
        </w:r>
      </w:hyperlink>
      <w:r>
        <w:rPr>
          <w:rtl/>
        </w:rPr>
        <w:t xml:space="preserve"> התשל"ז-1977 ו/או עבירת אלימות, לרבות עבירה של איומים,  לפי חוק העונשין  ו/או עבירה של מעשי פזיזות ורשלנות לפי </w:t>
      </w:r>
      <w:hyperlink r:id="rId41" w:history="1">
        <w:r w:rsidR="00E4540A" w:rsidRPr="00E4540A">
          <w:rPr>
            <w:color w:val="0000FF"/>
            <w:u w:val="single"/>
            <w:rtl/>
          </w:rPr>
          <w:t>סעיף 338</w:t>
        </w:r>
      </w:hyperlink>
      <w:r>
        <w:rPr>
          <w:rtl/>
        </w:rPr>
        <w:t xml:space="preserve"> לחוק העונשין ויורשע בגין אחת או יותר מהן.</w:t>
      </w:r>
    </w:p>
    <w:p w14:paraId="69A3BDB9" w14:textId="77777777" w:rsidR="001C54D9" w:rsidRDefault="001C54D9" w:rsidP="001C54D9">
      <w:pPr>
        <w:pStyle w:val="a9"/>
      </w:pPr>
    </w:p>
    <w:p w14:paraId="49B25D77" w14:textId="77777777" w:rsidR="001C54D9" w:rsidRDefault="001C54D9" w:rsidP="001C54D9">
      <w:pPr>
        <w:pStyle w:val="a9"/>
        <w:numPr>
          <w:ilvl w:val="0"/>
          <w:numId w:val="1"/>
        </w:numPr>
        <w:spacing w:line="360" w:lineRule="auto"/>
        <w:jc w:val="both"/>
        <w:rPr>
          <w:rtl/>
        </w:rPr>
      </w:pPr>
      <w:r>
        <w:rPr>
          <w:rtl/>
        </w:rPr>
        <w:t xml:space="preserve">אני דנה את הנאשם לתשלום קנס כספי בסך 15,000 ₪ או  75 ימי מאסר תמורתו. הקנס ישולם ע"י הנאשם ב-20 תשלומים, חודשיים, שווים ורצופים בסך 750 ₪ כל אחד, החל מיום 20/4/20 ואילך. </w:t>
      </w:r>
    </w:p>
    <w:p w14:paraId="5AB8705A" w14:textId="77777777" w:rsidR="001C54D9" w:rsidRDefault="001C54D9" w:rsidP="001C54D9">
      <w:pPr>
        <w:pStyle w:val="a9"/>
      </w:pPr>
    </w:p>
    <w:p w14:paraId="70BB0987" w14:textId="77777777" w:rsidR="001C54D9" w:rsidRDefault="001C54D9" w:rsidP="001C54D9">
      <w:pPr>
        <w:pStyle w:val="a9"/>
        <w:spacing w:line="360" w:lineRule="auto"/>
        <w:jc w:val="both"/>
        <w:rPr>
          <w:rtl/>
        </w:rPr>
      </w:pPr>
    </w:p>
    <w:p w14:paraId="52698244" w14:textId="77777777" w:rsidR="001C54D9" w:rsidRDefault="001C54D9" w:rsidP="001C54D9">
      <w:pPr>
        <w:spacing w:line="360" w:lineRule="auto"/>
        <w:jc w:val="both"/>
        <w:rPr>
          <w:rtl/>
        </w:rPr>
      </w:pPr>
      <w:r>
        <w:rPr>
          <w:rtl/>
        </w:rPr>
        <w:t xml:space="preserve">המזכירות תמציא </w:t>
      </w:r>
      <w:r>
        <w:rPr>
          <w:rFonts w:hint="cs"/>
          <w:rtl/>
        </w:rPr>
        <w:t>העתק</w:t>
      </w:r>
      <w:r>
        <w:rPr>
          <w:rtl/>
        </w:rPr>
        <w:t xml:space="preserve"> </w:t>
      </w:r>
      <w:r>
        <w:rPr>
          <w:rFonts w:hint="cs"/>
          <w:rtl/>
        </w:rPr>
        <w:t>מ</w:t>
      </w:r>
      <w:r>
        <w:rPr>
          <w:rtl/>
        </w:rPr>
        <w:t>גזר הדין לממונה על עבודות שירות.</w:t>
      </w:r>
    </w:p>
    <w:p w14:paraId="34B75F38" w14:textId="77777777" w:rsidR="001C54D9" w:rsidRDefault="001C54D9" w:rsidP="001C54D9">
      <w:pPr>
        <w:spacing w:line="360" w:lineRule="auto"/>
        <w:jc w:val="both"/>
        <w:rPr>
          <w:rtl/>
        </w:rPr>
      </w:pPr>
    </w:p>
    <w:p w14:paraId="79CCAC20" w14:textId="77777777" w:rsidR="001C54D9" w:rsidRDefault="001C54D9" w:rsidP="001C54D9">
      <w:pPr>
        <w:spacing w:line="360" w:lineRule="auto"/>
        <w:jc w:val="both"/>
        <w:rPr>
          <w:b/>
          <w:bCs/>
          <w:u w:val="single"/>
          <w:rtl/>
        </w:rPr>
      </w:pPr>
      <w:r>
        <w:rPr>
          <w:b/>
          <w:bCs/>
          <w:u w:val="single"/>
          <w:rtl/>
        </w:rPr>
        <w:t>זכות ערעור לבית המשפט העליון תוך 45 ימים.</w:t>
      </w:r>
    </w:p>
    <w:p w14:paraId="3BF43E16" w14:textId="77777777" w:rsidR="001C54D9" w:rsidRDefault="001C54D9" w:rsidP="001C54D9">
      <w:pPr>
        <w:spacing w:line="360" w:lineRule="auto"/>
        <w:jc w:val="both"/>
        <w:rPr>
          <w:b/>
          <w:bCs/>
          <w:u w:val="single"/>
          <w:rtl/>
        </w:rPr>
      </w:pPr>
    </w:p>
    <w:p w14:paraId="23FEB294" w14:textId="77777777" w:rsidR="001C54D9" w:rsidRDefault="001C54D9" w:rsidP="001C54D9">
      <w:pPr>
        <w:spacing w:line="360" w:lineRule="auto"/>
        <w:jc w:val="both"/>
        <w:rPr>
          <w:rtl/>
        </w:rPr>
      </w:pPr>
    </w:p>
    <w:p w14:paraId="7D159068" w14:textId="77777777" w:rsidR="001C54D9" w:rsidRPr="00B05847" w:rsidRDefault="001C54D9" w:rsidP="001C54D9">
      <w:pPr>
        <w:rPr>
          <w:rtl/>
        </w:rPr>
      </w:pPr>
    </w:p>
    <w:p w14:paraId="3F51F246" w14:textId="77777777" w:rsidR="001C54D9" w:rsidRDefault="00CB2FC5" w:rsidP="001C54D9">
      <w:pPr>
        <w:spacing w:line="360" w:lineRule="auto"/>
        <w:jc w:val="both"/>
        <w:rPr>
          <w:rFonts w:ascii="Arial" w:hAnsi="Arial"/>
        </w:rPr>
      </w:pPr>
      <w:bookmarkStart w:id="7" w:name="Nitan"/>
      <w:r w:rsidRPr="00CB2FC5">
        <w:rPr>
          <w:rFonts w:ascii="Arial" w:hAnsi="Arial"/>
          <w:color w:val="FFFFFF"/>
          <w:sz w:val="2"/>
          <w:szCs w:val="2"/>
          <w:rtl/>
        </w:rPr>
        <w:t>5129371</w:t>
      </w:r>
      <w:r>
        <w:rPr>
          <w:rFonts w:ascii="Arial" w:hAnsi="Arial"/>
          <w:rtl/>
        </w:rPr>
        <w:t xml:space="preserve">ניתן היום,  ז' כסלו תש"פ, 05 דצמבר 2019, במעמד ב"כ המאשימה עו"ד אדם סרי, ב"כ הנאשם, </w:t>
      </w:r>
      <w:bookmarkEnd w:id="7"/>
      <w:r w:rsidR="001C54D9">
        <w:rPr>
          <w:rFonts w:ascii="Arial" w:hAnsi="Arial" w:hint="cs"/>
          <w:rtl/>
        </w:rPr>
        <w:t>עו"ד יוסף סלימאן והנאשם בעצמו</w:t>
      </w:r>
      <w:r w:rsidR="001C54D9">
        <w:rPr>
          <w:rFonts w:ascii="Arial" w:hAnsi="Arial"/>
          <w:rtl/>
        </w:rPr>
        <w:t>.</w:t>
      </w:r>
    </w:p>
    <w:p w14:paraId="45C83116" w14:textId="77777777" w:rsidR="001C54D9" w:rsidRPr="00CB2FC5" w:rsidRDefault="00CB2FC5" w:rsidP="001C54D9">
      <w:pPr>
        <w:rPr>
          <w:rFonts w:cs="FrankRuehl"/>
          <w:color w:val="FFFFFF"/>
          <w:sz w:val="2"/>
          <w:szCs w:val="2"/>
          <w:rtl/>
        </w:rPr>
      </w:pPr>
      <w:r w:rsidRPr="00CB2FC5">
        <w:rPr>
          <w:rFonts w:cs="FrankRuehl"/>
          <w:color w:val="FFFFFF"/>
          <w:sz w:val="2"/>
          <w:szCs w:val="2"/>
          <w:rtl/>
        </w:rPr>
        <w:t>54678313</w:t>
      </w:r>
    </w:p>
    <w:p w14:paraId="2C0FE1AD" w14:textId="77777777" w:rsidR="001C54D9" w:rsidRDefault="001C54D9" w:rsidP="00CB2FC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85164AA" w14:textId="77777777" w:rsidR="001C54D9" w:rsidRDefault="001C54D9" w:rsidP="001C54D9">
      <w:pPr>
        <w:jc w:val="center"/>
        <w:rPr>
          <w:rFonts w:ascii="Arial" w:hAnsi="Arial" w:cs="FrankRuehl"/>
          <w:sz w:val="28"/>
          <w:szCs w:val="28"/>
          <w:rtl/>
        </w:rPr>
      </w:pPr>
    </w:p>
    <w:p w14:paraId="658FBE26" w14:textId="77777777" w:rsidR="001C54D9" w:rsidRDefault="001C54D9" w:rsidP="001C54D9">
      <w:pPr>
        <w:rPr>
          <w:rFonts w:cs="FrankRuehl"/>
          <w:sz w:val="28"/>
          <w:szCs w:val="28"/>
          <w:rtl/>
        </w:rPr>
      </w:pPr>
    </w:p>
    <w:p w14:paraId="567EA353" w14:textId="77777777" w:rsidR="001C54D9" w:rsidRDefault="001C54D9" w:rsidP="001C54D9">
      <w:pPr>
        <w:pStyle w:val="a3"/>
        <w:jc w:val="center"/>
        <w:rPr>
          <w:rtl/>
        </w:rPr>
      </w:pPr>
    </w:p>
    <w:p w14:paraId="534C9A17" w14:textId="77777777" w:rsidR="008652DF" w:rsidRPr="00CB2FC5" w:rsidRDefault="008652DF" w:rsidP="00CB2FC5">
      <w:pPr>
        <w:keepNext/>
        <w:rPr>
          <w:rFonts w:ascii="David" w:hAnsi="David"/>
          <w:color w:val="000000"/>
          <w:sz w:val="22"/>
          <w:szCs w:val="22"/>
          <w:rtl/>
        </w:rPr>
      </w:pPr>
    </w:p>
    <w:p w14:paraId="3CC0569F" w14:textId="77777777" w:rsidR="00CB2FC5" w:rsidRPr="00CB2FC5" w:rsidRDefault="00CB2FC5" w:rsidP="00CB2FC5">
      <w:pPr>
        <w:keepNext/>
        <w:rPr>
          <w:rFonts w:ascii="David" w:hAnsi="David"/>
          <w:color w:val="000000"/>
          <w:sz w:val="22"/>
          <w:szCs w:val="22"/>
          <w:rtl/>
        </w:rPr>
      </w:pPr>
      <w:r w:rsidRPr="00CB2FC5">
        <w:rPr>
          <w:rFonts w:ascii="David" w:hAnsi="David"/>
          <w:color w:val="000000"/>
          <w:sz w:val="22"/>
          <w:szCs w:val="22"/>
          <w:rtl/>
        </w:rPr>
        <w:t>רונית בש 54678313</w:t>
      </w:r>
    </w:p>
    <w:p w14:paraId="39C7EBAD" w14:textId="77777777" w:rsidR="00CB2FC5" w:rsidRDefault="00CB2FC5" w:rsidP="00CB2FC5">
      <w:r w:rsidRPr="00CB2FC5">
        <w:rPr>
          <w:color w:val="000000"/>
          <w:rtl/>
        </w:rPr>
        <w:t>נוסח מסמך זה כפוף לשינויי ניסוח ועריכה</w:t>
      </w:r>
    </w:p>
    <w:p w14:paraId="45A9247D" w14:textId="77777777" w:rsidR="00CB2FC5" w:rsidRDefault="00CB2FC5" w:rsidP="00CB2FC5">
      <w:pPr>
        <w:rPr>
          <w:rtl/>
        </w:rPr>
      </w:pPr>
    </w:p>
    <w:p w14:paraId="04E9A4AF" w14:textId="77777777" w:rsidR="00CB2FC5" w:rsidRDefault="00CB2FC5" w:rsidP="00CB2FC5">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25F75D0" w14:textId="77777777" w:rsidR="00CB2FC5" w:rsidRPr="00CB2FC5" w:rsidRDefault="00CB2FC5" w:rsidP="00CB2FC5">
      <w:pPr>
        <w:jc w:val="center"/>
        <w:rPr>
          <w:color w:val="0000FF"/>
          <w:u w:val="single"/>
        </w:rPr>
      </w:pPr>
    </w:p>
    <w:sectPr w:rsidR="00CB2FC5" w:rsidRPr="00CB2FC5" w:rsidSect="00CB2FC5">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5EB8C" w14:textId="77777777" w:rsidR="007A142E" w:rsidRDefault="007A142E" w:rsidP="000C5E8F">
      <w:r>
        <w:separator/>
      </w:r>
    </w:p>
  </w:endnote>
  <w:endnote w:type="continuationSeparator" w:id="0">
    <w:p w14:paraId="037A82D6" w14:textId="77777777" w:rsidR="007A142E" w:rsidRDefault="007A142E" w:rsidP="000C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0A19A" w14:textId="77777777" w:rsidR="00CB2FC5" w:rsidRDefault="00CB2FC5" w:rsidP="00CB2F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A4786C" w14:textId="77777777" w:rsidR="00502D20" w:rsidRPr="00CB2FC5" w:rsidRDefault="00CB2FC5" w:rsidP="00CB2F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0DE00" w14:textId="77777777" w:rsidR="00CB2FC5" w:rsidRDefault="00CB2FC5" w:rsidP="00CB2F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6E12">
      <w:rPr>
        <w:rFonts w:ascii="FrankRuehl" w:hAnsi="FrankRuehl" w:cs="FrankRuehl"/>
        <w:noProof/>
        <w:rtl/>
      </w:rPr>
      <w:t>1</w:t>
    </w:r>
    <w:r>
      <w:rPr>
        <w:rFonts w:ascii="FrankRuehl" w:hAnsi="FrankRuehl" w:cs="FrankRuehl"/>
        <w:rtl/>
      </w:rPr>
      <w:fldChar w:fldCharType="end"/>
    </w:r>
  </w:p>
  <w:p w14:paraId="0ED1A7B4" w14:textId="77777777" w:rsidR="00502D20" w:rsidRPr="00CB2FC5" w:rsidRDefault="00CB2FC5" w:rsidP="00CB2F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36C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86D7C" w14:textId="77777777" w:rsidR="007A142E" w:rsidRDefault="007A142E" w:rsidP="000C5E8F">
      <w:r>
        <w:separator/>
      </w:r>
    </w:p>
  </w:footnote>
  <w:footnote w:type="continuationSeparator" w:id="0">
    <w:p w14:paraId="0B1D93D6" w14:textId="77777777" w:rsidR="007A142E" w:rsidRDefault="007A142E" w:rsidP="000C5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5D5E9" w14:textId="77777777" w:rsidR="00CB2FC5" w:rsidRPr="00CB2FC5" w:rsidRDefault="00CB2FC5" w:rsidP="00CB2F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22765-09-19</w:t>
    </w:r>
    <w:r>
      <w:rPr>
        <w:rFonts w:ascii="David" w:hAnsi="David"/>
        <w:color w:val="000000"/>
        <w:sz w:val="22"/>
        <w:szCs w:val="22"/>
        <w:rtl/>
      </w:rPr>
      <w:tab/>
      <w:t xml:space="preserve"> מדינת ישראל נ' מחמוד מטרי (עצור בפיקוח)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27C90" w14:textId="77777777" w:rsidR="00CB2FC5" w:rsidRPr="00CB2FC5" w:rsidRDefault="00CB2FC5" w:rsidP="00CB2F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22765-09-19</w:t>
    </w:r>
    <w:r>
      <w:rPr>
        <w:rFonts w:ascii="David" w:hAnsi="David"/>
        <w:color w:val="000000"/>
        <w:sz w:val="22"/>
        <w:szCs w:val="22"/>
        <w:rtl/>
      </w:rPr>
      <w:tab/>
      <w:t xml:space="preserve"> מדינת ישראל נ' מחמוד מטרי (עצור בפיקוח)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25745"/>
    <w:multiLevelType w:val="hybridMultilevel"/>
    <w:tmpl w:val="489864E2"/>
    <w:lvl w:ilvl="0" w:tplc="2444BAF2">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4943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54D9"/>
    <w:rsid w:val="000C5E8F"/>
    <w:rsid w:val="001C54D9"/>
    <w:rsid w:val="00346E12"/>
    <w:rsid w:val="00404B83"/>
    <w:rsid w:val="00502D20"/>
    <w:rsid w:val="007A142E"/>
    <w:rsid w:val="008652DF"/>
    <w:rsid w:val="0097053C"/>
    <w:rsid w:val="00CB2FC5"/>
    <w:rsid w:val="00CB63BD"/>
    <w:rsid w:val="00E454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7714A4"/>
  <w15:chartTrackingRefBased/>
  <w15:docId w15:val="{5BF12DDB-1302-4094-94DB-3C9412B8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54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54D9"/>
    <w:pPr>
      <w:tabs>
        <w:tab w:val="center" w:pos="4153"/>
        <w:tab w:val="right" w:pos="8306"/>
      </w:tabs>
    </w:pPr>
  </w:style>
  <w:style w:type="character" w:customStyle="1" w:styleId="a4">
    <w:name w:val="כותרת עליונה תו"/>
    <w:link w:val="a3"/>
    <w:rsid w:val="001C54D9"/>
    <w:rPr>
      <w:rFonts w:ascii="Times New Roman" w:eastAsia="Times New Roman" w:hAnsi="Times New Roman" w:cs="David"/>
      <w:sz w:val="24"/>
      <w:szCs w:val="24"/>
    </w:rPr>
  </w:style>
  <w:style w:type="paragraph" w:styleId="a5">
    <w:name w:val="footer"/>
    <w:basedOn w:val="a"/>
    <w:link w:val="a6"/>
    <w:rsid w:val="001C54D9"/>
    <w:pPr>
      <w:tabs>
        <w:tab w:val="center" w:pos="4153"/>
        <w:tab w:val="right" w:pos="8306"/>
      </w:tabs>
    </w:pPr>
  </w:style>
  <w:style w:type="character" w:customStyle="1" w:styleId="a6">
    <w:name w:val="כותרת תחתונה תו"/>
    <w:link w:val="a5"/>
    <w:rsid w:val="001C54D9"/>
    <w:rPr>
      <w:rFonts w:ascii="Times New Roman" w:eastAsia="Times New Roman" w:hAnsi="Times New Roman" w:cs="David"/>
      <w:sz w:val="24"/>
      <w:szCs w:val="24"/>
    </w:rPr>
  </w:style>
  <w:style w:type="table" w:styleId="a7">
    <w:name w:val="Table Grid"/>
    <w:basedOn w:val="a1"/>
    <w:rsid w:val="001C54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54D9"/>
  </w:style>
  <w:style w:type="paragraph" w:styleId="a9">
    <w:name w:val="List Paragraph"/>
    <w:basedOn w:val="a"/>
    <w:qFormat/>
    <w:rsid w:val="001C54D9"/>
    <w:pPr>
      <w:ind w:left="720"/>
      <w:contextualSpacing/>
    </w:pPr>
  </w:style>
  <w:style w:type="character" w:styleId="Hyperlink">
    <w:name w:val="Hyperlink"/>
    <w:rsid w:val="00CB2F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4918/39.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338.a.3" TargetMode="External"/><Relationship Id="rId34" Type="http://schemas.openxmlformats.org/officeDocument/2006/relationships/hyperlink" Target="http://www.nevo.co.il/case/1810566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 TargetMode="External"/><Relationship Id="rId29" Type="http://schemas.openxmlformats.org/officeDocument/2006/relationships/hyperlink" Target="http://www.nevo.co.il/law/70301/40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4918/39.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38.a.3"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6243627" TargetMode="External"/><Relationship Id="rId36" Type="http://schemas.openxmlformats.org/officeDocument/2006/relationships/hyperlink" Target="http://www.nevo.co.il/case/20590970"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aw/70301/40i"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338"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81788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4918/32" TargetMode="External"/><Relationship Id="rId25" Type="http://schemas.openxmlformats.org/officeDocument/2006/relationships/hyperlink" Target="http://www.nevo.co.il/law/74918/32" TargetMode="External"/><Relationship Id="rId33" Type="http://schemas.openxmlformats.org/officeDocument/2006/relationships/hyperlink" Target="http://www.nevo.co.il/case/10443017"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70301/33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2613</Words>
  <Characters>13065</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15647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6684774</vt:i4>
      </vt:variant>
      <vt:variant>
        <vt:i4>102</vt:i4>
      </vt:variant>
      <vt:variant>
        <vt:i4>0</vt:i4>
      </vt:variant>
      <vt:variant>
        <vt:i4>5</vt:i4>
      </vt:variant>
      <vt:variant>
        <vt:lpwstr>http://www.nevo.co.il/law/70301/338</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3145844</vt:i4>
      </vt:variant>
      <vt:variant>
        <vt:i4>87</vt:i4>
      </vt:variant>
      <vt:variant>
        <vt:i4>0</vt:i4>
      </vt:variant>
      <vt:variant>
        <vt:i4>5</vt:i4>
      </vt:variant>
      <vt:variant>
        <vt:lpwstr>http://www.nevo.co.il/case/20590970</vt:lpwstr>
      </vt:variant>
      <vt:variant>
        <vt:lpwstr/>
      </vt:variant>
      <vt:variant>
        <vt:i4>3473533</vt:i4>
      </vt:variant>
      <vt:variant>
        <vt:i4>84</vt:i4>
      </vt:variant>
      <vt:variant>
        <vt:i4>0</vt:i4>
      </vt:variant>
      <vt:variant>
        <vt:i4>5</vt:i4>
      </vt:variant>
      <vt:variant>
        <vt:lpwstr>http://www.nevo.co.il/case/20817889</vt:lpwstr>
      </vt:variant>
      <vt:variant>
        <vt:lpwstr/>
      </vt:variant>
      <vt:variant>
        <vt:i4>3342458</vt:i4>
      </vt:variant>
      <vt:variant>
        <vt:i4>81</vt:i4>
      </vt:variant>
      <vt:variant>
        <vt:i4>0</vt:i4>
      </vt:variant>
      <vt:variant>
        <vt:i4>5</vt:i4>
      </vt:variant>
      <vt:variant>
        <vt:lpwstr>http://www.nevo.co.il/case/18105668</vt:lpwstr>
      </vt:variant>
      <vt:variant>
        <vt:lpwstr/>
      </vt:variant>
      <vt:variant>
        <vt:i4>3604592</vt:i4>
      </vt:variant>
      <vt:variant>
        <vt:i4>78</vt:i4>
      </vt:variant>
      <vt:variant>
        <vt:i4>0</vt:i4>
      </vt:variant>
      <vt:variant>
        <vt:i4>5</vt:i4>
      </vt:variant>
      <vt:variant>
        <vt:lpwstr>http://www.nevo.co.il/case/10443017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3342455</vt:i4>
      </vt:variant>
      <vt:variant>
        <vt:i4>63</vt:i4>
      </vt:variant>
      <vt:variant>
        <vt:i4>0</vt:i4>
      </vt:variant>
      <vt:variant>
        <vt:i4>5</vt:i4>
      </vt:variant>
      <vt:variant>
        <vt:lpwstr>http://www.nevo.co.il/case/6243627</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6422629</vt:i4>
      </vt:variant>
      <vt:variant>
        <vt:i4>54</vt:i4>
      </vt:variant>
      <vt:variant>
        <vt:i4>0</vt:i4>
      </vt:variant>
      <vt:variant>
        <vt:i4>5</vt:i4>
      </vt:variant>
      <vt:variant>
        <vt:lpwstr>http://www.nevo.co.il/law/74918/32</vt:lpwstr>
      </vt:variant>
      <vt:variant>
        <vt:lpwstr/>
      </vt:variant>
      <vt:variant>
        <vt:i4>524363</vt:i4>
      </vt:variant>
      <vt:variant>
        <vt:i4>51</vt:i4>
      </vt:variant>
      <vt:variant>
        <vt:i4>0</vt:i4>
      </vt:variant>
      <vt:variant>
        <vt:i4>5</vt:i4>
      </vt:variant>
      <vt:variant>
        <vt:lpwstr>http://www.nevo.co.il/law/74918/39.a</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6684735</vt:i4>
      </vt:variant>
      <vt:variant>
        <vt:i4>42</vt:i4>
      </vt:variant>
      <vt:variant>
        <vt:i4>0</vt:i4>
      </vt:variant>
      <vt:variant>
        <vt:i4>5</vt:i4>
      </vt:variant>
      <vt:variant>
        <vt:lpwstr>http://www.nevo.co.il/law/70301/338.a.3</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524363</vt:i4>
      </vt:variant>
      <vt:variant>
        <vt:i4>33</vt:i4>
      </vt:variant>
      <vt:variant>
        <vt:i4>0</vt:i4>
      </vt:variant>
      <vt:variant>
        <vt:i4>5</vt:i4>
      </vt:variant>
      <vt:variant>
        <vt:lpwstr>http://www.nevo.co.il/law/74918/39.a</vt:lpwstr>
      </vt:variant>
      <vt:variant>
        <vt:lpwstr/>
      </vt:variant>
      <vt:variant>
        <vt:i4>6422629</vt:i4>
      </vt:variant>
      <vt:variant>
        <vt:i4>30</vt:i4>
      </vt:variant>
      <vt:variant>
        <vt:i4>0</vt:i4>
      </vt:variant>
      <vt:variant>
        <vt:i4>5</vt:i4>
      </vt:variant>
      <vt:variant>
        <vt:lpwstr>http://www.nevo.co.il/law/74918/32</vt:lpwstr>
      </vt:variant>
      <vt:variant>
        <vt:lpwstr/>
      </vt:variant>
      <vt:variant>
        <vt:i4>8323182</vt:i4>
      </vt:variant>
      <vt:variant>
        <vt:i4>27</vt:i4>
      </vt:variant>
      <vt:variant>
        <vt:i4>0</vt:i4>
      </vt:variant>
      <vt:variant>
        <vt:i4>5</vt:i4>
      </vt:variant>
      <vt:variant>
        <vt:lpwstr>http://www.nevo.co.il/law/74918</vt:lpwstr>
      </vt:variant>
      <vt:variant>
        <vt:lpwstr/>
      </vt:variant>
      <vt:variant>
        <vt:i4>6684735</vt:i4>
      </vt:variant>
      <vt:variant>
        <vt:i4>24</vt:i4>
      </vt:variant>
      <vt:variant>
        <vt:i4>0</vt:i4>
      </vt:variant>
      <vt:variant>
        <vt:i4>5</vt:i4>
      </vt:variant>
      <vt:variant>
        <vt:lpwstr>http://www.nevo.co.il/law/70301/338.a.3</vt:lpwstr>
      </vt:variant>
      <vt:variant>
        <vt:lpwstr/>
      </vt:variant>
      <vt:variant>
        <vt:i4>6684774</vt:i4>
      </vt:variant>
      <vt:variant>
        <vt:i4>21</vt:i4>
      </vt:variant>
      <vt:variant>
        <vt:i4>0</vt:i4>
      </vt:variant>
      <vt:variant>
        <vt:i4>5</vt:i4>
      </vt:variant>
      <vt:variant>
        <vt:lpwstr>http://www.nevo.co.il/law/70301/338</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22765</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מחמוד מטרי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20191205</vt:lpwstr>
  </property>
  <property fmtid="{D5CDD505-2E9C-101B-9397-08002B2CF9AE}" pid="13" name="TYPE_N_DATE">
    <vt:lpwstr>39020191205</vt:lpwstr>
  </property>
  <property fmtid="{D5CDD505-2E9C-101B-9397-08002B2CF9AE}" pid="14" name="CASESLISTTMP1">
    <vt:lpwstr>25824863;6243627;10443017;18105668;20817889;20590970</vt:lpwstr>
  </property>
  <property fmtid="{D5CDD505-2E9C-101B-9397-08002B2CF9AE}" pid="15" name="CASENOTES1">
    <vt:lpwstr>ProcID=174&amp;PartA=7124&amp;PartC=06</vt:lpwstr>
  </property>
  <property fmtid="{D5CDD505-2E9C-101B-9397-08002B2CF9AE}" pid="16" name="WORDNUMPAGES">
    <vt:lpwstr>8</vt:lpwstr>
  </property>
  <property fmtid="{D5CDD505-2E9C-101B-9397-08002B2CF9AE}" pid="17" name="TYPE_ABS_DATE">
    <vt:lpwstr>390020191205</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70301/144.b;338.a.3;192;040b;040c;040i;144:2;338</vt:lpwstr>
  </property>
  <property fmtid="{D5CDD505-2E9C-101B-9397-08002B2CF9AE}" pid="38" name="LAWLISTTMP2">
    <vt:lpwstr>74918/039.a;032</vt:lpwstr>
  </property>
</Properties>
</file>