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66"/>
        <w:gridCol w:w="4539"/>
      </w:tblGrid>
      <w:tr w:rsidR="00DE119C" w:rsidRPr="002C0D69" w14:paraId="15FD2576" w14:textId="77777777" w:rsidTr="00623706">
        <w:trPr>
          <w:trHeight w:hRule="exact" w:val="418"/>
          <w:jc w:val="center"/>
        </w:trPr>
        <w:tc>
          <w:tcPr>
            <w:tcW w:w="8505" w:type="dxa"/>
            <w:gridSpan w:val="2"/>
          </w:tcPr>
          <w:p w14:paraId="7A4A787C" w14:textId="77777777" w:rsidR="00DE119C" w:rsidRPr="002C0D69" w:rsidRDefault="00DE119C" w:rsidP="00623706">
            <w:pPr>
              <w:pStyle w:val="a3"/>
              <w:jc w:val="center"/>
              <w:rPr>
                <w:rFonts w:ascii="Tahoma" w:hAnsi="Tahoma" w:cs="Tahoma"/>
                <w:color w:val="000080"/>
                <w:rtl/>
              </w:rPr>
            </w:pPr>
            <w:r w:rsidRPr="002C0D69">
              <w:rPr>
                <w:rFonts w:ascii="Tahoma" w:hAnsi="Tahoma" w:cs="Tahoma"/>
                <w:b/>
                <w:bCs/>
                <w:color w:val="000080"/>
                <w:rtl/>
              </w:rPr>
              <w:t>בית המשפט המחוזי בבאר שבע</w:t>
            </w:r>
          </w:p>
        </w:tc>
      </w:tr>
      <w:tr w:rsidR="00DE119C" w:rsidRPr="002C0D69" w14:paraId="727EF2A6" w14:textId="77777777" w:rsidTr="00623706">
        <w:trPr>
          <w:trHeight w:val="337"/>
          <w:jc w:val="center"/>
        </w:trPr>
        <w:tc>
          <w:tcPr>
            <w:tcW w:w="3966" w:type="dxa"/>
          </w:tcPr>
          <w:p w14:paraId="2B92CF73" w14:textId="77777777" w:rsidR="00DE119C" w:rsidRPr="002C0D69" w:rsidRDefault="00DE119C" w:rsidP="00623706">
            <w:pPr>
              <w:rPr>
                <w:rFonts w:ascii="David" w:hAnsi="David"/>
                <w:b/>
                <w:bCs/>
                <w:rtl/>
              </w:rPr>
            </w:pPr>
            <w:r w:rsidRPr="002C0D69">
              <w:rPr>
                <w:rFonts w:ascii="David" w:hAnsi="David"/>
                <w:b/>
                <w:bCs/>
                <w:rtl/>
              </w:rPr>
              <w:t xml:space="preserve">בפני כב' ס.הנשיאה, השופט אליהו ביתן </w:t>
            </w:r>
          </w:p>
        </w:tc>
        <w:tc>
          <w:tcPr>
            <w:tcW w:w="4539" w:type="dxa"/>
          </w:tcPr>
          <w:p w14:paraId="3A2D2F5E" w14:textId="77777777" w:rsidR="00DE119C" w:rsidRPr="002C0D69" w:rsidRDefault="00DE119C" w:rsidP="00623706">
            <w:pPr>
              <w:jc w:val="right"/>
              <w:rPr>
                <w:rFonts w:ascii="David" w:hAnsi="David"/>
                <w:b/>
                <w:bCs/>
                <w:rtl/>
              </w:rPr>
            </w:pPr>
            <w:r w:rsidRPr="002C0D69">
              <w:rPr>
                <w:rFonts w:ascii="David" w:hAnsi="David"/>
                <w:b/>
                <w:bCs/>
                <w:rtl/>
              </w:rPr>
              <w:t>09 בדצמבר 2019</w:t>
            </w:r>
            <w:r w:rsidRPr="002C0D69">
              <w:rPr>
                <w:rFonts w:ascii="David" w:hAnsi="David"/>
                <w:b/>
                <w:bCs/>
                <w:rtl/>
              </w:rPr>
              <w:br/>
            </w:r>
            <w:r w:rsidRPr="002C0D69">
              <w:rPr>
                <w:rFonts w:ascii="David" w:hAnsi="David"/>
                <w:b/>
                <w:bCs/>
                <w:rtl/>
              </w:rPr>
              <w:br/>
              <w:t>ת"פ 54384-09-19 מדינת ישראל נ' אבו עסא(עציר)</w:t>
            </w:r>
          </w:p>
        </w:tc>
      </w:tr>
    </w:tbl>
    <w:p w14:paraId="0B2FD1C7" w14:textId="77777777" w:rsidR="00DE119C" w:rsidRPr="002C0D69" w:rsidRDefault="00DE119C" w:rsidP="00DE119C">
      <w:pPr>
        <w:pStyle w:val="a3"/>
        <w:rPr>
          <w:rtl/>
        </w:rPr>
      </w:pPr>
      <w:bookmarkStart w:id="0" w:name="LastJudge"/>
      <w:bookmarkEnd w:id="0"/>
      <w:r w:rsidRPr="002C0D69">
        <w:rPr>
          <w:rFonts w:hint="cs"/>
          <w:rtl/>
        </w:rPr>
        <w:t xml:space="preserve"> </w:t>
      </w:r>
    </w:p>
    <w:p w14:paraId="448F825B" w14:textId="77777777" w:rsidR="00DE119C" w:rsidRPr="002C0D69" w:rsidRDefault="00DE119C" w:rsidP="00DE119C">
      <w:pPr>
        <w:spacing w:line="360" w:lineRule="auto"/>
        <w:rPr>
          <w:rFonts w:ascii="David" w:hAnsi="David"/>
          <w:b/>
          <w:bCs/>
          <w:rtl/>
        </w:rPr>
      </w:pPr>
    </w:p>
    <w:p w14:paraId="5088A656" w14:textId="77777777" w:rsidR="00DE119C" w:rsidRPr="002C0D69" w:rsidRDefault="00DE119C" w:rsidP="00DE119C">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DE119C" w:rsidRPr="002C0D69" w14:paraId="086E3DED" w14:textId="77777777" w:rsidTr="00DE119C">
        <w:trPr>
          <w:trHeight w:val="355"/>
          <w:jc w:val="center"/>
        </w:trPr>
        <w:tc>
          <w:tcPr>
            <w:tcW w:w="1246" w:type="dxa"/>
            <w:tcBorders>
              <w:top w:val="nil"/>
              <w:left w:val="nil"/>
              <w:bottom w:val="nil"/>
              <w:right w:val="nil"/>
            </w:tcBorders>
            <w:shd w:val="clear" w:color="auto" w:fill="auto"/>
          </w:tcPr>
          <w:p w14:paraId="256223CF" w14:textId="77777777" w:rsidR="00DE119C" w:rsidRPr="002C0D69" w:rsidRDefault="00DE119C" w:rsidP="00DE119C">
            <w:pPr>
              <w:spacing w:line="360" w:lineRule="auto"/>
              <w:jc w:val="both"/>
              <w:rPr>
                <w:rFonts w:ascii="David" w:hAnsi="David"/>
                <w:b/>
                <w:bCs/>
              </w:rPr>
            </w:pPr>
            <w:r w:rsidRPr="002C0D69">
              <w:rPr>
                <w:rFonts w:ascii="David" w:hAnsi="David"/>
                <w:b/>
                <w:bCs/>
                <w:rtl/>
              </w:rPr>
              <w:t>בעניין:</w:t>
            </w:r>
          </w:p>
        </w:tc>
        <w:tc>
          <w:tcPr>
            <w:tcW w:w="3947" w:type="dxa"/>
            <w:tcBorders>
              <w:top w:val="nil"/>
              <w:left w:val="nil"/>
              <w:bottom w:val="nil"/>
              <w:right w:val="nil"/>
            </w:tcBorders>
            <w:shd w:val="clear" w:color="auto" w:fill="auto"/>
          </w:tcPr>
          <w:p w14:paraId="41048BA0" w14:textId="77777777" w:rsidR="00DE119C" w:rsidRPr="002C0D69" w:rsidRDefault="00DE119C" w:rsidP="00DE119C">
            <w:pPr>
              <w:spacing w:line="360" w:lineRule="auto"/>
              <w:rPr>
                <w:rFonts w:ascii="David" w:hAnsi="David"/>
                <w:b/>
                <w:bCs/>
              </w:rPr>
            </w:pPr>
            <w:r w:rsidRPr="002C0D69">
              <w:rPr>
                <w:rFonts w:ascii="David" w:hAnsi="David"/>
                <w:b/>
                <w:bCs/>
                <w:rtl/>
              </w:rPr>
              <w:t xml:space="preserve">     </w:t>
            </w:r>
          </w:p>
        </w:tc>
        <w:tc>
          <w:tcPr>
            <w:tcW w:w="3627" w:type="dxa"/>
            <w:tcBorders>
              <w:top w:val="nil"/>
              <w:left w:val="nil"/>
              <w:bottom w:val="nil"/>
              <w:right w:val="nil"/>
            </w:tcBorders>
            <w:shd w:val="clear" w:color="auto" w:fill="auto"/>
          </w:tcPr>
          <w:p w14:paraId="666D4147" w14:textId="77777777" w:rsidR="00DE119C" w:rsidRPr="002C0D69" w:rsidRDefault="00DE119C" w:rsidP="00DE119C">
            <w:pPr>
              <w:spacing w:line="360" w:lineRule="auto"/>
              <w:jc w:val="both"/>
              <w:rPr>
                <w:rFonts w:ascii="David" w:hAnsi="David"/>
                <w:b/>
                <w:bCs/>
              </w:rPr>
            </w:pPr>
          </w:p>
        </w:tc>
      </w:tr>
      <w:tr w:rsidR="00DE119C" w:rsidRPr="002C0D69" w14:paraId="561B79C0" w14:textId="77777777" w:rsidTr="00DE119C">
        <w:trPr>
          <w:trHeight w:val="355"/>
          <w:jc w:val="center"/>
        </w:trPr>
        <w:tc>
          <w:tcPr>
            <w:tcW w:w="1246" w:type="dxa"/>
            <w:tcBorders>
              <w:top w:val="nil"/>
              <w:left w:val="nil"/>
              <w:bottom w:val="nil"/>
              <w:right w:val="nil"/>
            </w:tcBorders>
            <w:shd w:val="clear" w:color="auto" w:fill="auto"/>
          </w:tcPr>
          <w:p w14:paraId="084A6D9D" w14:textId="77777777" w:rsidR="00DE119C" w:rsidRPr="002C0D69" w:rsidRDefault="00DE119C" w:rsidP="00DE119C">
            <w:pPr>
              <w:spacing w:line="360" w:lineRule="auto"/>
              <w:jc w:val="both"/>
              <w:rPr>
                <w:rFonts w:ascii="David" w:hAnsi="David"/>
                <w:b/>
                <w:bCs/>
                <w:rtl/>
              </w:rPr>
            </w:pPr>
            <w:bookmarkStart w:id="1" w:name="FirstAppellant"/>
            <w:r w:rsidRPr="002C0D69">
              <w:rPr>
                <w:rFonts w:ascii="David" w:hAnsi="David" w:hint="cs"/>
                <w:b/>
                <w:bCs/>
                <w:rtl/>
              </w:rPr>
              <w:t>המאשימה:</w:t>
            </w:r>
          </w:p>
        </w:tc>
        <w:tc>
          <w:tcPr>
            <w:tcW w:w="3947" w:type="dxa"/>
            <w:tcBorders>
              <w:top w:val="nil"/>
              <w:left w:val="nil"/>
              <w:bottom w:val="nil"/>
              <w:right w:val="nil"/>
            </w:tcBorders>
            <w:shd w:val="clear" w:color="auto" w:fill="auto"/>
          </w:tcPr>
          <w:p w14:paraId="2A5BE293" w14:textId="77777777" w:rsidR="00DE119C" w:rsidRPr="002C0D69" w:rsidRDefault="00DE119C" w:rsidP="00DE119C">
            <w:pPr>
              <w:spacing w:line="360" w:lineRule="auto"/>
              <w:jc w:val="both"/>
              <w:rPr>
                <w:rFonts w:ascii="David" w:hAnsi="David"/>
                <w:b/>
                <w:bCs/>
                <w:rtl/>
              </w:rPr>
            </w:pPr>
            <w:r w:rsidRPr="002C0D69">
              <w:rPr>
                <w:rFonts w:ascii="David" w:hAnsi="David" w:hint="cs"/>
                <w:b/>
                <w:bCs/>
                <w:rtl/>
              </w:rPr>
              <w:t>מדינת ישראל</w:t>
            </w:r>
          </w:p>
        </w:tc>
        <w:tc>
          <w:tcPr>
            <w:tcW w:w="3627" w:type="dxa"/>
            <w:tcBorders>
              <w:top w:val="nil"/>
              <w:left w:val="nil"/>
              <w:bottom w:val="nil"/>
              <w:right w:val="nil"/>
            </w:tcBorders>
            <w:shd w:val="clear" w:color="auto" w:fill="auto"/>
          </w:tcPr>
          <w:p w14:paraId="220FE045" w14:textId="77777777" w:rsidR="00DE119C" w:rsidRPr="002C0D69" w:rsidRDefault="00DE119C" w:rsidP="00DE119C">
            <w:pPr>
              <w:spacing w:line="360" w:lineRule="auto"/>
              <w:jc w:val="right"/>
              <w:rPr>
                <w:rFonts w:ascii="David" w:hAnsi="David"/>
                <w:b/>
                <w:bCs/>
                <w:rtl/>
              </w:rPr>
            </w:pPr>
          </w:p>
        </w:tc>
      </w:tr>
      <w:bookmarkEnd w:id="1"/>
      <w:tr w:rsidR="00DE119C" w:rsidRPr="002C0D69" w14:paraId="6207817A" w14:textId="77777777" w:rsidTr="00DE119C">
        <w:trPr>
          <w:trHeight w:val="355"/>
          <w:jc w:val="center"/>
        </w:trPr>
        <w:tc>
          <w:tcPr>
            <w:tcW w:w="1246" w:type="dxa"/>
            <w:tcBorders>
              <w:top w:val="nil"/>
              <w:left w:val="nil"/>
              <w:bottom w:val="nil"/>
              <w:right w:val="nil"/>
            </w:tcBorders>
            <w:shd w:val="clear" w:color="auto" w:fill="auto"/>
          </w:tcPr>
          <w:p w14:paraId="771AADE9" w14:textId="77777777" w:rsidR="00DE119C" w:rsidRPr="002C0D69" w:rsidRDefault="00DE119C" w:rsidP="00DE119C">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558ECAD0" w14:textId="77777777" w:rsidR="00DE119C" w:rsidRPr="002C0D69" w:rsidRDefault="00DE119C" w:rsidP="00DE119C">
            <w:pPr>
              <w:spacing w:line="360" w:lineRule="auto"/>
              <w:jc w:val="center"/>
              <w:rPr>
                <w:rFonts w:ascii="David" w:hAnsi="David"/>
                <w:b/>
                <w:bCs/>
              </w:rPr>
            </w:pPr>
            <w:r w:rsidRPr="002C0D69">
              <w:rPr>
                <w:rFonts w:ascii="David" w:hAnsi="David"/>
                <w:b/>
                <w:bCs/>
                <w:sz w:val="28"/>
                <w:szCs w:val="28"/>
                <w:rtl/>
              </w:rPr>
              <w:t>נגד</w:t>
            </w:r>
          </w:p>
        </w:tc>
      </w:tr>
      <w:tr w:rsidR="00DE119C" w:rsidRPr="002C0D69" w14:paraId="6DFEEF32" w14:textId="77777777" w:rsidTr="00DE119C">
        <w:trPr>
          <w:trHeight w:val="355"/>
          <w:jc w:val="center"/>
        </w:trPr>
        <w:tc>
          <w:tcPr>
            <w:tcW w:w="1246" w:type="dxa"/>
            <w:tcBorders>
              <w:top w:val="nil"/>
              <w:left w:val="nil"/>
              <w:bottom w:val="nil"/>
              <w:right w:val="nil"/>
            </w:tcBorders>
            <w:shd w:val="clear" w:color="auto" w:fill="auto"/>
          </w:tcPr>
          <w:p w14:paraId="54FEFF15" w14:textId="77777777" w:rsidR="00DE119C" w:rsidRPr="002C0D69" w:rsidRDefault="00DE119C" w:rsidP="00DE119C">
            <w:pPr>
              <w:spacing w:line="360" w:lineRule="auto"/>
              <w:rPr>
                <w:rFonts w:ascii="David" w:hAnsi="David"/>
                <w:b/>
                <w:bCs/>
                <w:rtl/>
              </w:rPr>
            </w:pPr>
            <w:r w:rsidRPr="002C0D69">
              <w:rPr>
                <w:rFonts w:ascii="David" w:hAnsi="David" w:hint="cs"/>
                <w:b/>
                <w:bCs/>
                <w:rtl/>
              </w:rPr>
              <w:t>הנאשם:</w:t>
            </w:r>
          </w:p>
        </w:tc>
        <w:tc>
          <w:tcPr>
            <w:tcW w:w="3947" w:type="dxa"/>
            <w:tcBorders>
              <w:top w:val="nil"/>
              <w:left w:val="nil"/>
              <w:bottom w:val="nil"/>
              <w:right w:val="nil"/>
            </w:tcBorders>
            <w:shd w:val="clear" w:color="auto" w:fill="auto"/>
          </w:tcPr>
          <w:p w14:paraId="558CB9B2" w14:textId="77777777" w:rsidR="00DE119C" w:rsidRPr="002C0D69" w:rsidRDefault="00DE119C" w:rsidP="00DE119C">
            <w:pPr>
              <w:spacing w:line="360" w:lineRule="auto"/>
              <w:rPr>
                <w:rFonts w:ascii="David" w:hAnsi="David"/>
                <w:b/>
                <w:bCs/>
                <w:rtl/>
              </w:rPr>
            </w:pPr>
            <w:r w:rsidRPr="002C0D69">
              <w:rPr>
                <w:rFonts w:ascii="David" w:hAnsi="David"/>
                <w:b/>
                <w:bCs/>
                <w:rtl/>
              </w:rPr>
              <w:t>נאו</w:t>
            </w:r>
            <w:r w:rsidRPr="002C0D69">
              <w:rPr>
                <w:rFonts w:ascii="David" w:hAnsi="David" w:hint="cs"/>
                <w:b/>
                <w:bCs/>
                <w:rtl/>
              </w:rPr>
              <w:t>ף</w:t>
            </w:r>
            <w:r w:rsidRPr="002C0D69">
              <w:rPr>
                <w:rFonts w:ascii="David" w:hAnsi="David"/>
                <w:b/>
                <w:bCs/>
                <w:rtl/>
              </w:rPr>
              <w:t xml:space="preserve"> אבו עסא (עציר)</w:t>
            </w:r>
          </w:p>
        </w:tc>
        <w:tc>
          <w:tcPr>
            <w:tcW w:w="3627" w:type="dxa"/>
            <w:tcBorders>
              <w:top w:val="nil"/>
              <w:left w:val="nil"/>
              <w:bottom w:val="nil"/>
              <w:right w:val="nil"/>
            </w:tcBorders>
            <w:shd w:val="clear" w:color="auto" w:fill="auto"/>
          </w:tcPr>
          <w:p w14:paraId="12BCBF2D" w14:textId="77777777" w:rsidR="00DE119C" w:rsidRPr="002C0D69" w:rsidRDefault="00DE119C" w:rsidP="00DE119C">
            <w:pPr>
              <w:spacing w:line="360" w:lineRule="auto"/>
              <w:jc w:val="right"/>
              <w:rPr>
                <w:rFonts w:ascii="David" w:hAnsi="David"/>
                <w:b/>
                <w:bCs/>
              </w:rPr>
            </w:pPr>
          </w:p>
        </w:tc>
      </w:tr>
    </w:tbl>
    <w:p w14:paraId="682B46CD" w14:textId="77777777" w:rsidR="00DE119C" w:rsidRPr="002C0D69" w:rsidRDefault="00DE119C" w:rsidP="00DE119C">
      <w:pPr>
        <w:spacing w:line="360" w:lineRule="auto"/>
        <w:rPr>
          <w:rFonts w:ascii="David" w:hAnsi="David"/>
          <w:b/>
          <w:bCs/>
        </w:rPr>
      </w:pPr>
    </w:p>
    <w:p w14:paraId="5F480734" w14:textId="77777777" w:rsidR="00E76674" w:rsidRPr="00E76674" w:rsidRDefault="00E76674" w:rsidP="00E76674">
      <w:pPr>
        <w:spacing w:before="120" w:after="120" w:line="240" w:lineRule="exact"/>
        <w:ind w:left="283" w:hanging="283"/>
        <w:jc w:val="both"/>
        <w:rPr>
          <w:rFonts w:ascii="FrankRuehl" w:hAnsi="FrankRuehl" w:cs="FrankRuehl"/>
          <w:rtl/>
        </w:rPr>
      </w:pPr>
      <w:bookmarkStart w:id="2" w:name="LawTable"/>
      <w:bookmarkEnd w:id="2"/>
      <w:r w:rsidRPr="00E76674">
        <w:rPr>
          <w:rFonts w:ascii="FrankRuehl" w:hAnsi="FrankRuehl" w:cs="FrankRuehl"/>
          <w:rtl/>
        </w:rPr>
        <w:t xml:space="preserve">חקיקה שאוזכרה: </w:t>
      </w:r>
    </w:p>
    <w:p w14:paraId="694942D6" w14:textId="77777777" w:rsidR="00E76674" w:rsidRPr="00E76674" w:rsidRDefault="00E76674" w:rsidP="00E76674">
      <w:pPr>
        <w:spacing w:before="120" w:after="120" w:line="240" w:lineRule="exact"/>
        <w:ind w:left="283" w:hanging="283"/>
        <w:jc w:val="both"/>
        <w:rPr>
          <w:rFonts w:ascii="FrankRuehl" w:hAnsi="FrankRuehl" w:cs="FrankRuehl"/>
          <w:rtl/>
        </w:rPr>
      </w:pPr>
      <w:hyperlink r:id="rId7" w:history="1">
        <w:r w:rsidRPr="00E76674">
          <w:rPr>
            <w:rFonts w:ascii="FrankRuehl" w:hAnsi="FrankRuehl" w:cs="FrankRuehl"/>
            <w:color w:val="0000FF"/>
            <w:u w:val="single"/>
            <w:rtl/>
          </w:rPr>
          <w:t>חוק העונשין, תשל"ז-1977</w:t>
        </w:r>
      </w:hyperlink>
      <w:r w:rsidRPr="00E76674">
        <w:rPr>
          <w:rFonts w:ascii="FrankRuehl" w:hAnsi="FrankRuehl" w:cs="FrankRuehl"/>
          <w:rtl/>
        </w:rPr>
        <w:t xml:space="preserve">: סע'  </w:t>
      </w:r>
      <w:hyperlink r:id="rId8" w:history="1">
        <w:r w:rsidRPr="00E76674">
          <w:rPr>
            <w:rFonts w:ascii="FrankRuehl" w:hAnsi="FrankRuehl" w:cs="FrankRuehl"/>
            <w:color w:val="0000FF"/>
            <w:u w:val="single"/>
            <w:rtl/>
          </w:rPr>
          <w:t>144(ב)</w:t>
        </w:r>
      </w:hyperlink>
    </w:p>
    <w:p w14:paraId="3A95E9A1" w14:textId="77777777" w:rsidR="00DE119C" w:rsidRPr="00E76674" w:rsidRDefault="00DE119C" w:rsidP="00E76674">
      <w:pPr>
        <w:spacing w:line="360" w:lineRule="auto"/>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119C" w:rsidRPr="007E09DB" w14:paraId="7E5F0A75" w14:textId="77777777" w:rsidTr="00DE119C">
        <w:trPr>
          <w:trHeight w:val="355"/>
          <w:jc w:val="center"/>
        </w:trPr>
        <w:tc>
          <w:tcPr>
            <w:tcW w:w="8820" w:type="dxa"/>
            <w:tcBorders>
              <w:top w:val="nil"/>
              <w:left w:val="nil"/>
              <w:bottom w:val="nil"/>
              <w:right w:val="nil"/>
            </w:tcBorders>
            <w:shd w:val="clear" w:color="auto" w:fill="auto"/>
          </w:tcPr>
          <w:p w14:paraId="24308FD2" w14:textId="77777777" w:rsidR="002C0D69" w:rsidRPr="002C0D69" w:rsidRDefault="002C0D69" w:rsidP="002C0D69">
            <w:pPr>
              <w:spacing w:line="360" w:lineRule="auto"/>
              <w:jc w:val="center"/>
              <w:rPr>
                <w:rFonts w:ascii="David" w:hAnsi="David"/>
                <w:b/>
                <w:bCs/>
                <w:sz w:val="28"/>
                <w:szCs w:val="28"/>
                <w:u w:val="single"/>
                <w:rtl/>
              </w:rPr>
            </w:pPr>
            <w:bookmarkStart w:id="4" w:name="PsakDin" w:colFirst="0" w:colLast="0"/>
            <w:r w:rsidRPr="002C0D69">
              <w:rPr>
                <w:rFonts w:ascii="David" w:hAnsi="David"/>
                <w:b/>
                <w:bCs/>
                <w:sz w:val="28"/>
                <w:szCs w:val="28"/>
                <w:u w:val="single"/>
                <w:rtl/>
              </w:rPr>
              <w:t>גזר דין</w:t>
            </w:r>
          </w:p>
          <w:p w14:paraId="760A25F4" w14:textId="77777777" w:rsidR="00DE119C" w:rsidRPr="002C0D69" w:rsidRDefault="00DE119C" w:rsidP="002C0D69">
            <w:pPr>
              <w:spacing w:line="360" w:lineRule="auto"/>
              <w:jc w:val="center"/>
              <w:rPr>
                <w:rFonts w:ascii="David" w:hAnsi="David"/>
                <w:b/>
                <w:bCs/>
                <w:sz w:val="28"/>
                <w:szCs w:val="28"/>
                <w:u w:val="single"/>
                <w:rtl/>
              </w:rPr>
            </w:pPr>
          </w:p>
        </w:tc>
      </w:tr>
      <w:bookmarkEnd w:id="4"/>
    </w:tbl>
    <w:p w14:paraId="1F211E6C" w14:textId="77777777" w:rsidR="00DE119C" w:rsidRPr="007E09DB" w:rsidRDefault="00DE119C" w:rsidP="00DE119C">
      <w:pPr>
        <w:spacing w:line="360" w:lineRule="auto"/>
        <w:rPr>
          <w:rFonts w:ascii="David" w:hAnsi="David"/>
          <w:rtl/>
        </w:rPr>
      </w:pPr>
    </w:p>
    <w:p w14:paraId="5498C8B6" w14:textId="77777777" w:rsidR="00DE119C" w:rsidRPr="007E09DB" w:rsidRDefault="00DE119C" w:rsidP="00DE119C">
      <w:pPr>
        <w:spacing w:line="360" w:lineRule="auto"/>
        <w:jc w:val="center"/>
        <w:rPr>
          <w:rFonts w:ascii="David" w:hAnsi="David"/>
          <w:rtl/>
        </w:rPr>
      </w:pPr>
    </w:p>
    <w:p w14:paraId="0458BFCB"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1.</w:t>
      </w:r>
      <w:r w:rsidRPr="007E09DB">
        <w:rPr>
          <w:rFonts w:ascii="David" w:hAnsi="David"/>
          <w:rtl/>
        </w:rPr>
        <w:tab/>
      </w:r>
      <w:bookmarkStart w:id="5" w:name="ABSTRACT_START"/>
      <w:bookmarkEnd w:id="5"/>
      <w:r w:rsidRPr="007E09DB">
        <w:rPr>
          <w:rFonts w:ascii="David" w:hAnsi="David"/>
          <w:rtl/>
        </w:rPr>
        <w:t xml:space="preserve">בתאריך 05.09.19 סמוך לשעה 22:00 הנאשם הלך לאורך כביש 25 בבאר שבע כשהוא נושא על גופו, בכיס חולצתו, אקדח חצי אוטומטי </w:t>
      </w:r>
      <w:r w:rsidRPr="007E09DB">
        <w:rPr>
          <w:rFonts w:ascii="David" w:hAnsi="David"/>
        </w:rPr>
        <w:t>CZ</w:t>
      </w:r>
      <w:r w:rsidRPr="007E09DB">
        <w:rPr>
          <w:rFonts w:ascii="David" w:hAnsi="David"/>
          <w:rtl/>
        </w:rPr>
        <w:t xml:space="preserve"> טעון במחסנית ובה 8 כדורי תחמושת של 9 מ"מ, ללא היתר על פי דין. </w:t>
      </w:r>
    </w:p>
    <w:p w14:paraId="5BC281C5"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r>
    </w:p>
    <w:p w14:paraId="4FF95727" w14:textId="77777777" w:rsidR="00DE119C" w:rsidRPr="007E09DB" w:rsidRDefault="00DE119C" w:rsidP="00DE119C">
      <w:pPr>
        <w:spacing w:line="360" w:lineRule="auto"/>
        <w:ind w:left="720"/>
        <w:jc w:val="both"/>
        <w:rPr>
          <w:rFonts w:ascii="David" w:hAnsi="David"/>
          <w:rtl/>
        </w:rPr>
      </w:pPr>
      <w:r w:rsidRPr="007E09DB">
        <w:rPr>
          <w:rFonts w:ascii="David" w:hAnsi="David"/>
          <w:rtl/>
        </w:rPr>
        <w:t xml:space="preserve">הנאשם הודה בעובדות אלה והורשע בעבירה של נשיאה והובלת נשק לפי </w:t>
      </w:r>
      <w:hyperlink r:id="rId9" w:history="1">
        <w:r w:rsidR="00E76674" w:rsidRPr="00E76674">
          <w:rPr>
            <w:rFonts w:ascii="David" w:hAnsi="David"/>
            <w:color w:val="0000FF"/>
            <w:u w:val="single"/>
            <w:rtl/>
          </w:rPr>
          <w:t>סעיף 144(ב)</w:t>
        </w:r>
      </w:hyperlink>
      <w:r w:rsidRPr="007E09DB">
        <w:rPr>
          <w:rFonts w:ascii="David" w:hAnsi="David"/>
          <w:rtl/>
        </w:rPr>
        <w:t xml:space="preserve"> רישא וסיפא ל</w:t>
      </w:r>
      <w:hyperlink r:id="rId10" w:history="1">
        <w:r w:rsidR="002C0D69" w:rsidRPr="002C0D69">
          <w:rPr>
            <w:rFonts w:ascii="David" w:hAnsi="David"/>
            <w:color w:val="0000FF"/>
            <w:u w:val="single"/>
            <w:rtl/>
          </w:rPr>
          <w:t>חוק העונשין</w:t>
        </w:r>
      </w:hyperlink>
      <w:r w:rsidRPr="007E09DB">
        <w:rPr>
          <w:rFonts w:ascii="David" w:hAnsi="David"/>
          <w:rtl/>
        </w:rPr>
        <w:t xml:space="preserve"> תשל"ז –1977.</w:t>
      </w:r>
    </w:p>
    <w:p w14:paraId="2B916549" w14:textId="77777777" w:rsidR="00DE119C" w:rsidRPr="007E09DB" w:rsidRDefault="00DE119C" w:rsidP="00DE119C">
      <w:pPr>
        <w:spacing w:line="360" w:lineRule="auto"/>
        <w:jc w:val="both"/>
        <w:rPr>
          <w:rFonts w:ascii="David" w:hAnsi="David"/>
          <w:rtl/>
        </w:rPr>
      </w:pPr>
      <w:bookmarkStart w:id="6" w:name="ABSTRACT_END"/>
      <w:bookmarkEnd w:id="6"/>
    </w:p>
    <w:p w14:paraId="03E76D80"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2.</w:t>
      </w:r>
      <w:r w:rsidRPr="007E09DB">
        <w:rPr>
          <w:rFonts w:ascii="David" w:hAnsi="David"/>
          <w:rtl/>
        </w:rPr>
        <w:tab/>
        <w:t xml:space="preserve">הודאת הנאשם באה במסגרת הסדר טיעון שבגדרו המליצו הצדדים לבית המשפט להטיל על הנאשם 24 חודשי מאסר בפועל, מאסר על תנאי וקנס בסך 5,000 ₪. </w:t>
      </w:r>
    </w:p>
    <w:p w14:paraId="60608204" w14:textId="77777777" w:rsidR="00DE119C" w:rsidRPr="007E09DB" w:rsidRDefault="00DE119C" w:rsidP="00DE119C">
      <w:pPr>
        <w:spacing w:line="360" w:lineRule="auto"/>
        <w:jc w:val="both"/>
        <w:rPr>
          <w:rFonts w:ascii="David" w:hAnsi="David"/>
          <w:rtl/>
        </w:rPr>
      </w:pPr>
    </w:p>
    <w:p w14:paraId="7168CE55"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3.</w:t>
      </w:r>
      <w:r w:rsidRPr="007E09DB">
        <w:rPr>
          <w:rFonts w:ascii="David" w:hAnsi="David"/>
          <w:rtl/>
        </w:rPr>
        <w:tab/>
        <w:t xml:space="preserve">המאשימה טענה כי העבירה בה הורשע הנאשם מסכנת את הציבור ושמדיניות הענישה בעבירות מסוג זה מחמירה, והוסיפה שהנאשם נשא את הנשק כשהוא טעון. לקולה ציינה, שהנאשם נעדר עבר פלילי, הודה וחסך זמן שיפוטי. וטענה שהעונש המוצע ראוי ויש לאמצו. </w:t>
      </w:r>
    </w:p>
    <w:p w14:paraId="5CC08EE2"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r>
    </w:p>
    <w:p w14:paraId="6236659E"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lastRenderedPageBreak/>
        <w:tab/>
        <w:t xml:space="preserve">ב"כ הנאשם הצטרף לדברי ב"כ המאשימה. ציין כי הנאשם נשא את האקדח מחוץ לתחומי העיר, בכביש בין עירוני. וציין שהנאשם הודה בהזדמנות הראשונה, לקח אחריות על מעשיו, הוא נעדר עבר פלילי ואב לילדים. </w:t>
      </w:r>
    </w:p>
    <w:p w14:paraId="5BE53F5B" w14:textId="77777777" w:rsidR="00DE119C" w:rsidRPr="007E09DB" w:rsidRDefault="00DE119C" w:rsidP="00DE119C">
      <w:pPr>
        <w:spacing w:line="360" w:lineRule="auto"/>
        <w:ind w:left="720" w:hanging="720"/>
        <w:jc w:val="both"/>
        <w:rPr>
          <w:rFonts w:ascii="David" w:hAnsi="David"/>
          <w:rtl/>
        </w:rPr>
      </w:pPr>
    </w:p>
    <w:p w14:paraId="04BC618D"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ab/>
        <w:t>הנאשם סיפר כי הוא אב ל- 4 ילדים מגיל שנה וחצי ועד שמונה, והוא עובד אצל קבלן עפר.</w:t>
      </w:r>
    </w:p>
    <w:p w14:paraId="49F70962" w14:textId="77777777" w:rsidR="00DE119C" w:rsidRPr="007E09DB" w:rsidRDefault="00DE119C" w:rsidP="00DE119C">
      <w:pPr>
        <w:spacing w:line="360" w:lineRule="auto"/>
        <w:ind w:left="720" w:hanging="720"/>
        <w:jc w:val="both"/>
        <w:rPr>
          <w:rFonts w:ascii="David" w:hAnsi="David"/>
          <w:rtl/>
        </w:rPr>
      </w:pPr>
    </w:p>
    <w:p w14:paraId="252FC00E"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4.</w:t>
      </w:r>
      <w:r w:rsidRPr="007E09DB">
        <w:rPr>
          <w:rFonts w:ascii="David" w:hAnsi="David"/>
          <w:rtl/>
        </w:rPr>
        <w:tab/>
        <w:t>נשק הוא כלי מסוכן. החזקתו מחייבת רישוי, שקודמות לו בדיקות שונות והכשרה. הסיכון הגלום בהחזקתו, נשיאתו ושימוש בו שלא כדין, ברור מאליו. העובדה שבאקדח היתה מחסנית עם תחמושת מוסיפה לחומרת המעשה ולסיכון הנובע ממנו.</w:t>
      </w:r>
    </w:p>
    <w:p w14:paraId="33E7AF8E" w14:textId="77777777" w:rsidR="00DE119C" w:rsidRDefault="00DE119C" w:rsidP="00DE119C">
      <w:pPr>
        <w:spacing w:line="360" w:lineRule="auto"/>
        <w:ind w:left="720" w:hanging="720"/>
        <w:jc w:val="both"/>
        <w:rPr>
          <w:rFonts w:ascii="David" w:hAnsi="David"/>
          <w:rtl/>
        </w:rPr>
      </w:pPr>
    </w:p>
    <w:p w14:paraId="5A46A596" w14:textId="77777777" w:rsidR="00DE119C" w:rsidRPr="007E09DB" w:rsidRDefault="00DE119C" w:rsidP="00DE119C">
      <w:pPr>
        <w:spacing w:line="360" w:lineRule="auto"/>
        <w:ind w:left="720" w:hanging="720"/>
        <w:jc w:val="both"/>
        <w:rPr>
          <w:rFonts w:ascii="David" w:hAnsi="David"/>
          <w:rtl/>
        </w:rPr>
      </w:pPr>
    </w:p>
    <w:p w14:paraId="634B64E0" w14:textId="77777777" w:rsidR="00DE119C" w:rsidRPr="007E09DB" w:rsidRDefault="00DE119C" w:rsidP="00DE119C">
      <w:pPr>
        <w:spacing w:line="360" w:lineRule="auto"/>
        <w:ind w:left="720" w:hanging="720"/>
        <w:jc w:val="both"/>
        <w:rPr>
          <w:rFonts w:ascii="David" w:hAnsi="David"/>
          <w:rtl/>
        </w:rPr>
      </w:pPr>
      <w:r w:rsidRPr="007E09DB">
        <w:rPr>
          <w:rFonts w:ascii="David" w:hAnsi="David"/>
          <w:rtl/>
        </w:rPr>
        <w:t>5.</w:t>
      </w:r>
      <w:r w:rsidRPr="007E09DB">
        <w:rPr>
          <w:rFonts w:ascii="David" w:hAnsi="David"/>
          <w:rtl/>
        </w:rPr>
        <w:tab/>
        <w:t>לאחר ששקלתי בדבר, באתי למסקנה כי יש לכבד את הסדר הטיעון:</w:t>
      </w:r>
    </w:p>
    <w:p w14:paraId="5E69C91A" w14:textId="77777777" w:rsidR="00DE119C" w:rsidRPr="007E09DB" w:rsidRDefault="00DE119C" w:rsidP="00DE119C">
      <w:pPr>
        <w:spacing w:line="360" w:lineRule="auto"/>
        <w:jc w:val="both"/>
        <w:rPr>
          <w:rFonts w:ascii="David" w:hAnsi="David"/>
          <w:rtl/>
        </w:rPr>
      </w:pPr>
    </w:p>
    <w:p w14:paraId="1B54E195" w14:textId="77777777" w:rsidR="00DE119C" w:rsidRPr="007E09DB" w:rsidRDefault="00DE119C" w:rsidP="00DE119C">
      <w:pPr>
        <w:numPr>
          <w:ilvl w:val="0"/>
          <w:numId w:val="1"/>
        </w:numPr>
        <w:spacing w:line="360" w:lineRule="auto"/>
        <w:jc w:val="both"/>
        <w:rPr>
          <w:rFonts w:ascii="David" w:hAnsi="David"/>
          <w:color w:val="000000"/>
          <w:rtl/>
          <w:lang w:eastAsia="he-IL"/>
        </w:rPr>
      </w:pPr>
      <w:r w:rsidRPr="007E09DB">
        <w:rPr>
          <w:rFonts w:ascii="David" w:hAnsi="David"/>
          <w:b/>
          <w:rtl/>
          <w:lang w:eastAsia="he-IL"/>
        </w:rPr>
        <w:t xml:space="preserve">"הסדר טיעון </w:t>
      </w:r>
      <w:r w:rsidRPr="007E09DB">
        <w:rPr>
          <w:rFonts w:ascii="David" w:hAnsi="David"/>
          <w:rtl/>
          <w:lang w:eastAsia="he-IL"/>
        </w:rPr>
        <w:t>– באשר הוא – אינו רק שיקול אחד ככל יתר השיקולים העומדים בפני בית</w:t>
      </w:r>
      <w:r w:rsidRPr="007E09DB">
        <w:rPr>
          <w:rFonts w:ascii="David" w:hAnsi="David"/>
          <w:vertAlign w:val="superscript"/>
          <w:rtl/>
          <w:lang w:eastAsia="he-IL"/>
        </w:rPr>
        <w:t>-</w:t>
      </w:r>
      <w:r w:rsidRPr="007E09DB">
        <w:rPr>
          <w:rFonts w:ascii="David" w:hAnsi="David"/>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7E09DB">
        <w:rPr>
          <w:rFonts w:ascii="David" w:hAnsi="David"/>
          <w:vertAlign w:val="superscript"/>
          <w:rtl/>
          <w:lang w:eastAsia="he-IL"/>
        </w:rPr>
        <w:t>-</w:t>
      </w:r>
      <w:r w:rsidRPr="007E09DB">
        <w:rPr>
          <w:rFonts w:ascii="David" w:hAnsi="David"/>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7E09DB">
        <w:rPr>
          <w:rFonts w:ascii="David" w:hAnsi="David"/>
          <w:vertAlign w:val="superscript"/>
          <w:rtl/>
          <w:lang w:eastAsia="he-IL"/>
        </w:rPr>
        <w:t>-</w:t>
      </w:r>
      <w:r w:rsidRPr="007E09DB">
        <w:rPr>
          <w:rFonts w:ascii="David" w:hAnsi="David"/>
          <w:rtl/>
          <w:lang w:eastAsia="he-IL"/>
        </w:rPr>
        <w:t xml:space="preserve">המשפט יראה לקיים את הסדר הטיעון בשל הטעמים הקשורים בחשיבותם ובמעמדם של הסדרי הטיעון". - </w:t>
      </w:r>
      <w:r w:rsidRPr="007E09DB">
        <w:rPr>
          <w:rFonts w:ascii="David" w:hAnsi="David"/>
          <w:color w:val="000000"/>
          <w:rtl/>
          <w:lang w:eastAsia="he-IL"/>
        </w:rPr>
        <w:t>ע"פ 1958/98‏ פלוני נ' מדינת ישראל, פ''ד נז(1) 577</w:t>
      </w:r>
    </w:p>
    <w:p w14:paraId="225EE3A1" w14:textId="77777777" w:rsidR="00DE119C" w:rsidRPr="007E09DB" w:rsidRDefault="00DE119C" w:rsidP="00DE119C">
      <w:pPr>
        <w:numPr>
          <w:ilvl w:val="0"/>
          <w:numId w:val="1"/>
        </w:numPr>
        <w:spacing w:line="360" w:lineRule="auto"/>
        <w:jc w:val="both"/>
        <w:rPr>
          <w:rFonts w:ascii="David" w:hAnsi="David"/>
          <w:rtl/>
        </w:rPr>
      </w:pPr>
      <w:r w:rsidRPr="007E09DB">
        <w:rPr>
          <w:rFonts w:ascii="David" w:hAnsi="David"/>
          <w:color w:val="000000"/>
          <w:rtl/>
          <w:lang w:eastAsia="he-IL"/>
        </w:rPr>
        <w:t>הנאשם הודה במיוחס לו וחסך זמן שיפוט ותשומות הכרוכות בניהול המשפט עד תום.</w:t>
      </w:r>
    </w:p>
    <w:p w14:paraId="2D4F4A71" w14:textId="77777777" w:rsidR="00DE119C" w:rsidRPr="007E09DB" w:rsidRDefault="00DE119C" w:rsidP="00DE119C">
      <w:pPr>
        <w:numPr>
          <w:ilvl w:val="0"/>
          <w:numId w:val="1"/>
        </w:numPr>
        <w:spacing w:line="360" w:lineRule="auto"/>
        <w:jc w:val="both"/>
        <w:rPr>
          <w:rFonts w:ascii="David" w:hAnsi="David"/>
        </w:rPr>
      </w:pPr>
      <w:r w:rsidRPr="007E09DB">
        <w:rPr>
          <w:rFonts w:ascii="David" w:hAnsi="David"/>
          <w:color w:val="000000"/>
          <w:rtl/>
          <w:lang w:eastAsia="he-IL"/>
        </w:rPr>
        <w:t xml:space="preserve">הנאשם נעדר עבר פלילי וזהו מאסרו הראשון. </w:t>
      </w:r>
    </w:p>
    <w:p w14:paraId="55E7984E" w14:textId="77777777" w:rsidR="00DE119C" w:rsidRPr="007E09DB" w:rsidRDefault="00DE119C" w:rsidP="00DE119C">
      <w:pPr>
        <w:numPr>
          <w:ilvl w:val="0"/>
          <w:numId w:val="1"/>
        </w:numPr>
        <w:spacing w:line="360" w:lineRule="auto"/>
        <w:jc w:val="both"/>
        <w:rPr>
          <w:rFonts w:ascii="David" w:hAnsi="David"/>
        </w:rPr>
      </w:pPr>
      <w:r w:rsidRPr="007E09DB">
        <w:rPr>
          <w:rFonts w:ascii="David" w:hAnsi="David"/>
          <w:color w:val="000000"/>
          <w:rtl/>
          <w:lang w:eastAsia="he-IL"/>
        </w:rPr>
        <w:t>העונש המוצע כולל מאסר לתקופה משמעותית ויש בו לתרום להרתעת הנאשם והציבור</w:t>
      </w:r>
      <w:r w:rsidRPr="007E09DB">
        <w:rPr>
          <w:rFonts w:ascii="David" w:hAnsi="David"/>
          <w:rtl/>
        </w:rPr>
        <w:t>.</w:t>
      </w:r>
    </w:p>
    <w:p w14:paraId="30CADE93" w14:textId="77777777" w:rsidR="00DE119C" w:rsidRDefault="00DE119C" w:rsidP="00DE119C">
      <w:pPr>
        <w:spacing w:line="360" w:lineRule="auto"/>
        <w:ind w:left="720"/>
        <w:jc w:val="both"/>
        <w:rPr>
          <w:rFonts w:ascii="David" w:hAnsi="David"/>
          <w:color w:val="000000"/>
          <w:rtl/>
          <w:lang w:eastAsia="he-IL"/>
        </w:rPr>
      </w:pPr>
    </w:p>
    <w:p w14:paraId="71C97901" w14:textId="77777777" w:rsidR="00DE119C" w:rsidRPr="007E09DB" w:rsidRDefault="00DE119C" w:rsidP="00DE119C">
      <w:pPr>
        <w:spacing w:line="360" w:lineRule="auto"/>
        <w:ind w:left="720"/>
        <w:jc w:val="both"/>
        <w:rPr>
          <w:rFonts w:ascii="David" w:hAnsi="David"/>
          <w:color w:val="000000"/>
          <w:lang w:eastAsia="he-IL"/>
        </w:rPr>
      </w:pPr>
    </w:p>
    <w:p w14:paraId="5933FFC4" w14:textId="77777777" w:rsidR="00DE119C" w:rsidRDefault="00DE119C" w:rsidP="00DE119C">
      <w:pPr>
        <w:spacing w:line="360" w:lineRule="auto"/>
        <w:jc w:val="both"/>
        <w:rPr>
          <w:rFonts w:ascii="David" w:hAnsi="David"/>
          <w:color w:val="000000"/>
          <w:rtl/>
          <w:lang w:eastAsia="he-IL"/>
        </w:rPr>
      </w:pPr>
      <w:r w:rsidRPr="007E09DB">
        <w:rPr>
          <w:rFonts w:ascii="David" w:hAnsi="David"/>
          <w:color w:val="000000"/>
          <w:rtl/>
          <w:lang w:eastAsia="he-IL"/>
        </w:rPr>
        <w:t>6.</w:t>
      </w:r>
      <w:r w:rsidRPr="007E09DB">
        <w:rPr>
          <w:rFonts w:ascii="David" w:hAnsi="David"/>
          <w:color w:val="000000"/>
          <w:rtl/>
          <w:lang w:eastAsia="he-IL"/>
        </w:rPr>
        <w:tab/>
        <w:t>נוכח האמור אני דן את הנאשם לעונשים הבאים:</w:t>
      </w:r>
    </w:p>
    <w:p w14:paraId="3AE7EB54" w14:textId="77777777" w:rsidR="00DE119C" w:rsidRPr="007E09DB" w:rsidRDefault="00DE119C" w:rsidP="00DE119C">
      <w:pPr>
        <w:spacing w:line="360" w:lineRule="auto"/>
        <w:jc w:val="both"/>
        <w:rPr>
          <w:rFonts w:ascii="David" w:hAnsi="David"/>
          <w:color w:val="000000"/>
          <w:rtl/>
          <w:lang w:eastAsia="he-IL"/>
        </w:rPr>
      </w:pPr>
    </w:p>
    <w:p w14:paraId="6E3BC948" w14:textId="77777777" w:rsidR="00DE119C" w:rsidRPr="007E09DB" w:rsidRDefault="00DE119C" w:rsidP="00DE119C">
      <w:pPr>
        <w:spacing w:line="360" w:lineRule="auto"/>
        <w:ind w:firstLine="720"/>
        <w:jc w:val="both"/>
        <w:rPr>
          <w:rFonts w:ascii="David" w:hAnsi="David"/>
          <w:color w:val="000000"/>
          <w:rtl/>
          <w:lang w:eastAsia="he-IL"/>
        </w:rPr>
      </w:pPr>
      <w:r w:rsidRPr="007E09DB">
        <w:rPr>
          <w:rFonts w:ascii="David" w:hAnsi="David"/>
          <w:color w:val="000000"/>
          <w:rtl/>
          <w:lang w:eastAsia="he-IL"/>
        </w:rPr>
        <w:t>א.</w:t>
      </w:r>
      <w:r w:rsidRPr="007E09DB">
        <w:rPr>
          <w:rFonts w:ascii="David" w:hAnsi="David"/>
          <w:color w:val="000000"/>
          <w:rtl/>
          <w:lang w:eastAsia="he-IL"/>
        </w:rPr>
        <w:tab/>
        <w:t>24 חודשי מאסר בפועל, מיום מעצרו.</w:t>
      </w:r>
    </w:p>
    <w:p w14:paraId="06A5D236" w14:textId="77777777" w:rsidR="00DE119C" w:rsidRPr="007E09DB" w:rsidRDefault="002C0D69" w:rsidP="00DE119C">
      <w:pPr>
        <w:spacing w:line="360" w:lineRule="auto"/>
        <w:ind w:left="1440" w:hanging="720"/>
        <w:jc w:val="both"/>
        <w:rPr>
          <w:rFonts w:ascii="David" w:hAnsi="David"/>
          <w:color w:val="000000"/>
          <w:rtl/>
          <w:lang w:eastAsia="he-IL"/>
        </w:rPr>
      </w:pPr>
      <w:r w:rsidRPr="002C0D69">
        <w:rPr>
          <w:rFonts w:ascii="David" w:hAnsi="David"/>
          <w:color w:val="FFFFFF"/>
          <w:sz w:val="2"/>
          <w:szCs w:val="2"/>
          <w:rtl/>
          <w:lang w:eastAsia="he-IL"/>
        </w:rPr>
        <w:t>5129371</w:t>
      </w:r>
      <w:r w:rsidR="00DE119C" w:rsidRPr="007E09DB">
        <w:rPr>
          <w:rFonts w:ascii="David" w:hAnsi="David"/>
          <w:color w:val="000000"/>
          <w:rtl/>
          <w:lang w:eastAsia="he-IL"/>
        </w:rPr>
        <w:t>ב.</w:t>
      </w:r>
      <w:r w:rsidR="00DE119C" w:rsidRPr="007E09DB">
        <w:rPr>
          <w:rFonts w:ascii="David" w:hAnsi="David"/>
          <w:color w:val="000000"/>
          <w:rtl/>
          <w:lang w:eastAsia="he-IL"/>
        </w:rPr>
        <w:tab/>
        <w:t>12 חודשי מאסר על תנאי למשך שלוש שנים מיום שחרורו מהמאסר שלא יעבור עבירת נשק המסווגת כפשע.</w:t>
      </w:r>
    </w:p>
    <w:p w14:paraId="227E0942" w14:textId="77777777" w:rsidR="00DE119C" w:rsidRPr="007E09DB" w:rsidRDefault="002C0D69" w:rsidP="00DE119C">
      <w:pPr>
        <w:spacing w:line="360" w:lineRule="auto"/>
        <w:ind w:left="1440" w:hanging="720"/>
        <w:jc w:val="both"/>
        <w:rPr>
          <w:rFonts w:ascii="David" w:hAnsi="David"/>
          <w:color w:val="000000"/>
          <w:rtl/>
          <w:lang w:eastAsia="he-IL"/>
        </w:rPr>
      </w:pPr>
      <w:r w:rsidRPr="002C0D69">
        <w:rPr>
          <w:rFonts w:ascii="David" w:hAnsi="David"/>
          <w:color w:val="FFFFFF"/>
          <w:sz w:val="2"/>
          <w:szCs w:val="2"/>
          <w:rtl/>
          <w:lang w:eastAsia="he-IL"/>
        </w:rPr>
        <w:lastRenderedPageBreak/>
        <w:t>54678313</w:t>
      </w:r>
      <w:r w:rsidR="00DE119C" w:rsidRPr="007E09DB">
        <w:rPr>
          <w:rFonts w:ascii="David" w:hAnsi="David"/>
          <w:color w:val="000000"/>
          <w:rtl/>
          <w:lang w:eastAsia="he-IL"/>
        </w:rPr>
        <w:t>ג.</w:t>
      </w:r>
      <w:r w:rsidR="00DE119C" w:rsidRPr="007E09DB">
        <w:rPr>
          <w:rFonts w:ascii="David" w:hAnsi="David"/>
          <w:color w:val="000000"/>
          <w:rtl/>
          <w:lang w:eastAsia="he-IL"/>
        </w:rPr>
        <w:tab/>
        <w:t xml:space="preserve">קנס בסך 5,000 ₪ או 30 ימי מאסר תחתיו. הקנס ישולם ב-5  תשלומים חודשיים שווים ורצופים, הראשון בהם ביום 1.2.20 . תשלום שלא ישולם במועדו יעמיד את כל יתרת הקנס לפרעון מיידי. </w:t>
      </w:r>
    </w:p>
    <w:p w14:paraId="5835DFD3" w14:textId="77777777" w:rsidR="00DE119C" w:rsidRPr="007E09DB" w:rsidRDefault="00DE119C" w:rsidP="00DE119C">
      <w:pPr>
        <w:spacing w:line="360" w:lineRule="auto"/>
        <w:ind w:left="1440" w:hanging="720"/>
        <w:jc w:val="both"/>
        <w:rPr>
          <w:rFonts w:ascii="David" w:hAnsi="David"/>
          <w:color w:val="000000"/>
          <w:lang w:eastAsia="he-IL"/>
        </w:rPr>
      </w:pPr>
    </w:p>
    <w:p w14:paraId="25D879FF" w14:textId="77777777" w:rsidR="00DE119C" w:rsidRPr="007E09DB" w:rsidRDefault="00DE119C" w:rsidP="00DE119C">
      <w:pPr>
        <w:spacing w:line="360" w:lineRule="auto"/>
        <w:ind w:left="1440" w:hanging="720"/>
        <w:jc w:val="both"/>
        <w:rPr>
          <w:rFonts w:ascii="David" w:hAnsi="David"/>
          <w:color w:val="000000"/>
          <w:rtl/>
          <w:lang w:eastAsia="he-IL"/>
        </w:rPr>
      </w:pPr>
      <w:r w:rsidRPr="007E09DB">
        <w:rPr>
          <w:rFonts w:ascii="David" w:hAnsi="David"/>
          <w:color w:val="000000"/>
          <w:rtl/>
          <w:lang w:eastAsia="he-IL"/>
        </w:rPr>
        <w:t>זכות ערעור תוך 45 יום.</w:t>
      </w:r>
    </w:p>
    <w:p w14:paraId="7CCCE507" w14:textId="77777777" w:rsidR="00DE119C" w:rsidRPr="007E09DB" w:rsidRDefault="00DE119C" w:rsidP="00DE119C">
      <w:pPr>
        <w:spacing w:line="360" w:lineRule="auto"/>
        <w:rPr>
          <w:rFonts w:ascii="David" w:hAnsi="David"/>
          <w:rtl/>
        </w:rPr>
      </w:pPr>
    </w:p>
    <w:p w14:paraId="5B7B42FD" w14:textId="77777777" w:rsidR="0051557C" w:rsidRPr="002C0D69" w:rsidRDefault="002C0D69" w:rsidP="002C0D69">
      <w:pPr>
        <w:keepNext/>
        <w:rPr>
          <w:rFonts w:ascii="David" w:hAnsi="David"/>
          <w:color w:val="000000"/>
          <w:sz w:val="22"/>
          <w:szCs w:val="22"/>
        </w:rPr>
      </w:pPr>
      <w:bookmarkStart w:id="7" w:name="Nitan"/>
      <w:r>
        <w:rPr>
          <w:rFonts w:ascii="David" w:hAnsi="David"/>
          <w:rtl/>
        </w:rPr>
        <w:t xml:space="preserve">ניתן היום,  י"א כסלו תש"פ, 09 דצמבר 2019, בנוכחות הצדדים. </w:t>
      </w:r>
      <w:bookmarkEnd w:id="7"/>
    </w:p>
    <w:p w14:paraId="22C5D115" w14:textId="77777777" w:rsidR="002C0D69" w:rsidRPr="002C0D69" w:rsidRDefault="002C0D69" w:rsidP="002C0D69">
      <w:pPr>
        <w:keepNext/>
        <w:rPr>
          <w:rFonts w:ascii="David" w:hAnsi="David"/>
          <w:color w:val="000000"/>
          <w:sz w:val="22"/>
          <w:szCs w:val="22"/>
          <w:rtl/>
        </w:rPr>
      </w:pPr>
      <w:r w:rsidRPr="002C0D69">
        <w:rPr>
          <w:rFonts w:ascii="David" w:hAnsi="David"/>
          <w:color w:val="000000"/>
          <w:sz w:val="22"/>
          <w:szCs w:val="22"/>
          <w:rtl/>
        </w:rPr>
        <w:t>ס.ה 54678313</w:t>
      </w:r>
    </w:p>
    <w:p w14:paraId="19F2DF0F" w14:textId="77777777" w:rsidR="002C0D69" w:rsidRDefault="002C0D69" w:rsidP="002C0D69">
      <w:r w:rsidRPr="002C0D69">
        <w:rPr>
          <w:color w:val="000000"/>
          <w:rtl/>
        </w:rPr>
        <w:t>נוסח מסמך זה כפוף לשינויי ניסוח ועריכה</w:t>
      </w:r>
    </w:p>
    <w:p w14:paraId="1564006B" w14:textId="77777777" w:rsidR="002C0D69" w:rsidRDefault="002C0D69" w:rsidP="002C0D69">
      <w:pPr>
        <w:rPr>
          <w:rtl/>
        </w:rPr>
      </w:pPr>
    </w:p>
    <w:p w14:paraId="3870C4AA" w14:textId="77777777" w:rsidR="002C0D69" w:rsidRDefault="002C0D69" w:rsidP="002C0D69">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93585A6" w14:textId="77777777" w:rsidR="002C0D69" w:rsidRPr="002C0D69" w:rsidRDefault="002C0D69" w:rsidP="002C0D69">
      <w:pPr>
        <w:jc w:val="center"/>
        <w:rPr>
          <w:color w:val="0000FF"/>
          <w:u w:val="single"/>
        </w:rPr>
      </w:pPr>
    </w:p>
    <w:sectPr w:rsidR="002C0D69" w:rsidRPr="002C0D69" w:rsidSect="002C0D6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D221E" w14:textId="77777777" w:rsidR="00B42F8E" w:rsidRDefault="00B42F8E" w:rsidP="00DF7652">
      <w:r>
        <w:separator/>
      </w:r>
    </w:p>
  </w:endnote>
  <w:endnote w:type="continuationSeparator" w:id="0">
    <w:p w14:paraId="33DEB037" w14:textId="77777777" w:rsidR="00B42F8E" w:rsidRDefault="00B42F8E" w:rsidP="00DF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B2D9E" w14:textId="77777777" w:rsidR="002C0D69" w:rsidRDefault="002C0D69" w:rsidP="002C0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F1C975" w14:textId="77777777" w:rsidR="00623706" w:rsidRPr="002C0D69" w:rsidRDefault="002C0D69" w:rsidP="002C0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FE702" w14:textId="77777777" w:rsidR="002C0D69" w:rsidRDefault="002C0D69" w:rsidP="002C0D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44DF">
      <w:rPr>
        <w:rFonts w:ascii="FrankRuehl" w:hAnsi="FrankRuehl" w:cs="FrankRuehl"/>
        <w:noProof/>
        <w:rtl/>
      </w:rPr>
      <w:t>1</w:t>
    </w:r>
    <w:r>
      <w:rPr>
        <w:rFonts w:ascii="FrankRuehl" w:hAnsi="FrankRuehl" w:cs="FrankRuehl"/>
        <w:rtl/>
      </w:rPr>
      <w:fldChar w:fldCharType="end"/>
    </w:r>
  </w:p>
  <w:p w14:paraId="0CBE0727" w14:textId="77777777" w:rsidR="00623706" w:rsidRPr="002C0D69" w:rsidRDefault="002C0D69" w:rsidP="002C0D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B0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837D8" w14:textId="77777777" w:rsidR="00B42F8E" w:rsidRDefault="00B42F8E" w:rsidP="00DF7652">
      <w:r>
        <w:separator/>
      </w:r>
    </w:p>
  </w:footnote>
  <w:footnote w:type="continuationSeparator" w:id="0">
    <w:p w14:paraId="69E391E2" w14:textId="77777777" w:rsidR="00B42F8E" w:rsidRDefault="00B42F8E" w:rsidP="00DF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4C2C" w14:textId="77777777" w:rsidR="002C0D69" w:rsidRPr="002C0D69" w:rsidRDefault="002C0D69" w:rsidP="002C0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54384-09-19</w:t>
    </w:r>
    <w:r>
      <w:rPr>
        <w:rFonts w:ascii="David" w:hAnsi="David"/>
        <w:color w:val="000000"/>
        <w:sz w:val="22"/>
        <w:szCs w:val="22"/>
        <w:rtl/>
      </w:rPr>
      <w:tab/>
      <w:t xml:space="preserve"> מדינת ישראל נ' נאוף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BCBFD" w14:textId="77777777" w:rsidR="002C0D69" w:rsidRPr="002C0D69" w:rsidRDefault="002C0D69" w:rsidP="002C0D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54384-09-19</w:t>
    </w:r>
    <w:r>
      <w:rPr>
        <w:rFonts w:ascii="David" w:hAnsi="David"/>
        <w:color w:val="000000"/>
        <w:sz w:val="22"/>
        <w:szCs w:val="22"/>
        <w:rtl/>
      </w:rPr>
      <w:tab/>
      <w:t xml:space="preserve"> מדינת ישראל נ' נאוף אבו עסא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66107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119C"/>
    <w:rsid w:val="0002240C"/>
    <w:rsid w:val="002C0D69"/>
    <w:rsid w:val="003A44DF"/>
    <w:rsid w:val="0051557C"/>
    <w:rsid w:val="00623706"/>
    <w:rsid w:val="009E0171"/>
    <w:rsid w:val="00B42F8E"/>
    <w:rsid w:val="00CB63BD"/>
    <w:rsid w:val="00DE119C"/>
    <w:rsid w:val="00DF7652"/>
    <w:rsid w:val="00E76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CD3408"/>
  <w15:chartTrackingRefBased/>
  <w15:docId w15:val="{1DA30C74-BBA1-4B3D-9303-673FEDD0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11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119C"/>
    <w:pPr>
      <w:tabs>
        <w:tab w:val="center" w:pos="4153"/>
        <w:tab w:val="right" w:pos="8306"/>
      </w:tabs>
    </w:pPr>
  </w:style>
  <w:style w:type="character" w:customStyle="1" w:styleId="a4">
    <w:name w:val="כותרת עליונה תו"/>
    <w:link w:val="a3"/>
    <w:rsid w:val="00DE119C"/>
    <w:rPr>
      <w:rFonts w:ascii="Times New Roman" w:eastAsia="Times New Roman" w:hAnsi="Times New Roman" w:cs="David"/>
      <w:sz w:val="24"/>
      <w:szCs w:val="24"/>
    </w:rPr>
  </w:style>
  <w:style w:type="paragraph" w:styleId="a5">
    <w:name w:val="footer"/>
    <w:basedOn w:val="a"/>
    <w:link w:val="a6"/>
    <w:rsid w:val="00DE119C"/>
    <w:pPr>
      <w:tabs>
        <w:tab w:val="center" w:pos="4153"/>
        <w:tab w:val="right" w:pos="8306"/>
      </w:tabs>
    </w:pPr>
  </w:style>
  <w:style w:type="character" w:customStyle="1" w:styleId="a6">
    <w:name w:val="כותרת תחתונה תו"/>
    <w:link w:val="a5"/>
    <w:rsid w:val="00DE119C"/>
    <w:rPr>
      <w:rFonts w:ascii="Times New Roman" w:eastAsia="Times New Roman" w:hAnsi="Times New Roman" w:cs="David"/>
      <w:sz w:val="24"/>
      <w:szCs w:val="24"/>
    </w:rPr>
  </w:style>
  <w:style w:type="table" w:styleId="a7">
    <w:name w:val="Table Grid"/>
    <w:basedOn w:val="a1"/>
    <w:rsid w:val="00DE11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119C"/>
  </w:style>
  <w:style w:type="character" w:styleId="Hyperlink">
    <w:name w:val="Hyperlink"/>
    <w:rsid w:val="002C0D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54384</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נאוף אבו עסא</vt:lpwstr>
  </property>
  <property fmtid="{D5CDD505-2E9C-101B-9397-08002B2CF9AE}" pid="10" name="JUDGE">
    <vt:lpwstr>ס.ה;אליהו ביתן</vt:lpwstr>
  </property>
  <property fmtid="{D5CDD505-2E9C-101B-9397-08002B2CF9AE}" pid="11" name="CITY">
    <vt:lpwstr>ב"ש</vt:lpwstr>
  </property>
  <property fmtid="{D5CDD505-2E9C-101B-9397-08002B2CF9AE}" pid="12" name="DATE">
    <vt:lpwstr>20191209</vt:lpwstr>
  </property>
  <property fmtid="{D5CDD505-2E9C-101B-9397-08002B2CF9AE}" pid="13" name="TYPE_N_DATE">
    <vt:lpwstr>39020191209</vt:lpwstr>
  </property>
  <property fmtid="{D5CDD505-2E9C-101B-9397-08002B2CF9AE}" pid="14" name="WORDNUMPAGES">
    <vt:lpwstr>3</vt:lpwstr>
  </property>
  <property fmtid="{D5CDD505-2E9C-101B-9397-08002B2CF9AE}" pid="15" name="TYPE_ABS_DATE">
    <vt:lpwstr>390020191209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vt:lpwstr>
  </property>
</Properties>
</file>