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523C93" w:rsidRPr="00444FEF" w14:paraId="6ABCB458" w14:textId="77777777" w:rsidTr="00DC4B4E">
        <w:trPr>
          <w:trHeight w:hRule="exact" w:val="418"/>
          <w:jc w:val="center"/>
        </w:trPr>
        <w:tc>
          <w:tcPr>
            <w:tcW w:w="8721" w:type="dxa"/>
            <w:gridSpan w:val="2"/>
          </w:tcPr>
          <w:p w14:paraId="578A2BBC" w14:textId="77777777" w:rsidR="00523C93" w:rsidRPr="00444FEF" w:rsidRDefault="00523C93" w:rsidP="001A51A3">
            <w:pPr>
              <w:pStyle w:val="a3"/>
              <w:jc w:val="center"/>
              <w:rPr>
                <w:rFonts w:ascii="Tahoma" w:hAnsi="Tahoma" w:cs="Tahoma"/>
                <w:color w:val="000080"/>
                <w:rtl/>
              </w:rPr>
            </w:pPr>
            <w:bookmarkStart w:id="0" w:name="LastJudge"/>
            <w:r w:rsidRPr="00444FEF">
              <w:rPr>
                <w:rFonts w:ascii="Tahoma" w:hAnsi="Tahoma" w:cs="Tahoma"/>
                <w:b/>
                <w:bCs/>
                <w:color w:val="000080"/>
                <w:rtl/>
              </w:rPr>
              <w:t>בית המשפט המחוזי בחיפה</w:t>
            </w:r>
          </w:p>
        </w:tc>
      </w:tr>
      <w:tr w:rsidR="00523C93" w:rsidRPr="00444FEF" w14:paraId="6A32FD2D" w14:textId="77777777" w:rsidTr="00DC4B4E">
        <w:trPr>
          <w:trHeight w:val="337"/>
          <w:jc w:val="center"/>
        </w:trPr>
        <w:tc>
          <w:tcPr>
            <w:tcW w:w="5063" w:type="dxa"/>
          </w:tcPr>
          <w:p w14:paraId="645F8722" w14:textId="77777777" w:rsidR="00523C93" w:rsidRPr="00444FEF" w:rsidRDefault="00523C93" w:rsidP="001A51A3">
            <w:pPr>
              <w:rPr>
                <w:rFonts w:cs="FrankRuehl"/>
                <w:sz w:val="28"/>
                <w:szCs w:val="28"/>
                <w:rtl/>
              </w:rPr>
            </w:pPr>
            <w:r w:rsidRPr="00444FEF">
              <w:rPr>
                <w:rFonts w:cs="FrankRuehl"/>
                <w:sz w:val="28"/>
                <w:szCs w:val="28"/>
                <w:rtl/>
              </w:rPr>
              <w:t>ת"פ</w:t>
            </w:r>
            <w:r w:rsidRPr="00444FEF">
              <w:rPr>
                <w:rFonts w:cs="FrankRuehl" w:hint="cs"/>
                <w:sz w:val="28"/>
                <w:szCs w:val="28"/>
                <w:rtl/>
              </w:rPr>
              <w:t xml:space="preserve"> </w:t>
            </w:r>
            <w:r w:rsidRPr="00444FEF">
              <w:rPr>
                <w:rFonts w:cs="FrankRuehl"/>
                <w:sz w:val="28"/>
                <w:szCs w:val="28"/>
                <w:rtl/>
              </w:rPr>
              <w:t>15772-11-19</w:t>
            </w:r>
            <w:r w:rsidRPr="00444FEF">
              <w:rPr>
                <w:rFonts w:cs="FrankRuehl" w:hint="cs"/>
                <w:sz w:val="28"/>
                <w:szCs w:val="28"/>
                <w:rtl/>
              </w:rPr>
              <w:t xml:space="preserve"> </w:t>
            </w:r>
            <w:r w:rsidRPr="00444FEF">
              <w:rPr>
                <w:rFonts w:cs="FrankRuehl"/>
                <w:sz w:val="28"/>
                <w:szCs w:val="28"/>
                <w:rtl/>
              </w:rPr>
              <w:t>מדינת ישראל נ' ג'רבאן(עצור/אסיר בפיקוח)</w:t>
            </w:r>
          </w:p>
          <w:p w14:paraId="3FD00429" w14:textId="77777777" w:rsidR="00523C93" w:rsidRPr="00444FEF" w:rsidRDefault="00523C93" w:rsidP="001A51A3">
            <w:pPr>
              <w:pStyle w:val="a3"/>
              <w:rPr>
                <w:rFonts w:cs="FrankRuehl"/>
                <w:sz w:val="28"/>
                <w:szCs w:val="28"/>
                <w:rtl/>
              </w:rPr>
            </w:pPr>
          </w:p>
        </w:tc>
        <w:tc>
          <w:tcPr>
            <w:tcW w:w="3658" w:type="dxa"/>
          </w:tcPr>
          <w:p w14:paraId="2A3C6672" w14:textId="77777777" w:rsidR="00523C93" w:rsidRPr="00444FEF" w:rsidRDefault="00523C93" w:rsidP="001A51A3">
            <w:pPr>
              <w:pStyle w:val="a3"/>
              <w:jc w:val="right"/>
              <w:rPr>
                <w:rFonts w:cs="FrankRuehl"/>
                <w:sz w:val="28"/>
                <w:szCs w:val="28"/>
                <w:rtl/>
              </w:rPr>
            </w:pPr>
          </w:p>
        </w:tc>
      </w:tr>
    </w:tbl>
    <w:p w14:paraId="4127986A" w14:textId="77777777" w:rsidR="00523C93" w:rsidRPr="00444FEF" w:rsidRDefault="00523C93" w:rsidP="00523C93">
      <w:pPr>
        <w:pStyle w:val="a3"/>
        <w:rPr>
          <w:rtl/>
        </w:rPr>
      </w:pPr>
      <w:r w:rsidRPr="00444FEF">
        <w:rPr>
          <w:rFonts w:hint="cs"/>
          <w:rtl/>
        </w:rPr>
        <w:t xml:space="preserve"> </w:t>
      </w:r>
    </w:p>
    <w:p w14:paraId="270EF805" w14:textId="77777777" w:rsidR="00523C93" w:rsidRPr="00444FEF" w:rsidRDefault="00523C93" w:rsidP="00523C9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23C93" w:rsidRPr="00444FEF" w14:paraId="5C42D370" w14:textId="77777777" w:rsidTr="00523C93">
        <w:trPr>
          <w:trHeight w:val="295"/>
          <w:jc w:val="center"/>
        </w:trPr>
        <w:tc>
          <w:tcPr>
            <w:tcW w:w="945" w:type="dxa"/>
            <w:tcBorders>
              <w:top w:val="nil"/>
              <w:left w:val="nil"/>
              <w:bottom w:val="nil"/>
              <w:right w:val="nil"/>
            </w:tcBorders>
            <w:shd w:val="clear" w:color="auto" w:fill="auto"/>
          </w:tcPr>
          <w:p w14:paraId="044DA5AC" w14:textId="77777777" w:rsidR="00523C93" w:rsidRPr="00444FEF" w:rsidRDefault="00523C93" w:rsidP="00523C93">
            <w:pPr>
              <w:jc w:val="both"/>
              <w:rPr>
                <w:rFonts w:ascii="David" w:hAnsi="David"/>
                <w:b/>
                <w:bCs/>
                <w:sz w:val="28"/>
                <w:szCs w:val="28"/>
              </w:rPr>
            </w:pPr>
            <w:r w:rsidRPr="00444FEF">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31D96065" w14:textId="77777777" w:rsidR="00523C93" w:rsidRPr="00444FEF" w:rsidRDefault="00523C93" w:rsidP="001A51A3">
            <w:pPr>
              <w:rPr>
                <w:rFonts w:ascii="David" w:hAnsi="David"/>
                <w:b/>
                <w:bCs/>
                <w:sz w:val="28"/>
                <w:szCs w:val="28"/>
                <w:rtl/>
              </w:rPr>
            </w:pPr>
            <w:r w:rsidRPr="00444FEF">
              <w:rPr>
                <w:rFonts w:ascii="David" w:hAnsi="David"/>
                <w:b/>
                <w:bCs/>
                <w:sz w:val="28"/>
                <w:szCs w:val="28"/>
                <w:rtl/>
              </w:rPr>
              <w:t>כבוד השופטת  רונית בש</w:t>
            </w:r>
          </w:p>
          <w:p w14:paraId="7B53E345" w14:textId="77777777" w:rsidR="00523C93" w:rsidRPr="00444FEF" w:rsidRDefault="00523C93" w:rsidP="00523C93">
            <w:pPr>
              <w:jc w:val="both"/>
              <w:rPr>
                <w:rFonts w:ascii="David" w:hAnsi="David" w:hint="cs"/>
                <w:b/>
                <w:bCs/>
                <w:sz w:val="28"/>
                <w:szCs w:val="28"/>
              </w:rPr>
            </w:pPr>
          </w:p>
        </w:tc>
      </w:tr>
      <w:tr w:rsidR="00523C93" w:rsidRPr="00444FEF" w14:paraId="0056847F" w14:textId="77777777" w:rsidTr="00523C93">
        <w:trPr>
          <w:trHeight w:val="355"/>
          <w:jc w:val="center"/>
        </w:trPr>
        <w:tc>
          <w:tcPr>
            <w:tcW w:w="945" w:type="dxa"/>
            <w:tcBorders>
              <w:top w:val="nil"/>
              <w:left w:val="nil"/>
              <w:bottom w:val="nil"/>
              <w:right w:val="nil"/>
            </w:tcBorders>
            <w:shd w:val="clear" w:color="auto" w:fill="auto"/>
          </w:tcPr>
          <w:p w14:paraId="0AB655D1" w14:textId="77777777" w:rsidR="00523C93" w:rsidRPr="00444FEF" w:rsidRDefault="00523C93" w:rsidP="00523C93">
            <w:pPr>
              <w:jc w:val="both"/>
              <w:rPr>
                <w:rFonts w:ascii="David" w:hAnsi="David"/>
                <w:b/>
                <w:bCs/>
                <w:sz w:val="28"/>
                <w:szCs w:val="28"/>
              </w:rPr>
            </w:pPr>
            <w:bookmarkStart w:id="1" w:name="FirstAppellant"/>
            <w:r w:rsidRPr="00444FEF">
              <w:rPr>
                <w:rFonts w:ascii="David" w:hAnsi="David"/>
                <w:b/>
                <w:bCs/>
                <w:sz w:val="28"/>
                <w:szCs w:val="28"/>
                <w:rtl/>
              </w:rPr>
              <w:t>בעניין:</w:t>
            </w:r>
          </w:p>
        </w:tc>
        <w:tc>
          <w:tcPr>
            <w:tcW w:w="4114" w:type="dxa"/>
            <w:tcBorders>
              <w:top w:val="nil"/>
              <w:left w:val="nil"/>
              <w:bottom w:val="nil"/>
              <w:right w:val="nil"/>
            </w:tcBorders>
            <w:shd w:val="clear" w:color="auto" w:fill="auto"/>
          </w:tcPr>
          <w:p w14:paraId="1006FC82" w14:textId="77777777" w:rsidR="00523C93" w:rsidRPr="00444FEF" w:rsidRDefault="00523C93" w:rsidP="001A51A3">
            <w:pPr>
              <w:rPr>
                <w:rFonts w:ascii="David" w:hAnsi="David"/>
                <w:b/>
                <w:bCs/>
                <w:sz w:val="28"/>
                <w:szCs w:val="28"/>
              </w:rPr>
            </w:pPr>
            <w:r w:rsidRPr="00444FEF">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7711C8F0" w14:textId="77777777" w:rsidR="00523C93" w:rsidRPr="00444FEF" w:rsidRDefault="00523C93" w:rsidP="00523C93">
            <w:pPr>
              <w:jc w:val="both"/>
              <w:rPr>
                <w:rFonts w:ascii="David" w:hAnsi="David"/>
                <w:b/>
                <w:bCs/>
                <w:sz w:val="28"/>
                <w:szCs w:val="28"/>
              </w:rPr>
            </w:pPr>
            <w:r w:rsidRPr="00444FEF">
              <w:rPr>
                <w:rFonts w:ascii="David" w:hAnsi="David" w:hint="cs"/>
                <w:b/>
                <w:bCs/>
                <w:sz w:val="28"/>
                <w:szCs w:val="28"/>
                <w:rtl/>
              </w:rPr>
              <w:t>המאשימה</w:t>
            </w:r>
          </w:p>
        </w:tc>
      </w:tr>
      <w:bookmarkEnd w:id="1"/>
      <w:tr w:rsidR="00523C93" w:rsidRPr="00444FEF" w14:paraId="1669A9C0" w14:textId="77777777" w:rsidTr="00523C93">
        <w:trPr>
          <w:trHeight w:val="355"/>
          <w:jc w:val="center"/>
        </w:trPr>
        <w:tc>
          <w:tcPr>
            <w:tcW w:w="945" w:type="dxa"/>
            <w:tcBorders>
              <w:top w:val="nil"/>
              <w:left w:val="nil"/>
              <w:bottom w:val="nil"/>
              <w:right w:val="nil"/>
            </w:tcBorders>
            <w:shd w:val="clear" w:color="auto" w:fill="auto"/>
          </w:tcPr>
          <w:p w14:paraId="12259F6E" w14:textId="77777777" w:rsidR="00523C93" w:rsidRPr="00444FEF" w:rsidRDefault="00523C93" w:rsidP="00523C93">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486207A5" w14:textId="77777777" w:rsidR="00523C93" w:rsidRPr="00444FEF" w:rsidRDefault="00523C93" w:rsidP="00523C93">
            <w:pPr>
              <w:jc w:val="center"/>
              <w:rPr>
                <w:rFonts w:ascii="David" w:hAnsi="David"/>
                <w:b/>
                <w:bCs/>
                <w:sz w:val="28"/>
                <w:szCs w:val="28"/>
                <w:rtl/>
              </w:rPr>
            </w:pPr>
          </w:p>
          <w:p w14:paraId="73CC0E20" w14:textId="77777777" w:rsidR="00523C93" w:rsidRPr="00444FEF" w:rsidRDefault="00523C93" w:rsidP="00523C93">
            <w:pPr>
              <w:jc w:val="center"/>
              <w:rPr>
                <w:rFonts w:ascii="David" w:hAnsi="David"/>
                <w:b/>
                <w:bCs/>
                <w:sz w:val="28"/>
                <w:szCs w:val="28"/>
                <w:rtl/>
              </w:rPr>
            </w:pPr>
            <w:r w:rsidRPr="00444FEF">
              <w:rPr>
                <w:rFonts w:ascii="David" w:hAnsi="David"/>
                <w:b/>
                <w:bCs/>
                <w:sz w:val="28"/>
                <w:szCs w:val="28"/>
                <w:rtl/>
              </w:rPr>
              <w:t>נגד</w:t>
            </w:r>
          </w:p>
          <w:p w14:paraId="7646D516" w14:textId="77777777" w:rsidR="00523C93" w:rsidRPr="00444FEF" w:rsidRDefault="00523C93" w:rsidP="00523C93">
            <w:pPr>
              <w:jc w:val="center"/>
              <w:rPr>
                <w:rFonts w:ascii="David" w:hAnsi="David"/>
                <w:b/>
                <w:bCs/>
                <w:sz w:val="28"/>
                <w:szCs w:val="28"/>
              </w:rPr>
            </w:pPr>
          </w:p>
        </w:tc>
      </w:tr>
      <w:tr w:rsidR="00523C93" w:rsidRPr="00444FEF" w14:paraId="32EF6FC0" w14:textId="77777777" w:rsidTr="00523C93">
        <w:trPr>
          <w:trHeight w:val="355"/>
          <w:jc w:val="center"/>
        </w:trPr>
        <w:tc>
          <w:tcPr>
            <w:tcW w:w="945" w:type="dxa"/>
            <w:tcBorders>
              <w:top w:val="nil"/>
              <w:left w:val="nil"/>
              <w:bottom w:val="nil"/>
              <w:right w:val="nil"/>
            </w:tcBorders>
            <w:shd w:val="clear" w:color="auto" w:fill="auto"/>
          </w:tcPr>
          <w:p w14:paraId="6EA1EEDB" w14:textId="77777777" w:rsidR="00523C93" w:rsidRPr="00444FEF" w:rsidRDefault="00523C93" w:rsidP="001A51A3">
            <w:pPr>
              <w:rPr>
                <w:rFonts w:ascii="David" w:hAnsi="David"/>
                <w:b/>
                <w:bCs/>
                <w:sz w:val="28"/>
                <w:szCs w:val="28"/>
                <w:rtl/>
              </w:rPr>
            </w:pPr>
          </w:p>
        </w:tc>
        <w:tc>
          <w:tcPr>
            <w:tcW w:w="4114" w:type="dxa"/>
            <w:tcBorders>
              <w:top w:val="nil"/>
              <w:left w:val="nil"/>
              <w:bottom w:val="nil"/>
              <w:right w:val="nil"/>
            </w:tcBorders>
            <w:shd w:val="clear" w:color="auto" w:fill="auto"/>
          </w:tcPr>
          <w:p w14:paraId="55554C08" w14:textId="77777777" w:rsidR="00523C93" w:rsidRPr="00444FEF" w:rsidRDefault="00523C93" w:rsidP="001A51A3">
            <w:pPr>
              <w:rPr>
                <w:rFonts w:ascii="David" w:hAnsi="David"/>
                <w:b/>
                <w:bCs/>
                <w:sz w:val="28"/>
                <w:szCs w:val="28"/>
                <w:rtl/>
              </w:rPr>
            </w:pPr>
            <w:r w:rsidRPr="00444FEF">
              <w:rPr>
                <w:rFonts w:ascii="David" w:hAnsi="David"/>
                <w:b/>
                <w:bCs/>
                <w:sz w:val="28"/>
                <w:szCs w:val="28"/>
                <w:rtl/>
              </w:rPr>
              <w:t>קוסאי ג'רבאן (עצור בפיקוח)</w:t>
            </w:r>
          </w:p>
        </w:tc>
        <w:tc>
          <w:tcPr>
            <w:tcW w:w="3761" w:type="dxa"/>
            <w:tcBorders>
              <w:top w:val="nil"/>
              <w:left w:val="nil"/>
              <w:bottom w:val="nil"/>
              <w:right w:val="nil"/>
            </w:tcBorders>
            <w:shd w:val="clear" w:color="auto" w:fill="auto"/>
          </w:tcPr>
          <w:p w14:paraId="4452AE24" w14:textId="77777777" w:rsidR="00523C93" w:rsidRPr="00444FEF" w:rsidRDefault="00523C93" w:rsidP="001A51A3">
            <w:pPr>
              <w:rPr>
                <w:rFonts w:ascii="David" w:hAnsi="David"/>
                <w:b/>
                <w:bCs/>
                <w:sz w:val="28"/>
                <w:szCs w:val="28"/>
              </w:rPr>
            </w:pPr>
            <w:r w:rsidRPr="00444FEF">
              <w:rPr>
                <w:rFonts w:ascii="David" w:hAnsi="David" w:hint="cs"/>
                <w:b/>
                <w:bCs/>
                <w:sz w:val="28"/>
                <w:szCs w:val="28"/>
                <w:rtl/>
              </w:rPr>
              <w:t>הנאשם</w:t>
            </w:r>
          </w:p>
        </w:tc>
      </w:tr>
    </w:tbl>
    <w:p w14:paraId="269ED5F8" w14:textId="77777777" w:rsidR="00523C93" w:rsidRPr="00444FEF" w:rsidRDefault="00523C93" w:rsidP="00523C93"/>
    <w:p w14:paraId="36834DEE" w14:textId="77777777" w:rsidR="002739C8" w:rsidRDefault="002739C8" w:rsidP="002739C8">
      <w:pPr>
        <w:rPr>
          <w:rFonts w:ascii="Arial" w:hAnsi="Arial"/>
          <w:rtl/>
        </w:rPr>
      </w:pPr>
      <w:bookmarkStart w:id="2" w:name="LawTable"/>
      <w:bookmarkEnd w:id="2"/>
    </w:p>
    <w:p w14:paraId="66517E32" w14:textId="77777777" w:rsidR="002739C8" w:rsidRPr="002739C8" w:rsidRDefault="002739C8" w:rsidP="002739C8">
      <w:pPr>
        <w:spacing w:before="120" w:after="120" w:line="240" w:lineRule="exact"/>
        <w:ind w:left="283" w:hanging="283"/>
        <w:jc w:val="both"/>
        <w:rPr>
          <w:rFonts w:ascii="FrankRuehl" w:hAnsi="FrankRuehl" w:cs="FrankRuehl"/>
          <w:rtl/>
        </w:rPr>
      </w:pPr>
    </w:p>
    <w:p w14:paraId="5F634317" w14:textId="77777777" w:rsidR="002739C8" w:rsidRPr="002739C8" w:rsidRDefault="002739C8" w:rsidP="002739C8">
      <w:pPr>
        <w:spacing w:before="120" w:after="120" w:line="240" w:lineRule="exact"/>
        <w:ind w:left="283" w:hanging="283"/>
        <w:jc w:val="both"/>
        <w:rPr>
          <w:rFonts w:ascii="FrankRuehl" w:hAnsi="FrankRuehl" w:cs="FrankRuehl"/>
          <w:rtl/>
        </w:rPr>
      </w:pPr>
    </w:p>
    <w:p w14:paraId="7E11BE04" w14:textId="77777777" w:rsidR="002739C8" w:rsidRPr="002739C8" w:rsidRDefault="002739C8" w:rsidP="002739C8">
      <w:pPr>
        <w:spacing w:before="120" w:after="120" w:line="240" w:lineRule="exact"/>
        <w:ind w:left="283" w:hanging="283"/>
        <w:jc w:val="both"/>
        <w:rPr>
          <w:rFonts w:ascii="FrankRuehl" w:hAnsi="FrankRuehl" w:cs="FrankRuehl"/>
          <w:rtl/>
        </w:rPr>
      </w:pPr>
      <w:r w:rsidRPr="002739C8">
        <w:rPr>
          <w:rFonts w:ascii="FrankRuehl" w:hAnsi="FrankRuehl" w:cs="FrankRuehl"/>
          <w:rtl/>
        </w:rPr>
        <w:t xml:space="preserve">חקיקה שאוזכרה: </w:t>
      </w:r>
    </w:p>
    <w:p w14:paraId="09B3988A" w14:textId="77777777" w:rsidR="002739C8" w:rsidRPr="002739C8" w:rsidRDefault="002739C8" w:rsidP="002739C8">
      <w:pPr>
        <w:spacing w:before="120" w:after="120" w:line="240" w:lineRule="exact"/>
        <w:ind w:left="283" w:hanging="283"/>
        <w:jc w:val="both"/>
        <w:rPr>
          <w:rFonts w:ascii="FrankRuehl" w:hAnsi="FrankRuehl" w:cs="FrankRuehl"/>
          <w:rtl/>
        </w:rPr>
      </w:pPr>
      <w:hyperlink r:id="rId7" w:history="1">
        <w:r w:rsidRPr="002739C8">
          <w:rPr>
            <w:rFonts w:ascii="FrankRuehl" w:hAnsi="FrankRuehl" w:cs="FrankRuehl"/>
            <w:color w:val="0000FF"/>
            <w:rtl/>
          </w:rPr>
          <w:t>חוק העונשין, תשל"ז-1977</w:t>
        </w:r>
      </w:hyperlink>
      <w:r w:rsidRPr="002739C8">
        <w:rPr>
          <w:rFonts w:ascii="FrankRuehl" w:hAnsi="FrankRuehl" w:cs="FrankRuehl"/>
          <w:rtl/>
        </w:rPr>
        <w:t xml:space="preserve">: סע'  </w:t>
      </w:r>
      <w:hyperlink r:id="rId8" w:history="1">
        <w:r w:rsidRPr="002739C8">
          <w:rPr>
            <w:rFonts w:ascii="FrankRuehl" w:hAnsi="FrankRuehl" w:cs="FrankRuehl"/>
            <w:color w:val="0000FF"/>
            <w:rtl/>
          </w:rPr>
          <w:t>40 ב</w:t>
        </w:r>
      </w:hyperlink>
      <w:r w:rsidRPr="002739C8">
        <w:rPr>
          <w:rFonts w:ascii="FrankRuehl" w:hAnsi="FrankRuehl" w:cs="FrankRuehl"/>
          <w:rtl/>
        </w:rPr>
        <w:t xml:space="preserve">, </w:t>
      </w:r>
      <w:hyperlink r:id="rId9" w:history="1">
        <w:r w:rsidRPr="002739C8">
          <w:rPr>
            <w:rFonts w:ascii="FrankRuehl" w:hAnsi="FrankRuehl" w:cs="FrankRuehl"/>
            <w:color w:val="0000FF"/>
            <w:rtl/>
          </w:rPr>
          <w:t>40 ג</w:t>
        </w:r>
      </w:hyperlink>
      <w:r w:rsidRPr="002739C8">
        <w:rPr>
          <w:rFonts w:ascii="FrankRuehl" w:hAnsi="FrankRuehl" w:cs="FrankRuehl"/>
          <w:rtl/>
        </w:rPr>
        <w:t xml:space="preserve">, </w:t>
      </w:r>
      <w:hyperlink r:id="rId10" w:history="1">
        <w:r w:rsidRPr="002739C8">
          <w:rPr>
            <w:rFonts w:ascii="FrankRuehl" w:hAnsi="FrankRuehl" w:cs="FrankRuehl"/>
            <w:color w:val="0000FF"/>
            <w:rtl/>
          </w:rPr>
          <w:t>40 ט</w:t>
        </w:r>
      </w:hyperlink>
      <w:r w:rsidRPr="002739C8">
        <w:rPr>
          <w:rFonts w:ascii="FrankRuehl" w:hAnsi="FrankRuehl" w:cs="FrankRuehl"/>
          <w:rtl/>
        </w:rPr>
        <w:t xml:space="preserve">, </w:t>
      </w:r>
      <w:hyperlink r:id="rId11" w:history="1">
        <w:r w:rsidRPr="002739C8">
          <w:rPr>
            <w:rFonts w:ascii="FrankRuehl" w:hAnsi="FrankRuehl" w:cs="FrankRuehl"/>
            <w:color w:val="0000FF"/>
            <w:rtl/>
          </w:rPr>
          <w:t>144</w:t>
        </w:r>
      </w:hyperlink>
      <w:r w:rsidRPr="002739C8">
        <w:rPr>
          <w:rFonts w:ascii="FrankRuehl" w:hAnsi="FrankRuehl" w:cs="FrankRuehl"/>
          <w:rtl/>
        </w:rPr>
        <w:t xml:space="preserve">, </w:t>
      </w:r>
      <w:hyperlink r:id="rId12" w:history="1">
        <w:r w:rsidRPr="002739C8">
          <w:rPr>
            <w:rFonts w:ascii="FrankRuehl" w:hAnsi="FrankRuehl" w:cs="FrankRuehl"/>
            <w:color w:val="0000FF"/>
            <w:rtl/>
          </w:rPr>
          <w:t>144(א)</w:t>
        </w:r>
      </w:hyperlink>
      <w:r w:rsidRPr="002739C8">
        <w:rPr>
          <w:rFonts w:ascii="FrankRuehl" w:hAnsi="FrankRuehl" w:cs="FrankRuehl"/>
          <w:rtl/>
        </w:rPr>
        <w:t xml:space="preserve">, </w:t>
      </w:r>
      <w:hyperlink r:id="rId13" w:history="1">
        <w:r w:rsidRPr="002739C8">
          <w:rPr>
            <w:rFonts w:ascii="FrankRuehl" w:hAnsi="FrankRuehl" w:cs="FrankRuehl"/>
            <w:color w:val="0000FF"/>
            <w:rtl/>
          </w:rPr>
          <w:t>(ב)</w:t>
        </w:r>
      </w:hyperlink>
      <w:r w:rsidRPr="002739C8">
        <w:rPr>
          <w:rFonts w:ascii="FrankRuehl" w:hAnsi="FrankRuehl" w:cs="FrankRuehl"/>
          <w:rtl/>
        </w:rPr>
        <w:t xml:space="preserve">, </w:t>
      </w:r>
      <w:hyperlink r:id="rId14" w:history="1">
        <w:r w:rsidRPr="002739C8">
          <w:rPr>
            <w:rFonts w:ascii="FrankRuehl" w:hAnsi="FrankRuehl" w:cs="FrankRuehl"/>
            <w:color w:val="0000FF"/>
            <w:rtl/>
          </w:rPr>
          <w:t>192</w:t>
        </w:r>
      </w:hyperlink>
      <w:r w:rsidRPr="002739C8">
        <w:rPr>
          <w:rFonts w:ascii="FrankRuehl" w:hAnsi="FrankRuehl" w:cs="FrankRuehl"/>
          <w:rtl/>
        </w:rPr>
        <w:t xml:space="preserve">, </w:t>
      </w:r>
      <w:hyperlink r:id="rId15" w:history="1">
        <w:r w:rsidRPr="002739C8">
          <w:rPr>
            <w:rFonts w:ascii="FrankRuehl" w:hAnsi="FrankRuehl" w:cs="FrankRuehl"/>
            <w:color w:val="0000FF"/>
            <w:rtl/>
          </w:rPr>
          <w:t>340א</w:t>
        </w:r>
      </w:hyperlink>
      <w:r w:rsidRPr="002739C8">
        <w:rPr>
          <w:rFonts w:ascii="FrankRuehl" w:hAnsi="FrankRuehl" w:cs="FrankRuehl"/>
          <w:rtl/>
        </w:rPr>
        <w:t xml:space="preserve">, </w:t>
      </w:r>
      <w:hyperlink r:id="rId16" w:history="1">
        <w:r w:rsidRPr="002739C8">
          <w:rPr>
            <w:rFonts w:ascii="FrankRuehl" w:hAnsi="FrankRuehl" w:cs="FrankRuehl"/>
            <w:color w:val="0000FF"/>
            <w:rtl/>
          </w:rPr>
          <w:t>340א(ב)(1)</w:t>
        </w:r>
      </w:hyperlink>
      <w:r w:rsidRPr="002739C8">
        <w:rPr>
          <w:rFonts w:ascii="FrankRuehl" w:hAnsi="FrankRuehl" w:cs="FrankRuehl"/>
          <w:rtl/>
        </w:rPr>
        <w:t xml:space="preserve">, </w:t>
      </w:r>
      <w:hyperlink r:id="rId17" w:history="1">
        <w:r w:rsidRPr="002739C8">
          <w:rPr>
            <w:rFonts w:ascii="FrankRuehl" w:hAnsi="FrankRuehl" w:cs="FrankRuehl"/>
            <w:color w:val="0000FF"/>
            <w:rtl/>
          </w:rPr>
          <w:t>40יג (ב)</w:t>
        </w:r>
      </w:hyperlink>
    </w:p>
    <w:p w14:paraId="49EFADFD" w14:textId="77777777" w:rsidR="002739C8" w:rsidRPr="002739C8" w:rsidRDefault="002739C8" w:rsidP="002739C8">
      <w:pPr>
        <w:rPr>
          <w:rFonts w:ascii="Arial" w:hAnsi="Arial"/>
          <w:rtl/>
        </w:rPr>
      </w:pPr>
      <w:bookmarkStart w:id="3" w:name="LawTable_End"/>
      <w:bookmarkEnd w:id="3"/>
    </w:p>
    <w:p w14:paraId="0AF2A42C" w14:textId="77777777" w:rsidR="00523C93" w:rsidRPr="00DC4B4E" w:rsidRDefault="00523C93" w:rsidP="00DC4B4E">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23C93" w14:paraId="10234F6D" w14:textId="77777777" w:rsidTr="00523C93">
        <w:trPr>
          <w:trHeight w:val="355"/>
          <w:jc w:val="center"/>
        </w:trPr>
        <w:tc>
          <w:tcPr>
            <w:tcW w:w="8820" w:type="dxa"/>
            <w:tcBorders>
              <w:top w:val="nil"/>
              <w:left w:val="nil"/>
              <w:bottom w:val="nil"/>
              <w:right w:val="nil"/>
            </w:tcBorders>
            <w:shd w:val="clear" w:color="auto" w:fill="auto"/>
          </w:tcPr>
          <w:p w14:paraId="1990D69F" w14:textId="77777777" w:rsidR="00444FEF" w:rsidRPr="00444FEF" w:rsidRDefault="00444FEF" w:rsidP="00444FEF">
            <w:pPr>
              <w:jc w:val="center"/>
              <w:rPr>
                <w:rFonts w:ascii="Arial" w:hAnsi="Arial" w:cs="FrankRuehl"/>
                <w:b/>
                <w:bCs/>
                <w:sz w:val="32"/>
                <w:szCs w:val="32"/>
                <w:u w:val="single"/>
                <w:rtl/>
              </w:rPr>
            </w:pPr>
            <w:bookmarkStart w:id="4" w:name="PsakDin" w:colFirst="0" w:colLast="0"/>
            <w:bookmarkEnd w:id="0"/>
            <w:r w:rsidRPr="00444FEF">
              <w:rPr>
                <w:rFonts w:ascii="Arial" w:hAnsi="Arial" w:cs="FrankRuehl"/>
                <w:b/>
                <w:bCs/>
                <w:sz w:val="32"/>
                <w:szCs w:val="32"/>
                <w:u w:val="single"/>
                <w:rtl/>
              </w:rPr>
              <w:t>גזר דין</w:t>
            </w:r>
          </w:p>
          <w:p w14:paraId="648652CC" w14:textId="77777777" w:rsidR="00523C93" w:rsidRPr="00444FEF" w:rsidRDefault="00523C93" w:rsidP="00444FEF">
            <w:pPr>
              <w:jc w:val="center"/>
              <w:rPr>
                <w:rFonts w:ascii="Arial" w:hAnsi="Arial" w:cs="FrankRuehl"/>
                <w:bCs/>
                <w:sz w:val="32"/>
                <w:szCs w:val="32"/>
                <w:u w:val="single"/>
                <w:rtl/>
              </w:rPr>
            </w:pPr>
          </w:p>
        </w:tc>
      </w:tr>
      <w:bookmarkEnd w:id="4"/>
    </w:tbl>
    <w:p w14:paraId="35AAD0FB" w14:textId="77777777" w:rsidR="00523C93" w:rsidRPr="00B05847" w:rsidRDefault="00523C93" w:rsidP="00523C93">
      <w:pPr>
        <w:rPr>
          <w:rFonts w:ascii="Arial" w:hAnsi="Arial"/>
          <w:rtl/>
        </w:rPr>
      </w:pPr>
    </w:p>
    <w:p w14:paraId="751FF27D" w14:textId="77777777" w:rsidR="00523C93" w:rsidRDefault="00523C93" w:rsidP="00523C93">
      <w:pPr>
        <w:spacing w:line="360" w:lineRule="auto"/>
        <w:jc w:val="both"/>
        <w:rPr>
          <w:rtl/>
        </w:rPr>
      </w:pPr>
      <w:r>
        <w:rPr>
          <w:rFonts w:hint="cs"/>
          <w:rtl/>
        </w:rPr>
        <w:t>1.</w:t>
      </w:r>
      <w:r>
        <w:rPr>
          <w:rtl/>
        </w:rPr>
        <w:tab/>
      </w:r>
      <w:bookmarkStart w:id="5" w:name="ABSTRACT_START"/>
      <w:bookmarkEnd w:id="5"/>
      <w:r>
        <w:rPr>
          <w:rFonts w:hint="cs"/>
          <w:rtl/>
        </w:rPr>
        <w:t xml:space="preserve">הנאשם הורשע, על יסוד הודאתו, בעובדות כתב אישום שתוקן במסגרת של הסדר טיעון  בביצוע העבירות, כדלקמן: החזקה ונשיאת נשק, עבירה לפי </w:t>
      </w:r>
      <w:hyperlink r:id="rId18" w:history="1">
        <w:r w:rsidR="00DC4B4E" w:rsidRPr="00DC4B4E">
          <w:rPr>
            <w:rStyle w:val="Hyperlink"/>
            <w:rFonts w:hint="eastAsia"/>
            <w:rtl/>
          </w:rPr>
          <w:t>סעיף</w:t>
        </w:r>
        <w:r w:rsidR="00DC4B4E" w:rsidRPr="00DC4B4E">
          <w:rPr>
            <w:rStyle w:val="Hyperlink"/>
            <w:rtl/>
          </w:rPr>
          <w:t xml:space="preserve"> 144(א)</w:t>
        </w:r>
      </w:hyperlink>
      <w:r>
        <w:rPr>
          <w:rFonts w:hint="cs"/>
          <w:rtl/>
        </w:rPr>
        <w:t xml:space="preserve"> ו-</w:t>
      </w:r>
      <w:hyperlink r:id="rId19" w:history="1">
        <w:r w:rsidR="00DC4B4E" w:rsidRPr="00DC4B4E">
          <w:rPr>
            <w:rStyle w:val="Hyperlink"/>
            <w:rtl/>
          </w:rPr>
          <w:t>(ב)</w:t>
        </w:r>
      </w:hyperlink>
      <w:r>
        <w:rPr>
          <w:rFonts w:hint="cs"/>
          <w:rtl/>
        </w:rPr>
        <w:t xml:space="preserve"> ל</w:t>
      </w:r>
      <w:hyperlink r:id="rId20" w:history="1">
        <w:r w:rsidR="00444FEF" w:rsidRPr="00444FEF">
          <w:rPr>
            <w:color w:val="0000FF"/>
            <w:u w:val="single"/>
            <w:rtl/>
          </w:rPr>
          <w:t>חוק העונשין</w:t>
        </w:r>
      </w:hyperlink>
      <w:r>
        <w:rPr>
          <w:rFonts w:hint="cs"/>
          <w:rtl/>
        </w:rPr>
        <w:t xml:space="preserve">, התשל"ז- 1977  (להלן: </w:t>
      </w:r>
      <w:r w:rsidRPr="008974B0">
        <w:rPr>
          <w:rFonts w:ascii="Miriam" w:hAnsi="Miriam" w:cs="Miriam"/>
          <w:rtl/>
        </w:rPr>
        <w:t>חוק העונשין</w:t>
      </w:r>
      <w:r>
        <w:rPr>
          <w:rFonts w:hint="cs"/>
          <w:rtl/>
        </w:rPr>
        <w:t xml:space="preserve">) (שתי עבירות); ירי באזור מגורים, עבירה לפי </w:t>
      </w:r>
      <w:hyperlink r:id="rId21" w:history="1">
        <w:r w:rsidR="00DC4B4E" w:rsidRPr="00DC4B4E">
          <w:rPr>
            <w:rStyle w:val="Hyperlink"/>
            <w:rFonts w:hint="eastAsia"/>
            <w:rtl/>
          </w:rPr>
          <w:t>סעיף</w:t>
        </w:r>
        <w:r w:rsidR="00DC4B4E" w:rsidRPr="00DC4B4E">
          <w:rPr>
            <w:rStyle w:val="Hyperlink"/>
            <w:rtl/>
          </w:rPr>
          <w:t xml:space="preserve"> 340א(ב)(1)</w:t>
        </w:r>
      </w:hyperlink>
      <w:r>
        <w:rPr>
          <w:rFonts w:hint="cs"/>
          <w:rtl/>
        </w:rPr>
        <w:t xml:space="preserve"> לחוק העונשין (שתי עבירות); איומים, עבירה לפי </w:t>
      </w:r>
      <w:hyperlink r:id="rId22" w:history="1">
        <w:r w:rsidR="00DC4B4E" w:rsidRPr="00DC4B4E">
          <w:rPr>
            <w:rStyle w:val="Hyperlink"/>
            <w:rFonts w:hint="eastAsia"/>
            <w:rtl/>
          </w:rPr>
          <w:t>סעיף</w:t>
        </w:r>
        <w:r w:rsidR="00DC4B4E" w:rsidRPr="00DC4B4E">
          <w:rPr>
            <w:rStyle w:val="Hyperlink"/>
            <w:rtl/>
          </w:rPr>
          <w:t xml:space="preserve"> 192</w:t>
        </w:r>
      </w:hyperlink>
      <w:r>
        <w:rPr>
          <w:rFonts w:hint="cs"/>
          <w:rtl/>
        </w:rPr>
        <w:t xml:space="preserve"> לחוק העונשין</w:t>
      </w:r>
      <w:bookmarkStart w:id="6" w:name="ABSTRACT_END"/>
      <w:bookmarkEnd w:id="6"/>
      <w:r>
        <w:rPr>
          <w:rFonts w:hint="cs"/>
          <w:rtl/>
        </w:rPr>
        <w:t>. אציין כי במסגרת הסדר הטיעון גובשה הסכמה בין הצדדים, לפיה ה</w:t>
      </w:r>
      <w:r w:rsidRPr="00CE5091">
        <w:rPr>
          <w:rtl/>
        </w:rPr>
        <w:t xml:space="preserve">עבירות שביצע הנאשם </w:t>
      </w:r>
      <w:r>
        <w:rPr>
          <w:rFonts w:hint="cs"/>
          <w:rtl/>
        </w:rPr>
        <w:t>מהוות</w:t>
      </w:r>
      <w:r w:rsidRPr="00CE5091">
        <w:rPr>
          <w:rtl/>
        </w:rPr>
        <w:t xml:space="preserve"> אירוע א</w:t>
      </w:r>
      <w:r>
        <w:rPr>
          <w:rtl/>
        </w:rPr>
        <w:t>חד לצורך קביעת מתחם העונש ההולם</w:t>
      </w:r>
      <w:r>
        <w:rPr>
          <w:rFonts w:hint="cs"/>
          <w:rtl/>
        </w:rPr>
        <w:t xml:space="preserve"> אך לא גובשה הסכמה לעניין העונש.</w:t>
      </w:r>
    </w:p>
    <w:p w14:paraId="65A6A649" w14:textId="77777777" w:rsidR="00523C93" w:rsidRPr="0013655F" w:rsidRDefault="00523C93" w:rsidP="00523C93">
      <w:pPr>
        <w:spacing w:line="360" w:lineRule="auto"/>
        <w:jc w:val="both"/>
        <w:rPr>
          <w:rtl/>
        </w:rPr>
      </w:pPr>
    </w:p>
    <w:p w14:paraId="4546288B" w14:textId="77777777" w:rsidR="00523C93" w:rsidRPr="002F2577" w:rsidRDefault="00523C93" w:rsidP="00523C93">
      <w:pPr>
        <w:spacing w:line="360" w:lineRule="auto"/>
        <w:jc w:val="both"/>
        <w:rPr>
          <w:rFonts w:ascii="Miriam" w:hAnsi="Miriam" w:cs="Miriam"/>
          <w:u w:val="single"/>
          <w:rtl/>
        </w:rPr>
      </w:pPr>
      <w:r w:rsidRPr="002F2577">
        <w:rPr>
          <w:rFonts w:ascii="Miriam" w:hAnsi="Miriam" w:cs="Miriam"/>
          <w:u w:val="single"/>
          <w:rtl/>
        </w:rPr>
        <w:t>כתב האישום המתוקן (להלן גם: כתב האישום)</w:t>
      </w:r>
    </w:p>
    <w:p w14:paraId="2F8E3729" w14:textId="77777777" w:rsidR="00523C93" w:rsidRPr="00B05847" w:rsidRDefault="00523C93" w:rsidP="00523C93">
      <w:pPr>
        <w:spacing w:line="360" w:lineRule="auto"/>
        <w:jc w:val="both"/>
        <w:rPr>
          <w:rtl/>
        </w:rPr>
      </w:pPr>
    </w:p>
    <w:p w14:paraId="7DE6F17D" w14:textId="77777777" w:rsidR="00523C93" w:rsidRDefault="00523C93" w:rsidP="00523C93">
      <w:pPr>
        <w:spacing w:line="360" w:lineRule="auto"/>
        <w:jc w:val="both"/>
        <w:rPr>
          <w:rtl/>
        </w:rPr>
      </w:pPr>
      <w:r>
        <w:rPr>
          <w:rFonts w:hint="cs"/>
          <w:rtl/>
        </w:rPr>
        <w:t>2.</w:t>
      </w:r>
      <w:r>
        <w:rPr>
          <w:rFonts w:hint="cs"/>
          <w:rtl/>
        </w:rPr>
        <w:tab/>
        <w:t xml:space="preserve">מוחמד ופארס ג'רבאן ובני ביתם (להלן: </w:t>
      </w:r>
      <w:r w:rsidRPr="009149FE">
        <w:rPr>
          <w:rFonts w:ascii="Miriam" w:hAnsi="Miriam" w:cs="Miriam"/>
          <w:rtl/>
        </w:rPr>
        <w:t>פארס ומשפחת דרנאן</w:t>
      </w:r>
      <w:r>
        <w:rPr>
          <w:rFonts w:hint="cs"/>
          <w:rtl/>
        </w:rPr>
        <w:t xml:space="preserve"> בהתאמה) הם בני משפחה של הנאשם ומתגוררים בכפר ג'סר א-זרקא. מועין בן סאלח ג'רבאן ודיאב בן דיב ג'רבאן ובני ביתם (להלן: </w:t>
      </w:r>
      <w:r w:rsidRPr="009149FE">
        <w:rPr>
          <w:rFonts w:ascii="Miriam" w:hAnsi="Miriam" w:cs="Miriam"/>
          <w:rtl/>
        </w:rPr>
        <w:t>מועין, דיאב ומשפחת חלים דיב</w:t>
      </w:r>
      <w:r>
        <w:rPr>
          <w:rFonts w:hint="cs"/>
          <w:rtl/>
        </w:rPr>
        <w:t xml:space="preserve"> בהתאמה) גרים בשכנות זה לזה ובשכנות למשפחת דרנאן.</w:t>
      </w:r>
    </w:p>
    <w:p w14:paraId="1FCB4132" w14:textId="77777777" w:rsidR="00523C93" w:rsidRDefault="00523C93" w:rsidP="00523C93">
      <w:pPr>
        <w:spacing w:line="360" w:lineRule="auto"/>
        <w:jc w:val="both"/>
        <w:rPr>
          <w:rtl/>
        </w:rPr>
      </w:pPr>
    </w:p>
    <w:p w14:paraId="5390ED82" w14:textId="77777777" w:rsidR="00523C93" w:rsidRDefault="00523C93" w:rsidP="00523C93">
      <w:pPr>
        <w:spacing w:line="360" w:lineRule="auto"/>
        <w:jc w:val="both"/>
        <w:rPr>
          <w:rtl/>
        </w:rPr>
      </w:pPr>
      <w:r>
        <w:rPr>
          <w:rtl/>
        </w:rPr>
        <w:lastRenderedPageBreak/>
        <w:tab/>
      </w:r>
      <w:r>
        <w:rPr>
          <w:rFonts w:hint="cs"/>
          <w:rtl/>
        </w:rPr>
        <w:t xml:space="preserve">בין משפחת דרנאן למשפחת חלים דיב קיים סכסוך אלים ממושך. ביום 17/9/19, סמוך לשעה 20:29, בוצע ירי לעבר ביתו של מועין על ידי אנשים שזהותם אינה ידועה למאשימה (להלן: </w:t>
      </w:r>
      <w:r w:rsidRPr="0075161A">
        <w:rPr>
          <w:rFonts w:ascii="Miriam" w:hAnsi="Miriam" w:cs="Miriam"/>
          <w:rtl/>
        </w:rPr>
        <w:t>הירי הראשון</w:t>
      </w:r>
      <w:r>
        <w:rPr>
          <w:rFonts w:hint="cs"/>
          <w:rtl/>
        </w:rPr>
        <w:t>).</w:t>
      </w:r>
    </w:p>
    <w:p w14:paraId="79F485F7" w14:textId="77777777" w:rsidR="00523C93" w:rsidRDefault="00523C93" w:rsidP="00523C93">
      <w:pPr>
        <w:spacing w:line="360" w:lineRule="auto"/>
        <w:jc w:val="both"/>
        <w:rPr>
          <w:rtl/>
        </w:rPr>
      </w:pPr>
    </w:p>
    <w:p w14:paraId="34C44A98" w14:textId="77777777" w:rsidR="00523C93" w:rsidRDefault="00523C93" w:rsidP="00523C93">
      <w:pPr>
        <w:spacing w:line="360" w:lineRule="auto"/>
        <w:jc w:val="both"/>
        <w:rPr>
          <w:rtl/>
        </w:rPr>
      </w:pPr>
      <w:r>
        <w:rPr>
          <w:rtl/>
        </w:rPr>
        <w:tab/>
      </w:r>
      <w:r>
        <w:rPr>
          <w:rFonts w:hint="cs"/>
          <w:rtl/>
        </w:rPr>
        <w:t xml:space="preserve">בסמוך לכך, בוצע ירי לעבר ביתו של פארס על ידי אנשים שזהותם אינה ידועה למאשימה (להלן: </w:t>
      </w:r>
      <w:r w:rsidRPr="0075161A">
        <w:rPr>
          <w:rFonts w:ascii="Miriam" w:hAnsi="Miriam" w:cs="Miriam"/>
          <w:rtl/>
        </w:rPr>
        <w:t>הירי השני</w:t>
      </w:r>
      <w:r>
        <w:rPr>
          <w:rFonts w:hint="cs"/>
          <w:rtl/>
        </w:rPr>
        <w:t>). בעקבות הירי השני ועל רקע חשדו של הנאשם, לפיו הירי השני בוצע על ידי קרוב משפחה של מועין, החליט הנאשם לבצע ירי בסמוך לבית משפחת חלים דיב, בכוונה להפחיד או להקניט.</w:t>
      </w:r>
    </w:p>
    <w:p w14:paraId="696E786A" w14:textId="77777777" w:rsidR="00523C93" w:rsidRDefault="00523C93" w:rsidP="00523C93">
      <w:pPr>
        <w:spacing w:line="360" w:lineRule="auto"/>
        <w:jc w:val="both"/>
        <w:rPr>
          <w:rtl/>
        </w:rPr>
      </w:pPr>
    </w:p>
    <w:p w14:paraId="4E0E7A7C" w14:textId="77777777" w:rsidR="00523C93" w:rsidRDefault="00523C93" w:rsidP="00523C93">
      <w:pPr>
        <w:spacing w:line="360" w:lineRule="auto"/>
        <w:jc w:val="both"/>
        <w:rPr>
          <w:rtl/>
        </w:rPr>
      </w:pPr>
      <w:r>
        <w:rPr>
          <w:rtl/>
        </w:rPr>
        <w:tab/>
      </w:r>
      <w:r>
        <w:rPr>
          <w:rFonts w:hint="cs"/>
          <w:rtl/>
        </w:rPr>
        <w:t xml:space="preserve">בהתאם לכך, ביום 18/9/19, בסמוך לשעה 01:30, הגיע הנאשם אל מתחם בית חלים דיב, כשהוא מחזיק ונושא, בלא רשות על פי דין, אקדח חצי אוטומטי טעון בתחמושת מסוג 9 מ"מ (להלן: </w:t>
      </w:r>
      <w:r w:rsidRPr="0075161A">
        <w:rPr>
          <w:rFonts w:ascii="Miriam" w:hAnsi="Miriam" w:cs="Miriam"/>
          <w:rtl/>
        </w:rPr>
        <w:t>האקדח</w:t>
      </w:r>
      <w:r>
        <w:rPr>
          <w:rFonts w:hint="cs"/>
          <w:rtl/>
        </w:rPr>
        <w:t xml:space="preserve">). הנאשם ירה שלא כדין ועל מנת להפחיד או להקניט, סמוך לביתו של דיאב, 7 כדורים, אחד מהם פגע בחלון ביתו של דיאב ופער בו חור (להלן: </w:t>
      </w:r>
      <w:r w:rsidRPr="00FB4CD5">
        <w:rPr>
          <w:rFonts w:ascii="Miriam" w:hAnsi="Miriam" w:cs="Miriam"/>
          <w:rtl/>
        </w:rPr>
        <w:t>הירי השלישי</w:t>
      </w:r>
      <w:r>
        <w:rPr>
          <w:rFonts w:hint="cs"/>
          <w:rtl/>
        </w:rPr>
        <w:t>). לאחר מכן, נמלט הנאשם מהמקום, כשהוא מחזיק ונושא את האקדח, שהינו כלי שסוגל לירות כדור ובכוחו להמית אדם.</w:t>
      </w:r>
    </w:p>
    <w:p w14:paraId="1C7DCA2E" w14:textId="77777777" w:rsidR="00523C93" w:rsidRDefault="00523C93" w:rsidP="00523C93">
      <w:pPr>
        <w:spacing w:line="360" w:lineRule="auto"/>
        <w:jc w:val="both"/>
        <w:rPr>
          <w:rtl/>
        </w:rPr>
      </w:pPr>
    </w:p>
    <w:p w14:paraId="20C2061A" w14:textId="77777777" w:rsidR="00523C93" w:rsidRDefault="00523C93" w:rsidP="00523C93">
      <w:pPr>
        <w:spacing w:line="360" w:lineRule="auto"/>
        <w:jc w:val="both"/>
        <w:rPr>
          <w:rtl/>
        </w:rPr>
      </w:pPr>
      <w:r>
        <w:rPr>
          <w:rtl/>
        </w:rPr>
        <w:tab/>
      </w:r>
      <w:r>
        <w:rPr>
          <w:rFonts w:hint="cs"/>
          <w:rtl/>
        </w:rPr>
        <w:t xml:space="preserve">בעקבות הירי השלישי, בסמוך לשעה 01:40, הגיעו מכיוון בית הדואר בכפר שני אנשים, אשר זהותם אינה ידועה למאשימה (להלן: </w:t>
      </w:r>
      <w:r w:rsidRPr="00FB4CD5">
        <w:rPr>
          <w:rFonts w:ascii="Miriam" w:hAnsi="Miriam" w:cs="Miriam"/>
          <w:rtl/>
        </w:rPr>
        <w:t>היורים</w:t>
      </w:r>
      <w:r>
        <w:rPr>
          <w:rFonts w:hint="cs"/>
          <w:rtl/>
        </w:rPr>
        <w:t xml:space="preserve">), עמדו בפתח הכניסה למתחם ביתו של הנאשם (להלן: </w:t>
      </w:r>
      <w:r w:rsidRPr="00FB4CD5">
        <w:rPr>
          <w:rFonts w:ascii="Miriam" w:hAnsi="Miriam" w:cs="Miriam"/>
          <w:rtl/>
        </w:rPr>
        <w:t>החצר</w:t>
      </w:r>
      <w:r>
        <w:rPr>
          <w:rFonts w:hint="cs"/>
          <w:rtl/>
        </w:rPr>
        <w:t xml:space="preserve">) וירו מספר יריות לעבר החצר ולעבר ביתו. לאחר מכן נמלטו היורים לכיוון בית הדואר (להלן: </w:t>
      </w:r>
      <w:r w:rsidRPr="00FB4CD5">
        <w:rPr>
          <w:rFonts w:ascii="Miriam" w:hAnsi="Miriam" w:cs="Miriam"/>
          <w:rtl/>
        </w:rPr>
        <w:t>הירי הרביעי</w:t>
      </w:r>
      <w:r>
        <w:rPr>
          <w:rFonts w:hint="cs"/>
          <w:rtl/>
        </w:rPr>
        <w:t xml:space="preserve">). בעקבות הירי הרביעי, ובסמוך לו, הצטייד הנאשם באקדח, במחסנית  ובתחמושת מסוג 9 מ"מ (להלן: </w:t>
      </w:r>
      <w:r w:rsidRPr="00FB4CD5">
        <w:rPr>
          <w:rFonts w:ascii="Miriam" w:hAnsi="Miriam" w:cs="Miriam"/>
          <w:rtl/>
        </w:rPr>
        <w:t>התחמושת</w:t>
      </w:r>
      <w:r>
        <w:rPr>
          <w:rFonts w:hint="cs"/>
          <w:rtl/>
        </w:rPr>
        <w:t xml:space="preserve">). בעודו בחצר הבית ומוקף באנשים, הטעין הנאשם את המחסנית בתחמושת, הכניס אותה לאקדח הנ"ל ודרך אותו. בשלב זה, יצא הנאשם אל הכביש הסמוך לחצר וירה מספר יריות באוויר (להלן: </w:t>
      </w:r>
      <w:r w:rsidRPr="00436FC4">
        <w:rPr>
          <w:rFonts w:ascii="Miriam" w:hAnsi="Miriam" w:cs="Miriam"/>
          <w:rtl/>
        </w:rPr>
        <w:t>הירי החמישי</w:t>
      </w:r>
      <w:r>
        <w:rPr>
          <w:rFonts w:hint="cs"/>
          <w:rtl/>
        </w:rPr>
        <w:t>). לאחר מכן,  חזר הנאשם אל החצר, פרק את המחסנית והחליפה ובהמשך, בחלוף זמן קצר, יצא שוב מחצר ביתו אל הכביש הסמוך, בריצה לכוון בית הדואר, ואז ירה ירייה אחת נוספת. כל זאת עשה הנאשם, כשהוא מחזיק ונושא את האקדח הנ"ל שהינו כלי שסוגל לירות כדור שבכוחו להמית אדם וכן את התחמושת, בלא רישיו</w:t>
      </w:r>
      <w:r>
        <w:rPr>
          <w:rFonts w:hint="eastAsia"/>
          <w:rtl/>
        </w:rPr>
        <w:t>ן</w:t>
      </w:r>
      <w:r>
        <w:rPr>
          <w:rFonts w:hint="cs"/>
          <w:rtl/>
        </w:rPr>
        <w:t xml:space="preserve"> על פי דין.</w:t>
      </w:r>
    </w:p>
    <w:p w14:paraId="4E70E08C" w14:textId="77777777" w:rsidR="00523C93" w:rsidRDefault="00523C93" w:rsidP="00523C93">
      <w:pPr>
        <w:spacing w:line="360" w:lineRule="auto"/>
        <w:jc w:val="both"/>
        <w:rPr>
          <w:rtl/>
        </w:rPr>
      </w:pPr>
    </w:p>
    <w:p w14:paraId="5B63312D" w14:textId="77777777" w:rsidR="00523C93" w:rsidRPr="002F2577" w:rsidRDefault="00523C93" w:rsidP="00523C93">
      <w:pPr>
        <w:spacing w:line="360" w:lineRule="auto"/>
        <w:jc w:val="both"/>
        <w:rPr>
          <w:rFonts w:ascii="Miriam" w:hAnsi="Miriam" w:cs="Miriam"/>
          <w:u w:val="single"/>
          <w:rtl/>
        </w:rPr>
      </w:pPr>
      <w:r w:rsidRPr="002F2577">
        <w:rPr>
          <w:rFonts w:ascii="Miriam" w:hAnsi="Miriam" w:cs="Miriam"/>
          <w:u w:val="single"/>
          <w:rtl/>
        </w:rPr>
        <w:t>תסקיר שירות המבחן</w:t>
      </w:r>
    </w:p>
    <w:p w14:paraId="07626EC8" w14:textId="77777777" w:rsidR="00523C93" w:rsidRPr="00436FC4" w:rsidRDefault="00523C93" w:rsidP="00523C93">
      <w:pPr>
        <w:spacing w:line="360" w:lineRule="auto"/>
        <w:jc w:val="both"/>
        <w:rPr>
          <w:rFonts w:ascii="Miriam" w:hAnsi="Miriam" w:cs="Miriam"/>
          <w:rtl/>
        </w:rPr>
      </w:pPr>
    </w:p>
    <w:p w14:paraId="6640A38E" w14:textId="77777777" w:rsidR="00523C93" w:rsidRDefault="00523C93" w:rsidP="00523C93">
      <w:pPr>
        <w:spacing w:line="360" w:lineRule="auto"/>
        <w:jc w:val="both"/>
        <w:rPr>
          <w:rtl/>
        </w:rPr>
      </w:pPr>
      <w:r>
        <w:rPr>
          <w:rFonts w:hint="cs"/>
          <w:rtl/>
        </w:rPr>
        <w:t>3.</w:t>
      </w:r>
      <w:r>
        <w:rPr>
          <w:rFonts w:hint="cs"/>
          <w:rtl/>
        </w:rPr>
        <w:tab/>
        <w:t>מתסקיר שירות המבחן שהוגש ביום 3/9/20 על אודות הנאשם, עולה כי הלה צעיר כבן 20, רווק, וכי טרם מעצרו התגורר בבית הוריו ועבד במשך כ- 9</w:t>
      </w:r>
      <w:r w:rsidRPr="009F7965">
        <w:rPr>
          <w:rtl/>
        </w:rPr>
        <w:t xml:space="preserve"> חודשים בחברת לוגיסטיקה</w:t>
      </w:r>
      <w:r>
        <w:rPr>
          <w:rFonts w:hint="cs"/>
          <w:rtl/>
        </w:rPr>
        <w:t xml:space="preserve">. מיום 17/4/20 נתון הנאשם בתנאי מעצר בית, באיזוק אלקטרוני, בבית קרובת משפחתו. </w:t>
      </w:r>
    </w:p>
    <w:p w14:paraId="58CF6191" w14:textId="77777777" w:rsidR="00523C93" w:rsidRDefault="00523C93" w:rsidP="00523C93">
      <w:pPr>
        <w:spacing w:line="360" w:lineRule="auto"/>
        <w:jc w:val="both"/>
        <w:rPr>
          <w:rtl/>
        </w:rPr>
      </w:pPr>
    </w:p>
    <w:p w14:paraId="26DECF7E" w14:textId="77777777" w:rsidR="00523C93" w:rsidRDefault="00523C93" w:rsidP="00523C93">
      <w:pPr>
        <w:spacing w:line="360" w:lineRule="auto"/>
        <w:jc w:val="both"/>
        <w:rPr>
          <w:rtl/>
        </w:rPr>
      </w:pPr>
      <w:r>
        <w:rPr>
          <w:rFonts w:hint="cs"/>
          <w:rtl/>
        </w:rPr>
        <w:lastRenderedPageBreak/>
        <w:t>4.</w:t>
      </w:r>
      <w:r>
        <w:rPr>
          <w:rFonts w:hint="cs"/>
          <w:rtl/>
        </w:rPr>
        <w:tab/>
        <w:t xml:space="preserve">שירות המבחן ציין כי עברו הפלילי של הנאשם נקי. בהתייחס לביצוע העבירות שבפנינו, טען הנאשם כי פעל בתגובה לירי שהופנה כלפי בית משפחתו. לדבריו, התקשה לשלוט בדחפיו ופעל בהיעדר חשיבה על השלכות מעשיו נוכח </w:t>
      </w:r>
      <w:r w:rsidRPr="001D5255">
        <w:rPr>
          <w:rtl/>
        </w:rPr>
        <w:t>הבהלה</w:t>
      </w:r>
      <w:r>
        <w:rPr>
          <w:rtl/>
        </w:rPr>
        <w:t xml:space="preserve"> שאחזה בדודתו בעקבות אירוע הירי</w:t>
      </w:r>
      <w:r w:rsidRPr="001D5255">
        <w:rPr>
          <w:rFonts w:hint="cs"/>
          <w:rtl/>
        </w:rPr>
        <w:t>.</w:t>
      </w:r>
      <w:r>
        <w:rPr>
          <w:rFonts w:hint="cs"/>
          <w:rtl/>
        </w:rPr>
        <w:t xml:space="preserve"> עוד מסר הנאשם כי קיים סכסוך קודם בין משפחתו המורחבת לבין משפחת חלים דיב, סכסוך שטרם בא אל סיומו, ולעניין הנשק טען הנאשם כי  לקח אותו מאחר טרם ביצוע העבירות. שירות המבחן התרשם כי הנאשם מתקשה להכיר באופי הפוגעני והאלים של תגובתו הקיצונית. </w:t>
      </w:r>
    </w:p>
    <w:p w14:paraId="4CCAEA1E" w14:textId="77777777" w:rsidR="00523C93" w:rsidRDefault="00523C93" w:rsidP="00523C93">
      <w:pPr>
        <w:spacing w:line="360" w:lineRule="auto"/>
        <w:jc w:val="both"/>
        <w:rPr>
          <w:rtl/>
        </w:rPr>
      </w:pPr>
    </w:p>
    <w:p w14:paraId="1F845678" w14:textId="77777777" w:rsidR="00523C93" w:rsidRPr="00B05847" w:rsidRDefault="00523C93" w:rsidP="00523C93">
      <w:pPr>
        <w:spacing w:line="360" w:lineRule="auto"/>
        <w:jc w:val="both"/>
        <w:rPr>
          <w:rtl/>
        </w:rPr>
      </w:pPr>
      <w:r>
        <w:rPr>
          <w:rFonts w:hint="cs"/>
          <w:rtl/>
        </w:rPr>
        <w:t>5.</w:t>
      </w:r>
      <w:r>
        <w:rPr>
          <w:rFonts w:hint="cs"/>
          <w:rtl/>
        </w:rPr>
        <w:tab/>
        <w:t>בבואו להעריך את סיכוייו של הנאשם לשיקום אל מול גורמי הסיכון להישנות התנהגות עוברת חוק בעתיד, שקל שירות המבחן, במסגרת הסיכויים לשיקום, את גילו הצעיר של הנאשם ועברו הנקי. במסגרת גורמי הסיכון, שקל שירות המבחן את חומרת המעשים לצד העובדה שהנאשם נקט במנגנוני הסתרה והעובדה שהסכסוך בין המשפחות עדיין שריר וקיים. לעניין זה הוסיף שרות המבחן  את חבירת הנאשם לחברה שולית והיעדר גורמי הכוונה ופיקוח מצד בני משפחתו. שירות המבחן ציין כי במצבים בהם חווה הנאשם פגיעה בבני משפחתו, הוא מתקשה להפעיל שיקול דעת ולהתנהל באופן מותאם. עוד צוין כי הנאשם נחשף במסגרת המשפחתית להתנהגויות מסוכנות, לרבות החזקת נשק. שירות המבחן התרשם כי הנאשם מתקשה לגלות תובנה ביחס לשינוי הנדרש בהתנהגותו על מנת להימנע ממצבי סיכון בהמשך. על רקע כל אלו מעריך שירות המבחן, כי קיימת אצל הנאשם רמת מסוכנות משמעותית להישנות עבירות אלימות ברמת חומרה משמעותית. לפיכך, לא עלה בידי שירות המבחן לבוא בהמלצה לענישה במסגרת הקהילה שיש בכוחה לסייע בהפחתת הסיכון להישנות מעורבות של הנאשם בעבירות אלימות.</w:t>
      </w:r>
    </w:p>
    <w:p w14:paraId="32F5FDB4" w14:textId="77777777" w:rsidR="00523C93" w:rsidRPr="00B05847" w:rsidRDefault="00523C93" w:rsidP="00523C93">
      <w:pPr>
        <w:jc w:val="both"/>
        <w:rPr>
          <w:rtl/>
        </w:rPr>
      </w:pPr>
    </w:p>
    <w:p w14:paraId="2212C081" w14:textId="77777777" w:rsidR="00523C93" w:rsidRPr="00B25DBE" w:rsidRDefault="00523C93" w:rsidP="00523C93">
      <w:pPr>
        <w:jc w:val="both"/>
        <w:rPr>
          <w:rFonts w:ascii="Miriam" w:hAnsi="Miriam" w:cs="Miriam"/>
          <w:u w:val="single"/>
          <w:rtl/>
        </w:rPr>
      </w:pPr>
      <w:r w:rsidRPr="00B25DBE">
        <w:rPr>
          <w:rFonts w:ascii="Miriam" w:hAnsi="Miriam" w:cs="Miriam"/>
          <w:u w:val="single"/>
          <w:rtl/>
        </w:rPr>
        <w:t xml:space="preserve">ראיות </w:t>
      </w:r>
      <w:r w:rsidRPr="00B25DBE">
        <w:rPr>
          <w:rFonts w:ascii="Miriam" w:hAnsi="Miriam" w:cs="Miriam" w:hint="cs"/>
          <w:u w:val="single"/>
          <w:rtl/>
        </w:rPr>
        <w:t>לעונש ו</w:t>
      </w:r>
      <w:r w:rsidRPr="00B25DBE">
        <w:rPr>
          <w:rFonts w:ascii="Miriam" w:hAnsi="Miriam" w:cs="Miriam"/>
          <w:u w:val="single"/>
          <w:rtl/>
        </w:rPr>
        <w:t>טיעוני הצדדים</w:t>
      </w:r>
      <w:r w:rsidRPr="00B25DBE">
        <w:rPr>
          <w:rFonts w:ascii="Miriam" w:hAnsi="Miriam" w:cs="Miriam" w:hint="cs"/>
          <w:u w:val="single"/>
          <w:rtl/>
        </w:rPr>
        <w:t xml:space="preserve"> לעונש</w:t>
      </w:r>
    </w:p>
    <w:p w14:paraId="446FCDBC" w14:textId="77777777" w:rsidR="00523C93" w:rsidRDefault="00523C93" w:rsidP="00523C93">
      <w:pPr>
        <w:jc w:val="both"/>
        <w:rPr>
          <w:rFonts w:ascii="Miriam" w:hAnsi="Miriam" w:cs="Miriam"/>
          <w:rtl/>
        </w:rPr>
      </w:pPr>
    </w:p>
    <w:p w14:paraId="103479F8" w14:textId="77777777" w:rsidR="00523C93" w:rsidRDefault="00523C93" w:rsidP="00523C93">
      <w:pPr>
        <w:jc w:val="both"/>
        <w:rPr>
          <w:rFonts w:ascii="Miriam" w:hAnsi="Miriam" w:cs="Miriam"/>
          <w:rtl/>
        </w:rPr>
      </w:pPr>
    </w:p>
    <w:p w14:paraId="4837DC4F" w14:textId="77777777" w:rsidR="00523C93" w:rsidRDefault="00523C93" w:rsidP="00523C93">
      <w:pPr>
        <w:spacing w:line="360" w:lineRule="auto"/>
        <w:jc w:val="both"/>
        <w:rPr>
          <w:rFonts w:ascii="David" w:hAnsi="David"/>
          <w:rtl/>
        </w:rPr>
      </w:pPr>
      <w:r>
        <w:rPr>
          <w:rFonts w:ascii="David" w:hAnsi="David" w:hint="cs"/>
          <w:rtl/>
        </w:rPr>
        <w:t xml:space="preserve">6. </w:t>
      </w:r>
      <w:r>
        <w:rPr>
          <w:rFonts w:ascii="David" w:hAnsi="David"/>
          <w:rtl/>
        </w:rPr>
        <w:tab/>
      </w:r>
      <w:r>
        <w:rPr>
          <w:rFonts w:ascii="David" w:hAnsi="David" w:hint="cs"/>
          <w:rtl/>
        </w:rPr>
        <w:t>במסגרת ראיותיה לעונש הגישה ב"כ המאשימה דיסק  ובו שני סרטונים המתעדים  את הירי החמישי (</w:t>
      </w:r>
      <w:r w:rsidRPr="00A21672">
        <w:rPr>
          <w:rFonts w:ascii="Miriam" w:hAnsi="Miriam" w:cs="Miriam"/>
          <w:rtl/>
        </w:rPr>
        <w:t>ט/1)</w:t>
      </w:r>
      <w:r>
        <w:rPr>
          <w:rFonts w:ascii="David" w:hAnsi="David" w:hint="cs"/>
          <w:rtl/>
        </w:rPr>
        <w:t>. כמו כן, הגישה ב"כ המאשימה את טיעוניה לעונש בכתב</w:t>
      </w:r>
      <w:r w:rsidRPr="00BA731C">
        <w:rPr>
          <w:rFonts w:ascii="Miriam" w:hAnsi="Miriam" w:cs="Miriam"/>
          <w:rtl/>
        </w:rPr>
        <w:t xml:space="preserve"> (ט/2)</w:t>
      </w:r>
      <w:r>
        <w:rPr>
          <w:rFonts w:ascii="David" w:hAnsi="David" w:hint="cs"/>
          <w:rtl/>
        </w:rPr>
        <w:t xml:space="preserve"> והוסיפה והדגישה בעל-פה את עיקרי הדברים.</w:t>
      </w:r>
    </w:p>
    <w:p w14:paraId="220BABE7" w14:textId="77777777" w:rsidR="00523C93" w:rsidRDefault="00523C93" w:rsidP="00523C93">
      <w:pPr>
        <w:spacing w:line="360" w:lineRule="auto"/>
        <w:jc w:val="both"/>
        <w:rPr>
          <w:rFonts w:ascii="David" w:hAnsi="David"/>
          <w:rtl/>
        </w:rPr>
      </w:pPr>
    </w:p>
    <w:p w14:paraId="34CE714B" w14:textId="77777777" w:rsidR="00523C93" w:rsidRDefault="00523C93" w:rsidP="00523C93">
      <w:pPr>
        <w:spacing w:line="360" w:lineRule="auto"/>
        <w:jc w:val="both"/>
        <w:rPr>
          <w:rFonts w:ascii="David" w:hAnsi="David"/>
          <w:rtl/>
        </w:rPr>
      </w:pPr>
      <w:r>
        <w:rPr>
          <w:rFonts w:ascii="David" w:hAnsi="David" w:hint="cs"/>
          <w:rtl/>
        </w:rPr>
        <w:t xml:space="preserve">7. </w:t>
      </w:r>
      <w:r>
        <w:rPr>
          <w:rFonts w:ascii="David" w:hAnsi="David"/>
          <w:rtl/>
        </w:rPr>
        <w:tab/>
      </w:r>
      <w:r>
        <w:rPr>
          <w:rFonts w:ascii="David" w:hAnsi="David" w:hint="cs"/>
          <w:rtl/>
        </w:rPr>
        <w:t>ב"כ המאשימה ציינה בטיעוניה את עובדות כתב האישום המתוקן ללמד על חומרת מעשיו של הנאשם. נטען כי לא מדובר במקרה ירי בודד וחד-פעמי, כי אם ברצף של מקרים במהלכם ירה הנאשם מספר רב של כדורים בסביבת מגורים, תוך סיכון תושבי המקום. צוין כי יש לזקוף לחובת הנאשם את הסיכון הפוטנציאלי הרב הטמון במעשיו, שעה שהירי בוצע  עת שהיית</w:t>
      </w:r>
      <w:r>
        <w:rPr>
          <w:rFonts w:ascii="David" w:hAnsi="David" w:hint="eastAsia"/>
          <w:rtl/>
        </w:rPr>
        <w:t>ה</w:t>
      </w:r>
      <w:r>
        <w:rPr>
          <w:rFonts w:ascii="David" w:hAnsi="David" w:hint="cs"/>
          <w:rtl/>
        </w:rPr>
        <w:t xml:space="preserve"> במקום תנועה של אנשים כפי שעולה מהסרטון </w:t>
      </w:r>
      <w:r w:rsidRPr="00BA731C">
        <w:rPr>
          <w:rFonts w:ascii="Miriam" w:hAnsi="Miriam" w:cs="Miriam"/>
          <w:rtl/>
        </w:rPr>
        <w:t>ט/1</w:t>
      </w:r>
      <w:r>
        <w:rPr>
          <w:rFonts w:ascii="David" w:hAnsi="David" w:hint="cs"/>
          <w:rtl/>
        </w:rPr>
        <w:t xml:space="preserve">. נטען כי בעצם נשיאת והחזקת הנשק בידי אדם שאינו מורשה לכך, טמון פוטנציאל נזק עצום ובמקרה דנן אך במזל לא היו פגיעות בנפש וכל שנגרם הוא נזק לחלון ביתו של דיאב דיב. נטען בנוסף כי הסרטון </w:t>
      </w:r>
      <w:r w:rsidRPr="00E17C2D">
        <w:rPr>
          <w:rFonts w:ascii="Miriam" w:hAnsi="Miriam" w:cs="Miriam"/>
          <w:rtl/>
        </w:rPr>
        <w:t>ט/1</w:t>
      </w:r>
      <w:r>
        <w:rPr>
          <w:rFonts w:ascii="David" w:hAnsi="David" w:hint="cs"/>
          <w:rtl/>
        </w:rPr>
        <w:t xml:space="preserve"> מעיד על נגישותו הרבה של הנאשם לנשקים וזמינותם עבורו, מה גם שהנשק ששימש לביצוע הירי לא נתפס עד היום והאקדח נותר זמין לו ולאחרים לביצוע עבירות נוספות.</w:t>
      </w:r>
    </w:p>
    <w:p w14:paraId="6EDD22CF" w14:textId="77777777" w:rsidR="00523C93" w:rsidRDefault="00523C93" w:rsidP="00523C93">
      <w:pPr>
        <w:spacing w:line="360" w:lineRule="auto"/>
        <w:jc w:val="both"/>
        <w:rPr>
          <w:rFonts w:ascii="David" w:hAnsi="David"/>
          <w:rtl/>
        </w:rPr>
      </w:pPr>
    </w:p>
    <w:p w14:paraId="348D53DD" w14:textId="77777777" w:rsidR="00523C93" w:rsidRDefault="00523C93" w:rsidP="00523C93">
      <w:pPr>
        <w:spacing w:line="360" w:lineRule="auto"/>
        <w:jc w:val="both"/>
        <w:rPr>
          <w:rFonts w:ascii="David" w:hAnsi="David"/>
          <w:rtl/>
        </w:rPr>
      </w:pPr>
      <w:r>
        <w:rPr>
          <w:rFonts w:ascii="David" w:hAnsi="David" w:hint="cs"/>
          <w:rtl/>
        </w:rPr>
        <w:t xml:space="preserve">8. </w:t>
      </w:r>
      <w:r>
        <w:rPr>
          <w:rFonts w:ascii="David" w:hAnsi="David"/>
          <w:rtl/>
        </w:rPr>
        <w:tab/>
      </w:r>
      <w:r>
        <w:rPr>
          <w:rFonts w:ascii="David" w:hAnsi="David" w:hint="cs"/>
          <w:rtl/>
        </w:rPr>
        <w:t>נטען עוד כי מעשיו של הנאשם פגעו בסדר הציבורי, בשלמות הגוף, בשלום הציבור ובטחונו, כמו גם רכושו. לאחר שסקרה במסגרת טיעוניה לעונש פסיקה להמחשת מדיניות הענישה הנהוגה, ובהתייחס לנסיבות הקשורות בביצוע העבירות לצד הפגיעה הגבוהה בערכים המוגנים, סבורה המאשימה כי מתחם העונש ההולם נע בין 7-4 שנות מאסר בפועל. ב"כ המאשימה בקשה לתת את הדעת לחובת הנאשם לכך שהמחוקק העלה את עונש המאסר המרבי בעבירה של ירי באזור מגורים לעונש של 5 שנות מאסר וכן לכך שעמדת בית המשפט העליון הינה החמרה בענישה בעבירות נשק הכוללות ירי באזור מגורים.</w:t>
      </w:r>
    </w:p>
    <w:p w14:paraId="2CD71815" w14:textId="77777777" w:rsidR="00523C93" w:rsidRDefault="00523C93" w:rsidP="00523C93">
      <w:pPr>
        <w:spacing w:line="360" w:lineRule="auto"/>
        <w:jc w:val="both"/>
        <w:rPr>
          <w:rFonts w:ascii="David" w:hAnsi="David"/>
          <w:rtl/>
        </w:rPr>
      </w:pPr>
    </w:p>
    <w:p w14:paraId="52C3AC74" w14:textId="77777777" w:rsidR="00523C93" w:rsidRDefault="00523C93" w:rsidP="00523C93">
      <w:pPr>
        <w:spacing w:line="360" w:lineRule="auto"/>
        <w:jc w:val="both"/>
        <w:rPr>
          <w:rFonts w:ascii="David" w:hAnsi="David"/>
          <w:rtl/>
        </w:rPr>
      </w:pPr>
      <w:r>
        <w:rPr>
          <w:rFonts w:ascii="David" w:hAnsi="David" w:hint="cs"/>
          <w:rtl/>
        </w:rPr>
        <w:t xml:space="preserve">9. </w:t>
      </w:r>
      <w:r>
        <w:rPr>
          <w:rFonts w:ascii="David" w:hAnsi="David"/>
          <w:rtl/>
        </w:rPr>
        <w:tab/>
      </w:r>
      <w:r>
        <w:rPr>
          <w:rFonts w:ascii="David" w:hAnsi="David" w:hint="cs"/>
          <w:rtl/>
        </w:rPr>
        <w:t>במסגרת הנסיבות שאינן קשורות בביצוע העבירה, הפנתה המאשימה לתסקיר שירות המבחן המלמד כי הנאשם אך לוקח אחריות פורמאלית ומפנים חלקית את מעשיו וכן כי קיים סיכון גבוה לכך שיבצע עבירות חמורות, ומשכך לא בא התסקיר בהמלצה טיפולית. נטען ע"י המאשימה כי חרף גילו הצעיר של הנאשם, מדובר ברצף של אירועי ירי בערב אחד המלמדים על דפוסי עבריינות מושרשים, ולפיכך  סבורה היא  כי אין ליתן משקל רב לגילו, לעברו הפלילי הנקי ולהודאתו בהזדמנות הראשונה. צוין עוד כי הסכסוך בין המשפחות עודנו קיים, כפי שעולה מדברי הנאשם בפני שרות המבחן, דבר שאינו מתיישב עם הסולחה לה טוענת ההגנה. עוד נטען כי גם אם  נערכה סולחה אמתית וכנה בין הצדדים, הרי שלשיטת המאשימה אין לייחס לנתון זה משקל רב, שעה שקיים האינטרס הציבורי למיצוי הדין בעבירות נשק. בסיכומו של דבר, סבורה המאשימה כי יש להשית על הנאשם עונש של מאסר בפועל באמצע מתחם העונש ההולם לו היא כאמור עותרת, וזאת לצד מאסר על תנאי ממושך, קנס כספי ופיצוי למתלונן דיאב דיב.</w:t>
      </w:r>
    </w:p>
    <w:p w14:paraId="37BBBB47" w14:textId="77777777" w:rsidR="00523C93" w:rsidRDefault="00523C93" w:rsidP="00523C93">
      <w:pPr>
        <w:spacing w:line="360" w:lineRule="auto"/>
        <w:jc w:val="both"/>
        <w:rPr>
          <w:rFonts w:ascii="David" w:hAnsi="David"/>
          <w:rtl/>
        </w:rPr>
      </w:pPr>
    </w:p>
    <w:p w14:paraId="380C642A" w14:textId="77777777" w:rsidR="00523C93" w:rsidRDefault="00523C93" w:rsidP="00523C93">
      <w:pPr>
        <w:spacing w:line="360" w:lineRule="auto"/>
        <w:jc w:val="both"/>
        <w:rPr>
          <w:rFonts w:ascii="David" w:hAnsi="David"/>
          <w:rtl/>
        </w:rPr>
      </w:pPr>
      <w:r>
        <w:rPr>
          <w:rFonts w:ascii="David" w:hAnsi="David" w:hint="cs"/>
          <w:rtl/>
        </w:rPr>
        <w:t xml:space="preserve">10. </w:t>
      </w:r>
      <w:r>
        <w:rPr>
          <w:rFonts w:ascii="David" w:hAnsi="David"/>
          <w:rtl/>
        </w:rPr>
        <w:tab/>
      </w:r>
      <w:r>
        <w:rPr>
          <w:rFonts w:ascii="David" w:hAnsi="David" w:hint="cs"/>
          <w:rtl/>
        </w:rPr>
        <w:t>הסניגור ביקש בטיעוניו לעונש שלא למצות את הדין עם הנאשם נוכח גילו הצעיר בעת ביצוע העבירות וקרבתו לגיל הקטינות כמו גם העובדה כי זו לנאשם הסתבכותו הראשונה והיחידה עם החוק. עוד צוין, כי הנאשם היה עצור במעצר מאחורי סורג ובריח מיום 17/4/20-26/9/19 ומאז ועד היום הוא עצור באיזוק אלקטרוני, מבלי שהפר את התנאים שהושתו עליו.</w:t>
      </w:r>
    </w:p>
    <w:p w14:paraId="4E6B8323" w14:textId="77777777" w:rsidR="00523C93" w:rsidRDefault="00523C93" w:rsidP="00523C93">
      <w:pPr>
        <w:spacing w:line="360" w:lineRule="auto"/>
        <w:jc w:val="both"/>
        <w:rPr>
          <w:rFonts w:ascii="David" w:hAnsi="David"/>
          <w:rtl/>
        </w:rPr>
      </w:pPr>
    </w:p>
    <w:p w14:paraId="0D92B46D" w14:textId="77777777" w:rsidR="00523C93" w:rsidRDefault="00523C93" w:rsidP="00523C93">
      <w:pPr>
        <w:spacing w:line="360" w:lineRule="auto"/>
        <w:jc w:val="both"/>
        <w:rPr>
          <w:rFonts w:ascii="David" w:hAnsi="David"/>
          <w:rtl/>
        </w:rPr>
      </w:pPr>
      <w:r>
        <w:rPr>
          <w:rFonts w:ascii="David" w:hAnsi="David" w:hint="cs"/>
          <w:rtl/>
        </w:rPr>
        <w:t xml:space="preserve">11. </w:t>
      </w:r>
      <w:r>
        <w:rPr>
          <w:rFonts w:ascii="David" w:hAnsi="David"/>
          <w:rtl/>
        </w:rPr>
        <w:tab/>
      </w:r>
      <w:r>
        <w:rPr>
          <w:rFonts w:ascii="David" w:hAnsi="David" w:hint="cs"/>
          <w:rtl/>
        </w:rPr>
        <w:t>נטען ע"י הסנגור כי הנאשם ביצע את העבירות על רקע סכסוך מתמשך בין שתי המשפחות וכי אירועי הירי בוצעו לאחר אירועי ירי קודמים שאחד מהם כוון לעבר ביתו של הנאשם. הסניגור הגיש הסכם סולחה (</w:t>
      </w:r>
      <w:r w:rsidRPr="002F575E">
        <w:rPr>
          <w:rFonts w:ascii="Miriam" w:hAnsi="Miriam" w:cs="Miriam"/>
          <w:rtl/>
        </w:rPr>
        <w:t>נע/1</w:t>
      </w:r>
      <w:r>
        <w:rPr>
          <w:rFonts w:ascii="David" w:hAnsi="David" w:hint="cs"/>
          <w:rtl/>
        </w:rPr>
        <w:t>) שנערך בין ג'רבאן דיאב דיב וג'רבאן סאלח מועין לבין הנאשם באמצעות אביו, ולפיו הסכסוך בין הצדדים שהוביל להליך המשפטי בתיק זה בא אל סיומו ומערכת היחסים בין הצדדים טובה וידידותית ואף הובעה מחילה מלאה על התרחשות האירוע. נטען כי הסכם הסולחה הביא לשחרור הנאשם ממעצר של ממש לאחר שהמתלונן הביא את עמדתו בפני בית המשפט. הסנגור הוסיף וטען כי נכון להיום הסכם הסולחה הוכיח עצמו וכי מאז שנחתם לא התרחשו אירועים נוספים בין המשפחות.</w:t>
      </w:r>
    </w:p>
    <w:p w14:paraId="502083DA" w14:textId="77777777" w:rsidR="00523C93" w:rsidRDefault="00523C93" w:rsidP="00523C93">
      <w:pPr>
        <w:spacing w:line="360" w:lineRule="auto"/>
        <w:jc w:val="both"/>
        <w:rPr>
          <w:rFonts w:ascii="David" w:hAnsi="David"/>
          <w:rtl/>
        </w:rPr>
      </w:pPr>
    </w:p>
    <w:p w14:paraId="0A6F1C43" w14:textId="77777777" w:rsidR="00523C93" w:rsidRDefault="00523C93" w:rsidP="00523C93">
      <w:pPr>
        <w:spacing w:line="360" w:lineRule="auto"/>
        <w:jc w:val="both"/>
        <w:rPr>
          <w:rFonts w:ascii="David" w:hAnsi="David"/>
          <w:rtl/>
        </w:rPr>
      </w:pPr>
      <w:r>
        <w:rPr>
          <w:rFonts w:ascii="David" w:hAnsi="David" w:hint="cs"/>
          <w:rtl/>
        </w:rPr>
        <w:t xml:space="preserve">12. </w:t>
      </w:r>
      <w:r>
        <w:rPr>
          <w:rFonts w:ascii="David" w:hAnsi="David"/>
          <w:rtl/>
        </w:rPr>
        <w:tab/>
      </w:r>
      <w:r>
        <w:rPr>
          <w:rFonts w:ascii="David" w:hAnsi="David" w:hint="cs"/>
          <w:rtl/>
        </w:rPr>
        <w:t>הסניגור הדגיש את הודאתו של הנאשם בהזדמנות הראשונה אשר חסכה הן זמן שיפוטי והן העדת 130 עדי תביעה. עוד ציין הסניגור את נסיבותיו האישיות הקשות של הנאשם העולות  ממקרא תסקיר שירות המבחן. בסיכומו של דבר ולאחר שהגיש לעניין העונש אסופת פסיקה מטעם ההגנה (</w:t>
      </w:r>
      <w:r w:rsidRPr="001E200B">
        <w:rPr>
          <w:rFonts w:ascii="Miriam" w:hAnsi="Miriam" w:cs="Miriam"/>
          <w:rtl/>
        </w:rPr>
        <w:t>נע/2</w:t>
      </w:r>
      <w:r>
        <w:rPr>
          <w:rFonts w:ascii="David" w:hAnsi="David" w:hint="cs"/>
          <w:rtl/>
        </w:rPr>
        <w:t>), טען הסנגור כי תקופת מעצרו של הנאשם מהווה בתיק זה עונש הולם, תוך שבד בבד הסכים לכך שיוטל על הנאשם עונש של מאסר בפועל לריצוי  בעבודות שירות. בנוסף, נוכח מצבו הכספי הקשה של הנאשם ונוכח הסכם הסולחה, ביקש הסניגור כי לא יושתו על הנאשם קנס כספי  או פיצוי לטובת המתלונן.</w:t>
      </w:r>
    </w:p>
    <w:p w14:paraId="639BF68D" w14:textId="77777777" w:rsidR="00523C93" w:rsidRDefault="00523C93" w:rsidP="00523C93">
      <w:pPr>
        <w:spacing w:line="360" w:lineRule="auto"/>
        <w:jc w:val="both"/>
        <w:rPr>
          <w:rFonts w:ascii="David" w:hAnsi="David"/>
          <w:rtl/>
        </w:rPr>
      </w:pPr>
      <w:r>
        <w:rPr>
          <w:rFonts w:ascii="David" w:hAnsi="David" w:hint="cs"/>
          <w:rtl/>
        </w:rPr>
        <w:t xml:space="preserve">13. </w:t>
      </w:r>
      <w:r>
        <w:rPr>
          <w:rFonts w:ascii="David" w:hAnsi="David"/>
          <w:rtl/>
        </w:rPr>
        <w:tab/>
      </w:r>
      <w:r>
        <w:rPr>
          <w:rFonts w:ascii="David" w:hAnsi="David" w:hint="cs"/>
          <w:rtl/>
        </w:rPr>
        <w:t>הנאשם בדבריו בפני בית המשפט הביע צער על מעשיו.</w:t>
      </w:r>
    </w:p>
    <w:p w14:paraId="714E729C" w14:textId="77777777" w:rsidR="00523C93" w:rsidRPr="00A21672" w:rsidRDefault="00523C93" w:rsidP="00523C93">
      <w:pPr>
        <w:jc w:val="both"/>
        <w:rPr>
          <w:rFonts w:ascii="David" w:hAnsi="David"/>
          <w:rtl/>
        </w:rPr>
      </w:pPr>
    </w:p>
    <w:p w14:paraId="698FC062" w14:textId="77777777" w:rsidR="00523C93" w:rsidRPr="00B25DBE" w:rsidRDefault="00523C93" w:rsidP="00523C93">
      <w:pPr>
        <w:jc w:val="both"/>
        <w:rPr>
          <w:rFonts w:ascii="Miriam" w:hAnsi="Miriam" w:cs="Miriam"/>
          <w:u w:val="single"/>
          <w:rtl/>
        </w:rPr>
      </w:pPr>
      <w:r w:rsidRPr="00B25DBE">
        <w:rPr>
          <w:rFonts w:ascii="Miriam" w:hAnsi="Miriam" w:cs="Miriam" w:hint="cs"/>
          <w:u w:val="single"/>
          <w:rtl/>
        </w:rPr>
        <w:t>דיון והכרעה</w:t>
      </w:r>
    </w:p>
    <w:p w14:paraId="4AD4573A" w14:textId="77777777" w:rsidR="00523C93" w:rsidRDefault="00523C93" w:rsidP="00523C93">
      <w:pPr>
        <w:jc w:val="both"/>
        <w:rPr>
          <w:rFonts w:ascii="Miriam" w:hAnsi="Miriam" w:cs="Miriam"/>
          <w:rtl/>
        </w:rPr>
      </w:pPr>
    </w:p>
    <w:p w14:paraId="4F232DED" w14:textId="77777777" w:rsidR="00523C93" w:rsidRDefault="00523C93" w:rsidP="00523C93">
      <w:pPr>
        <w:jc w:val="both"/>
        <w:rPr>
          <w:rFonts w:ascii="Miriam" w:hAnsi="Miriam" w:cs="Miriam"/>
          <w:rtl/>
        </w:rPr>
      </w:pPr>
    </w:p>
    <w:p w14:paraId="13A5BF7B" w14:textId="77777777" w:rsidR="00523C93" w:rsidRDefault="00523C93" w:rsidP="00523C93">
      <w:pPr>
        <w:spacing w:line="360" w:lineRule="auto"/>
        <w:jc w:val="both"/>
      </w:pPr>
      <w:r>
        <w:rPr>
          <w:rFonts w:hint="cs"/>
          <w:rtl/>
        </w:rPr>
        <w:t xml:space="preserve">14. </w:t>
      </w:r>
      <w:r>
        <w:rPr>
          <w:rtl/>
        </w:rPr>
        <w:tab/>
        <w:t>תיקון מס' 113 ל</w:t>
      </w:r>
      <w:hyperlink r:id="rId23" w:history="1">
        <w:r w:rsidR="00444FEF" w:rsidRPr="00444FEF">
          <w:rPr>
            <w:color w:val="0000FF"/>
            <w:u w:val="single"/>
            <w:rtl/>
          </w:rPr>
          <w:t>חוק העונשין</w:t>
        </w:r>
      </w:hyperlink>
      <w:r>
        <w:rPr>
          <w:rtl/>
        </w:rPr>
        <w:t xml:space="preserve"> מתווה את העיקרון המנחה כיום את ביהמ"ש בבואו לגזור דינו של נאשם, שהינו, לפי </w:t>
      </w:r>
      <w:hyperlink r:id="rId24" w:history="1">
        <w:r w:rsidR="00DC4B4E" w:rsidRPr="00DC4B4E">
          <w:rPr>
            <w:rStyle w:val="Hyperlink"/>
            <w:rtl/>
          </w:rPr>
          <w:t>סעיף 40 ב</w:t>
        </w:r>
      </w:hyperlink>
      <w:r>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5" w:history="1">
        <w:r w:rsidR="00444FEF" w:rsidRPr="00444FEF">
          <w:rPr>
            <w:color w:val="0000FF"/>
            <w:u w:val="single"/>
            <w:rtl/>
          </w:rPr>
          <w:t>ע.פ. 1523/10</w:t>
        </w:r>
      </w:hyperlink>
      <w:r>
        <w:rPr>
          <w:rtl/>
        </w:rPr>
        <w:t xml:space="preserve"> </w:t>
      </w:r>
      <w:r>
        <w:rPr>
          <w:rFonts w:cs="Miriam"/>
          <w:rtl/>
        </w:rPr>
        <w:t>פלוני נ' מדינת ישראל</w:t>
      </w:r>
      <w:r>
        <w:rPr>
          <w:rtl/>
        </w:rPr>
        <w:t xml:space="preserve">, 18/4/12). </w:t>
      </w:r>
      <w:hyperlink r:id="rId26" w:history="1">
        <w:r w:rsidR="00DC4B4E" w:rsidRPr="00DC4B4E">
          <w:rPr>
            <w:rStyle w:val="Hyperlink"/>
            <w:rtl/>
          </w:rPr>
          <w:t>סעיף 40 ג</w:t>
        </w:r>
      </w:hyperlink>
      <w:r>
        <w:rPr>
          <w:rtl/>
        </w:rPr>
        <w:t>' ל</w:t>
      </w:r>
      <w:hyperlink r:id="rId27" w:history="1">
        <w:r w:rsidR="00444FEF" w:rsidRPr="00444FEF">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8" w:history="1">
        <w:r w:rsidR="00DC4B4E" w:rsidRPr="00DC4B4E">
          <w:rPr>
            <w:rStyle w:val="Hyperlink"/>
            <w:rtl/>
          </w:rPr>
          <w:t>בסעיף 40 ט</w:t>
        </w:r>
      </w:hyperlink>
      <w:r>
        <w:rPr>
          <w:rtl/>
        </w:rPr>
        <w:t>' ל</w:t>
      </w:r>
      <w:hyperlink r:id="rId29" w:history="1">
        <w:r w:rsidR="00444FEF" w:rsidRPr="00444FEF">
          <w:rPr>
            <w:color w:val="0000FF"/>
            <w:u w:val="single"/>
            <w:rtl/>
          </w:rPr>
          <w:t>חוק העונשין</w:t>
        </w:r>
      </w:hyperlink>
      <w:r>
        <w:rPr>
          <w:rtl/>
        </w:rPr>
        <w:t>. על בית המשפט, בשלב הראשון של יישום תיקון 113 ל</w:t>
      </w:r>
      <w:hyperlink r:id="rId30" w:history="1">
        <w:r w:rsidR="00444FEF" w:rsidRPr="00444FEF">
          <w:rPr>
            <w:color w:val="0000FF"/>
            <w:u w:val="single"/>
            <w:rtl/>
          </w:rPr>
          <w:t>חוק העונשין</w:t>
        </w:r>
      </w:hyperlink>
      <w:r>
        <w:rPr>
          <w:rtl/>
        </w:rPr>
        <w:t>, לבדוק האם העבירות בהן הורשע הנאשם מהוות אירוע אחד או כמה אירועים נפרדים, שאז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31" w:history="1">
        <w:r w:rsidR="00DC4B4E" w:rsidRPr="00DC4B4E">
          <w:rPr>
            <w:rStyle w:val="Hyperlink"/>
            <w:rtl/>
          </w:rPr>
          <w:t>סעיף 40י"ג (ב)</w:t>
        </w:r>
      </w:hyperlink>
      <w:r>
        <w:rPr>
          <w:rtl/>
        </w:rPr>
        <w:t xml:space="preserve"> לחוק העונשין) (ראה </w:t>
      </w:r>
      <w:hyperlink r:id="rId32" w:history="1">
        <w:r w:rsidR="00444FEF" w:rsidRPr="00444FEF">
          <w:rPr>
            <w:color w:val="0000FF"/>
            <w:u w:val="single"/>
            <w:rtl/>
          </w:rPr>
          <w:t>ע"פ 8641-12</w:t>
        </w:r>
      </w:hyperlink>
      <w:r>
        <w:rPr>
          <w:rtl/>
        </w:rPr>
        <w:t xml:space="preserve"> </w:t>
      </w:r>
      <w:r>
        <w:rPr>
          <w:rFonts w:cs="Miriam"/>
          <w:rtl/>
        </w:rPr>
        <w:t>מוחמד סעד נ' מ"י</w:t>
      </w:r>
      <w:r>
        <w:rPr>
          <w:rtl/>
        </w:rPr>
        <w:t>,  ניתן ביום 5.8.13).</w:t>
      </w:r>
    </w:p>
    <w:p w14:paraId="58AF981D" w14:textId="77777777" w:rsidR="00523C93" w:rsidRDefault="00523C93" w:rsidP="00523C93">
      <w:pPr>
        <w:spacing w:line="360" w:lineRule="auto"/>
        <w:jc w:val="both"/>
        <w:rPr>
          <w:rtl/>
        </w:rPr>
      </w:pPr>
    </w:p>
    <w:p w14:paraId="636B86D8" w14:textId="77777777" w:rsidR="00523C93" w:rsidRDefault="00523C93" w:rsidP="00523C93">
      <w:pPr>
        <w:spacing w:line="360" w:lineRule="auto"/>
        <w:jc w:val="both"/>
        <w:rPr>
          <w:rFonts w:ascii="David" w:hAnsi="David"/>
          <w:rtl/>
        </w:rPr>
      </w:pPr>
      <w:r>
        <w:rPr>
          <w:rFonts w:hint="cs"/>
          <w:rtl/>
        </w:rPr>
        <w:t xml:space="preserve">15. </w:t>
      </w:r>
      <w:r>
        <w:rPr>
          <w:rtl/>
        </w:rPr>
        <w:tab/>
        <w:t>במקרה דנן אין חולק</w:t>
      </w:r>
      <w:r>
        <w:rPr>
          <w:rFonts w:hint="cs"/>
          <w:rtl/>
        </w:rPr>
        <w:t>, כאמור,</w:t>
      </w:r>
      <w:r>
        <w:rPr>
          <w:rtl/>
        </w:rPr>
        <w:t xml:space="preserve"> כי העבירות בהן הורשע הנאשם מהוות אירוע אחד, ו</w:t>
      </w:r>
      <w:r>
        <w:rPr>
          <w:rFonts w:hint="cs"/>
          <w:rtl/>
        </w:rPr>
        <w:t>אכן עסקינן באותה מסכת עבריינית אותה ניתן לראות כאירוע אחד לצורך קביעת</w:t>
      </w:r>
      <w:r>
        <w:rPr>
          <w:rtl/>
        </w:rPr>
        <w:t xml:space="preserve"> מתחם </w:t>
      </w:r>
      <w:r>
        <w:rPr>
          <w:rFonts w:hint="cs"/>
          <w:rtl/>
        </w:rPr>
        <w:t>ה</w:t>
      </w:r>
      <w:r>
        <w:rPr>
          <w:rtl/>
        </w:rPr>
        <w:t xml:space="preserve">עונש </w:t>
      </w:r>
      <w:r>
        <w:rPr>
          <w:rFonts w:hint="cs"/>
          <w:rtl/>
        </w:rPr>
        <w:t>ה</w:t>
      </w:r>
      <w:r>
        <w:rPr>
          <w:rtl/>
        </w:rPr>
        <w:t>הולם. אקדים ואציין, כי הערך המוגן שנפגע כתוצאה מביצוע עביר</w:t>
      </w:r>
      <w:r>
        <w:rPr>
          <w:rFonts w:hint="cs"/>
          <w:rtl/>
        </w:rPr>
        <w:t>ו</w:t>
      </w:r>
      <w:r>
        <w:rPr>
          <w:rtl/>
        </w:rPr>
        <w:t xml:space="preserve">ת הנשק ע"י הנאשם, </w:t>
      </w:r>
      <w:r>
        <w:rPr>
          <w:rFonts w:hint="cs"/>
          <w:rtl/>
        </w:rPr>
        <w:t>ל</w:t>
      </w:r>
      <w:r>
        <w:rPr>
          <w:rtl/>
        </w:rPr>
        <w:t>צד העבירות של ירי באזור מגורים</w:t>
      </w:r>
      <w:r>
        <w:rPr>
          <w:rFonts w:hint="cs"/>
          <w:rtl/>
        </w:rPr>
        <w:t xml:space="preserve"> ועבירת האיומים</w:t>
      </w:r>
      <w:r>
        <w:rPr>
          <w:rtl/>
        </w:rPr>
        <w:t xml:space="preserve">, הינו- שלומם וביטחונם של </w:t>
      </w:r>
      <w:r>
        <w:rPr>
          <w:rFonts w:hint="cs"/>
          <w:rtl/>
        </w:rPr>
        <w:t>בני משפחת חלים דיב</w:t>
      </w:r>
      <w:r>
        <w:rPr>
          <w:rtl/>
        </w:rPr>
        <w:t>, בפרט, ושלום הציבור ובטחונו, בכלל. "</w:t>
      </w:r>
      <w:r>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33" w:history="1">
        <w:r w:rsidR="00444FEF" w:rsidRPr="00444FEF">
          <w:rPr>
            <w:color w:val="0000FF"/>
            <w:u w:val="single"/>
            <w:rtl/>
          </w:rPr>
          <w:t>ע"פ 7502/12</w:t>
        </w:r>
      </w:hyperlink>
      <w:r>
        <w:rPr>
          <w:rtl/>
        </w:rPr>
        <w:t xml:space="preserve"> ‏</w:t>
      </w:r>
      <w:r>
        <w:rPr>
          <w:rFonts w:cs="Miriam"/>
          <w:rtl/>
        </w:rPr>
        <w:t>כוויס נ' מדינת ישראל</w:t>
      </w:r>
      <w:r>
        <w:rPr>
          <w:rtl/>
        </w:rPr>
        <w:t xml:space="preserve"> (25.6.2013)). בתי המשפט עמדו לא אחת על חומרתן הרבה של עבירות הנשק למיניהן, על פוטנציאל הסיכון הרב הטמון בשימוש בנשק ללא היתר, ועל התוצאות הקשות והרות-הגורל שעלולות להיגרם מביצוע עבירות אלו, כל שכן כשעסקינן בירי באזור מגורים.</w:t>
      </w:r>
    </w:p>
    <w:p w14:paraId="2F210568" w14:textId="77777777" w:rsidR="00523C93" w:rsidRDefault="00523C93" w:rsidP="00523C93">
      <w:pPr>
        <w:spacing w:line="360" w:lineRule="auto"/>
        <w:jc w:val="both"/>
        <w:rPr>
          <w:rFonts w:ascii="David" w:hAnsi="David"/>
          <w:rtl/>
        </w:rPr>
      </w:pPr>
    </w:p>
    <w:p w14:paraId="20D920B4" w14:textId="77777777" w:rsidR="00523C93" w:rsidRDefault="00523C93" w:rsidP="00523C93">
      <w:pPr>
        <w:spacing w:line="360" w:lineRule="auto"/>
        <w:jc w:val="both"/>
        <w:rPr>
          <w:rFonts w:ascii="David" w:hAnsi="David"/>
          <w:rtl/>
        </w:rPr>
      </w:pPr>
      <w:r>
        <w:rPr>
          <w:rFonts w:ascii="David" w:hAnsi="David" w:hint="cs"/>
          <w:rtl/>
        </w:rPr>
        <w:t xml:space="preserve">16. </w:t>
      </w:r>
      <w:r>
        <w:rPr>
          <w:rFonts w:ascii="David" w:hAnsi="David"/>
          <w:rtl/>
        </w:rPr>
        <w:tab/>
      </w:r>
      <w:r>
        <w:rPr>
          <w:rFonts w:ascii="David" w:hAnsi="David" w:hint="cs"/>
          <w:rtl/>
        </w:rPr>
        <w:t xml:space="preserve">בית המשפט העליון, מפי כב' </w:t>
      </w:r>
      <w:r w:rsidRPr="004038A7">
        <w:rPr>
          <w:rFonts w:ascii="David" w:hAnsi="David"/>
          <w:rtl/>
        </w:rPr>
        <w:t>השופט י' אלרון</w:t>
      </w:r>
      <w:r>
        <w:rPr>
          <w:rFonts w:ascii="David" w:hAnsi="David" w:hint="cs"/>
          <w:rtl/>
        </w:rPr>
        <w:t>,</w:t>
      </w:r>
      <w:r w:rsidRPr="004038A7">
        <w:rPr>
          <w:rFonts w:ascii="David" w:hAnsi="David"/>
          <w:rtl/>
        </w:rPr>
        <w:t xml:space="preserve"> </w:t>
      </w:r>
      <w:r>
        <w:rPr>
          <w:rFonts w:ascii="David" w:hAnsi="David" w:hint="cs"/>
          <w:rtl/>
        </w:rPr>
        <w:t xml:space="preserve">הביע בדבריו הבאים מדיניות ענישה מחמירה ביחס לעבירות המגלמות בחובן שימוש בנשק חם למטרת יישוב סכסוכים: </w:t>
      </w:r>
    </w:p>
    <w:p w14:paraId="44C85C87" w14:textId="77777777" w:rsidR="00523C93" w:rsidRDefault="00523C93" w:rsidP="00523C93">
      <w:pPr>
        <w:spacing w:line="360" w:lineRule="auto"/>
        <w:jc w:val="both"/>
        <w:rPr>
          <w:rFonts w:ascii="David" w:hAnsi="David"/>
          <w:rtl/>
        </w:rPr>
      </w:pPr>
    </w:p>
    <w:p w14:paraId="5592774A" w14:textId="77777777" w:rsidR="00523C93" w:rsidRDefault="00523C93" w:rsidP="00523C93">
      <w:pPr>
        <w:spacing w:line="360" w:lineRule="auto"/>
        <w:ind w:left="1440" w:right="851"/>
        <w:jc w:val="both"/>
        <w:rPr>
          <w:rFonts w:ascii="Miriam" w:hAnsi="Miriam" w:cs="Miriam"/>
          <w:rtl/>
        </w:rPr>
      </w:pPr>
      <w:r>
        <w:rPr>
          <w:rFonts w:ascii="David" w:hAnsi="David"/>
          <w:rtl/>
        </w:rPr>
        <w:t>"</w:t>
      </w:r>
      <w:r>
        <w:rPr>
          <w:rFonts w:ascii="Miriam" w:hAnsi="Miriam" w:cs="Miriam" w:hint="cs"/>
          <w:rtl/>
        </w:rPr>
        <w:t>...</w:t>
      </w:r>
      <w:r w:rsidRPr="004038A7">
        <w:rPr>
          <w:rFonts w:ascii="Miriam" w:hAnsi="Miriam" w:cs="Miriam"/>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 על רקע המציאות אותה אנו חווים למרבה הצער מדי יום, אנו עדים לקריאה ציבורית נרגשת להגברת האכיפה כלפי עבירות נשק –</w:t>
      </w:r>
      <w:r>
        <w:rPr>
          <w:rFonts w:ascii="Miriam" w:hAnsi="Miriam" w:cs="Miriam"/>
          <w:rtl/>
        </w:rPr>
        <w:t xml:space="preserve"> ולהחמרה במדיניות הענישה הנוהגת</w:t>
      </w:r>
      <w:r w:rsidRPr="004038A7">
        <w:rPr>
          <w:rFonts w:ascii="Miriam" w:hAnsi="Miriam" w:cs="Miriam"/>
          <w:rtl/>
        </w:rPr>
        <w:t>" (</w:t>
      </w:r>
      <w:hyperlink r:id="rId34" w:history="1">
        <w:r w:rsidR="00444FEF" w:rsidRPr="00444FEF">
          <w:rPr>
            <w:rFonts w:ascii="David" w:hAnsi="David"/>
            <w:color w:val="0000FF"/>
            <w:u w:val="single"/>
            <w:rtl/>
          </w:rPr>
          <w:t>ע"פ 4406/19</w:t>
        </w:r>
      </w:hyperlink>
      <w:r w:rsidRPr="004038A7">
        <w:rPr>
          <w:rFonts w:ascii="David" w:hAnsi="David"/>
          <w:rtl/>
        </w:rPr>
        <w:t xml:space="preserve"> </w:t>
      </w:r>
      <w:r w:rsidRPr="00220850">
        <w:rPr>
          <w:rFonts w:ascii="Miriam" w:hAnsi="Miriam" w:cs="Miriam"/>
          <w:rtl/>
        </w:rPr>
        <w:t>מדינת ישראל נ' סובח</w:t>
      </w:r>
      <w:r w:rsidRPr="004038A7">
        <w:rPr>
          <w:rFonts w:ascii="David" w:hAnsi="David"/>
          <w:rtl/>
        </w:rPr>
        <w:t xml:space="preserve"> (5.11.2019)</w:t>
      </w:r>
      <w:r>
        <w:rPr>
          <w:rFonts w:ascii="David" w:hAnsi="David" w:hint="cs"/>
          <w:rtl/>
        </w:rPr>
        <w:t>,</w:t>
      </w:r>
      <w:r w:rsidRPr="004038A7">
        <w:rPr>
          <w:rFonts w:ascii="David" w:hAnsi="David"/>
          <w:rtl/>
        </w:rPr>
        <w:t xml:space="preserve"> </w:t>
      </w:r>
      <w:r w:rsidRPr="003C7B1E">
        <w:rPr>
          <w:rFonts w:ascii="David" w:hAnsi="David"/>
          <w:rtl/>
        </w:rPr>
        <w:t>פסקאות 16-15</w:t>
      </w:r>
      <w:r w:rsidRPr="004038A7">
        <w:rPr>
          <w:rFonts w:ascii="Miriam" w:hAnsi="Miriam" w:cs="Miriam"/>
          <w:rtl/>
        </w:rPr>
        <w:t>).</w:t>
      </w:r>
    </w:p>
    <w:p w14:paraId="6EF74053" w14:textId="77777777" w:rsidR="00523C93" w:rsidRDefault="00523C93" w:rsidP="00523C93">
      <w:pPr>
        <w:spacing w:line="360" w:lineRule="auto"/>
        <w:jc w:val="both"/>
        <w:rPr>
          <w:rFonts w:ascii="Miriam" w:hAnsi="Miriam" w:cs="Miriam"/>
          <w:rtl/>
        </w:rPr>
      </w:pPr>
    </w:p>
    <w:p w14:paraId="1E6BA651" w14:textId="77777777" w:rsidR="00523C93" w:rsidRDefault="00523C93" w:rsidP="00523C93">
      <w:pPr>
        <w:spacing w:line="360" w:lineRule="auto"/>
        <w:jc w:val="both"/>
        <w:rPr>
          <w:rFonts w:ascii="Miriam" w:hAnsi="Miriam" w:cs="Miriam"/>
          <w:rtl/>
        </w:rPr>
      </w:pPr>
      <w:r>
        <w:rPr>
          <w:rFonts w:ascii="David" w:hAnsi="David" w:hint="cs"/>
          <w:rtl/>
        </w:rPr>
        <w:t xml:space="preserve">17. </w:t>
      </w:r>
      <w:r>
        <w:rPr>
          <w:rFonts w:ascii="David" w:hAnsi="David"/>
          <w:rtl/>
        </w:rPr>
        <w:tab/>
      </w:r>
      <w:r w:rsidRPr="00265E46">
        <w:rPr>
          <w:rFonts w:ascii="David" w:hAnsi="David"/>
          <w:rtl/>
        </w:rPr>
        <w:t>ומהתם להכא: מעבר להחזקת ונ</w:t>
      </w:r>
      <w:r>
        <w:rPr>
          <w:rFonts w:ascii="David" w:hAnsi="David"/>
          <w:rtl/>
        </w:rPr>
        <w:t>שיא</w:t>
      </w:r>
      <w:r>
        <w:rPr>
          <w:rFonts w:ascii="David" w:hAnsi="David" w:hint="cs"/>
          <w:rtl/>
        </w:rPr>
        <w:t>ת האקדח עשה הנאשם</w:t>
      </w:r>
      <w:r w:rsidRPr="00265E46">
        <w:rPr>
          <w:rFonts w:ascii="David" w:hAnsi="David"/>
          <w:rtl/>
        </w:rPr>
        <w:t xml:space="preserve"> שימוש בנשק באזור מגורים בו עלולים להיפגע אנ</w:t>
      </w:r>
      <w:r>
        <w:rPr>
          <w:rFonts w:ascii="David" w:hAnsi="David"/>
          <w:rtl/>
        </w:rPr>
        <w:t>שים, ו</w:t>
      </w:r>
      <w:r>
        <w:rPr>
          <w:rFonts w:ascii="David" w:hAnsi="David" w:hint="cs"/>
          <w:rtl/>
        </w:rPr>
        <w:t>אף ירה 7 כדורים סמוך לביתו של דיאב דיב כשאחד מהם אף פגע בחלון ביתו של האחרון ופער בו חור</w:t>
      </w:r>
      <w:r w:rsidRPr="00265E46">
        <w:rPr>
          <w:rFonts w:ascii="David" w:hAnsi="David"/>
          <w:rtl/>
        </w:rPr>
        <w:t>.</w:t>
      </w:r>
      <w:r>
        <w:rPr>
          <w:rFonts w:ascii="David" w:hAnsi="David" w:hint="cs"/>
          <w:rtl/>
        </w:rPr>
        <w:t xml:space="preserve"> אין מדובר במקרה ירי בודד, שכן אף בעקבות אירוע הירי הרביעי שנעשה אל עבר ביתו, יצא הנאשם אל הכביש הסמוך לחצר ובעודו מוקף באנשים, ירה מספר יריות באוויר, ובחלוף זמן קצר, יצא הנאשם בריצה לכיוון בית הדואר וירה ירייה נוספת. עוד יש להוסיף לחומרה, כי הנאשם הורשע בנוסף לשתי העבירות של החזקת ונשיאת נשק ולשתי העבירות של ירי באזור מגורים, גם בעבירה של איומים שכן הירי סמוך לבית דיאב דיב נעשה ע"י הנאשם בכוונה להפחיד ולהקניט. אין להתעלם אמנם מכך שאירוע הירי האחרון ע"י הנאשם נעשה, כאמור, בעקבות ירי לכיוון ביתו. אולם, בד בבד אין גם להתעלם מכך שעסקינן בירי בסמוך לקבוצת אנשים, דבר המגלם בחובו מסוכנות, כמו גם העובדה שהנאשם הוסיף וירה ירייה נוספת לאחר שרץ לכיוון בית הדואר. על בית המשפט לשדר מסר ברור של ענישה מרתיעה לבל תהפוך התופעה של  </w:t>
      </w:r>
      <w:r w:rsidRPr="000D6B2C">
        <w:rPr>
          <w:rFonts w:ascii="David" w:hAnsi="David"/>
          <w:rtl/>
        </w:rPr>
        <w:t xml:space="preserve">"לקיחת החוק לידיים" ועשיית דין עצמי, </w:t>
      </w:r>
      <w:r>
        <w:rPr>
          <w:rFonts w:ascii="David" w:hAnsi="David" w:hint="cs"/>
          <w:rtl/>
        </w:rPr>
        <w:t>לתופעה שכיחה בחברתנו.</w:t>
      </w:r>
      <w:r w:rsidRPr="000D6B2C">
        <w:rPr>
          <w:rFonts w:ascii="Miriam" w:hAnsi="Miriam" w:cs="Miriam"/>
          <w:rtl/>
        </w:rPr>
        <w:t xml:space="preserve"> </w:t>
      </w:r>
    </w:p>
    <w:p w14:paraId="22D83623" w14:textId="77777777" w:rsidR="00523C93" w:rsidRDefault="00523C93" w:rsidP="00523C93">
      <w:pPr>
        <w:spacing w:line="360" w:lineRule="auto"/>
        <w:jc w:val="both"/>
        <w:rPr>
          <w:rFonts w:ascii="Miriam" w:hAnsi="Miriam" w:cs="Miriam"/>
          <w:rtl/>
        </w:rPr>
      </w:pPr>
      <w:r w:rsidRPr="000D6B2C">
        <w:rPr>
          <w:rFonts w:ascii="Miriam" w:hAnsi="Miriam" w:cs="Miriam"/>
          <w:rtl/>
        </w:rPr>
        <w:t xml:space="preserve"> </w:t>
      </w:r>
    </w:p>
    <w:p w14:paraId="5BA1A5D8" w14:textId="77777777" w:rsidR="00523C93" w:rsidRPr="00D34FB6" w:rsidRDefault="00523C93" w:rsidP="00523C93">
      <w:pPr>
        <w:spacing w:line="360" w:lineRule="auto"/>
        <w:jc w:val="both"/>
        <w:rPr>
          <w:rFonts w:ascii="David" w:hAnsi="David"/>
          <w:rtl/>
        </w:rPr>
      </w:pPr>
      <w:r>
        <w:rPr>
          <w:rFonts w:ascii="David" w:hAnsi="David" w:hint="cs"/>
          <w:rtl/>
        </w:rPr>
        <w:t xml:space="preserve">18. </w:t>
      </w:r>
      <w:r>
        <w:rPr>
          <w:rFonts w:ascii="David" w:hAnsi="David"/>
          <w:rtl/>
        </w:rPr>
        <w:tab/>
      </w:r>
      <w:r>
        <w:rPr>
          <w:rFonts w:ascii="David" w:hAnsi="David" w:hint="cs"/>
          <w:rtl/>
        </w:rPr>
        <w:t>להלן סקירת פסיקה לצורך המחשת מדיניות הענישה הנהוגה בעבירות שבפנינו שעיקרן עבירות הנשק:</w:t>
      </w:r>
    </w:p>
    <w:p w14:paraId="63643418" w14:textId="77777777" w:rsidR="00523C93" w:rsidRDefault="00523C93" w:rsidP="00523C93">
      <w:pPr>
        <w:spacing w:line="360" w:lineRule="auto"/>
        <w:jc w:val="both"/>
        <w:rPr>
          <w:rFonts w:ascii="Miriam" w:hAnsi="Miriam" w:cs="Miriam"/>
          <w:rtl/>
        </w:rPr>
      </w:pPr>
    </w:p>
    <w:p w14:paraId="162F7AC0" w14:textId="77777777" w:rsidR="00523C93" w:rsidRDefault="00523C93" w:rsidP="00523C93">
      <w:pPr>
        <w:pStyle w:val="a9"/>
        <w:numPr>
          <w:ilvl w:val="0"/>
          <w:numId w:val="1"/>
        </w:numPr>
        <w:spacing w:line="360" w:lineRule="auto"/>
        <w:jc w:val="both"/>
        <w:rPr>
          <w:rFonts w:ascii="David" w:hAnsi="David"/>
        </w:rPr>
      </w:pPr>
      <w:r>
        <w:rPr>
          <w:rFonts w:ascii="David" w:hAnsi="David" w:hint="cs"/>
          <w:rtl/>
        </w:rPr>
        <w:t>ב</w:t>
      </w:r>
      <w:hyperlink r:id="rId35" w:history="1">
        <w:r w:rsidR="00444FEF" w:rsidRPr="00444FEF">
          <w:rPr>
            <w:rFonts w:ascii="David" w:hAnsi="David"/>
            <w:color w:val="0000FF"/>
            <w:u w:val="single"/>
            <w:rtl/>
          </w:rPr>
          <w:t>ע"פ 1509/20</w:t>
        </w:r>
      </w:hyperlink>
      <w:r w:rsidRPr="004038A7">
        <w:rPr>
          <w:rFonts w:ascii="David" w:hAnsi="David"/>
          <w:rtl/>
        </w:rPr>
        <w:t xml:space="preserve"> </w:t>
      </w:r>
      <w:r w:rsidRPr="004038A7">
        <w:rPr>
          <w:rFonts w:ascii="Miriam" w:hAnsi="Miriam" w:cs="Miriam"/>
          <w:rtl/>
        </w:rPr>
        <w:t>מדינת ישראל נ' ראפאת נבארי</w:t>
      </w:r>
      <w:r w:rsidRPr="004038A7">
        <w:rPr>
          <w:rFonts w:ascii="David" w:hAnsi="David"/>
          <w:rtl/>
        </w:rPr>
        <w:t xml:space="preserve"> (</w:t>
      </w:r>
      <w:r>
        <w:rPr>
          <w:rFonts w:ascii="David" w:hAnsi="David"/>
          <w:rtl/>
        </w:rPr>
        <w:t>02</w:t>
      </w:r>
      <w:r>
        <w:rPr>
          <w:rFonts w:ascii="David" w:hAnsi="David" w:hint="cs"/>
          <w:rtl/>
        </w:rPr>
        <w:t>/</w:t>
      </w:r>
      <w:r>
        <w:rPr>
          <w:rFonts w:ascii="David" w:hAnsi="David"/>
          <w:rtl/>
        </w:rPr>
        <w:t>07</w:t>
      </w:r>
      <w:r>
        <w:rPr>
          <w:rFonts w:ascii="David" w:hAnsi="David" w:hint="cs"/>
          <w:rtl/>
        </w:rPr>
        <w:t>/</w:t>
      </w:r>
      <w:r>
        <w:rPr>
          <w:rFonts w:ascii="David" w:hAnsi="David"/>
          <w:rtl/>
        </w:rPr>
        <w:t>20)</w:t>
      </w:r>
      <w:r>
        <w:rPr>
          <w:rFonts w:ascii="David" w:hAnsi="David" w:hint="cs"/>
          <w:rtl/>
        </w:rPr>
        <w:t xml:space="preserve">- בית המשפט העליון קיבל את </w:t>
      </w:r>
      <w:r w:rsidRPr="004038A7">
        <w:rPr>
          <w:rFonts w:ascii="David" w:hAnsi="David"/>
          <w:rtl/>
        </w:rPr>
        <w:t xml:space="preserve">ערעור המדינה על קולת עונש המאסר בפועל שהשית בימ"ש מחוזי על המשיב – 27 חודשי מאסר בפועל – בעקבות הרשעתו, על יסוד הודאתו, בנשיאה והובלה של נשק (תת מקלע מאולתר טעון ודרוך) ובירי מנשק חם באזור מגורים. </w:t>
      </w:r>
      <w:r>
        <w:rPr>
          <w:rFonts w:ascii="David" w:hAnsi="David" w:hint="cs"/>
          <w:rtl/>
        </w:rPr>
        <w:t xml:space="preserve">בית המשפט העליון ציין, כי </w:t>
      </w:r>
      <w:r w:rsidRPr="004038A7">
        <w:rPr>
          <w:rFonts w:ascii="David" w:hAnsi="David"/>
          <w:rtl/>
        </w:rPr>
        <w:t>לאור הצורך החברתי להחמיר בענישה כל אימת שמדובר בירי באזור מגורים, וכן בהתחשב במכלול הנסיבות – לרבות השימוש שעשה המשיב בנשק אוטומטי מאולתר – ראוי היה להטיל על המ</w:t>
      </w:r>
      <w:r>
        <w:rPr>
          <w:rFonts w:ascii="David" w:hAnsi="David"/>
          <w:rtl/>
        </w:rPr>
        <w:t>שיב מאסר בפועל לתקופה ממושכת</w:t>
      </w:r>
      <w:r>
        <w:rPr>
          <w:rFonts w:ascii="David" w:hAnsi="David" w:hint="cs"/>
          <w:rtl/>
        </w:rPr>
        <w:t xml:space="preserve"> והעמיד את עונשו </w:t>
      </w:r>
      <w:r w:rsidRPr="004038A7">
        <w:rPr>
          <w:rFonts w:ascii="David" w:hAnsi="David"/>
          <w:rtl/>
        </w:rPr>
        <w:t>על</w:t>
      </w:r>
      <w:r>
        <w:rPr>
          <w:rFonts w:ascii="David" w:hAnsi="David" w:hint="cs"/>
          <w:rtl/>
        </w:rPr>
        <w:t xml:space="preserve"> 36 </w:t>
      </w:r>
      <w:r w:rsidRPr="004038A7">
        <w:rPr>
          <w:rFonts w:ascii="David" w:hAnsi="David"/>
          <w:rtl/>
        </w:rPr>
        <w:t xml:space="preserve">חודשי מאסר בפועל, בניכוי ימי מעצרו. </w:t>
      </w:r>
    </w:p>
    <w:p w14:paraId="3684DF28" w14:textId="77777777" w:rsidR="00523C93" w:rsidRDefault="00523C93" w:rsidP="00523C93">
      <w:pPr>
        <w:pStyle w:val="a9"/>
        <w:spacing w:line="360" w:lineRule="auto"/>
        <w:jc w:val="both"/>
        <w:rPr>
          <w:rFonts w:ascii="David" w:hAnsi="David"/>
        </w:rPr>
      </w:pPr>
    </w:p>
    <w:p w14:paraId="2271DF58" w14:textId="77777777" w:rsidR="00523C93" w:rsidRDefault="00444FEF" w:rsidP="00523C93">
      <w:pPr>
        <w:pStyle w:val="a9"/>
        <w:numPr>
          <w:ilvl w:val="0"/>
          <w:numId w:val="1"/>
        </w:numPr>
        <w:spacing w:line="360" w:lineRule="auto"/>
        <w:jc w:val="both"/>
        <w:rPr>
          <w:rFonts w:ascii="David" w:hAnsi="David"/>
        </w:rPr>
      </w:pPr>
      <w:hyperlink r:id="rId36" w:history="1">
        <w:r w:rsidRPr="00444FEF">
          <w:rPr>
            <w:rFonts w:ascii="David" w:hAnsi="David"/>
            <w:color w:val="0000FF"/>
            <w:u w:val="single"/>
            <w:rtl/>
          </w:rPr>
          <w:t>ע"פ 4377/16</w:t>
        </w:r>
      </w:hyperlink>
      <w:r w:rsidR="00523C93" w:rsidRPr="00674E53">
        <w:rPr>
          <w:rFonts w:ascii="David" w:hAnsi="David"/>
          <w:rtl/>
        </w:rPr>
        <w:t xml:space="preserve"> </w:t>
      </w:r>
      <w:r w:rsidR="00523C93" w:rsidRPr="00674E53">
        <w:rPr>
          <w:rFonts w:ascii="Miriam" w:hAnsi="Miriam" w:cs="Miriam"/>
          <w:rtl/>
        </w:rPr>
        <w:t>תורק נ' מדינת ישראל</w:t>
      </w:r>
      <w:r w:rsidR="00523C93" w:rsidRPr="00674E53">
        <w:rPr>
          <w:rFonts w:ascii="David" w:hAnsi="David"/>
          <w:rtl/>
        </w:rPr>
        <w:t xml:space="preserve"> (6</w:t>
      </w:r>
      <w:r w:rsidR="00523C93">
        <w:rPr>
          <w:rFonts w:ascii="David" w:hAnsi="David" w:hint="cs"/>
          <w:rtl/>
        </w:rPr>
        <w:t>/</w:t>
      </w:r>
      <w:r w:rsidR="00523C93" w:rsidRPr="00674E53">
        <w:rPr>
          <w:rFonts w:ascii="David" w:hAnsi="David"/>
          <w:rtl/>
        </w:rPr>
        <w:t>10</w:t>
      </w:r>
      <w:r w:rsidR="00523C93">
        <w:rPr>
          <w:rFonts w:ascii="David" w:hAnsi="David" w:hint="cs"/>
          <w:rtl/>
        </w:rPr>
        <w:t>/</w:t>
      </w:r>
      <w:r w:rsidR="00523C93" w:rsidRPr="00674E53">
        <w:rPr>
          <w:rFonts w:ascii="David" w:hAnsi="David"/>
          <w:rtl/>
        </w:rPr>
        <w:t>16)</w:t>
      </w:r>
      <w:r w:rsidR="00523C93">
        <w:rPr>
          <w:rFonts w:ascii="David" w:hAnsi="David" w:hint="cs"/>
          <w:rtl/>
        </w:rPr>
        <w:t>-</w:t>
      </w:r>
      <w:r w:rsidR="00523C93" w:rsidRPr="00674E53">
        <w:rPr>
          <w:rFonts w:ascii="David" w:hAnsi="David"/>
          <w:rtl/>
        </w:rPr>
        <w:t>נדחה ערעורו של נאשם אשר הורשע על פי הודאתו בעבירות של נשיאת נשק, מעשה פזיזות ורשלנות, איומים וירי באזור מגורים. בין הנאשם ומשפחתו לבין משפחה המתגוררת בשכנות התגלע סכסוך שכנים. בעקבות כך התפתחה תגרה בין המשפחות במסגרתה בני משפחת המתלוננים אחזו בסכינים. בעקבות כך הנאשם שב לביתו וחזר למקום כשהוא נושא בנשק ארוך והחל לירות לעבר שער ביתם של המתלוננים במטרה לאיים עליהם. הנאשם ירה 17 קליעים כשאחד מהם פגע בשער הבית. בית המשפט המחוזי קבע מתחם הנע בין 26 ל-42 חודשי מאסר בפועל והשית עליו עונש של 30 חודשי מאסר בפועל לצד ענישה נלווית. בית המשפט העליון לקח בחשבון כי המתלוננים איימו בסכינים על הנאשם ובני משפחתו וקבע כי מתחם העונש ראוי</w:t>
      </w:r>
      <w:r w:rsidR="00523C93">
        <w:rPr>
          <w:rFonts w:ascii="David" w:hAnsi="David"/>
          <w:rtl/>
        </w:rPr>
        <w:t xml:space="preserve"> וכי אין מקום להתערב בעונש. </w:t>
      </w:r>
    </w:p>
    <w:p w14:paraId="0591F655" w14:textId="77777777" w:rsidR="00523C93" w:rsidRPr="003C7B1E" w:rsidRDefault="00523C93" w:rsidP="00523C93">
      <w:pPr>
        <w:pStyle w:val="a9"/>
        <w:jc w:val="both"/>
        <w:rPr>
          <w:rFonts w:ascii="David" w:hAnsi="David"/>
          <w:rtl/>
        </w:rPr>
      </w:pPr>
    </w:p>
    <w:p w14:paraId="4BA3D9AB" w14:textId="77777777" w:rsidR="00523C93" w:rsidRDefault="00523C93" w:rsidP="00523C93">
      <w:pPr>
        <w:pStyle w:val="a9"/>
        <w:spacing w:line="360" w:lineRule="auto"/>
        <w:jc w:val="both"/>
        <w:rPr>
          <w:rFonts w:ascii="David" w:hAnsi="David"/>
        </w:rPr>
      </w:pPr>
    </w:p>
    <w:p w14:paraId="67E25733" w14:textId="77777777" w:rsidR="00523C93" w:rsidRDefault="00444FEF" w:rsidP="00523C93">
      <w:pPr>
        <w:pStyle w:val="a9"/>
        <w:numPr>
          <w:ilvl w:val="0"/>
          <w:numId w:val="1"/>
        </w:numPr>
        <w:spacing w:line="360" w:lineRule="auto"/>
        <w:jc w:val="both"/>
        <w:rPr>
          <w:rFonts w:ascii="David" w:hAnsi="David"/>
        </w:rPr>
      </w:pPr>
      <w:hyperlink r:id="rId37" w:history="1">
        <w:r w:rsidRPr="00444FEF">
          <w:rPr>
            <w:rFonts w:ascii="David" w:hAnsi="David"/>
            <w:color w:val="0000FF"/>
            <w:u w:val="single"/>
            <w:rtl/>
          </w:rPr>
          <w:t>ע"פ 4595/13</w:t>
        </w:r>
      </w:hyperlink>
      <w:r w:rsidR="00523C93" w:rsidRPr="00674E53">
        <w:rPr>
          <w:rFonts w:ascii="David" w:hAnsi="David"/>
          <w:rtl/>
        </w:rPr>
        <w:t xml:space="preserve"> </w:t>
      </w:r>
      <w:r w:rsidR="00523C93" w:rsidRPr="00674E53">
        <w:rPr>
          <w:rFonts w:ascii="Miriam" w:hAnsi="Miriam" w:cs="Miriam"/>
          <w:rtl/>
        </w:rPr>
        <w:t>זובידאת ואח' נ' מדינת ישראל</w:t>
      </w:r>
      <w:r w:rsidR="00523C93" w:rsidRPr="00674E53">
        <w:rPr>
          <w:rFonts w:ascii="David" w:hAnsi="David"/>
          <w:rtl/>
        </w:rPr>
        <w:t xml:space="preserve"> (6</w:t>
      </w:r>
      <w:r w:rsidR="00523C93">
        <w:rPr>
          <w:rFonts w:ascii="David" w:hAnsi="David" w:hint="cs"/>
          <w:rtl/>
        </w:rPr>
        <w:t>/</w:t>
      </w:r>
      <w:r w:rsidR="00523C93" w:rsidRPr="00674E53">
        <w:rPr>
          <w:rFonts w:ascii="David" w:hAnsi="David"/>
          <w:rtl/>
        </w:rPr>
        <w:t>7</w:t>
      </w:r>
      <w:r w:rsidR="00523C93">
        <w:rPr>
          <w:rFonts w:ascii="David" w:hAnsi="David" w:hint="cs"/>
          <w:rtl/>
        </w:rPr>
        <w:t>/</w:t>
      </w:r>
      <w:r w:rsidR="00523C93" w:rsidRPr="00674E53">
        <w:rPr>
          <w:rFonts w:ascii="David" w:hAnsi="David"/>
          <w:rtl/>
        </w:rPr>
        <w:t>14)</w:t>
      </w:r>
      <w:r w:rsidR="00523C93">
        <w:rPr>
          <w:rFonts w:ascii="David" w:hAnsi="David" w:hint="cs"/>
          <w:rtl/>
        </w:rPr>
        <w:t>-</w:t>
      </w:r>
      <w:r w:rsidR="00523C93" w:rsidRPr="00674E53">
        <w:rPr>
          <w:rFonts w:ascii="David" w:hAnsi="David"/>
          <w:rtl/>
        </w:rPr>
        <w:t xml:space="preserve">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שעמו היה הנאשם 1 מסוכסך, כשהם נושאים אקדח ותחמושת והנאשם 2 ירה לעבר בית המתלונן. כתוצאה מכך פגעו מספר קליעים בקירות הבית ובחלון. בית המשפט המחוזי קבע מתחם עונש הנע בין 30 חודשי מאסר ל-5 שנות מאסר והשית עליהם עונש של 42 חודשי מאסר בפועל לצד ענישה נלו</w:t>
      </w:r>
      <w:r w:rsidR="00523C93">
        <w:rPr>
          <w:rFonts w:ascii="David" w:hAnsi="David"/>
          <w:rtl/>
        </w:rPr>
        <w:t>וית. בית המשפט העליון</w:t>
      </w:r>
      <w:r w:rsidR="00523C93">
        <w:rPr>
          <w:rFonts w:ascii="David" w:hAnsi="David" w:hint="cs"/>
          <w:rtl/>
        </w:rPr>
        <w:t xml:space="preserve"> ציין כי </w:t>
      </w:r>
      <w:r w:rsidR="00523C93" w:rsidRPr="00674E53">
        <w:rPr>
          <w:rFonts w:ascii="David" w:hAnsi="David"/>
          <w:rtl/>
        </w:rPr>
        <w:t xml:space="preserve">ירי, אף אם אינו מכוון לפגיעה, מייצר סיכון ממשי לשלום הציבור ואישר את מתחם העונש </w:t>
      </w:r>
      <w:r w:rsidR="00523C93">
        <w:rPr>
          <w:rFonts w:ascii="David" w:hAnsi="David" w:hint="cs"/>
          <w:rtl/>
        </w:rPr>
        <w:t xml:space="preserve">ההולם </w:t>
      </w:r>
      <w:r w:rsidR="00523C93" w:rsidRPr="00674E53">
        <w:rPr>
          <w:rFonts w:ascii="David" w:hAnsi="David"/>
          <w:rtl/>
        </w:rPr>
        <w:t xml:space="preserve">שנקבע. </w:t>
      </w:r>
      <w:r w:rsidR="00523C93">
        <w:rPr>
          <w:rFonts w:ascii="David" w:hAnsi="David" w:hint="cs"/>
          <w:rtl/>
        </w:rPr>
        <w:t xml:space="preserve">עם זאת, </w:t>
      </w:r>
      <w:r w:rsidR="00523C93" w:rsidRPr="00674E53">
        <w:rPr>
          <w:rFonts w:ascii="David" w:hAnsi="David"/>
          <w:rtl/>
        </w:rPr>
        <w:t>בשל נסיבות שאינן קשורות לביצוע העבירה</w:t>
      </w:r>
      <w:r w:rsidR="00523C93">
        <w:rPr>
          <w:rFonts w:ascii="David" w:hAnsi="David" w:hint="cs"/>
          <w:rtl/>
        </w:rPr>
        <w:t xml:space="preserve">, הקל בית המשפט העליון כאמור בעונש, </w:t>
      </w:r>
      <w:r w:rsidR="00523C93" w:rsidRPr="00674E53">
        <w:rPr>
          <w:rFonts w:ascii="David" w:hAnsi="David"/>
          <w:rtl/>
        </w:rPr>
        <w:t xml:space="preserve"> והעמ</w:t>
      </w:r>
      <w:r w:rsidR="00523C93">
        <w:rPr>
          <w:rFonts w:ascii="David" w:hAnsi="David"/>
          <w:rtl/>
        </w:rPr>
        <w:t xml:space="preserve">ידו על 30 חודשי מאסר בפועל. </w:t>
      </w:r>
    </w:p>
    <w:p w14:paraId="713836CF" w14:textId="77777777" w:rsidR="00523C93" w:rsidRDefault="00523C93" w:rsidP="00523C93">
      <w:pPr>
        <w:pStyle w:val="a9"/>
        <w:spacing w:line="360" w:lineRule="auto"/>
        <w:jc w:val="both"/>
        <w:rPr>
          <w:rFonts w:ascii="David" w:hAnsi="David"/>
        </w:rPr>
      </w:pPr>
    </w:p>
    <w:p w14:paraId="149BAA00" w14:textId="77777777" w:rsidR="00523C93" w:rsidRDefault="00523C93" w:rsidP="00523C93">
      <w:pPr>
        <w:pStyle w:val="a9"/>
        <w:numPr>
          <w:ilvl w:val="0"/>
          <w:numId w:val="1"/>
        </w:numPr>
        <w:spacing w:line="360" w:lineRule="auto"/>
        <w:jc w:val="both"/>
        <w:rPr>
          <w:rFonts w:ascii="David" w:hAnsi="David"/>
        </w:rPr>
      </w:pPr>
      <w:r>
        <w:rPr>
          <w:rFonts w:ascii="David" w:hAnsi="David" w:hint="cs"/>
          <w:rtl/>
        </w:rPr>
        <w:t>ב</w:t>
      </w:r>
      <w:hyperlink r:id="rId38" w:history="1">
        <w:r w:rsidR="00444FEF" w:rsidRPr="00444FEF">
          <w:rPr>
            <w:rFonts w:ascii="David" w:hAnsi="David"/>
            <w:color w:val="0000FF"/>
            <w:u w:val="single"/>
            <w:rtl/>
          </w:rPr>
          <w:t>ע"פ 1357/12</w:t>
        </w:r>
      </w:hyperlink>
      <w:r w:rsidRPr="00674E53">
        <w:rPr>
          <w:rFonts w:ascii="David" w:hAnsi="David"/>
          <w:rtl/>
        </w:rPr>
        <w:t xml:space="preserve"> </w:t>
      </w:r>
      <w:r w:rsidRPr="00C3685D">
        <w:rPr>
          <w:rFonts w:ascii="Miriam" w:hAnsi="Miriam" w:cs="Miriam"/>
          <w:rtl/>
        </w:rPr>
        <w:t>סאלח נ' מדינת ישראל</w:t>
      </w:r>
      <w:r w:rsidRPr="00674E53">
        <w:rPr>
          <w:rFonts w:ascii="David" w:hAnsi="David"/>
          <w:rtl/>
        </w:rPr>
        <w:t xml:space="preserve"> (7</w:t>
      </w:r>
      <w:r>
        <w:rPr>
          <w:rFonts w:ascii="David" w:hAnsi="David" w:hint="cs"/>
          <w:rtl/>
        </w:rPr>
        <w:t>/</w:t>
      </w:r>
      <w:r w:rsidRPr="00674E53">
        <w:rPr>
          <w:rFonts w:ascii="David" w:hAnsi="David"/>
          <w:rtl/>
        </w:rPr>
        <w:t>3</w:t>
      </w:r>
      <w:r>
        <w:rPr>
          <w:rFonts w:ascii="David" w:hAnsi="David" w:hint="cs"/>
          <w:rtl/>
        </w:rPr>
        <w:t>/</w:t>
      </w:r>
      <w:r w:rsidRPr="00674E53">
        <w:rPr>
          <w:rFonts w:ascii="David" w:hAnsi="David"/>
          <w:rtl/>
        </w:rPr>
        <w:t xml:space="preserve">13) קיבל בית המשפט העליון ערעורו של נאשם והקל בעונשו. הנאשם הורשע על פי הודאתו בעבירות של נשיאת נשק וירי מנשק חם באזור מגורים. הנאשם נסע ברכב כשהוא נושא בבגדיו אקדח ובו מחסנית ותחמושת. בנסיבות אלה הוציא הנאשם את האקדח מחלון הרכב וירה באוויר 6 כדורים. בית המשפט המחוזי השית על הנאשם, צעיר ללא עבר פלילי, עונש של 42 חודשי מאסר בפועל. בית המשפט העליון הקל בעונשו, בהסכמת המדינה, והעמידו על 28 חודשי מאסר בפועל. </w:t>
      </w:r>
    </w:p>
    <w:p w14:paraId="32D56CC9" w14:textId="77777777" w:rsidR="00523C93" w:rsidRDefault="00523C93" w:rsidP="00523C93">
      <w:pPr>
        <w:pStyle w:val="a9"/>
        <w:spacing w:line="360" w:lineRule="auto"/>
        <w:jc w:val="both"/>
        <w:rPr>
          <w:rFonts w:ascii="David" w:hAnsi="David"/>
        </w:rPr>
      </w:pPr>
    </w:p>
    <w:p w14:paraId="40BB29FF" w14:textId="77777777" w:rsidR="00523C93" w:rsidRPr="00304D43" w:rsidRDefault="00523C93" w:rsidP="00523C93">
      <w:pPr>
        <w:pStyle w:val="a9"/>
        <w:numPr>
          <w:ilvl w:val="0"/>
          <w:numId w:val="1"/>
        </w:numPr>
        <w:spacing w:line="360" w:lineRule="auto"/>
        <w:jc w:val="both"/>
        <w:rPr>
          <w:rFonts w:ascii="David" w:hAnsi="David"/>
        </w:rPr>
      </w:pPr>
      <w:r w:rsidRPr="00304D43">
        <w:rPr>
          <w:rFonts w:ascii="David" w:hAnsi="David" w:hint="cs"/>
          <w:rtl/>
        </w:rPr>
        <w:t>ב</w:t>
      </w:r>
      <w:hyperlink r:id="rId39" w:history="1">
        <w:r w:rsidR="00444FEF" w:rsidRPr="00444FEF">
          <w:rPr>
            <w:rFonts w:ascii="David" w:hAnsi="David"/>
            <w:color w:val="0000FF"/>
            <w:u w:val="single"/>
            <w:rtl/>
          </w:rPr>
          <w:t>ע"פ 2006/12</w:t>
        </w:r>
      </w:hyperlink>
      <w:r w:rsidRPr="00304D43">
        <w:rPr>
          <w:rFonts w:ascii="David" w:hAnsi="David"/>
          <w:rtl/>
        </w:rPr>
        <w:t xml:space="preserve"> </w:t>
      </w:r>
      <w:r w:rsidRPr="00304D43">
        <w:rPr>
          <w:rFonts w:ascii="Miriam" w:hAnsi="Miriam" w:cs="Miriam"/>
          <w:rtl/>
        </w:rPr>
        <w:t>מדינת ישראל נ' אסדי</w:t>
      </w:r>
      <w:r w:rsidRPr="00304D43">
        <w:rPr>
          <w:rFonts w:ascii="David" w:hAnsi="David"/>
          <w:rtl/>
        </w:rPr>
        <w:t xml:space="preserve"> (28</w:t>
      </w:r>
      <w:r w:rsidRPr="00304D43">
        <w:rPr>
          <w:rFonts w:ascii="David" w:hAnsi="David" w:hint="cs"/>
          <w:rtl/>
        </w:rPr>
        <w:t>/</w:t>
      </w:r>
      <w:r w:rsidRPr="00304D43">
        <w:rPr>
          <w:rFonts w:ascii="David" w:hAnsi="David"/>
          <w:rtl/>
        </w:rPr>
        <w:t>3</w:t>
      </w:r>
      <w:r w:rsidRPr="00304D43">
        <w:rPr>
          <w:rFonts w:ascii="David" w:hAnsi="David" w:hint="cs"/>
          <w:rtl/>
        </w:rPr>
        <w:t>/</w:t>
      </w:r>
      <w:r w:rsidRPr="00304D43">
        <w:rPr>
          <w:rFonts w:ascii="David" w:hAnsi="David"/>
          <w:rtl/>
        </w:rPr>
        <w:t>12)</w:t>
      </w:r>
      <w:r w:rsidRPr="00304D43">
        <w:rPr>
          <w:rFonts w:ascii="David" w:hAnsi="David" w:hint="cs"/>
          <w:rtl/>
        </w:rPr>
        <w:t xml:space="preserve"> </w:t>
      </w:r>
      <w:r w:rsidRPr="00304D43">
        <w:rPr>
          <w:rFonts w:ascii="David" w:hAnsi="David"/>
          <w:rtl/>
        </w:rPr>
        <w:t>נדחה ערעור המדינה על קולת עונשו של נאשם אשר הורשע על פי הודאתו בעבירות של נשיאת נשק ותחמושת, איומים וירי באזור מגורים. הנאשם הגיע לביתו של אדם שלו היה אחיו חייב כספים, כשהוא נושא אקדח טעון בכדורים, איים בפגיעה באותו אדם, וירה כדור לעבר חלקו העליון של הבית. בית המשפט העליון</w:t>
      </w:r>
      <w:r w:rsidRPr="00304D43">
        <w:rPr>
          <w:rFonts w:ascii="David" w:hAnsi="David" w:hint="cs"/>
          <w:rtl/>
        </w:rPr>
        <w:t xml:space="preserve"> הותיר על כנו את עונש המאסר בפועל בן 15 חודשים.</w:t>
      </w:r>
      <w:r w:rsidRPr="00304D43">
        <w:rPr>
          <w:rFonts w:ascii="David" w:hAnsi="David"/>
          <w:rtl/>
        </w:rPr>
        <w:t xml:space="preserve"> </w:t>
      </w:r>
    </w:p>
    <w:p w14:paraId="6746E058" w14:textId="77777777" w:rsidR="00523C93" w:rsidRDefault="00523C93" w:rsidP="00523C93">
      <w:pPr>
        <w:ind w:left="360"/>
        <w:rPr>
          <w:rFonts w:ascii="David" w:hAnsi="David"/>
          <w:highlight w:val="yellow"/>
          <w:rtl/>
        </w:rPr>
      </w:pPr>
    </w:p>
    <w:p w14:paraId="25197F77" w14:textId="77777777" w:rsidR="00523C93" w:rsidRDefault="00523C93" w:rsidP="00523C93">
      <w:pPr>
        <w:ind w:left="360"/>
        <w:rPr>
          <w:rFonts w:ascii="David" w:hAnsi="David"/>
          <w:highlight w:val="yellow"/>
          <w:rtl/>
        </w:rPr>
      </w:pPr>
    </w:p>
    <w:p w14:paraId="5E3BB67F" w14:textId="77777777" w:rsidR="00523C93" w:rsidRPr="00EC5A46" w:rsidRDefault="00523C93" w:rsidP="00523C93">
      <w:pPr>
        <w:spacing w:line="360" w:lineRule="auto"/>
        <w:jc w:val="both"/>
        <w:rPr>
          <w:rFonts w:ascii="David" w:hAnsi="David"/>
          <w:rtl/>
        </w:rPr>
      </w:pPr>
      <w:r>
        <w:rPr>
          <w:rFonts w:ascii="David" w:hAnsi="David" w:hint="cs"/>
          <w:rtl/>
        </w:rPr>
        <w:t xml:space="preserve">19. </w:t>
      </w:r>
      <w:r>
        <w:rPr>
          <w:rFonts w:ascii="David" w:hAnsi="David"/>
          <w:rtl/>
        </w:rPr>
        <w:tab/>
      </w:r>
      <w:r w:rsidRPr="00EC5A46">
        <w:rPr>
          <w:rFonts w:ascii="David" w:hAnsi="David"/>
          <w:rtl/>
        </w:rPr>
        <w:t>לאחר שבחנתי את הערכים החברתיים שנפגעו כתוצאה מביצוע העבירות, לצד נסיבות ביצוען</w:t>
      </w:r>
      <w:r>
        <w:rPr>
          <w:rFonts w:ascii="David" w:hAnsi="David" w:hint="cs"/>
          <w:rtl/>
        </w:rPr>
        <w:t xml:space="preserve">, לרבות היקף העבירות, </w:t>
      </w:r>
      <w:r w:rsidRPr="00EC5A46">
        <w:rPr>
          <w:rFonts w:ascii="David" w:hAnsi="David"/>
          <w:rtl/>
        </w:rPr>
        <w:t xml:space="preserve"> ו</w:t>
      </w:r>
      <w:r>
        <w:rPr>
          <w:rFonts w:ascii="David" w:hAnsi="David" w:hint="cs"/>
          <w:rtl/>
        </w:rPr>
        <w:t xml:space="preserve">כן </w:t>
      </w:r>
      <w:r w:rsidRPr="00EC5A46">
        <w:rPr>
          <w:rFonts w:ascii="David" w:hAnsi="David"/>
          <w:rtl/>
        </w:rPr>
        <w:t>מדיניות הענישה הנהוגה</w:t>
      </w:r>
      <w:r>
        <w:rPr>
          <w:rFonts w:ascii="David" w:hAnsi="David" w:hint="cs"/>
          <w:rtl/>
        </w:rPr>
        <w:t xml:space="preserve">, לרבות </w:t>
      </w:r>
      <w:r w:rsidRPr="00EC5A46">
        <w:rPr>
          <w:rFonts w:ascii="David" w:hAnsi="David"/>
          <w:rtl/>
        </w:rPr>
        <w:t>הפסיקה אלה הפנה, כאמור, כל אחד מהצדדים, הגעתי לכלל מסקנה כי מתחם העונש</w:t>
      </w:r>
      <w:r>
        <w:rPr>
          <w:rFonts w:ascii="David" w:hAnsi="David"/>
          <w:rtl/>
        </w:rPr>
        <w:t xml:space="preserve"> ההולם בתיק זה נע בין עונש של </w:t>
      </w:r>
      <w:r>
        <w:rPr>
          <w:rFonts w:ascii="David" w:hAnsi="David" w:hint="cs"/>
          <w:rtl/>
        </w:rPr>
        <w:t>24</w:t>
      </w:r>
      <w:r w:rsidRPr="00EC5A46">
        <w:rPr>
          <w:rFonts w:ascii="David" w:hAnsi="David"/>
          <w:rtl/>
        </w:rPr>
        <w:t xml:space="preserve"> ח</w:t>
      </w:r>
      <w:r>
        <w:rPr>
          <w:rFonts w:ascii="David" w:hAnsi="David"/>
          <w:rtl/>
        </w:rPr>
        <w:t xml:space="preserve">ודשי מאסר בפועל לבין עונש של </w:t>
      </w:r>
      <w:r>
        <w:rPr>
          <w:rFonts w:ascii="David" w:hAnsi="David" w:hint="cs"/>
          <w:rtl/>
        </w:rPr>
        <w:t xml:space="preserve">48 </w:t>
      </w:r>
      <w:r>
        <w:rPr>
          <w:rFonts w:ascii="David" w:hAnsi="David"/>
          <w:rtl/>
        </w:rPr>
        <w:t>חודשי מאסר בפועל, וזאת לצד רכיב</w:t>
      </w:r>
      <w:r w:rsidRPr="00EC5A46">
        <w:rPr>
          <w:rFonts w:ascii="David" w:hAnsi="David"/>
          <w:rtl/>
        </w:rPr>
        <w:t xml:space="preserve"> ענישה של</w:t>
      </w:r>
      <w:r>
        <w:rPr>
          <w:rFonts w:ascii="David" w:hAnsi="David"/>
          <w:rtl/>
        </w:rPr>
        <w:t xml:space="preserve"> מאסר מותנה</w:t>
      </w:r>
      <w:r>
        <w:rPr>
          <w:rFonts w:ascii="David" w:hAnsi="David" w:hint="cs"/>
          <w:rtl/>
        </w:rPr>
        <w:t>. אני מבכרת שלא להשית על הנאשם פיצוי לטובת דיב דיאב, זאת לאור הסכם הסולחה שגובש, כאמור, בין הצדדים ובהינתן העובדה שבפועל נגרם אך נזק לחלון הבית ולא מעבר לכך.</w:t>
      </w:r>
    </w:p>
    <w:p w14:paraId="33D4FDCE" w14:textId="77777777" w:rsidR="00523C93" w:rsidRPr="00EC5A46" w:rsidRDefault="00523C93" w:rsidP="00523C93">
      <w:pPr>
        <w:spacing w:line="360" w:lineRule="auto"/>
        <w:jc w:val="both"/>
        <w:rPr>
          <w:rFonts w:ascii="David" w:hAnsi="David"/>
          <w:rtl/>
        </w:rPr>
      </w:pPr>
    </w:p>
    <w:p w14:paraId="0D198F3F" w14:textId="77777777" w:rsidR="00523C93" w:rsidRDefault="00523C93" w:rsidP="00523C93">
      <w:pPr>
        <w:jc w:val="both"/>
        <w:rPr>
          <w:rFonts w:ascii="David" w:hAnsi="David"/>
          <w:rtl/>
        </w:rPr>
      </w:pPr>
    </w:p>
    <w:p w14:paraId="28991B56" w14:textId="77777777" w:rsidR="00523C93" w:rsidRDefault="00523C93" w:rsidP="00523C93">
      <w:pPr>
        <w:spacing w:line="360" w:lineRule="auto"/>
        <w:jc w:val="both"/>
        <w:rPr>
          <w:rFonts w:ascii="David" w:hAnsi="David"/>
          <w:rtl/>
        </w:rPr>
      </w:pPr>
      <w:r>
        <w:rPr>
          <w:rFonts w:ascii="David" w:hAnsi="David" w:hint="cs"/>
          <w:rtl/>
        </w:rPr>
        <w:t xml:space="preserve">20. </w:t>
      </w:r>
      <w:r>
        <w:rPr>
          <w:rFonts w:ascii="David" w:hAnsi="David" w:hint="cs"/>
          <w:rtl/>
        </w:rPr>
        <w:tab/>
      </w:r>
      <w:r w:rsidRPr="00EC5A46">
        <w:rPr>
          <w:rFonts w:ascii="David" w:hAnsi="David"/>
          <w:rtl/>
        </w:rPr>
        <w:t>במסגרת הנסיבות שאינן קשורות בביצוע העבי</w:t>
      </w:r>
      <w:r>
        <w:rPr>
          <w:rFonts w:ascii="David" w:hAnsi="David"/>
          <w:rtl/>
        </w:rPr>
        <w:t>רות, א</w:t>
      </w:r>
      <w:r>
        <w:rPr>
          <w:rFonts w:ascii="David" w:hAnsi="David" w:hint="cs"/>
          <w:rtl/>
        </w:rPr>
        <w:t xml:space="preserve">ציין את </w:t>
      </w:r>
      <w:r>
        <w:rPr>
          <w:rFonts w:ascii="David" w:hAnsi="David"/>
          <w:rtl/>
        </w:rPr>
        <w:t>הודאת</w:t>
      </w:r>
      <w:r>
        <w:rPr>
          <w:rFonts w:ascii="David" w:hAnsi="David" w:hint="cs"/>
          <w:rtl/>
        </w:rPr>
        <w:t>ו</w:t>
      </w:r>
      <w:r>
        <w:rPr>
          <w:rFonts w:ascii="David" w:hAnsi="David"/>
          <w:rtl/>
        </w:rPr>
        <w:t xml:space="preserve"> </w:t>
      </w:r>
      <w:r>
        <w:rPr>
          <w:rFonts w:ascii="David" w:hAnsi="David" w:hint="cs"/>
          <w:rtl/>
        </w:rPr>
        <w:t>של הנאשם</w:t>
      </w:r>
      <w:r>
        <w:rPr>
          <w:rFonts w:ascii="David" w:hAnsi="David"/>
          <w:rtl/>
        </w:rPr>
        <w:t xml:space="preserve"> בהזדמנות</w:t>
      </w:r>
      <w:r>
        <w:rPr>
          <w:rFonts w:ascii="David" w:hAnsi="David" w:hint="cs"/>
          <w:rtl/>
        </w:rPr>
        <w:t xml:space="preserve"> הראשונה בעובדות כתב האישום המתוקן, אשר חסכה מזמנו היקר של בית </w:t>
      </w:r>
      <w:r>
        <w:rPr>
          <w:rFonts w:ascii="David" w:hAnsi="David"/>
          <w:rtl/>
        </w:rPr>
        <w:t>המשפט והעד</w:t>
      </w:r>
      <w:r>
        <w:rPr>
          <w:rFonts w:ascii="David" w:hAnsi="David" w:hint="cs"/>
          <w:rtl/>
        </w:rPr>
        <w:t xml:space="preserve">ת מספר רב של </w:t>
      </w:r>
      <w:r>
        <w:rPr>
          <w:rFonts w:ascii="David" w:hAnsi="David"/>
          <w:rtl/>
        </w:rPr>
        <w:t>עדי</w:t>
      </w:r>
      <w:r>
        <w:rPr>
          <w:rFonts w:ascii="David" w:hAnsi="David" w:hint="cs"/>
          <w:rtl/>
        </w:rPr>
        <w:t xml:space="preserve"> תביעה</w:t>
      </w:r>
      <w:r w:rsidRPr="00EC5A46">
        <w:rPr>
          <w:rFonts w:ascii="David" w:hAnsi="David"/>
          <w:rtl/>
        </w:rPr>
        <w:t xml:space="preserve">. </w:t>
      </w:r>
      <w:r>
        <w:rPr>
          <w:rFonts w:ascii="David" w:hAnsi="David" w:hint="cs"/>
          <w:rtl/>
        </w:rPr>
        <w:t>עוד אזקוף לזכותו של הנאשם את גילו הצעיר- היותו בן 19 בעת ביצוע העבירות, וכן את עברו הנקי ללא רבב</w:t>
      </w:r>
      <w:r>
        <w:rPr>
          <w:rFonts w:ascii="David" w:hAnsi="David"/>
          <w:rtl/>
        </w:rPr>
        <w:t>.</w:t>
      </w:r>
      <w:r>
        <w:rPr>
          <w:rFonts w:ascii="David" w:hAnsi="David" w:hint="cs"/>
          <w:rtl/>
        </w:rPr>
        <w:t xml:space="preserve"> כמו כן אציין, במידת מה לקולה, את הסכם הסולחה שנערך בין הצדדים ואת טיעוני הסנגור לעניין זה. לחומרה, יש לתת את הדעת להתרשמותו של שירות המבחן ולהערכתו לפיה קיימת רמת מסוכנות משמעותית להישנות עבירות אלימות ברמת חומרה גבוהה מצדו של הנאשם. </w:t>
      </w:r>
    </w:p>
    <w:p w14:paraId="14BA759B" w14:textId="77777777" w:rsidR="00523C93" w:rsidRDefault="00523C93" w:rsidP="00523C93">
      <w:pPr>
        <w:spacing w:line="360" w:lineRule="auto"/>
        <w:jc w:val="both"/>
        <w:rPr>
          <w:rFonts w:ascii="David" w:hAnsi="David"/>
          <w:rtl/>
        </w:rPr>
      </w:pPr>
    </w:p>
    <w:p w14:paraId="503E7A19" w14:textId="77777777" w:rsidR="00523C93" w:rsidRPr="004D4E51" w:rsidRDefault="00523C93" w:rsidP="00523C93">
      <w:pPr>
        <w:spacing w:line="360" w:lineRule="auto"/>
        <w:jc w:val="both"/>
        <w:rPr>
          <w:rFonts w:ascii="David" w:hAnsi="David"/>
          <w:rtl/>
        </w:rPr>
      </w:pPr>
      <w:r>
        <w:rPr>
          <w:rFonts w:ascii="David" w:hAnsi="David" w:hint="cs"/>
          <w:rtl/>
        </w:rPr>
        <w:t xml:space="preserve">21. </w:t>
      </w:r>
      <w:r>
        <w:rPr>
          <w:rFonts w:ascii="David" w:hAnsi="David"/>
          <w:rtl/>
        </w:rPr>
        <w:tab/>
      </w:r>
      <w:r w:rsidRPr="004D4E51">
        <w:rPr>
          <w:rFonts w:ascii="David" w:hAnsi="David"/>
          <w:rtl/>
        </w:rPr>
        <w:t xml:space="preserve">לאחר ששקללתי את מכלול הטעמים שאינם קשורים בביצוע העבירה, ותוך מתן משקל של ממש לעברו </w:t>
      </w:r>
      <w:r>
        <w:rPr>
          <w:rFonts w:ascii="David" w:hAnsi="David" w:hint="cs"/>
          <w:rtl/>
        </w:rPr>
        <w:t>הנקי</w:t>
      </w:r>
      <w:r w:rsidRPr="004D4E51">
        <w:rPr>
          <w:rFonts w:ascii="David" w:hAnsi="David"/>
          <w:rtl/>
        </w:rPr>
        <w:t xml:space="preserve"> של הנאשם</w:t>
      </w:r>
      <w:r>
        <w:rPr>
          <w:rFonts w:ascii="David" w:hAnsi="David" w:hint="cs"/>
          <w:rtl/>
        </w:rPr>
        <w:t>, לגילו הצעיר</w:t>
      </w:r>
      <w:r>
        <w:rPr>
          <w:rFonts w:ascii="David" w:hAnsi="David"/>
          <w:rtl/>
        </w:rPr>
        <w:t xml:space="preserve"> ולהודאתו בהזדמנות הראשונה</w:t>
      </w:r>
      <w:r>
        <w:rPr>
          <w:rFonts w:ascii="David" w:hAnsi="David" w:hint="cs"/>
          <w:rtl/>
        </w:rPr>
        <w:t xml:space="preserve">, </w:t>
      </w:r>
      <w:r w:rsidRPr="004D4E51">
        <w:rPr>
          <w:rFonts w:ascii="David" w:hAnsi="David"/>
          <w:rtl/>
        </w:rPr>
        <w:t>אני בדעה כי מן הראוי להשית על הנאשם בתיק זה עונש של מאסר בפועל ברף התחתון של מתחם ה</w:t>
      </w:r>
      <w:r>
        <w:rPr>
          <w:rFonts w:ascii="David" w:hAnsi="David"/>
          <w:rtl/>
        </w:rPr>
        <w:t xml:space="preserve">עונש ההולם הנ"ל, וזאת לצד </w:t>
      </w:r>
      <w:r>
        <w:rPr>
          <w:rFonts w:ascii="David" w:hAnsi="David" w:hint="cs"/>
          <w:rtl/>
        </w:rPr>
        <w:t xml:space="preserve">מאסר מותנה מרתיע </w:t>
      </w:r>
      <w:r w:rsidRPr="004D4E51">
        <w:rPr>
          <w:rFonts w:ascii="David" w:hAnsi="David"/>
          <w:rtl/>
        </w:rPr>
        <w:t xml:space="preserve">כאמור לעיל. </w:t>
      </w:r>
    </w:p>
    <w:p w14:paraId="07DEF32B" w14:textId="77777777" w:rsidR="00523C93" w:rsidRDefault="00523C93" w:rsidP="00523C93">
      <w:pPr>
        <w:spacing w:line="360" w:lineRule="auto"/>
        <w:jc w:val="both"/>
        <w:rPr>
          <w:rFonts w:ascii="David" w:hAnsi="David"/>
          <w:rtl/>
        </w:rPr>
      </w:pPr>
    </w:p>
    <w:p w14:paraId="0F23632F" w14:textId="77777777" w:rsidR="00523C93" w:rsidRDefault="00523C93" w:rsidP="00523C93">
      <w:pPr>
        <w:spacing w:line="360" w:lineRule="auto"/>
        <w:jc w:val="both"/>
        <w:rPr>
          <w:rFonts w:ascii="David" w:hAnsi="David"/>
          <w:rtl/>
        </w:rPr>
      </w:pPr>
      <w:r>
        <w:rPr>
          <w:rFonts w:ascii="David" w:hAnsi="David" w:hint="cs"/>
          <w:rtl/>
        </w:rPr>
        <w:t xml:space="preserve">22. </w:t>
      </w:r>
      <w:r>
        <w:rPr>
          <w:rFonts w:ascii="David" w:hAnsi="David"/>
          <w:rtl/>
        </w:rPr>
        <w:tab/>
      </w:r>
      <w:r w:rsidRPr="00E62567">
        <w:rPr>
          <w:rFonts w:ascii="David" w:hAnsi="David"/>
          <w:rtl/>
        </w:rPr>
        <w:t xml:space="preserve">בסיכומו של דבר, אני דנה </w:t>
      </w:r>
      <w:r>
        <w:rPr>
          <w:rFonts w:ascii="David" w:hAnsi="David" w:hint="cs"/>
          <w:rtl/>
        </w:rPr>
        <w:t>את הנאשם לעונשים,</w:t>
      </w:r>
      <w:r>
        <w:rPr>
          <w:rFonts w:ascii="David" w:hAnsi="David"/>
          <w:rtl/>
        </w:rPr>
        <w:t xml:space="preserve"> כדלקמן: </w:t>
      </w:r>
    </w:p>
    <w:p w14:paraId="5BA0BC24" w14:textId="77777777" w:rsidR="00523C93" w:rsidRDefault="00523C93" w:rsidP="00523C93">
      <w:pPr>
        <w:spacing w:line="360" w:lineRule="auto"/>
        <w:jc w:val="both"/>
        <w:rPr>
          <w:rFonts w:ascii="David" w:hAnsi="David"/>
          <w:rtl/>
        </w:rPr>
      </w:pPr>
    </w:p>
    <w:p w14:paraId="405EA884" w14:textId="77777777" w:rsidR="00523C93" w:rsidRDefault="00523C93" w:rsidP="00523C93">
      <w:pPr>
        <w:pStyle w:val="a9"/>
        <w:numPr>
          <w:ilvl w:val="0"/>
          <w:numId w:val="1"/>
        </w:numPr>
        <w:spacing w:line="360" w:lineRule="auto"/>
        <w:jc w:val="both"/>
        <w:rPr>
          <w:rFonts w:ascii="David" w:hAnsi="David"/>
        </w:rPr>
      </w:pPr>
      <w:r>
        <w:rPr>
          <w:rFonts w:ascii="David" w:hAnsi="David"/>
          <w:rtl/>
        </w:rPr>
        <w:t xml:space="preserve"> למאסר בפועל לתקופה של </w:t>
      </w:r>
      <w:r>
        <w:rPr>
          <w:rFonts w:ascii="David" w:hAnsi="David" w:hint="cs"/>
          <w:rtl/>
        </w:rPr>
        <w:t>24</w:t>
      </w:r>
      <w:r>
        <w:rPr>
          <w:rFonts w:ascii="David" w:hAnsi="David"/>
          <w:rtl/>
        </w:rPr>
        <w:t xml:space="preserve"> חודשים, בניכוי ימי מעצרו </w:t>
      </w:r>
      <w:r>
        <w:rPr>
          <w:rFonts w:ascii="David" w:hAnsi="David" w:hint="cs"/>
          <w:rtl/>
        </w:rPr>
        <w:t>(מיום 26/9/2019 עד 17/4/20).</w:t>
      </w:r>
    </w:p>
    <w:p w14:paraId="0A7397F6" w14:textId="77777777" w:rsidR="00523C93" w:rsidRPr="003F08DB" w:rsidRDefault="00523C93" w:rsidP="00523C93">
      <w:pPr>
        <w:pStyle w:val="a9"/>
        <w:spacing w:line="360" w:lineRule="auto"/>
        <w:jc w:val="both"/>
        <w:rPr>
          <w:rFonts w:ascii="David" w:hAnsi="David"/>
        </w:rPr>
      </w:pPr>
    </w:p>
    <w:p w14:paraId="0F998133" w14:textId="77777777" w:rsidR="00523C93" w:rsidRDefault="00523C93" w:rsidP="00523C93">
      <w:pPr>
        <w:pStyle w:val="a9"/>
        <w:numPr>
          <w:ilvl w:val="0"/>
          <w:numId w:val="1"/>
        </w:numPr>
        <w:spacing w:line="360" w:lineRule="auto"/>
        <w:jc w:val="both"/>
        <w:rPr>
          <w:rFonts w:ascii="David" w:hAnsi="David"/>
        </w:rPr>
      </w:pPr>
      <w:r w:rsidRPr="004D4E51">
        <w:rPr>
          <w:rFonts w:ascii="David" w:hAnsi="David"/>
          <w:rtl/>
        </w:rPr>
        <w:t xml:space="preserve"> למאסר על תנאי לתקופה של 12 חודשים למשך 3</w:t>
      </w:r>
      <w:r>
        <w:rPr>
          <w:rFonts w:ascii="David" w:hAnsi="David"/>
          <w:rtl/>
        </w:rPr>
        <w:t xml:space="preserve"> שנים והתנאי הוא לבל יבצע </w:t>
      </w:r>
      <w:r w:rsidRPr="004D4E51">
        <w:rPr>
          <w:rFonts w:ascii="David" w:hAnsi="David"/>
          <w:rtl/>
        </w:rPr>
        <w:t xml:space="preserve"> עבירה מסוג פשע לפי </w:t>
      </w:r>
      <w:hyperlink r:id="rId40" w:history="1">
        <w:r w:rsidR="00DC4B4E" w:rsidRPr="00DC4B4E">
          <w:rPr>
            <w:rStyle w:val="Hyperlink"/>
            <w:rFonts w:ascii="David" w:hAnsi="David"/>
            <w:rtl/>
          </w:rPr>
          <w:t>סעיף 144</w:t>
        </w:r>
      </w:hyperlink>
      <w:r>
        <w:rPr>
          <w:rFonts w:ascii="David" w:hAnsi="David"/>
          <w:rtl/>
        </w:rPr>
        <w:t xml:space="preserve"> ל</w:t>
      </w:r>
      <w:hyperlink r:id="rId41" w:history="1">
        <w:r w:rsidR="00444FEF" w:rsidRPr="00444FEF">
          <w:rPr>
            <w:rFonts w:ascii="David" w:hAnsi="David"/>
            <w:color w:val="0000FF"/>
            <w:u w:val="single"/>
            <w:rtl/>
          </w:rPr>
          <w:t>חוק העונשין</w:t>
        </w:r>
      </w:hyperlink>
      <w:r>
        <w:rPr>
          <w:rFonts w:ascii="David" w:hAnsi="David"/>
          <w:rtl/>
        </w:rPr>
        <w:t xml:space="preserve">, התשל"ז-1977. </w:t>
      </w:r>
    </w:p>
    <w:p w14:paraId="0EFE4A49" w14:textId="77777777" w:rsidR="00523C93" w:rsidRPr="00CB0F7E" w:rsidRDefault="00523C93" w:rsidP="00523C93">
      <w:pPr>
        <w:pStyle w:val="a9"/>
        <w:rPr>
          <w:rFonts w:ascii="David" w:hAnsi="David"/>
          <w:rtl/>
        </w:rPr>
      </w:pPr>
    </w:p>
    <w:p w14:paraId="4C74944E" w14:textId="77777777" w:rsidR="00523C93" w:rsidRPr="006F7967" w:rsidRDefault="00523C93" w:rsidP="00523C93">
      <w:pPr>
        <w:pStyle w:val="a9"/>
        <w:numPr>
          <w:ilvl w:val="0"/>
          <w:numId w:val="1"/>
        </w:numPr>
        <w:spacing w:line="360" w:lineRule="auto"/>
        <w:jc w:val="both"/>
        <w:rPr>
          <w:rFonts w:ascii="David" w:hAnsi="David"/>
        </w:rPr>
      </w:pPr>
      <w:r w:rsidRPr="003604DD">
        <w:rPr>
          <w:rFonts w:ascii="David" w:hAnsi="David"/>
          <w:rtl/>
        </w:rPr>
        <w:t xml:space="preserve">למאסר על תנאי לתקופה של 6 חודשים למשך 3 שנים והתנאי הוא לבל יבצע הנאשם עבירה לפי </w:t>
      </w:r>
      <w:hyperlink r:id="rId42" w:history="1">
        <w:r w:rsidR="00DC4B4E" w:rsidRPr="00DC4B4E">
          <w:rPr>
            <w:rStyle w:val="Hyperlink"/>
            <w:rFonts w:ascii="David" w:hAnsi="David"/>
            <w:rtl/>
          </w:rPr>
          <w:t>סעיף 340א</w:t>
        </w:r>
      </w:hyperlink>
      <w:r w:rsidRPr="003604DD">
        <w:rPr>
          <w:rFonts w:ascii="David" w:hAnsi="David"/>
          <w:rtl/>
        </w:rPr>
        <w:t xml:space="preserve"> ל</w:t>
      </w:r>
      <w:hyperlink r:id="rId43" w:history="1">
        <w:r w:rsidR="00444FEF" w:rsidRPr="00444FEF">
          <w:rPr>
            <w:rFonts w:ascii="David" w:hAnsi="David"/>
            <w:color w:val="0000FF"/>
            <w:u w:val="single"/>
            <w:rtl/>
          </w:rPr>
          <w:t>חוק העונשין</w:t>
        </w:r>
      </w:hyperlink>
      <w:r w:rsidRPr="003604DD">
        <w:rPr>
          <w:rFonts w:ascii="David" w:hAnsi="David"/>
          <w:rtl/>
        </w:rPr>
        <w:t xml:space="preserve">, התשל"ז-1977 או עבירה מסוג עוון לפי </w:t>
      </w:r>
      <w:hyperlink r:id="rId44" w:history="1">
        <w:r w:rsidR="00DC4B4E" w:rsidRPr="00DC4B4E">
          <w:rPr>
            <w:rStyle w:val="Hyperlink"/>
            <w:rFonts w:ascii="David" w:hAnsi="David"/>
            <w:rtl/>
          </w:rPr>
          <w:t>סעיף 144</w:t>
        </w:r>
      </w:hyperlink>
      <w:r w:rsidRPr="003604DD">
        <w:rPr>
          <w:rFonts w:ascii="David" w:hAnsi="David"/>
          <w:rtl/>
        </w:rPr>
        <w:t xml:space="preserve"> לחוק העונשין או עבירה של איומים לפי </w:t>
      </w:r>
      <w:hyperlink r:id="rId45" w:history="1">
        <w:r w:rsidR="00DC4B4E" w:rsidRPr="00DC4B4E">
          <w:rPr>
            <w:rStyle w:val="Hyperlink"/>
            <w:rFonts w:ascii="David" w:hAnsi="David" w:hint="eastAsia"/>
            <w:rtl/>
          </w:rPr>
          <w:t>סעיף</w:t>
        </w:r>
        <w:r w:rsidR="00DC4B4E" w:rsidRPr="00DC4B4E">
          <w:rPr>
            <w:rStyle w:val="Hyperlink"/>
            <w:rFonts w:ascii="David" w:hAnsi="David"/>
            <w:rtl/>
          </w:rPr>
          <w:t xml:space="preserve"> 192</w:t>
        </w:r>
      </w:hyperlink>
      <w:r>
        <w:rPr>
          <w:rFonts w:ascii="David" w:hAnsi="David" w:hint="cs"/>
          <w:rtl/>
        </w:rPr>
        <w:t xml:space="preserve"> ל</w:t>
      </w:r>
      <w:r w:rsidRPr="003604DD">
        <w:rPr>
          <w:rFonts w:ascii="David" w:hAnsi="David"/>
          <w:rtl/>
        </w:rPr>
        <w:t>חוק הנ"ל.</w:t>
      </w:r>
    </w:p>
    <w:p w14:paraId="2F6A609C" w14:textId="77777777" w:rsidR="00523C93" w:rsidRPr="00CD3555" w:rsidRDefault="00523C93" w:rsidP="00523C93">
      <w:pPr>
        <w:pStyle w:val="a9"/>
        <w:rPr>
          <w:rFonts w:ascii="David" w:hAnsi="David"/>
          <w:rtl/>
        </w:rPr>
      </w:pPr>
    </w:p>
    <w:p w14:paraId="1F090635" w14:textId="77777777" w:rsidR="00523C93" w:rsidRDefault="00523C93" w:rsidP="00523C93">
      <w:pPr>
        <w:pStyle w:val="a9"/>
        <w:spacing w:line="360" w:lineRule="auto"/>
        <w:jc w:val="both"/>
        <w:rPr>
          <w:rFonts w:ascii="David" w:hAnsi="David"/>
          <w:rtl/>
        </w:rPr>
      </w:pPr>
      <w:r w:rsidRPr="004D4E51">
        <w:rPr>
          <w:rFonts w:ascii="David" w:hAnsi="David"/>
          <w:rtl/>
        </w:rPr>
        <w:t xml:space="preserve">המזכירות תמציא העתק מגזר הדין לשרות המבחן. </w:t>
      </w:r>
    </w:p>
    <w:p w14:paraId="383FE84F" w14:textId="77777777" w:rsidR="00523C93" w:rsidRDefault="00523C93" w:rsidP="00523C93">
      <w:pPr>
        <w:pStyle w:val="a9"/>
        <w:spacing w:line="360" w:lineRule="auto"/>
        <w:jc w:val="both"/>
        <w:rPr>
          <w:rFonts w:ascii="David" w:hAnsi="David"/>
          <w:rtl/>
        </w:rPr>
      </w:pPr>
    </w:p>
    <w:p w14:paraId="06BFFC5D" w14:textId="77777777" w:rsidR="00523C93" w:rsidRPr="0059576D" w:rsidRDefault="00523C93" w:rsidP="00523C93">
      <w:pPr>
        <w:pStyle w:val="a9"/>
        <w:spacing w:line="360" w:lineRule="auto"/>
        <w:jc w:val="both"/>
        <w:rPr>
          <w:rFonts w:ascii="David" w:hAnsi="David"/>
          <w:b/>
          <w:bCs/>
          <w:rtl/>
        </w:rPr>
      </w:pPr>
      <w:r w:rsidRPr="0059576D">
        <w:rPr>
          <w:rFonts w:ascii="David" w:hAnsi="David"/>
          <w:b/>
          <w:bCs/>
          <w:rtl/>
        </w:rPr>
        <w:t xml:space="preserve">זכות ערעור לבית המשפט העליון תוך 45 יום. </w:t>
      </w:r>
    </w:p>
    <w:p w14:paraId="0E413136" w14:textId="77777777" w:rsidR="00523C93" w:rsidRPr="0059576D" w:rsidRDefault="00523C93" w:rsidP="00523C93">
      <w:pPr>
        <w:spacing w:line="360" w:lineRule="auto"/>
        <w:rPr>
          <w:rFonts w:ascii="David" w:hAnsi="David"/>
          <w:b/>
          <w:bCs/>
          <w:highlight w:val="yellow"/>
        </w:rPr>
      </w:pPr>
      <w:r w:rsidRPr="0059576D">
        <w:rPr>
          <w:rFonts w:ascii="David" w:hAnsi="David" w:hint="cs"/>
          <w:b/>
          <w:bCs/>
          <w:rtl/>
        </w:rPr>
        <w:t xml:space="preserve">                                                                                                                                                                                    </w:t>
      </w:r>
    </w:p>
    <w:p w14:paraId="7609ABA5" w14:textId="77777777" w:rsidR="00523C93" w:rsidRPr="00B05847" w:rsidRDefault="00523C93" w:rsidP="00523C93">
      <w:pPr>
        <w:pStyle w:val="a9"/>
        <w:spacing w:line="360" w:lineRule="auto"/>
        <w:jc w:val="both"/>
        <w:rPr>
          <w:rtl/>
        </w:rPr>
      </w:pPr>
    </w:p>
    <w:p w14:paraId="6C0AE0A2" w14:textId="77777777" w:rsidR="00523C93" w:rsidRDefault="00444FEF" w:rsidP="00523C93">
      <w:pPr>
        <w:spacing w:line="360" w:lineRule="auto"/>
        <w:jc w:val="both"/>
        <w:rPr>
          <w:rFonts w:ascii="Arial" w:hAnsi="Arial"/>
        </w:rPr>
      </w:pPr>
      <w:bookmarkStart w:id="7" w:name="Nitan"/>
      <w:r w:rsidRPr="00444FEF">
        <w:rPr>
          <w:rFonts w:ascii="Arial" w:hAnsi="Arial"/>
          <w:color w:val="FFFFFF"/>
          <w:sz w:val="2"/>
          <w:szCs w:val="2"/>
          <w:rtl/>
        </w:rPr>
        <w:t>5129371</w:t>
      </w:r>
      <w:r>
        <w:rPr>
          <w:rFonts w:ascii="Arial" w:hAnsi="Arial"/>
          <w:rtl/>
        </w:rPr>
        <w:t xml:space="preserve">ניתן היום,  כ"א חשון תשפ"א, 8/11/20, במעמד ב"כ המאשימה, עו"ד מאיה חזן דהן, ב"כ הנאשם, </w:t>
      </w:r>
      <w:bookmarkEnd w:id="7"/>
      <w:r w:rsidR="00523C93">
        <w:rPr>
          <w:rFonts w:ascii="Arial" w:hAnsi="Arial" w:hint="cs"/>
          <w:rtl/>
        </w:rPr>
        <w:t>עו"ד בויראת והנאשם בעצמו.</w:t>
      </w:r>
    </w:p>
    <w:p w14:paraId="7858A541" w14:textId="77777777" w:rsidR="00523C93" w:rsidRPr="00444FEF" w:rsidRDefault="00444FEF" w:rsidP="00523C93">
      <w:pPr>
        <w:jc w:val="both"/>
        <w:rPr>
          <w:rFonts w:cs="FrankRuehl"/>
          <w:color w:val="FFFFFF"/>
          <w:sz w:val="2"/>
          <w:szCs w:val="2"/>
          <w:rtl/>
        </w:rPr>
      </w:pPr>
      <w:r w:rsidRPr="00444FEF">
        <w:rPr>
          <w:rFonts w:cs="FrankRuehl"/>
          <w:color w:val="FFFFFF"/>
          <w:sz w:val="2"/>
          <w:szCs w:val="2"/>
          <w:rtl/>
        </w:rPr>
        <w:t>54678313</w:t>
      </w:r>
    </w:p>
    <w:p w14:paraId="7BC898EF" w14:textId="77777777" w:rsidR="00523C93" w:rsidRDefault="00523C93" w:rsidP="00444FEF">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99FFF6F" w14:textId="77777777" w:rsidR="00523C93" w:rsidRDefault="00523C93" w:rsidP="00523C93">
      <w:pPr>
        <w:jc w:val="both"/>
        <w:rPr>
          <w:rFonts w:ascii="Arial" w:hAnsi="Arial" w:cs="FrankRuehl"/>
          <w:sz w:val="28"/>
          <w:szCs w:val="28"/>
          <w:rtl/>
        </w:rPr>
      </w:pPr>
    </w:p>
    <w:p w14:paraId="6A1733D7" w14:textId="77777777" w:rsidR="00523C93" w:rsidRDefault="00523C93" w:rsidP="00523C93">
      <w:pPr>
        <w:jc w:val="both"/>
        <w:rPr>
          <w:rFonts w:cs="FrankRuehl"/>
          <w:sz w:val="28"/>
          <w:szCs w:val="28"/>
          <w:rtl/>
        </w:rPr>
      </w:pPr>
    </w:p>
    <w:p w14:paraId="172CBC3D" w14:textId="77777777" w:rsidR="00523C93" w:rsidRPr="00DC4B4E" w:rsidRDefault="00DC4B4E" w:rsidP="00523C93">
      <w:pPr>
        <w:pStyle w:val="a3"/>
        <w:jc w:val="both"/>
        <w:rPr>
          <w:color w:val="FFFFFF"/>
          <w:sz w:val="2"/>
          <w:szCs w:val="2"/>
          <w:rtl/>
        </w:rPr>
      </w:pPr>
      <w:r w:rsidRPr="00DC4B4E">
        <w:rPr>
          <w:color w:val="FFFFFF"/>
          <w:sz w:val="2"/>
          <w:szCs w:val="2"/>
          <w:rtl/>
        </w:rPr>
        <w:t>5129371</w:t>
      </w:r>
    </w:p>
    <w:p w14:paraId="2A3E30AD" w14:textId="77777777" w:rsidR="00AD236D" w:rsidRPr="00DC4B4E" w:rsidRDefault="00DC4B4E" w:rsidP="00444FEF">
      <w:pPr>
        <w:keepNext/>
        <w:rPr>
          <w:rFonts w:ascii="David" w:hAnsi="David"/>
          <w:color w:val="FFFFFF"/>
          <w:sz w:val="2"/>
          <w:szCs w:val="2"/>
          <w:rtl/>
        </w:rPr>
      </w:pPr>
      <w:r w:rsidRPr="00DC4B4E">
        <w:rPr>
          <w:rFonts w:ascii="David" w:hAnsi="David"/>
          <w:color w:val="FFFFFF"/>
          <w:sz w:val="2"/>
          <w:szCs w:val="2"/>
          <w:rtl/>
        </w:rPr>
        <w:t>512937154678313</w:t>
      </w:r>
    </w:p>
    <w:p w14:paraId="2EDE1F63" w14:textId="77777777" w:rsidR="00444FEF" w:rsidRPr="00DC4B4E" w:rsidRDefault="00DC4B4E" w:rsidP="00444FEF">
      <w:pPr>
        <w:rPr>
          <w:color w:val="FFFFFF"/>
          <w:sz w:val="2"/>
          <w:szCs w:val="2"/>
          <w:rtl/>
        </w:rPr>
      </w:pPr>
      <w:r w:rsidRPr="00DC4B4E">
        <w:rPr>
          <w:color w:val="FFFFFF"/>
          <w:sz w:val="2"/>
          <w:szCs w:val="2"/>
          <w:rtl/>
        </w:rPr>
        <w:t>54678313</w:t>
      </w:r>
    </w:p>
    <w:p w14:paraId="1A66D7D5" w14:textId="77777777" w:rsidR="00444FEF" w:rsidRDefault="00444FEF" w:rsidP="00444FEF">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7672C910" w14:textId="77777777" w:rsidR="00DC4B4E" w:rsidRPr="00DC4B4E" w:rsidRDefault="00DC4B4E" w:rsidP="00DC4B4E">
      <w:pPr>
        <w:keepNext/>
        <w:rPr>
          <w:rFonts w:ascii="David" w:hAnsi="David"/>
          <w:color w:val="000000"/>
          <w:sz w:val="22"/>
          <w:szCs w:val="22"/>
          <w:rtl/>
        </w:rPr>
      </w:pPr>
    </w:p>
    <w:p w14:paraId="2C985DFB" w14:textId="77777777" w:rsidR="00DC4B4E" w:rsidRPr="00DC4B4E" w:rsidRDefault="00DC4B4E" w:rsidP="00DC4B4E">
      <w:pPr>
        <w:keepNext/>
        <w:rPr>
          <w:rFonts w:ascii="David" w:hAnsi="David"/>
          <w:color w:val="000000"/>
          <w:sz w:val="22"/>
          <w:szCs w:val="22"/>
          <w:rtl/>
        </w:rPr>
      </w:pPr>
      <w:r w:rsidRPr="00DC4B4E">
        <w:rPr>
          <w:rFonts w:ascii="David" w:hAnsi="David"/>
          <w:color w:val="000000"/>
          <w:sz w:val="22"/>
          <w:szCs w:val="22"/>
          <w:rtl/>
        </w:rPr>
        <w:t>רונית בש 54678313-/</w:t>
      </w:r>
    </w:p>
    <w:p w14:paraId="6C5A20B3" w14:textId="77777777" w:rsidR="00444FEF" w:rsidRPr="00444FEF" w:rsidRDefault="00DC4B4E" w:rsidP="00DC4B4E">
      <w:pPr>
        <w:rPr>
          <w:rFonts w:hint="cs"/>
          <w:color w:val="0000FF"/>
          <w:u w:val="single"/>
        </w:rPr>
      </w:pPr>
      <w:r w:rsidRPr="00DC4B4E">
        <w:rPr>
          <w:color w:val="000000"/>
          <w:u w:val="single"/>
          <w:rtl/>
        </w:rPr>
        <w:t>נוסח מסמך זה כפוף לשינויי ניסוח ועריכה</w:t>
      </w:r>
      <w:r w:rsidR="006568FF">
        <w:rPr>
          <w:rFonts w:hint="cs"/>
          <w:color w:val="0000FF"/>
          <w:u w:val="single"/>
          <w:rtl/>
        </w:rPr>
        <w:t xml:space="preserve"> </w:t>
      </w:r>
    </w:p>
    <w:sectPr w:rsidR="00444FEF" w:rsidRPr="00444FEF" w:rsidSect="00DC4B4E">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46845" w14:textId="77777777" w:rsidR="009606A7" w:rsidRDefault="009606A7" w:rsidP="005A5041">
      <w:r>
        <w:separator/>
      </w:r>
    </w:p>
  </w:endnote>
  <w:endnote w:type="continuationSeparator" w:id="0">
    <w:p w14:paraId="6D38E0B4" w14:textId="77777777" w:rsidR="009606A7" w:rsidRDefault="009606A7" w:rsidP="005A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7AD5C" w14:textId="77777777" w:rsidR="00DC4B4E" w:rsidRDefault="00DC4B4E" w:rsidP="00DC4B4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026F12" w14:textId="77777777" w:rsidR="001A51A3" w:rsidRPr="00DC4B4E" w:rsidRDefault="00DC4B4E" w:rsidP="00DC4B4E">
    <w:pPr>
      <w:pStyle w:val="a5"/>
      <w:pBdr>
        <w:top w:val="single" w:sz="4" w:space="1" w:color="auto"/>
        <w:between w:val="single" w:sz="4" w:space="0" w:color="auto"/>
      </w:pBdr>
      <w:spacing w:after="60"/>
      <w:jc w:val="center"/>
      <w:rPr>
        <w:rFonts w:ascii="FrankRuehl" w:hAnsi="FrankRuehl" w:cs="FrankRuehl"/>
        <w:color w:val="000000"/>
      </w:rPr>
    </w:pPr>
    <w:r w:rsidRPr="00DC4B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C7BA" w14:textId="77777777" w:rsidR="00DC4B4E" w:rsidRDefault="00DC4B4E" w:rsidP="00DC4B4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68F6">
      <w:rPr>
        <w:rFonts w:ascii="FrankRuehl" w:hAnsi="FrankRuehl" w:cs="FrankRuehl"/>
        <w:noProof/>
        <w:rtl/>
      </w:rPr>
      <w:t>1</w:t>
    </w:r>
    <w:r>
      <w:rPr>
        <w:rFonts w:ascii="FrankRuehl" w:hAnsi="FrankRuehl" w:cs="FrankRuehl"/>
        <w:rtl/>
      </w:rPr>
      <w:fldChar w:fldCharType="end"/>
    </w:r>
  </w:p>
  <w:p w14:paraId="770FDD38" w14:textId="77777777" w:rsidR="001A51A3" w:rsidRPr="00DC4B4E" w:rsidRDefault="00DC4B4E" w:rsidP="00DC4B4E">
    <w:pPr>
      <w:pStyle w:val="a5"/>
      <w:pBdr>
        <w:top w:val="single" w:sz="4" w:space="1" w:color="auto"/>
        <w:between w:val="single" w:sz="4" w:space="0" w:color="auto"/>
      </w:pBdr>
      <w:spacing w:after="60"/>
      <w:jc w:val="center"/>
      <w:rPr>
        <w:rFonts w:ascii="FrankRuehl" w:hAnsi="FrankRuehl" w:cs="FrankRuehl"/>
        <w:color w:val="000000"/>
      </w:rPr>
    </w:pPr>
    <w:r w:rsidRPr="00DC4B4E">
      <w:rPr>
        <w:rFonts w:ascii="FrankRuehl" w:hAnsi="FrankRuehl" w:cs="FrankRuehl"/>
        <w:color w:val="000000"/>
      </w:rPr>
      <w:pict w14:anchorId="7E955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65949" w14:textId="77777777" w:rsidR="009606A7" w:rsidRDefault="009606A7" w:rsidP="005A5041">
      <w:r>
        <w:separator/>
      </w:r>
    </w:p>
  </w:footnote>
  <w:footnote w:type="continuationSeparator" w:id="0">
    <w:p w14:paraId="26E5555C" w14:textId="77777777" w:rsidR="009606A7" w:rsidRDefault="009606A7" w:rsidP="005A5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5F645" w14:textId="77777777" w:rsidR="00444FEF" w:rsidRPr="00DC4B4E" w:rsidRDefault="00DC4B4E" w:rsidP="00DC4B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15772-11-19</w:t>
    </w:r>
    <w:r>
      <w:rPr>
        <w:rFonts w:ascii="David" w:hAnsi="David"/>
        <w:color w:val="000000"/>
        <w:sz w:val="22"/>
        <w:szCs w:val="22"/>
        <w:rtl/>
      </w:rPr>
      <w:tab/>
      <w:t xml:space="preserve"> מדינת ישראל נ' קוסאי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C9183" w14:textId="77777777" w:rsidR="00444FEF" w:rsidRPr="00DC4B4E" w:rsidRDefault="00DC4B4E" w:rsidP="00DC4B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15772-11-19</w:t>
    </w:r>
    <w:r>
      <w:rPr>
        <w:rFonts w:ascii="David" w:hAnsi="David"/>
        <w:color w:val="000000"/>
        <w:sz w:val="22"/>
        <w:szCs w:val="22"/>
        <w:rtl/>
      </w:rPr>
      <w:tab/>
      <w:t xml:space="preserve"> מדינת ישראל נ' קוסאי ג'רבאן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765575"/>
    <w:multiLevelType w:val="hybridMultilevel"/>
    <w:tmpl w:val="AC8ACAF8"/>
    <w:lvl w:ilvl="0" w:tplc="D03E5B2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0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3C93"/>
    <w:rsid w:val="00080D79"/>
    <w:rsid w:val="001A51A3"/>
    <w:rsid w:val="002739C8"/>
    <w:rsid w:val="003A33AF"/>
    <w:rsid w:val="00400A50"/>
    <w:rsid w:val="00426A42"/>
    <w:rsid w:val="00444FEF"/>
    <w:rsid w:val="00523C93"/>
    <w:rsid w:val="005A5041"/>
    <w:rsid w:val="006568FF"/>
    <w:rsid w:val="0070147D"/>
    <w:rsid w:val="00797365"/>
    <w:rsid w:val="009606A7"/>
    <w:rsid w:val="009B7ED9"/>
    <w:rsid w:val="00AD236D"/>
    <w:rsid w:val="00DC4B4E"/>
    <w:rsid w:val="00F368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2CC66C"/>
  <w15:chartTrackingRefBased/>
  <w15:docId w15:val="{21C2A9E2-2ED4-4CCB-894E-9FA9EF0F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3C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23C93"/>
    <w:pPr>
      <w:tabs>
        <w:tab w:val="center" w:pos="4153"/>
        <w:tab w:val="right" w:pos="8306"/>
      </w:tabs>
    </w:pPr>
  </w:style>
  <w:style w:type="character" w:customStyle="1" w:styleId="a4">
    <w:name w:val="כותרת עליונה תו"/>
    <w:link w:val="a3"/>
    <w:rsid w:val="00523C93"/>
    <w:rPr>
      <w:rFonts w:ascii="Times New Roman" w:eastAsia="Times New Roman" w:hAnsi="Times New Roman" w:cs="David"/>
      <w:sz w:val="24"/>
      <w:szCs w:val="24"/>
    </w:rPr>
  </w:style>
  <w:style w:type="paragraph" w:styleId="a5">
    <w:name w:val="footer"/>
    <w:basedOn w:val="a"/>
    <w:link w:val="a6"/>
    <w:rsid w:val="00523C93"/>
    <w:pPr>
      <w:tabs>
        <w:tab w:val="center" w:pos="4153"/>
        <w:tab w:val="right" w:pos="8306"/>
      </w:tabs>
    </w:pPr>
  </w:style>
  <w:style w:type="character" w:customStyle="1" w:styleId="a6">
    <w:name w:val="כותרת תחתונה תו"/>
    <w:link w:val="a5"/>
    <w:rsid w:val="00523C93"/>
    <w:rPr>
      <w:rFonts w:ascii="Times New Roman" w:eastAsia="Times New Roman" w:hAnsi="Times New Roman" w:cs="David"/>
      <w:sz w:val="24"/>
      <w:szCs w:val="24"/>
    </w:rPr>
  </w:style>
  <w:style w:type="table" w:styleId="a7">
    <w:name w:val="Table Grid"/>
    <w:basedOn w:val="a1"/>
    <w:rsid w:val="00523C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23C93"/>
  </w:style>
  <w:style w:type="paragraph" w:styleId="a9">
    <w:name w:val="List Paragraph"/>
    <w:basedOn w:val="a"/>
    <w:qFormat/>
    <w:rsid w:val="00523C93"/>
    <w:pPr>
      <w:ind w:left="720"/>
      <w:contextualSpacing/>
    </w:pPr>
  </w:style>
  <w:style w:type="character" w:styleId="Hyperlink">
    <w:name w:val="Hyperlink"/>
    <w:rsid w:val="00444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40c" TargetMode="External"/><Relationship Id="rId39" Type="http://schemas.openxmlformats.org/officeDocument/2006/relationships/hyperlink" Target="http://www.nevo.co.il/case/5578534" TargetMode="External"/><Relationship Id="rId21" Type="http://schemas.openxmlformats.org/officeDocument/2006/relationships/hyperlink" Target="http://www.nevo.co.il/law/70301/340a.b.1" TargetMode="External"/><Relationship Id="rId34" Type="http://schemas.openxmlformats.org/officeDocument/2006/relationships/hyperlink" Target="http://www.nevo.co.il/case/25824863" TargetMode="External"/><Relationship Id="rId42" Type="http://schemas.openxmlformats.org/officeDocument/2006/relationships/hyperlink" Target="http://www.nevo.co.il/law/70301/340a"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b.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5573417" TargetMode="External"/><Relationship Id="rId37" Type="http://schemas.openxmlformats.org/officeDocument/2006/relationships/hyperlink" Target="http://www.nevo.co.il/case/7697292" TargetMode="External"/><Relationship Id="rId40" Type="http://schemas.openxmlformats.org/officeDocument/2006/relationships/hyperlink" Target="http://www.nevo.co.il/law/70301/144" TargetMode="External"/><Relationship Id="rId45" Type="http://schemas.openxmlformats.org/officeDocument/2006/relationships/hyperlink" Target="http://www.nevo.co.il/law/70301/192" TargetMode="Externa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1474922" TargetMode="External"/><Relationship Id="rId49" Type="http://schemas.openxmlformats.org/officeDocument/2006/relationships/footer" Target="footer1.xm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law/70301/14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492590" TargetMode="External"/><Relationship Id="rId43" Type="http://schemas.openxmlformats.org/officeDocument/2006/relationships/hyperlink" Target="http://www.nevo.co.il/law/70301" TargetMode="External"/><Relationship Id="rId48"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case/6243627" TargetMode="External"/><Relationship Id="rId33" Type="http://schemas.openxmlformats.org/officeDocument/2006/relationships/hyperlink" Target="http://www.nevo.co.il/case/5601503" TargetMode="External"/><Relationship Id="rId38" Type="http://schemas.openxmlformats.org/officeDocument/2006/relationships/hyperlink" Target="http://www.nevo.co.il/case/5575978"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3181</Words>
  <Characters>15909</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19052</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86</vt:i4>
      </vt:variant>
      <vt:variant>
        <vt:i4>105</vt:i4>
      </vt:variant>
      <vt:variant>
        <vt:i4>0</vt:i4>
      </vt:variant>
      <vt:variant>
        <vt:i4>5</vt:i4>
      </vt:variant>
      <vt:variant>
        <vt:lpwstr>http://www.nevo.co.il/law/70301/340a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3342458</vt:i4>
      </vt:variant>
      <vt:variant>
        <vt:i4>96</vt:i4>
      </vt:variant>
      <vt:variant>
        <vt:i4>0</vt:i4>
      </vt:variant>
      <vt:variant>
        <vt:i4>5</vt:i4>
      </vt:variant>
      <vt:variant>
        <vt:lpwstr>http://www.nevo.co.il/case/5578534</vt:lpwstr>
      </vt:variant>
      <vt:variant>
        <vt:lpwstr/>
      </vt:variant>
      <vt:variant>
        <vt:i4>3342451</vt:i4>
      </vt:variant>
      <vt:variant>
        <vt:i4>93</vt:i4>
      </vt:variant>
      <vt:variant>
        <vt:i4>0</vt:i4>
      </vt:variant>
      <vt:variant>
        <vt:i4>5</vt:i4>
      </vt:variant>
      <vt:variant>
        <vt:lpwstr>http://www.nevo.co.il/case/5575978</vt:lpwstr>
      </vt:variant>
      <vt:variant>
        <vt:lpwstr/>
      </vt:variant>
      <vt:variant>
        <vt:i4>4063356</vt:i4>
      </vt:variant>
      <vt:variant>
        <vt:i4>90</vt:i4>
      </vt:variant>
      <vt:variant>
        <vt:i4>0</vt:i4>
      </vt:variant>
      <vt:variant>
        <vt:i4>5</vt:i4>
      </vt:variant>
      <vt:variant>
        <vt:lpwstr>http://www.nevo.co.il/case/7697292</vt:lpwstr>
      </vt:variant>
      <vt:variant>
        <vt:lpwstr/>
      </vt:variant>
      <vt:variant>
        <vt:i4>3145851</vt:i4>
      </vt:variant>
      <vt:variant>
        <vt:i4>87</vt:i4>
      </vt:variant>
      <vt:variant>
        <vt:i4>0</vt:i4>
      </vt:variant>
      <vt:variant>
        <vt:i4>5</vt:i4>
      </vt:variant>
      <vt:variant>
        <vt:lpwstr>http://www.nevo.co.il/case/21474922</vt:lpwstr>
      </vt:variant>
      <vt:variant>
        <vt:lpwstr/>
      </vt:variant>
      <vt:variant>
        <vt:i4>3997822</vt:i4>
      </vt:variant>
      <vt:variant>
        <vt:i4>84</vt:i4>
      </vt:variant>
      <vt:variant>
        <vt:i4>0</vt:i4>
      </vt:variant>
      <vt:variant>
        <vt:i4>5</vt:i4>
      </vt:variant>
      <vt:variant>
        <vt:lpwstr>http://www.nevo.co.il/case/26492590</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3342451</vt:i4>
      </vt:variant>
      <vt:variant>
        <vt:i4>78</vt:i4>
      </vt:variant>
      <vt:variant>
        <vt:i4>0</vt:i4>
      </vt:variant>
      <vt:variant>
        <vt:i4>5</vt:i4>
      </vt:variant>
      <vt:variant>
        <vt:lpwstr>http://www.nevo.co.il/case/5601503</vt:lpwstr>
      </vt:variant>
      <vt:variant>
        <vt:lpwstr/>
      </vt:variant>
      <vt:variant>
        <vt:i4>3211379</vt:i4>
      </vt:variant>
      <vt:variant>
        <vt:i4>75</vt:i4>
      </vt:variant>
      <vt:variant>
        <vt:i4>0</vt:i4>
      </vt:variant>
      <vt:variant>
        <vt:i4>5</vt:i4>
      </vt:variant>
      <vt:variant>
        <vt:lpwstr>http://www.nevo.co.il/case/5573417</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3342455</vt:i4>
      </vt:variant>
      <vt:variant>
        <vt:i4>54</vt:i4>
      </vt:variant>
      <vt:variant>
        <vt:i4>0</vt:i4>
      </vt:variant>
      <vt:variant>
        <vt:i4>5</vt:i4>
      </vt:variant>
      <vt:variant>
        <vt:lpwstr>http://www.nevo.co.il/case/6243627</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5439574</vt:i4>
      </vt:variant>
      <vt:variant>
        <vt:i4>42</vt:i4>
      </vt:variant>
      <vt:variant>
        <vt:i4>0</vt:i4>
      </vt:variant>
      <vt:variant>
        <vt:i4>5</vt:i4>
      </vt:variant>
      <vt:variant>
        <vt:lpwstr>http://www.nevo.co.il/law/70301/340a.b.1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5439574</vt:i4>
      </vt:variant>
      <vt:variant>
        <vt:i4>27</vt:i4>
      </vt:variant>
      <vt:variant>
        <vt:i4>0</vt:i4>
      </vt:variant>
      <vt:variant>
        <vt:i4>5</vt:i4>
      </vt:variant>
      <vt:variant>
        <vt:lpwstr>http://www.nevo.co.il/law/70301/340a.b.1</vt:lpwstr>
      </vt:variant>
      <vt:variant>
        <vt:lpwstr/>
      </vt:variant>
      <vt:variant>
        <vt:i4>86</vt:i4>
      </vt:variant>
      <vt:variant>
        <vt:i4>24</vt:i4>
      </vt:variant>
      <vt:variant>
        <vt:i4>0</vt:i4>
      </vt:variant>
      <vt:variant>
        <vt:i4>5</vt:i4>
      </vt:variant>
      <vt:variant>
        <vt:lpwstr>http://www.nevo.co.il/law/70301/340a</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15772</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קוסאי ג'רבאן</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20201108</vt:lpwstr>
  </property>
  <property fmtid="{D5CDD505-2E9C-101B-9397-08002B2CF9AE}" pid="13" name="TYPE_N_DATE">
    <vt:lpwstr>39020201108</vt:lpwstr>
  </property>
  <property fmtid="{D5CDD505-2E9C-101B-9397-08002B2CF9AE}" pid="14" name="WORDNUMPAGES">
    <vt:lpwstr>9</vt:lpwstr>
  </property>
  <property fmtid="{D5CDD505-2E9C-101B-9397-08002B2CF9AE}" pid="15" name="TYPE_ABS_DATE">
    <vt:lpwstr>390020201108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6243627;5573417;5601503;25824863;26492590;21474922;7697292;5575978;5578534</vt:lpwstr>
  </property>
  <property fmtid="{D5CDD505-2E9C-101B-9397-08002B2CF9AE}" pid="36" name="LAWLISTTMP1">
    <vt:lpwstr>70301/144.a;144.b;340a.b.1;192:2;040b;040c;040i;40jc.b;144:2;340a</vt:lpwstr>
  </property>
</Properties>
</file>