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2850"/>
        <w:gridCol w:w="2976"/>
        <w:gridCol w:w="2696"/>
      </w:tblGrid>
      <w:tr w:rsidR="004A7DA7" w:rsidRPr="00154ABF" w14:paraId="21ADDF24" w14:textId="77777777" w:rsidTr="00A27796">
        <w:trPr>
          <w:trHeight w:val="418"/>
          <w:jc w:val="center"/>
        </w:trPr>
        <w:tc>
          <w:tcPr>
            <w:tcW w:w="8522" w:type="dxa"/>
            <w:gridSpan w:val="3"/>
          </w:tcPr>
          <w:p w14:paraId="3BCC24D5" w14:textId="77777777" w:rsidR="004A7DA7" w:rsidRPr="00154ABF" w:rsidRDefault="004A7DA7" w:rsidP="00A27796">
            <w:pPr>
              <w:tabs>
                <w:tab w:val="center" w:pos="4153"/>
                <w:tab w:val="right" w:pos="8306"/>
              </w:tabs>
              <w:spacing w:line="360" w:lineRule="auto"/>
              <w:ind w:left="567" w:hanging="567"/>
              <w:jc w:val="center"/>
              <w:rPr>
                <w:rFonts w:ascii="Tahoma" w:hAnsi="Tahoma" w:cs="Tahoma"/>
                <w:color w:val="0F0246"/>
                <w:sz w:val="18"/>
                <w:szCs w:val="18"/>
                <w:rtl/>
              </w:rPr>
            </w:pPr>
            <w:r w:rsidRPr="00154ABF">
              <w:rPr>
                <w:rFonts w:ascii="Tahoma" w:hAnsi="Tahoma" w:cs="Tahoma"/>
                <w:color w:val="0F0246"/>
                <w:sz w:val="18"/>
                <w:szCs w:val="18"/>
                <w:rtl/>
              </w:rPr>
              <w:t>בית המשפט המחוזי בחיפה</w:t>
            </w:r>
          </w:p>
        </w:tc>
      </w:tr>
      <w:tr w:rsidR="004A7DA7" w:rsidRPr="00154ABF" w14:paraId="2BCFCAA9" w14:textId="77777777" w:rsidTr="00A27796">
        <w:trPr>
          <w:trHeight w:val="699"/>
          <w:jc w:val="center"/>
        </w:trPr>
        <w:tc>
          <w:tcPr>
            <w:tcW w:w="2850" w:type="dxa"/>
            <w:tcBorders>
              <w:top w:val="nil"/>
              <w:left w:val="nil"/>
              <w:bottom w:val="single" w:sz="4" w:space="0" w:color="auto"/>
              <w:right w:val="nil"/>
            </w:tcBorders>
          </w:tcPr>
          <w:p w14:paraId="265620CD" w14:textId="77777777" w:rsidR="004A7DA7" w:rsidRPr="00154ABF" w:rsidRDefault="004A7DA7" w:rsidP="00A27796">
            <w:pPr>
              <w:ind w:left="567" w:hanging="567"/>
              <w:jc w:val="both"/>
              <w:rPr>
                <w:b/>
                <w:bCs/>
                <w:sz w:val="22"/>
                <w:szCs w:val="22"/>
                <w:rtl/>
              </w:rPr>
            </w:pPr>
            <w:r w:rsidRPr="00154ABF">
              <w:rPr>
                <w:b/>
                <w:bCs/>
                <w:sz w:val="22"/>
                <w:szCs w:val="22"/>
                <w:rtl/>
              </w:rPr>
              <w:t>ת"פ 5221-11-19</w:t>
            </w:r>
          </w:p>
          <w:p w14:paraId="51351F34" w14:textId="77777777" w:rsidR="004A7DA7" w:rsidRPr="00154ABF" w:rsidRDefault="004A7DA7" w:rsidP="00A27796">
            <w:pPr>
              <w:ind w:left="567" w:hanging="567"/>
              <w:jc w:val="both"/>
              <w:rPr>
                <w:b/>
                <w:bCs/>
                <w:sz w:val="22"/>
                <w:szCs w:val="22"/>
                <w:rtl/>
              </w:rPr>
            </w:pPr>
            <w:r w:rsidRPr="00154ABF">
              <w:rPr>
                <w:b/>
                <w:bCs/>
                <w:sz w:val="22"/>
                <w:szCs w:val="22"/>
                <w:rtl/>
              </w:rPr>
              <w:t>מדינת ישראל נ' אלברט אברמוב</w:t>
            </w:r>
          </w:p>
        </w:tc>
        <w:tc>
          <w:tcPr>
            <w:tcW w:w="2976" w:type="dxa"/>
          </w:tcPr>
          <w:p w14:paraId="7DFAF9B5" w14:textId="77777777" w:rsidR="004A7DA7" w:rsidRPr="00154ABF" w:rsidRDefault="004A7DA7" w:rsidP="00A27796">
            <w:pPr>
              <w:tabs>
                <w:tab w:val="center" w:pos="4153"/>
                <w:tab w:val="right" w:pos="8306"/>
              </w:tabs>
              <w:ind w:left="567" w:hanging="567"/>
              <w:jc w:val="center"/>
              <w:rPr>
                <w:b/>
                <w:bCs/>
                <w:color w:val="000054"/>
                <w:sz w:val="22"/>
                <w:szCs w:val="22"/>
                <w:rtl/>
              </w:rPr>
            </w:pPr>
          </w:p>
        </w:tc>
        <w:tc>
          <w:tcPr>
            <w:tcW w:w="2696" w:type="dxa"/>
            <w:tcBorders>
              <w:top w:val="nil"/>
              <w:left w:val="nil"/>
              <w:bottom w:val="single" w:sz="4" w:space="0" w:color="auto"/>
              <w:right w:val="nil"/>
            </w:tcBorders>
          </w:tcPr>
          <w:p w14:paraId="204AA392" w14:textId="77777777" w:rsidR="004A7DA7" w:rsidRPr="00154ABF" w:rsidRDefault="004A7DA7" w:rsidP="00A27796">
            <w:pPr>
              <w:tabs>
                <w:tab w:val="center" w:pos="4153"/>
                <w:tab w:val="right" w:pos="8306"/>
              </w:tabs>
              <w:ind w:left="567" w:hanging="567"/>
              <w:jc w:val="center"/>
              <w:rPr>
                <w:b/>
                <w:bCs/>
                <w:sz w:val="22"/>
                <w:szCs w:val="22"/>
                <w:rtl/>
              </w:rPr>
            </w:pPr>
          </w:p>
          <w:p w14:paraId="6A71D39B" w14:textId="77777777" w:rsidR="004A7DA7" w:rsidRPr="00154ABF" w:rsidRDefault="004A7DA7" w:rsidP="00A27796">
            <w:pPr>
              <w:tabs>
                <w:tab w:val="center" w:pos="4153"/>
                <w:tab w:val="right" w:pos="8306"/>
              </w:tabs>
              <w:ind w:left="567" w:hanging="567"/>
              <w:jc w:val="center"/>
              <w:rPr>
                <w:b/>
                <w:bCs/>
                <w:sz w:val="22"/>
                <w:szCs w:val="22"/>
                <w:rtl/>
              </w:rPr>
            </w:pPr>
            <w:r w:rsidRPr="00154ABF">
              <w:rPr>
                <w:rFonts w:hint="cs"/>
                <w:b/>
                <w:bCs/>
                <w:sz w:val="22"/>
                <w:szCs w:val="22"/>
                <w:rtl/>
              </w:rPr>
              <w:t>11.6.2020</w:t>
            </w:r>
          </w:p>
        </w:tc>
      </w:tr>
    </w:tbl>
    <w:p w14:paraId="5D9E77B4" w14:textId="77777777" w:rsidR="004A7DA7" w:rsidRPr="00154ABF" w:rsidRDefault="004A7DA7" w:rsidP="004A7DA7">
      <w:pPr>
        <w:spacing w:line="360" w:lineRule="auto"/>
        <w:ind w:left="567" w:hanging="567"/>
        <w:jc w:val="both"/>
        <w:rPr>
          <w:rtl/>
        </w:rPr>
      </w:pPr>
    </w:p>
    <w:p w14:paraId="23632B14" w14:textId="77777777" w:rsidR="004A7DA7" w:rsidRPr="00154ABF" w:rsidRDefault="004A7DA7" w:rsidP="004A7DA7">
      <w:pPr>
        <w:pStyle w:val="a3"/>
        <w:rPr>
          <w:rtl/>
        </w:rPr>
      </w:pPr>
    </w:p>
    <w:p w14:paraId="2E786D51" w14:textId="77777777" w:rsidR="004A7DA7" w:rsidRPr="00154ABF" w:rsidRDefault="004A7DA7" w:rsidP="004A7DA7">
      <w:pPr>
        <w:spacing w:line="360" w:lineRule="auto"/>
        <w:ind w:left="567" w:hanging="567"/>
        <w:jc w:val="both"/>
        <w:rPr>
          <w:rtl/>
        </w:rPr>
      </w:pPr>
    </w:p>
    <w:p w14:paraId="5D06881A" w14:textId="77777777" w:rsidR="004A7DA7" w:rsidRPr="00154ABF" w:rsidRDefault="004A7DA7" w:rsidP="004A7DA7">
      <w:pPr>
        <w:spacing w:line="360" w:lineRule="auto"/>
        <w:ind w:left="567" w:hanging="567"/>
        <w:jc w:val="both"/>
        <w:rPr>
          <w:rtl/>
        </w:rPr>
      </w:pPr>
    </w:p>
    <w:tbl>
      <w:tblPr>
        <w:bidiVisual/>
        <w:tblW w:w="8640" w:type="dxa"/>
        <w:tblLayout w:type="fixed"/>
        <w:tblCellMar>
          <w:left w:w="107" w:type="dxa"/>
          <w:right w:w="107" w:type="dxa"/>
        </w:tblCellMar>
        <w:tblLook w:val="04A0" w:firstRow="1" w:lastRow="0" w:firstColumn="1" w:lastColumn="0" w:noHBand="0" w:noVBand="1"/>
      </w:tblPr>
      <w:tblGrid>
        <w:gridCol w:w="1417"/>
        <w:gridCol w:w="3448"/>
        <w:gridCol w:w="1416"/>
        <w:gridCol w:w="2359"/>
      </w:tblGrid>
      <w:tr w:rsidR="004A7DA7" w:rsidRPr="00154ABF" w14:paraId="6768149A" w14:textId="77777777" w:rsidTr="00A27796">
        <w:trPr>
          <w:trHeight w:val="495"/>
        </w:trPr>
        <w:tc>
          <w:tcPr>
            <w:tcW w:w="6281" w:type="dxa"/>
            <w:gridSpan w:val="3"/>
          </w:tcPr>
          <w:p w14:paraId="5EA038D1"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r w:rsidRPr="00154ABF">
              <w:rPr>
                <w:b/>
                <w:bCs/>
                <w:sz w:val="22"/>
                <w:rtl/>
                <w:lang w:eastAsia="he-IL"/>
              </w:rPr>
              <w:t>לפני השופט יצחק כהן, סגן נשיא</w:t>
            </w:r>
          </w:p>
        </w:tc>
        <w:tc>
          <w:tcPr>
            <w:tcW w:w="2359" w:type="dxa"/>
          </w:tcPr>
          <w:p w14:paraId="43B08EEE"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1F46D285" w14:textId="77777777" w:rsidTr="00A27796">
        <w:trPr>
          <w:trHeight w:val="272"/>
        </w:trPr>
        <w:tc>
          <w:tcPr>
            <w:tcW w:w="1417" w:type="dxa"/>
          </w:tcPr>
          <w:p w14:paraId="1EEB577A" w14:textId="77777777" w:rsidR="004A7DA7" w:rsidRPr="00154ABF" w:rsidRDefault="004A7DA7" w:rsidP="00A27796">
            <w:pPr>
              <w:suppressLineNumbers/>
              <w:overflowPunct w:val="0"/>
              <w:autoSpaceDE w:val="0"/>
              <w:autoSpaceDN w:val="0"/>
              <w:adjustRightInd w:val="0"/>
              <w:rPr>
                <w:b/>
                <w:bCs/>
                <w:sz w:val="22"/>
                <w:rtl/>
                <w:lang w:eastAsia="he-IL"/>
              </w:rPr>
            </w:pPr>
            <w:bookmarkStart w:id="0" w:name="LastJudge"/>
            <w:bookmarkEnd w:id="0"/>
          </w:p>
        </w:tc>
        <w:tc>
          <w:tcPr>
            <w:tcW w:w="4864" w:type="dxa"/>
            <w:gridSpan w:val="2"/>
          </w:tcPr>
          <w:p w14:paraId="45879CA4"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p>
        </w:tc>
        <w:tc>
          <w:tcPr>
            <w:tcW w:w="2359" w:type="dxa"/>
          </w:tcPr>
          <w:p w14:paraId="7E9117B1"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0C371E2A" w14:textId="77777777" w:rsidTr="00A27796">
        <w:trPr>
          <w:trHeight w:val="351"/>
        </w:trPr>
        <w:tc>
          <w:tcPr>
            <w:tcW w:w="1417" w:type="dxa"/>
          </w:tcPr>
          <w:p w14:paraId="7B06FD79" w14:textId="77777777" w:rsidR="004A7DA7" w:rsidRPr="00154ABF" w:rsidRDefault="004A7DA7" w:rsidP="00A27796">
            <w:pPr>
              <w:suppressLineNumbers/>
              <w:overflowPunct w:val="0"/>
              <w:autoSpaceDE w:val="0"/>
              <w:autoSpaceDN w:val="0"/>
              <w:adjustRightInd w:val="0"/>
              <w:rPr>
                <w:b/>
                <w:bCs/>
                <w:sz w:val="22"/>
                <w:rtl/>
                <w:lang w:eastAsia="he-IL"/>
              </w:rPr>
            </w:pPr>
          </w:p>
        </w:tc>
        <w:tc>
          <w:tcPr>
            <w:tcW w:w="4864" w:type="dxa"/>
            <w:gridSpan w:val="2"/>
          </w:tcPr>
          <w:p w14:paraId="5636FDE5"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r w:rsidRPr="00154ABF">
              <w:rPr>
                <w:b/>
                <w:bCs/>
                <w:sz w:val="22"/>
                <w:rtl/>
                <w:lang w:eastAsia="he-IL"/>
              </w:rPr>
              <w:t>מדינת ישראל</w:t>
            </w:r>
          </w:p>
        </w:tc>
        <w:tc>
          <w:tcPr>
            <w:tcW w:w="2359" w:type="dxa"/>
          </w:tcPr>
          <w:p w14:paraId="16B72C9C"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1EBB8F90" w14:textId="77777777" w:rsidTr="00A27796">
        <w:tc>
          <w:tcPr>
            <w:tcW w:w="1417" w:type="dxa"/>
          </w:tcPr>
          <w:p w14:paraId="398CDB4B" w14:textId="77777777" w:rsidR="004A7DA7" w:rsidRPr="00154ABF" w:rsidRDefault="004A7DA7" w:rsidP="00A27796">
            <w:pPr>
              <w:suppressLineNumbers/>
              <w:overflowPunct w:val="0"/>
              <w:autoSpaceDE w:val="0"/>
              <w:autoSpaceDN w:val="0"/>
              <w:adjustRightInd w:val="0"/>
              <w:rPr>
                <w:b/>
                <w:bCs/>
                <w:sz w:val="22"/>
                <w:rtl/>
                <w:lang w:eastAsia="he-IL"/>
              </w:rPr>
            </w:pPr>
            <w:bookmarkStart w:id="1" w:name="FirstAppellant" w:colFirst="0" w:colLast="0"/>
            <w:bookmarkStart w:id="2" w:name="FirstLawyer"/>
          </w:p>
        </w:tc>
        <w:tc>
          <w:tcPr>
            <w:tcW w:w="3448" w:type="dxa"/>
          </w:tcPr>
          <w:p w14:paraId="6BC5A243" w14:textId="77777777" w:rsidR="004A7DA7" w:rsidRPr="00154ABF" w:rsidRDefault="004A7DA7" w:rsidP="00A27796">
            <w:pPr>
              <w:suppressLineNumbers/>
              <w:overflowPunct w:val="0"/>
              <w:autoSpaceDE w:val="0"/>
              <w:autoSpaceDN w:val="0"/>
              <w:adjustRightInd w:val="0"/>
              <w:rPr>
                <w:b/>
                <w:bCs/>
                <w:sz w:val="22"/>
                <w:szCs w:val="22"/>
                <w:rtl/>
                <w:lang w:eastAsia="he-IL"/>
              </w:rPr>
            </w:pPr>
            <w:r w:rsidRPr="00154ABF">
              <w:rPr>
                <w:sz w:val="22"/>
                <w:szCs w:val="22"/>
                <w:rtl/>
                <w:lang w:eastAsia="he-IL"/>
              </w:rPr>
              <w:t>ע"י ב"כ עו"ד אדם סרי [פמח"פ]</w:t>
            </w:r>
          </w:p>
        </w:tc>
        <w:tc>
          <w:tcPr>
            <w:tcW w:w="1416" w:type="dxa"/>
          </w:tcPr>
          <w:p w14:paraId="17EED243" w14:textId="77777777" w:rsidR="004A7DA7" w:rsidRPr="00154ABF" w:rsidRDefault="004A7DA7" w:rsidP="00A27796">
            <w:pPr>
              <w:suppressLineNumbers/>
              <w:overflowPunct w:val="0"/>
              <w:autoSpaceDE w:val="0"/>
              <w:autoSpaceDN w:val="0"/>
              <w:adjustRightInd w:val="0"/>
              <w:rPr>
                <w:sz w:val="22"/>
                <w:szCs w:val="22"/>
                <w:rtl/>
                <w:lang w:eastAsia="he-IL"/>
              </w:rPr>
            </w:pPr>
          </w:p>
        </w:tc>
        <w:tc>
          <w:tcPr>
            <w:tcW w:w="2359" w:type="dxa"/>
          </w:tcPr>
          <w:p w14:paraId="400519CC" w14:textId="77777777" w:rsidR="004A7DA7" w:rsidRPr="00154ABF" w:rsidRDefault="004A7DA7" w:rsidP="00A27796">
            <w:pPr>
              <w:suppressLineNumbers/>
              <w:overflowPunct w:val="0"/>
              <w:autoSpaceDE w:val="0"/>
              <w:autoSpaceDN w:val="0"/>
              <w:adjustRightInd w:val="0"/>
              <w:rPr>
                <w:b/>
                <w:bCs/>
                <w:sz w:val="22"/>
                <w:szCs w:val="26"/>
                <w:rtl/>
                <w:lang w:eastAsia="he-IL"/>
              </w:rPr>
            </w:pPr>
            <w:r w:rsidRPr="00154ABF">
              <w:rPr>
                <w:b/>
                <w:bCs/>
                <w:sz w:val="22"/>
                <w:szCs w:val="22"/>
                <w:rtl/>
                <w:lang w:eastAsia="he-IL"/>
              </w:rPr>
              <w:t>המאשימה</w:t>
            </w:r>
          </w:p>
        </w:tc>
      </w:tr>
      <w:bookmarkEnd w:id="2"/>
      <w:tr w:rsidR="004A7DA7" w:rsidRPr="00154ABF" w14:paraId="14AE670B" w14:textId="77777777" w:rsidTr="00A27796">
        <w:trPr>
          <w:trHeight w:val="455"/>
        </w:trPr>
        <w:tc>
          <w:tcPr>
            <w:tcW w:w="1417" w:type="dxa"/>
          </w:tcPr>
          <w:p w14:paraId="1C7F42BC" w14:textId="77777777" w:rsidR="004A7DA7" w:rsidRPr="00154ABF" w:rsidRDefault="004A7DA7" w:rsidP="00A27796">
            <w:pPr>
              <w:suppressLineNumbers/>
              <w:overflowPunct w:val="0"/>
              <w:autoSpaceDE w:val="0"/>
              <w:autoSpaceDN w:val="0"/>
              <w:adjustRightInd w:val="0"/>
              <w:spacing w:before="600"/>
              <w:jc w:val="center"/>
              <w:rPr>
                <w:b/>
                <w:bCs/>
                <w:sz w:val="22"/>
                <w:rtl/>
                <w:lang w:eastAsia="he-IL"/>
              </w:rPr>
            </w:pPr>
          </w:p>
        </w:tc>
        <w:tc>
          <w:tcPr>
            <w:tcW w:w="4864" w:type="dxa"/>
            <w:gridSpan w:val="2"/>
            <w:vAlign w:val="center"/>
          </w:tcPr>
          <w:p w14:paraId="592FDB58" w14:textId="77777777" w:rsidR="004A7DA7" w:rsidRPr="00154ABF" w:rsidRDefault="004A7DA7" w:rsidP="00A27796">
            <w:pPr>
              <w:suppressLineNumbers/>
              <w:overflowPunct w:val="0"/>
              <w:autoSpaceDE w:val="0"/>
              <w:autoSpaceDN w:val="0"/>
              <w:adjustRightInd w:val="0"/>
              <w:jc w:val="center"/>
              <w:rPr>
                <w:b/>
                <w:bCs/>
                <w:sz w:val="22"/>
                <w:rtl/>
                <w:lang w:eastAsia="he-IL"/>
              </w:rPr>
            </w:pPr>
            <w:r w:rsidRPr="00154ABF">
              <w:rPr>
                <w:b/>
                <w:bCs/>
                <w:sz w:val="22"/>
                <w:rtl/>
                <w:lang w:eastAsia="he-IL"/>
              </w:rPr>
              <w:t>נגד</w:t>
            </w:r>
          </w:p>
        </w:tc>
        <w:tc>
          <w:tcPr>
            <w:tcW w:w="2359" w:type="dxa"/>
          </w:tcPr>
          <w:p w14:paraId="1BFEAFE3" w14:textId="77777777" w:rsidR="004A7DA7" w:rsidRPr="00154ABF" w:rsidRDefault="004A7DA7" w:rsidP="00A27796">
            <w:pPr>
              <w:suppressLineNumbers/>
              <w:overflowPunct w:val="0"/>
              <w:autoSpaceDE w:val="0"/>
              <w:autoSpaceDN w:val="0"/>
              <w:adjustRightInd w:val="0"/>
              <w:rPr>
                <w:b/>
                <w:bCs/>
                <w:sz w:val="22"/>
                <w:rtl/>
                <w:lang w:eastAsia="he-IL"/>
              </w:rPr>
            </w:pPr>
          </w:p>
        </w:tc>
      </w:tr>
      <w:bookmarkEnd w:id="1"/>
      <w:tr w:rsidR="004A7DA7" w:rsidRPr="00154ABF" w14:paraId="470206D4" w14:textId="77777777" w:rsidTr="00A27796">
        <w:trPr>
          <w:trHeight w:val="326"/>
        </w:trPr>
        <w:tc>
          <w:tcPr>
            <w:tcW w:w="1417" w:type="dxa"/>
          </w:tcPr>
          <w:p w14:paraId="01B3C0BB" w14:textId="77777777" w:rsidR="004A7DA7" w:rsidRPr="00154ABF" w:rsidRDefault="004A7DA7" w:rsidP="00A27796">
            <w:pPr>
              <w:suppressLineNumbers/>
              <w:overflowPunct w:val="0"/>
              <w:autoSpaceDE w:val="0"/>
              <w:autoSpaceDN w:val="0"/>
              <w:adjustRightInd w:val="0"/>
              <w:rPr>
                <w:b/>
                <w:bCs/>
                <w:sz w:val="22"/>
                <w:rtl/>
                <w:lang w:eastAsia="he-IL"/>
              </w:rPr>
            </w:pPr>
          </w:p>
        </w:tc>
        <w:tc>
          <w:tcPr>
            <w:tcW w:w="4864" w:type="dxa"/>
            <w:gridSpan w:val="2"/>
          </w:tcPr>
          <w:p w14:paraId="67F56E18" w14:textId="77777777" w:rsidR="004A7DA7" w:rsidRPr="00154ABF" w:rsidRDefault="004A7DA7" w:rsidP="00A27796">
            <w:pPr>
              <w:suppressLineNumbers/>
              <w:overflowPunct w:val="0"/>
              <w:autoSpaceDE w:val="0"/>
              <w:autoSpaceDN w:val="0"/>
              <w:adjustRightInd w:val="0"/>
              <w:spacing w:line="360" w:lineRule="auto"/>
              <w:rPr>
                <w:sz w:val="22"/>
                <w:szCs w:val="22"/>
                <w:rtl/>
                <w:lang w:eastAsia="he-IL"/>
              </w:rPr>
            </w:pPr>
            <w:r w:rsidRPr="00154ABF">
              <w:rPr>
                <w:b/>
                <w:bCs/>
                <w:sz w:val="22"/>
                <w:rtl/>
                <w:lang w:eastAsia="he-IL"/>
              </w:rPr>
              <w:t>אלברט (בן מיכאל) אברמוב</w:t>
            </w:r>
          </w:p>
        </w:tc>
        <w:tc>
          <w:tcPr>
            <w:tcW w:w="2359" w:type="dxa"/>
          </w:tcPr>
          <w:p w14:paraId="4D8D7659"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336DC6E9" w14:textId="77777777" w:rsidTr="00A27796">
        <w:tc>
          <w:tcPr>
            <w:tcW w:w="1417" w:type="dxa"/>
          </w:tcPr>
          <w:p w14:paraId="33CCCC55" w14:textId="77777777" w:rsidR="004A7DA7" w:rsidRPr="00154ABF" w:rsidRDefault="004A7DA7" w:rsidP="00A27796">
            <w:pPr>
              <w:suppressLineNumbers/>
              <w:overflowPunct w:val="0"/>
              <w:autoSpaceDE w:val="0"/>
              <w:autoSpaceDN w:val="0"/>
              <w:adjustRightInd w:val="0"/>
              <w:rPr>
                <w:b/>
                <w:bCs/>
                <w:sz w:val="22"/>
                <w:rtl/>
                <w:lang w:eastAsia="he-IL"/>
              </w:rPr>
            </w:pPr>
          </w:p>
        </w:tc>
        <w:tc>
          <w:tcPr>
            <w:tcW w:w="3448" w:type="dxa"/>
          </w:tcPr>
          <w:p w14:paraId="52C7A023" w14:textId="77777777" w:rsidR="004A7DA7" w:rsidRPr="00154ABF" w:rsidRDefault="004A7DA7" w:rsidP="00A27796">
            <w:pPr>
              <w:suppressLineNumbers/>
              <w:overflowPunct w:val="0"/>
              <w:autoSpaceDE w:val="0"/>
              <w:autoSpaceDN w:val="0"/>
              <w:adjustRightInd w:val="0"/>
              <w:rPr>
                <w:b/>
                <w:bCs/>
                <w:sz w:val="22"/>
                <w:szCs w:val="22"/>
                <w:rtl/>
                <w:lang w:eastAsia="he-IL"/>
              </w:rPr>
            </w:pPr>
            <w:r w:rsidRPr="00154ABF">
              <w:rPr>
                <w:sz w:val="22"/>
                <w:szCs w:val="22"/>
                <w:rtl/>
                <w:lang w:eastAsia="he-IL"/>
              </w:rPr>
              <w:t>ע"י ב"כ עו"ד יובל זמר ואח'</w:t>
            </w:r>
          </w:p>
        </w:tc>
        <w:tc>
          <w:tcPr>
            <w:tcW w:w="1416" w:type="dxa"/>
          </w:tcPr>
          <w:p w14:paraId="4F572E96" w14:textId="77777777" w:rsidR="004A7DA7" w:rsidRPr="00154ABF" w:rsidRDefault="004A7DA7" w:rsidP="00A27796">
            <w:pPr>
              <w:suppressLineNumbers/>
              <w:overflowPunct w:val="0"/>
              <w:autoSpaceDE w:val="0"/>
              <w:autoSpaceDN w:val="0"/>
              <w:adjustRightInd w:val="0"/>
              <w:rPr>
                <w:sz w:val="22"/>
                <w:szCs w:val="22"/>
                <w:rtl/>
                <w:lang w:eastAsia="he-IL"/>
              </w:rPr>
            </w:pPr>
            <w:r w:rsidRPr="00154ABF">
              <w:rPr>
                <w:sz w:val="22"/>
                <w:szCs w:val="22"/>
                <w:rtl/>
                <w:lang w:eastAsia="he-IL"/>
              </w:rPr>
              <w:t xml:space="preserve"> </w:t>
            </w:r>
          </w:p>
        </w:tc>
        <w:tc>
          <w:tcPr>
            <w:tcW w:w="2359" w:type="dxa"/>
          </w:tcPr>
          <w:p w14:paraId="5EA32275" w14:textId="77777777" w:rsidR="004A7DA7" w:rsidRPr="00154ABF" w:rsidRDefault="004A7DA7" w:rsidP="00A27796">
            <w:pPr>
              <w:suppressLineNumbers/>
              <w:overflowPunct w:val="0"/>
              <w:autoSpaceDE w:val="0"/>
              <w:autoSpaceDN w:val="0"/>
              <w:adjustRightInd w:val="0"/>
              <w:rPr>
                <w:b/>
                <w:bCs/>
                <w:sz w:val="22"/>
                <w:szCs w:val="26"/>
                <w:rtl/>
                <w:lang w:eastAsia="he-IL"/>
              </w:rPr>
            </w:pPr>
            <w:r w:rsidRPr="00154ABF">
              <w:rPr>
                <w:b/>
                <w:bCs/>
                <w:sz w:val="22"/>
                <w:szCs w:val="22"/>
                <w:rtl/>
                <w:lang w:eastAsia="he-IL"/>
              </w:rPr>
              <w:t>הנאשם</w:t>
            </w:r>
          </w:p>
        </w:tc>
      </w:tr>
    </w:tbl>
    <w:p w14:paraId="15749B69" w14:textId="77777777" w:rsidR="00967BB0" w:rsidRPr="00967BB0" w:rsidRDefault="00967BB0" w:rsidP="00967BB0">
      <w:pPr>
        <w:spacing w:before="120" w:after="120" w:line="240" w:lineRule="exact"/>
        <w:ind w:left="283" w:hanging="283"/>
        <w:jc w:val="both"/>
        <w:rPr>
          <w:rFonts w:ascii="FrankRuehl" w:hAnsi="FrankRuehl" w:cs="FrankRuehl"/>
          <w:rtl/>
        </w:rPr>
      </w:pPr>
      <w:bookmarkStart w:id="3" w:name="LawTable"/>
      <w:bookmarkEnd w:id="3"/>
      <w:r w:rsidRPr="00967BB0">
        <w:rPr>
          <w:rFonts w:ascii="FrankRuehl" w:hAnsi="FrankRuehl" w:cs="FrankRuehl"/>
          <w:rtl/>
        </w:rPr>
        <w:t xml:space="preserve">חקיקה שאוזכרה: </w:t>
      </w:r>
    </w:p>
    <w:p w14:paraId="357AB88D" w14:textId="77777777" w:rsidR="00967BB0" w:rsidRPr="00967BB0" w:rsidRDefault="00967BB0" w:rsidP="00967BB0">
      <w:pPr>
        <w:spacing w:before="120" w:after="120" w:line="240" w:lineRule="exact"/>
        <w:ind w:left="283" w:hanging="283"/>
        <w:jc w:val="both"/>
        <w:rPr>
          <w:rFonts w:ascii="FrankRuehl" w:hAnsi="FrankRuehl" w:cs="FrankRuehl"/>
          <w:color w:val="0000FF"/>
          <w:rtl/>
        </w:rPr>
      </w:pPr>
      <w:hyperlink r:id="rId6" w:history="1">
        <w:r w:rsidRPr="00967BB0">
          <w:rPr>
            <w:rStyle w:val="Hyperlink"/>
            <w:rFonts w:ascii="FrankRuehl" w:hAnsi="FrankRuehl" w:cs="FrankRuehl"/>
            <w:rtl/>
          </w:rPr>
          <w:t>חוק העונשין, תשל"ז-1977</w:t>
        </w:r>
      </w:hyperlink>
      <w:r w:rsidRPr="00967BB0">
        <w:rPr>
          <w:rFonts w:ascii="FrankRuehl" w:hAnsi="FrankRuehl" w:cs="FrankRuehl"/>
          <w:color w:val="0000FF"/>
          <w:u w:val="single"/>
          <w:rtl/>
        </w:rPr>
        <w:t xml:space="preserve">: סע'  </w:t>
      </w:r>
      <w:hyperlink r:id="rId7" w:history="1">
        <w:r w:rsidRPr="00967BB0">
          <w:rPr>
            <w:rStyle w:val="Hyperlink"/>
            <w:rFonts w:ascii="FrankRuehl" w:hAnsi="FrankRuehl" w:cs="FrankRuehl"/>
          </w:rPr>
          <w:t>40</w:t>
        </w:r>
        <w:r w:rsidRPr="00967BB0">
          <w:rPr>
            <w:rStyle w:val="Hyperlink"/>
            <w:rFonts w:ascii="FrankRuehl" w:hAnsi="FrankRuehl" w:cs="FrankRuehl"/>
            <w:rtl/>
          </w:rPr>
          <w:t>ד</w:t>
        </w:r>
      </w:hyperlink>
      <w:r w:rsidRPr="00967BB0">
        <w:rPr>
          <w:rFonts w:ascii="FrankRuehl" w:hAnsi="FrankRuehl" w:cs="FrankRuehl"/>
          <w:color w:val="0000FF"/>
          <w:rtl/>
        </w:rPr>
        <w:t xml:space="preserve">(א), </w:t>
      </w:r>
      <w:hyperlink r:id="rId8" w:history="1">
        <w:r w:rsidRPr="00967BB0">
          <w:rPr>
            <w:rStyle w:val="Hyperlink"/>
            <w:rFonts w:ascii="FrankRuehl" w:hAnsi="FrankRuehl" w:cs="FrankRuehl"/>
          </w:rPr>
          <w:t>40</w:t>
        </w:r>
        <w:r w:rsidRPr="00967BB0">
          <w:rPr>
            <w:rStyle w:val="Hyperlink"/>
            <w:rFonts w:ascii="FrankRuehl" w:hAnsi="FrankRuehl" w:cs="FrankRuehl"/>
            <w:rtl/>
          </w:rPr>
          <w:t>ט</w:t>
        </w:r>
        <w:r w:rsidRPr="00967BB0">
          <w:rPr>
            <w:rStyle w:val="Hyperlink"/>
            <w:rFonts w:ascii="FrankRuehl" w:hAnsi="FrankRuehl" w:cs="FrankRuehl"/>
          </w:rPr>
          <w:t>'</w:t>
        </w:r>
      </w:hyperlink>
      <w:r w:rsidRPr="00967BB0">
        <w:rPr>
          <w:rFonts w:ascii="FrankRuehl" w:hAnsi="FrankRuehl" w:cs="FrankRuehl"/>
          <w:color w:val="0000FF"/>
          <w:rtl/>
        </w:rPr>
        <w:t xml:space="preserve">, </w:t>
      </w:r>
      <w:hyperlink r:id="rId9" w:history="1">
        <w:r w:rsidRPr="00967BB0">
          <w:rPr>
            <w:rStyle w:val="Hyperlink"/>
            <w:rFonts w:ascii="FrankRuehl" w:hAnsi="FrankRuehl" w:cs="FrankRuehl"/>
          </w:rPr>
          <w:t>144</w:t>
        </w:r>
      </w:hyperlink>
      <w:r w:rsidRPr="00967BB0">
        <w:rPr>
          <w:rFonts w:ascii="FrankRuehl" w:hAnsi="FrankRuehl" w:cs="FrankRuehl"/>
          <w:color w:val="0000FF"/>
          <w:rtl/>
        </w:rPr>
        <w:t xml:space="preserve">, </w:t>
      </w:r>
      <w:hyperlink r:id="rId10" w:history="1">
        <w:r w:rsidRPr="00967BB0">
          <w:rPr>
            <w:rStyle w:val="Hyperlink"/>
            <w:rFonts w:ascii="FrankRuehl" w:hAnsi="FrankRuehl" w:cs="FrankRuehl"/>
          </w:rPr>
          <w:t>144</w:t>
        </w:r>
      </w:hyperlink>
      <w:r w:rsidRPr="00967BB0">
        <w:rPr>
          <w:rFonts w:ascii="FrankRuehl" w:hAnsi="FrankRuehl" w:cs="FrankRuehl"/>
          <w:color w:val="0000FF"/>
          <w:rtl/>
        </w:rPr>
        <w:t xml:space="preserve">(ב), </w:t>
      </w:r>
      <w:hyperlink r:id="rId11" w:history="1">
        <w:r w:rsidRPr="00967BB0">
          <w:rPr>
            <w:rStyle w:val="Hyperlink"/>
            <w:rFonts w:ascii="FrankRuehl" w:hAnsi="FrankRuehl" w:cs="FrankRuehl"/>
          </w:rPr>
          <w:t>192</w:t>
        </w:r>
      </w:hyperlink>
      <w:r w:rsidRPr="00967BB0">
        <w:rPr>
          <w:rFonts w:ascii="FrankRuehl" w:hAnsi="FrankRuehl" w:cs="FrankRuehl"/>
          <w:color w:val="0000FF"/>
          <w:rtl/>
        </w:rPr>
        <w:t xml:space="preserve">, </w:t>
      </w:r>
      <w:hyperlink r:id="rId12" w:history="1">
        <w:r w:rsidRPr="00967BB0">
          <w:rPr>
            <w:rStyle w:val="Hyperlink"/>
            <w:rFonts w:ascii="FrankRuehl" w:hAnsi="FrankRuehl" w:cs="FrankRuehl"/>
          </w:rPr>
          <w:t>275</w:t>
        </w:r>
      </w:hyperlink>
    </w:p>
    <w:p w14:paraId="4006D5E9" w14:textId="77777777" w:rsidR="00154ABF" w:rsidRPr="00967BB0" w:rsidRDefault="00154ABF" w:rsidP="00967BB0">
      <w:pPr>
        <w:spacing w:line="360" w:lineRule="auto"/>
        <w:ind w:left="567" w:hanging="567"/>
        <w:jc w:val="center"/>
        <w:rPr>
          <w:sz w:val="28"/>
          <w:szCs w:val="28"/>
          <w:rtl/>
        </w:rPr>
      </w:pPr>
      <w:bookmarkStart w:id="4" w:name="LawTable_End"/>
      <w:bookmarkEnd w:id="4"/>
    </w:p>
    <w:p w14:paraId="61491991" w14:textId="77777777" w:rsidR="00154ABF" w:rsidRPr="00154ABF" w:rsidRDefault="00154ABF" w:rsidP="00154ABF">
      <w:pPr>
        <w:spacing w:line="360" w:lineRule="auto"/>
        <w:ind w:left="567" w:hanging="567"/>
        <w:jc w:val="center"/>
        <w:rPr>
          <w:b/>
          <w:bCs/>
          <w:sz w:val="28"/>
          <w:szCs w:val="28"/>
          <w:rtl/>
        </w:rPr>
      </w:pPr>
      <w:bookmarkStart w:id="5" w:name="PsakDin"/>
      <w:r w:rsidRPr="00154ABF">
        <w:rPr>
          <w:b/>
          <w:bCs/>
          <w:sz w:val="28"/>
          <w:szCs w:val="28"/>
          <w:rtl/>
        </w:rPr>
        <w:t>גזר דין</w:t>
      </w:r>
    </w:p>
    <w:bookmarkEnd w:id="5"/>
    <w:p w14:paraId="4C66CC48" w14:textId="77777777" w:rsidR="004A7DA7" w:rsidRPr="00F342FA" w:rsidRDefault="004A7DA7" w:rsidP="004A7DA7">
      <w:pPr>
        <w:spacing w:line="360" w:lineRule="auto"/>
        <w:ind w:left="567" w:hanging="567"/>
        <w:jc w:val="both"/>
        <w:rPr>
          <w:rtl/>
        </w:rPr>
      </w:pPr>
    </w:p>
    <w:p w14:paraId="1EB7C29F" w14:textId="77777777" w:rsidR="004A7DA7" w:rsidRPr="00F342FA" w:rsidRDefault="004A7DA7" w:rsidP="004A7DA7">
      <w:pPr>
        <w:spacing w:line="360" w:lineRule="auto"/>
        <w:ind w:left="283" w:hanging="567"/>
        <w:jc w:val="both"/>
        <w:rPr>
          <w:b/>
          <w:bCs/>
          <w:rtl/>
        </w:rPr>
      </w:pPr>
      <w:r w:rsidRPr="00F342FA">
        <w:rPr>
          <w:b/>
          <w:bCs/>
          <w:rtl/>
        </w:rPr>
        <w:t>א. ההליך</w:t>
      </w:r>
    </w:p>
    <w:p w14:paraId="0AB206C9" w14:textId="77777777" w:rsidR="004A7DA7" w:rsidRPr="00F342FA" w:rsidRDefault="004A7DA7" w:rsidP="004A7DA7">
      <w:pPr>
        <w:spacing w:line="360" w:lineRule="auto"/>
        <w:ind w:left="567" w:hanging="567"/>
        <w:jc w:val="both"/>
        <w:rPr>
          <w:rtl/>
        </w:rPr>
      </w:pPr>
    </w:p>
    <w:p w14:paraId="6ABB0942" w14:textId="77777777" w:rsidR="004A7DA7" w:rsidRPr="00F342FA" w:rsidRDefault="004A7DA7" w:rsidP="004A7DA7">
      <w:pPr>
        <w:spacing w:line="360" w:lineRule="auto"/>
        <w:ind w:left="567" w:hanging="567"/>
        <w:jc w:val="both"/>
        <w:rPr>
          <w:rtl/>
        </w:rPr>
      </w:pPr>
      <w:r w:rsidRPr="00F342FA">
        <w:rPr>
          <w:rtl/>
        </w:rPr>
        <w:t>1.</w:t>
      </w:r>
      <w:r w:rsidRPr="00F342FA">
        <w:rPr>
          <w:rtl/>
        </w:rPr>
        <w:tab/>
        <w:t xml:space="preserve">בעקבות </w:t>
      </w:r>
      <w:r>
        <w:rPr>
          <w:rFonts w:hint="cs"/>
          <w:rtl/>
        </w:rPr>
        <w:t>ה</w:t>
      </w:r>
      <w:r w:rsidRPr="00F342FA">
        <w:rPr>
          <w:rtl/>
        </w:rPr>
        <w:t>סדר טיעון שנעשה בין הצדדים, הוגש נגד הנאשם כתב אישום מתוקן (סומן ה"ט/1). הנאשם הודה בעובדות כתב האישום המתוקן, והורשע על פי הודאתו. במסגרת הסדר הטיעון הסכימו הצדדים, כי הטיעון לעונש יהיה טיעון חופשי, ועתה בא אני לגזור עונשו של הנאשם.</w:t>
      </w:r>
    </w:p>
    <w:p w14:paraId="245F2AAE" w14:textId="77777777" w:rsidR="004A7DA7" w:rsidRPr="00F342FA" w:rsidRDefault="004A7DA7" w:rsidP="004A7DA7">
      <w:pPr>
        <w:spacing w:line="360" w:lineRule="auto"/>
        <w:ind w:left="567" w:hanging="567"/>
        <w:jc w:val="both"/>
        <w:rPr>
          <w:rtl/>
        </w:rPr>
      </w:pPr>
    </w:p>
    <w:p w14:paraId="71F518CB" w14:textId="77777777" w:rsidR="004A7DA7" w:rsidRPr="00F342FA" w:rsidRDefault="004A7DA7" w:rsidP="004A7DA7">
      <w:pPr>
        <w:spacing w:line="360" w:lineRule="auto"/>
        <w:ind w:left="567" w:hanging="567"/>
        <w:jc w:val="both"/>
        <w:rPr>
          <w:rtl/>
        </w:rPr>
      </w:pPr>
    </w:p>
    <w:p w14:paraId="62C51DCD" w14:textId="77777777" w:rsidR="004A7DA7" w:rsidRPr="00F342FA" w:rsidRDefault="004A7DA7" w:rsidP="004A7DA7">
      <w:pPr>
        <w:spacing w:line="360" w:lineRule="auto"/>
        <w:ind w:left="283" w:hanging="567"/>
        <w:jc w:val="both"/>
        <w:rPr>
          <w:b/>
          <w:bCs/>
          <w:rtl/>
        </w:rPr>
      </w:pPr>
      <w:r w:rsidRPr="00F342FA">
        <w:rPr>
          <w:b/>
          <w:bCs/>
          <w:rtl/>
        </w:rPr>
        <w:t>ב. כתב האישום</w:t>
      </w:r>
    </w:p>
    <w:p w14:paraId="3F153DA1" w14:textId="77777777" w:rsidR="004A7DA7" w:rsidRPr="00F342FA" w:rsidRDefault="004A7DA7" w:rsidP="004A7DA7">
      <w:pPr>
        <w:spacing w:line="360" w:lineRule="auto"/>
        <w:ind w:left="567" w:hanging="567"/>
        <w:jc w:val="both"/>
        <w:rPr>
          <w:rtl/>
        </w:rPr>
      </w:pPr>
    </w:p>
    <w:p w14:paraId="2CEA2281" w14:textId="77777777" w:rsidR="004A7DA7" w:rsidRPr="00F342FA" w:rsidRDefault="004A7DA7" w:rsidP="004A7DA7">
      <w:pPr>
        <w:spacing w:line="360" w:lineRule="auto"/>
        <w:ind w:left="567" w:hanging="567"/>
        <w:jc w:val="both"/>
        <w:rPr>
          <w:rtl/>
        </w:rPr>
      </w:pPr>
      <w:r w:rsidRPr="00F342FA">
        <w:rPr>
          <w:rtl/>
        </w:rPr>
        <w:t>2.</w:t>
      </w:r>
      <w:r w:rsidRPr="00F342FA">
        <w:rPr>
          <w:rtl/>
        </w:rPr>
        <w:tab/>
      </w:r>
      <w:bookmarkStart w:id="6" w:name="ABSTRACT_START"/>
      <w:bookmarkEnd w:id="6"/>
      <w:r w:rsidRPr="00F342FA">
        <w:rPr>
          <w:rtl/>
        </w:rPr>
        <w:t xml:space="preserve">כתב האישום מתייחס לשרשרת של אירועים, </w:t>
      </w:r>
      <w:r>
        <w:rPr>
          <w:rFonts w:hint="cs"/>
          <w:rtl/>
        </w:rPr>
        <w:t>שאירעו</w:t>
      </w:r>
      <w:r w:rsidRPr="00F342FA">
        <w:rPr>
          <w:rtl/>
        </w:rPr>
        <w:t xml:space="preserve"> בתאריך 17.10.2019, באולם שמחות בעיר חדרה. באותה עת נערכה במקום חתונה, והנאשם נכח במקום כאחד המוזמנים, ושתה משקאות חריפים.</w:t>
      </w:r>
    </w:p>
    <w:p w14:paraId="2D3A809D" w14:textId="77777777" w:rsidR="004A7DA7" w:rsidRPr="00F342FA" w:rsidRDefault="004A7DA7" w:rsidP="004A7DA7">
      <w:pPr>
        <w:spacing w:line="360" w:lineRule="auto"/>
        <w:ind w:left="567" w:hanging="567"/>
        <w:jc w:val="both"/>
        <w:rPr>
          <w:rtl/>
        </w:rPr>
      </w:pPr>
      <w:bookmarkStart w:id="7" w:name="ABSTRACT_END"/>
      <w:bookmarkEnd w:id="7"/>
    </w:p>
    <w:p w14:paraId="3864C108" w14:textId="77777777" w:rsidR="004A7DA7" w:rsidRPr="00F342FA" w:rsidRDefault="004A7DA7" w:rsidP="004A7DA7">
      <w:pPr>
        <w:spacing w:line="360" w:lineRule="auto"/>
        <w:ind w:left="567" w:hanging="567"/>
        <w:jc w:val="both"/>
        <w:rPr>
          <w:rtl/>
        </w:rPr>
      </w:pPr>
      <w:r w:rsidRPr="00F342FA">
        <w:rPr>
          <w:rtl/>
        </w:rPr>
        <w:tab/>
        <w:t xml:space="preserve">לאחר שעת חצות, ולקראת סיום החתונה, החל הנאשם להתעמת עם החתן על רקע הפסקת המוזיקה. הנאשם עזב את האולם, וחזר בסביבות השעה 02:00 לאחר חצות , והוא נושא עמו אקדח הזנקה, אשר הוסב לירי כדורים בקוטר 9 מ"מ. האקדח לא היה טעון, ובעוד החתן עומד ליד כלתו בחניון האולם, תפס הנאשם את החתן בחולצתו, וכיוון את האקדח אל ראשו. הכלה אחזה באקדח בשתי ידיה, כדי למנוע מהנאשם לפגוע באיש לו זה עתה נישאה, וביקשה מהנאשם </w:t>
      </w:r>
      <w:r w:rsidRPr="00F342FA">
        <w:rPr>
          <w:rtl/>
        </w:rPr>
        <w:lastRenderedPageBreak/>
        <w:t>שלא יהרוס את חתונתה. הנאשם בתגובה נופף באקדח ואיים על הכלה ועל הנוכחים במקום, ואיים כי יירה בכולם, ויעשה בהם מעשים נוספים (ובחרתי שלא לצטט את הדברים).</w:t>
      </w:r>
    </w:p>
    <w:p w14:paraId="0C4E1A04" w14:textId="77777777" w:rsidR="004A7DA7" w:rsidRPr="00F342FA" w:rsidRDefault="004A7DA7" w:rsidP="004A7DA7">
      <w:pPr>
        <w:spacing w:line="360" w:lineRule="auto"/>
        <w:ind w:left="567" w:hanging="567"/>
        <w:jc w:val="both"/>
        <w:rPr>
          <w:rtl/>
        </w:rPr>
      </w:pPr>
    </w:p>
    <w:p w14:paraId="2B48B138" w14:textId="77777777" w:rsidR="004A7DA7" w:rsidRPr="00F342FA" w:rsidRDefault="004A7DA7" w:rsidP="004A7DA7">
      <w:pPr>
        <w:spacing w:line="360" w:lineRule="auto"/>
        <w:ind w:left="567" w:hanging="567"/>
        <w:jc w:val="both"/>
        <w:rPr>
          <w:rtl/>
        </w:rPr>
      </w:pPr>
    </w:p>
    <w:p w14:paraId="1EC379CD" w14:textId="77777777" w:rsidR="004A7DA7" w:rsidRPr="00F342FA" w:rsidRDefault="004A7DA7" w:rsidP="004A7DA7">
      <w:pPr>
        <w:spacing w:line="360" w:lineRule="auto"/>
        <w:ind w:left="567" w:hanging="567"/>
        <w:jc w:val="both"/>
        <w:rPr>
          <w:rtl/>
        </w:rPr>
      </w:pPr>
      <w:r w:rsidRPr="00F342FA">
        <w:rPr>
          <w:rtl/>
        </w:rPr>
        <w:t>3.</w:t>
      </w:r>
      <w:r w:rsidRPr="00F342FA">
        <w:rPr>
          <w:rtl/>
        </w:rPr>
        <w:tab/>
        <w:t>בני הזוג שאך זה נישאו הצליחו להימלט לתחנת דלק סמוכה, והזמינו את המשטרה. כאשר הנאשם ראה את השוטרים שהגיעו למקום, מסר את האקדח לסדרן אולם השמחות. השוטרים ניגשו אל הנאשם, והודיעו לו כי הוא עצור וביקשו לשים אזיקים על ידיו, אך הנאשם התנגד לכך. הנאשם דחף את השוטרים, ניסה לנגוח בשוטרת שעמדה במקום, והשתולל, וכל זאת כשהוא מקלל את השוטרים במילים קשות ובוטות. בין היתר כינה הנאשם את השוטרים בכינוי הגרוע מכל: "נאצים".</w:t>
      </w:r>
    </w:p>
    <w:p w14:paraId="4C2479C0" w14:textId="77777777" w:rsidR="004A7DA7" w:rsidRPr="00F342FA" w:rsidRDefault="004A7DA7" w:rsidP="004A7DA7">
      <w:pPr>
        <w:spacing w:line="360" w:lineRule="auto"/>
        <w:ind w:left="567" w:hanging="567"/>
        <w:jc w:val="both"/>
        <w:rPr>
          <w:rtl/>
        </w:rPr>
      </w:pPr>
    </w:p>
    <w:p w14:paraId="2E5F9125" w14:textId="77777777" w:rsidR="004A7DA7" w:rsidRPr="00F342FA" w:rsidRDefault="004A7DA7" w:rsidP="004A7DA7">
      <w:pPr>
        <w:spacing w:line="360" w:lineRule="auto"/>
        <w:ind w:left="567" w:hanging="567"/>
        <w:jc w:val="both"/>
        <w:rPr>
          <w:rtl/>
        </w:rPr>
      </w:pPr>
    </w:p>
    <w:p w14:paraId="234FFC7A" w14:textId="77777777" w:rsidR="004A7DA7" w:rsidRPr="00F342FA" w:rsidRDefault="004A7DA7" w:rsidP="004A7DA7">
      <w:pPr>
        <w:spacing w:line="360" w:lineRule="auto"/>
        <w:ind w:left="567" w:hanging="567"/>
        <w:jc w:val="both"/>
        <w:rPr>
          <w:rtl/>
        </w:rPr>
      </w:pPr>
      <w:r w:rsidRPr="00F342FA">
        <w:rPr>
          <w:rtl/>
        </w:rPr>
        <w:t>4.</w:t>
      </w:r>
      <w:r w:rsidRPr="00F342FA">
        <w:rPr>
          <w:rtl/>
        </w:rPr>
        <w:tab/>
        <w:t>רק לאחר מאמצים קשים הצליחו השוטרים לעצור את הנאשם ולהכניסו לניידת המשטרה. במהלך כל הזמן, הנאשם התנגד למעצר, קילל את השוטרים, השמיע לעברם איומים שונים,  והשתמש כלפיהם בלשון גסה ובוטה. מחמת שהדברים שיצאו מפיו של הנאשם הם דברים קשים וגסים, בחרתי שלא לצטטם בגזר דין זה.</w:t>
      </w:r>
    </w:p>
    <w:p w14:paraId="4E95AB76" w14:textId="77777777" w:rsidR="004A7DA7" w:rsidRPr="00F342FA" w:rsidRDefault="004A7DA7" w:rsidP="004A7DA7">
      <w:pPr>
        <w:spacing w:line="360" w:lineRule="auto"/>
        <w:ind w:left="567" w:hanging="567"/>
        <w:jc w:val="both"/>
        <w:rPr>
          <w:rtl/>
        </w:rPr>
      </w:pPr>
    </w:p>
    <w:p w14:paraId="5EDFB138" w14:textId="77777777" w:rsidR="004A7DA7" w:rsidRPr="00F342FA" w:rsidRDefault="004A7DA7" w:rsidP="004A7DA7">
      <w:pPr>
        <w:spacing w:line="360" w:lineRule="auto"/>
        <w:ind w:left="567" w:hanging="567"/>
        <w:jc w:val="both"/>
        <w:rPr>
          <w:rtl/>
        </w:rPr>
      </w:pPr>
    </w:p>
    <w:p w14:paraId="469EAC00" w14:textId="77777777" w:rsidR="004A7DA7" w:rsidRPr="00F342FA" w:rsidRDefault="004A7DA7" w:rsidP="004A7DA7">
      <w:pPr>
        <w:spacing w:line="360" w:lineRule="auto"/>
        <w:ind w:left="567" w:hanging="567"/>
        <w:jc w:val="both"/>
        <w:rPr>
          <w:rtl/>
        </w:rPr>
      </w:pPr>
      <w:r w:rsidRPr="00F342FA">
        <w:rPr>
          <w:rtl/>
        </w:rPr>
        <w:t>5.</w:t>
      </w:r>
      <w:r w:rsidRPr="00F342FA">
        <w:rPr>
          <w:rtl/>
        </w:rPr>
        <w:tab/>
        <w:t>על רקע הדברים שלעיל, הואשם הנאשם בביצוע העבירות הבאות:</w:t>
      </w:r>
    </w:p>
    <w:p w14:paraId="5039631A" w14:textId="77777777" w:rsidR="004A7DA7" w:rsidRPr="00F342FA" w:rsidRDefault="004A7DA7" w:rsidP="004A7DA7">
      <w:pPr>
        <w:spacing w:line="360" w:lineRule="auto"/>
        <w:ind w:left="567" w:hanging="567"/>
        <w:jc w:val="both"/>
        <w:rPr>
          <w:rtl/>
        </w:rPr>
      </w:pPr>
    </w:p>
    <w:p w14:paraId="449BB3E3" w14:textId="77777777" w:rsidR="004A7DA7" w:rsidRPr="00F342FA" w:rsidRDefault="004A7DA7" w:rsidP="004A7DA7">
      <w:pPr>
        <w:spacing w:line="360" w:lineRule="auto"/>
        <w:ind w:left="1134" w:hanging="567"/>
        <w:jc w:val="both"/>
        <w:rPr>
          <w:rtl/>
        </w:rPr>
      </w:pPr>
      <w:r w:rsidRPr="00F342FA">
        <w:rPr>
          <w:rtl/>
        </w:rPr>
        <w:t>(א)</w:t>
      </w:r>
      <w:r w:rsidRPr="00F342FA">
        <w:rPr>
          <w:rtl/>
        </w:rPr>
        <w:tab/>
        <w:t xml:space="preserve">נשיאת נשק והובלתו, עבירה לפי </w:t>
      </w:r>
      <w:hyperlink r:id="rId13" w:history="1">
        <w:r w:rsidR="00967BB0" w:rsidRPr="00967BB0">
          <w:rPr>
            <w:rStyle w:val="Hyperlink"/>
            <w:color w:val="0000FF"/>
            <w:rtl/>
          </w:rPr>
          <w:t>סעיף 144(ב)</w:t>
        </w:r>
      </w:hyperlink>
      <w:r w:rsidRPr="00F342FA">
        <w:rPr>
          <w:rtl/>
        </w:rPr>
        <w:t xml:space="preserve"> רישא ל</w:t>
      </w:r>
      <w:hyperlink r:id="rId14" w:history="1">
        <w:r w:rsidR="00154ABF" w:rsidRPr="00154ABF">
          <w:rPr>
            <w:color w:val="0000FF"/>
            <w:u w:val="single"/>
            <w:rtl/>
          </w:rPr>
          <w:t>חוק העונשין</w:t>
        </w:r>
      </w:hyperlink>
      <w:r w:rsidRPr="00F342FA">
        <w:rPr>
          <w:rtl/>
        </w:rPr>
        <w:t>, תשל"ז – 1977;</w:t>
      </w:r>
    </w:p>
    <w:p w14:paraId="2450E455" w14:textId="77777777" w:rsidR="004A7DA7" w:rsidRPr="00F342FA" w:rsidRDefault="004A7DA7" w:rsidP="004A7DA7">
      <w:pPr>
        <w:spacing w:line="360" w:lineRule="auto"/>
        <w:ind w:left="1134" w:hanging="567"/>
        <w:jc w:val="both"/>
        <w:rPr>
          <w:rtl/>
        </w:rPr>
      </w:pPr>
    </w:p>
    <w:p w14:paraId="4E5454B0" w14:textId="77777777" w:rsidR="004A7DA7" w:rsidRPr="00F342FA" w:rsidRDefault="004A7DA7" w:rsidP="004A7DA7">
      <w:pPr>
        <w:spacing w:line="360" w:lineRule="auto"/>
        <w:ind w:left="1134" w:hanging="567"/>
        <w:jc w:val="both"/>
        <w:rPr>
          <w:rtl/>
        </w:rPr>
      </w:pPr>
      <w:r w:rsidRPr="00F342FA">
        <w:rPr>
          <w:rtl/>
        </w:rPr>
        <w:t>(ב)</w:t>
      </w:r>
      <w:r w:rsidRPr="00F342FA">
        <w:rPr>
          <w:rtl/>
        </w:rPr>
        <w:tab/>
        <w:t xml:space="preserve">איומים, עבירה לפי </w:t>
      </w:r>
      <w:hyperlink r:id="rId15" w:history="1">
        <w:r w:rsidR="00967BB0" w:rsidRPr="00967BB0">
          <w:rPr>
            <w:rStyle w:val="Hyperlink"/>
            <w:color w:val="0000FF"/>
            <w:rtl/>
          </w:rPr>
          <w:t>סעיף 192</w:t>
        </w:r>
      </w:hyperlink>
      <w:r w:rsidRPr="00F342FA">
        <w:rPr>
          <w:rtl/>
        </w:rPr>
        <w:t xml:space="preserve"> ל</w:t>
      </w:r>
      <w:hyperlink r:id="rId16" w:history="1">
        <w:r w:rsidR="00154ABF" w:rsidRPr="00154ABF">
          <w:rPr>
            <w:color w:val="0000FF"/>
            <w:u w:val="single"/>
            <w:rtl/>
          </w:rPr>
          <w:t>חוק העונשין</w:t>
        </w:r>
      </w:hyperlink>
      <w:r w:rsidRPr="00F342FA">
        <w:rPr>
          <w:rtl/>
        </w:rPr>
        <w:t>;</w:t>
      </w:r>
    </w:p>
    <w:p w14:paraId="1441CC8A" w14:textId="77777777" w:rsidR="004A7DA7" w:rsidRPr="00F342FA" w:rsidRDefault="004A7DA7" w:rsidP="004A7DA7">
      <w:pPr>
        <w:spacing w:line="360" w:lineRule="auto"/>
        <w:ind w:left="1134" w:hanging="567"/>
        <w:jc w:val="both"/>
        <w:rPr>
          <w:rtl/>
        </w:rPr>
      </w:pPr>
    </w:p>
    <w:p w14:paraId="3B50937D" w14:textId="77777777" w:rsidR="004A7DA7" w:rsidRPr="00F342FA" w:rsidRDefault="004A7DA7" w:rsidP="004A7DA7">
      <w:pPr>
        <w:spacing w:line="360" w:lineRule="auto"/>
        <w:ind w:left="1134" w:hanging="567"/>
        <w:jc w:val="both"/>
        <w:rPr>
          <w:rtl/>
        </w:rPr>
      </w:pPr>
      <w:r w:rsidRPr="00F342FA">
        <w:rPr>
          <w:rtl/>
        </w:rPr>
        <w:t>(ג)</w:t>
      </w:r>
      <w:r w:rsidRPr="00F342FA">
        <w:rPr>
          <w:rtl/>
        </w:rPr>
        <w:tab/>
        <w:t xml:space="preserve">הפרעה לשוטר במילוי תפקידו, עבירה לפי </w:t>
      </w:r>
      <w:hyperlink r:id="rId17" w:history="1">
        <w:r w:rsidR="00967BB0" w:rsidRPr="00967BB0">
          <w:rPr>
            <w:rStyle w:val="Hyperlink"/>
            <w:color w:val="0000FF"/>
            <w:rtl/>
          </w:rPr>
          <w:t>סעיף 275</w:t>
        </w:r>
      </w:hyperlink>
      <w:r w:rsidRPr="00F342FA">
        <w:rPr>
          <w:rtl/>
        </w:rPr>
        <w:t xml:space="preserve"> סיפא ל</w:t>
      </w:r>
      <w:hyperlink r:id="rId18" w:history="1">
        <w:r w:rsidR="00154ABF" w:rsidRPr="00154ABF">
          <w:rPr>
            <w:color w:val="0000FF"/>
            <w:u w:val="single"/>
            <w:rtl/>
          </w:rPr>
          <w:t>חוק העונשין</w:t>
        </w:r>
      </w:hyperlink>
      <w:r w:rsidRPr="00F342FA">
        <w:rPr>
          <w:rtl/>
        </w:rPr>
        <w:t>.</w:t>
      </w:r>
    </w:p>
    <w:p w14:paraId="1D36F595" w14:textId="77777777" w:rsidR="004A7DA7" w:rsidRPr="00F342FA" w:rsidRDefault="004A7DA7" w:rsidP="004A7DA7">
      <w:pPr>
        <w:spacing w:line="360" w:lineRule="auto"/>
        <w:ind w:left="1134" w:hanging="567"/>
        <w:jc w:val="both"/>
        <w:rPr>
          <w:rtl/>
        </w:rPr>
      </w:pPr>
    </w:p>
    <w:p w14:paraId="6078206E" w14:textId="77777777" w:rsidR="004A7DA7" w:rsidRPr="00F342FA" w:rsidRDefault="004A7DA7" w:rsidP="004A7DA7">
      <w:pPr>
        <w:spacing w:line="360" w:lineRule="auto"/>
        <w:ind w:left="567" w:hanging="567"/>
        <w:jc w:val="both"/>
        <w:rPr>
          <w:rtl/>
        </w:rPr>
      </w:pPr>
    </w:p>
    <w:p w14:paraId="7B810ADA" w14:textId="77777777" w:rsidR="004A7DA7" w:rsidRPr="00F342FA" w:rsidRDefault="004A7DA7" w:rsidP="004A7DA7">
      <w:pPr>
        <w:spacing w:line="360" w:lineRule="auto"/>
        <w:ind w:left="283" w:hanging="567"/>
        <w:jc w:val="both"/>
        <w:rPr>
          <w:b/>
          <w:bCs/>
          <w:rtl/>
        </w:rPr>
      </w:pPr>
      <w:r w:rsidRPr="00F342FA">
        <w:rPr>
          <w:b/>
          <w:bCs/>
          <w:rtl/>
        </w:rPr>
        <w:t>ג. טענות בא כוח המאשימה</w:t>
      </w:r>
    </w:p>
    <w:p w14:paraId="208A46CE" w14:textId="77777777" w:rsidR="004A7DA7" w:rsidRPr="00F342FA" w:rsidRDefault="004A7DA7" w:rsidP="004A7DA7">
      <w:pPr>
        <w:spacing w:line="360" w:lineRule="auto"/>
        <w:ind w:left="567" w:hanging="567"/>
        <w:jc w:val="both"/>
        <w:rPr>
          <w:rtl/>
        </w:rPr>
      </w:pPr>
    </w:p>
    <w:p w14:paraId="73CB1F2E" w14:textId="77777777" w:rsidR="004A7DA7" w:rsidRPr="00F342FA" w:rsidRDefault="004A7DA7" w:rsidP="004A7DA7">
      <w:pPr>
        <w:spacing w:line="360" w:lineRule="auto"/>
        <w:ind w:left="567" w:hanging="567"/>
        <w:jc w:val="both"/>
        <w:rPr>
          <w:rtl/>
        </w:rPr>
      </w:pPr>
      <w:r w:rsidRPr="00F342FA">
        <w:rPr>
          <w:rtl/>
        </w:rPr>
        <w:t>6.</w:t>
      </w:r>
      <w:r w:rsidRPr="00F342FA">
        <w:rPr>
          <w:rtl/>
        </w:rPr>
        <w:tab/>
        <w:t xml:space="preserve">בפתח הטיעון, הגיש בא כוח המאשימה את גיליון ההרשעות הקודמות של הנאשם. גיליון זה כולל מספר הרשעות בעבירות אלימות, רכוש וסמים מסוכנים. </w:t>
      </w:r>
    </w:p>
    <w:p w14:paraId="52781974" w14:textId="77777777" w:rsidR="004A7DA7" w:rsidRPr="00F342FA" w:rsidRDefault="004A7DA7" w:rsidP="004A7DA7">
      <w:pPr>
        <w:spacing w:line="360" w:lineRule="auto"/>
        <w:ind w:left="567" w:hanging="567"/>
        <w:jc w:val="both"/>
        <w:rPr>
          <w:rtl/>
        </w:rPr>
      </w:pPr>
    </w:p>
    <w:p w14:paraId="647546CA" w14:textId="77777777" w:rsidR="004A7DA7" w:rsidRPr="00F342FA" w:rsidRDefault="004A7DA7" w:rsidP="004A7DA7">
      <w:pPr>
        <w:spacing w:line="360" w:lineRule="auto"/>
        <w:ind w:left="567" w:hanging="567"/>
        <w:jc w:val="both"/>
        <w:rPr>
          <w:rtl/>
        </w:rPr>
      </w:pPr>
      <w:r w:rsidRPr="00F342FA">
        <w:rPr>
          <w:rtl/>
        </w:rPr>
        <w:tab/>
        <w:t>הרשעתו האחרונה של הנאשם היא מתאריך 17.6.2014, במספר עבירות אלימות, בעטיין נדון הנאשם ל- 6 (שישה) חודשי מאסר בפועל. בין היתר הורשע הנאשם, באותה עת, בעבירות של איומים ותקיפת שוטר בעת מילוי תפקידו. עוד עולה מכתב האישום, כי מלבד עונש זה, הנאשם נדון בעבר למספר תקופות מאסר, שאורכן הכולל הוא 5 שנים ו- 10 חודשים.</w:t>
      </w:r>
    </w:p>
    <w:p w14:paraId="02299073" w14:textId="77777777" w:rsidR="004A7DA7" w:rsidRPr="00F342FA" w:rsidRDefault="004A7DA7" w:rsidP="004A7DA7">
      <w:pPr>
        <w:spacing w:line="360" w:lineRule="auto"/>
        <w:ind w:left="567" w:hanging="567"/>
        <w:jc w:val="both"/>
        <w:rPr>
          <w:rtl/>
        </w:rPr>
      </w:pPr>
    </w:p>
    <w:p w14:paraId="0F972FD2" w14:textId="77777777" w:rsidR="004A7DA7" w:rsidRPr="00F342FA" w:rsidRDefault="004A7DA7" w:rsidP="004A7DA7">
      <w:pPr>
        <w:spacing w:line="360" w:lineRule="auto"/>
        <w:ind w:left="567" w:hanging="567"/>
        <w:jc w:val="both"/>
        <w:rPr>
          <w:rtl/>
        </w:rPr>
      </w:pPr>
    </w:p>
    <w:p w14:paraId="36124CEE" w14:textId="77777777" w:rsidR="004A7DA7" w:rsidRPr="00F342FA" w:rsidRDefault="004A7DA7" w:rsidP="004A7DA7">
      <w:pPr>
        <w:spacing w:line="360" w:lineRule="auto"/>
        <w:ind w:left="567" w:hanging="567"/>
        <w:jc w:val="both"/>
        <w:rPr>
          <w:rtl/>
        </w:rPr>
      </w:pPr>
    </w:p>
    <w:p w14:paraId="771E156F" w14:textId="77777777" w:rsidR="004A7DA7" w:rsidRPr="00F342FA" w:rsidRDefault="004A7DA7" w:rsidP="004A7DA7">
      <w:pPr>
        <w:spacing w:line="360" w:lineRule="auto"/>
        <w:ind w:left="567" w:hanging="567"/>
        <w:jc w:val="both"/>
        <w:rPr>
          <w:rtl/>
        </w:rPr>
      </w:pPr>
      <w:r w:rsidRPr="00F342FA">
        <w:rPr>
          <w:rtl/>
        </w:rPr>
        <w:lastRenderedPageBreak/>
        <w:t>7.</w:t>
      </w:r>
      <w:r w:rsidRPr="00F342FA">
        <w:rPr>
          <w:rtl/>
        </w:rPr>
        <w:tab/>
        <w:t>בא כוח המאשימה עמד על חומרת עבירת נשיאת האקדח, וכיוונו אל עבר ראשו של החתן, במקום בו נכחו אנשים</w:t>
      </w:r>
      <w:r>
        <w:rPr>
          <w:rtl/>
        </w:rPr>
        <w:t xml:space="preserve"> רבים, הגם שלא היה מדובר באקדח </w:t>
      </w:r>
      <w:r w:rsidRPr="00F342FA">
        <w:rPr>
          <w:rtl/>
        </w:rPr>
        <w:t xml:space="preserve">קטלני, ולא הייתה בו תחמושת. עוד עמד בא כוח המאשימה על התנהגותו האלימה של הנאשם כלפי השוטרים והדברים הבוטים שהשמיע לעברם. </w:t>
      </w:r>
    </w:p>
    <w:p w14:paraId="58292E65" w14:textId="77777777" w:rsidR="004A7DA7" w:rsidRPr="00F342FA" w:rsidRDefault="004A7DA7" w:rsidP="004A7DA7">
      <w:pPr>
        <w:spacing w:line="360" w:lineRule="auto"/>
        <w:ind w:left="567" w:hanging="567"/>
        <w:jc w:val="both"/>
        <w:rPr>
          <w:rtl/>
        </w:rPr>
      </w:pPr>
    </w:p>
    <w:p w14:paraId="3EE5C843" w14:textId="77777777" w:rsidR="004A7DA7" w:rsidRPr="00F342FA" w:rsidRDefault="004A7DA7" w:rsidP="004A7DA7">
      <w:pPr>
        <w:spacing w:line="360" w:lineRule="auto"/>
        <w:ind w:left="567" w:hanging="567"/>
        <w:jc w:val="both"/>
        <w:rPr>
          <w:rtl/>
        </w:rPr>
      </w:pPr>
    </w:p>
    <w:p w14:paraId="10407794" w14:textId="77777777" w:rsidR="004A7DA7" w:rsidRPr="00F342FA" w:rsidRDefault="004A7DA7" w:rsidP="004A7DA7">
      <w:pPr>
        <w:spacing w:line="360" w:lineRule="auto"/>
        <w:ind w:left="567" w:hanging="567"/>
        <w:jc w:val="both"/>
        <w:rPr>
          <w:rtl/>
        </w:rPr>
      </w:pPr>
      <w:r w:rsidRPr="00F342FA">
        <w:rPr>
          <w:rtl/>
        </w:rPr>
        <w:t>8.</w:t>
      </w:r>
      <w:r w:rsidRPr="00F342FA">
        <w:rPr>
          <w:rtl/>
        </w:rPr>
        <w:tab/>
        <w:t>בא כוח המאשימה הוסיף וטען, כי יש לראות את כל העבירות כאירוע אחד, ולגזור עונש אחד בגין כל העבירות גם יחד. על סמך פסקי דין שהניח לפני, טען בא כוח המאשימה, כי מתחם העונש ההולם במקרה שלפני נע בין שנתיים ועד 4 שנים וחצי, מאסר בפועל.</w:t>
      </w:r>
    </w:p>
    <w:p w14:paraId="143815F3" w14:textId="77777777" w:rsidR="004A7DA7" w:rsidRPr="00F342FA" w:rsidRDefault="004A7DA7" w:rsidP="004A7DA7">
      <w:pPr>
        <w:spacing w:line="360" w:lineRule="auto"/>
        <w:ind w:left="567" w:hanging="567"/>
        <w:jc w:val="both"/>
        <w:rPr>
          <w:rtl/>
        </w:rPr>
      </w:pPr>
    </w:p>
    <w:p w14:paraId="46AED30F" w14:textId="77777777" w:rsidR="004A7DA7" w:rsidRPr="00F342FA" w:rsidRDefault="004A7DA7" w:rsidP="004A7DA7">
      <w:pPr>
        <w:spacing w:line="360" w:lineRule="auto"/>
        <w:ind w:left="567" w:hanging="567"/>
        <w:jc w:val="both"/>
        <w:rPr>
          <w:rtl/>
        </w:rPr>
      </w:pPr>
    </w:p>
    <w:p w14:paraId="3BE3C0BD" w14:textId="77777777" w:rsidR="004A7DA7" w:rsidRPr="00F342FA" w:rsidRDefault="004A7DA7" w:rsidP="004A7DA7">
      <w:pPr>
        <w:spacing w:line="360" w:lineRule="auto"/>
        <w:ind w:left="283" w:hanging="567"/>
        <w:jc w:val="both"/>
        <w:rPr>
          <w:b/>
          <w:bCs/>
          <w:rtl/>
        </w:rPr>
      </w:pPr>
      <w:r w:rsidRPr="00F342FA">
        <w:rPr>
          <w:b/>
          <w:bCs/>
          <w:rtl/>
        </w:rPr>
        <w:t>ד. טענות בא כוח הנאשם</w:t>
      </w:r>
    </w:p>
    <w:p w14:paraId="2B65E7C8" w14:textId="77777777" w:rsidR="004A7DA7" w:rsidRPr="00F342FA" w:rsidRDefault="004A7DA7" w:rsidP="004A7DA7">
      <w:pPr>
        <w:spacing w:line="360" w:lineRule="auto"/>
        <w:ind w:left="567" w:hanging="567"/>
        <w:jc w:val="both"/>
        <w:rPr>
          <w:rtl/>
        </w:rPr>
      </w:pPr>
    </w:p>
    <w:p w14:paraId="7F79A451" w14:textId="77777777" w:rsidR="004A7DA7" w:rsidRPr="00F342FA" w:rsidRDefault="004A7DA7" w:rsidP="004A7DA7">
      <w:pPr>
        <w:spacing w:line="360" w:lineRule="auto"/>
        <w:ind w:left="567" w:hanging="567"/>
        <w:jc w:val="both"/>
        <w:rPr>
          <w:rtl/>
        </w:rPr>
      </w:pPr>
      <w:r w:rsidRPr="00F342FA">
        <w:rPr>
          <w:rtl/>
        </w:rPr>
        <w:t>8.</w:t>
      </w:r>
      <w:r w:rsidRPr="00F342FA">
        <w:rPr>
          <w:rtl/>
        </w:rPr>
        <w:tab/>
        <w:t>בא כוח הנאשם טען, כי אין להתעלם מסוג כלי הנשק בו אנו עוסקים, ומכך שמדובר באקדח הזנקה בלבד. לטענת בא כוח הנאשם, מתחם העונש שבתי המשפט אמצו בעבירות מסוג זה, כאשר מדובר בכלי שדרגת מסוכנותו נמוכה, ובמיוחד כאשר אין בו תחמושת, נע בין 10 חודשי מאסר ועד 36 חודשי מאסר. בא כוח הנאשם הוסיף וטען, כי הנאשם קיבל אחריות על מעשיו לפני תחילת שמיעת הראיות, ואת המעשים שעשה, עשה בהשפעת המשקאות ששתה בחתונה. ביחס לעברו הפלילי של הנאשם טען בא כוח הנאשם, כי מדובר בעבר מלפני מספר שנים, ומאז ניהל הנאשם אורח חיים נורמטיבי, ונשא אישה, ובני הזוג מנסים ל</w:t>
      </w:r>
      <w:r>
        <w:rPr>
          <w:rFonts w:hint="cs"/>
          <w:rtl/>
        </w:rPr>
        <w:t>ה</w:t>
      </w:r>
      <w:r w:rsidRPr="00F342FA">
        <w:rPr>
          <w:rtl/>
        </w:rPr>
        <w:t>קים משפחה.</w:t>
      </w:r>
    </w:p>
    <w:p w14:paraId="78A1AE42" w14:textId="77777777" w:rsidR="004A7DA7" w:rsidRPr="00F342FA" w:rsidRDefault="004A7DA7" w:rsidP="004A7DA7">
      <w:pPr>
        <w:spacing w:line="360" w:lineRule="auto"/>
        <w:ind w:left="567" w:hanging="567"/>
        <w:jc w:val="both"/>
        <w:rPr>
          <w:rtl/>
        </w:rPr>
      </w:pPr>
    </w:p>
    <w:p w14:paraId="6DA71D79" w14:textId="77777777" w:rsidR="004A7DA7" w:rsidRPr="00F342FA" w:rsidRDefault="004A7DA7" w:rsidP="004A7DA7">
      <w:pPr>
        <w:spacing w:line="360" w:lineRule="auto"/>
        <w:ind w:left="567" w:hanging="567"/>
        <w:jc w:val="both"/>
        <w:rPr>
          <w:rtl/>
        </w:rPr>
      </w:pPr>
    </w:p>
    <w:p w14:paraId="3F22A2C5" w14:textId="77777777" w:rsidR="004A7DA7" w:rsidRPr="00F342FA" w:rsidRDefault="004A7DA7" w:rsidP="004A7DA7">
      <w:pPr>
        <w:spacing w:line="360" w:lineRule="auto"/>
        <w:ind w:left="567" w:hanging="567"/>
        <w:jc w:val="both"/>
        <w:rPr>
          <w:rtl/>
        </w:rPr>
      </w:pPr>
      <w:r w:rsidRPr="00F342FA">
        <w:rPr>
          <w:rtl/>
        </w:rPr>
        <w:t>9.</w:t>
      </w:r>
      <w:r w:rsidRPr="00F342FA">
        <w:rPr>
          <w:rtl/>
        </w:rPr>
        <w:tab/>
        <w:t>הנאשם הביע חרטה על המעשים שעשה, וציין כי הוא יודע שיש לו "בעיות שתיה", ולמעשה מדובר במעידה שאירעה לאחר תקופה ארוכה בה לא צרך משקאות משכרים. הנאשם הוסיף, כי התחתן לפני כשנה וחצי והוא עובד לפרנסתו, והוא ורעייתו מתכוונים להקים משפחה.</w:t>
      </w:r>
    </w:p>
    <w:p w14:paraId="2ECB2421" w14:textId="77777777" w:rsidR="004A7DA7" w:rsidRPr="00F342FA" w:rsidRDefault="004A7DA7" w:rsidP="004A7DA7">
      <w:pPr>
        <w:spacing w:line="360" w:lineRule="auto"/>
        <w:ind w:left="567" w:hanging="567"/>
        <w:jc w:val="both"/>
        <w:rPr>
          <w:rtl/>
        </w:rPr>
      </w:pPr>
    </w:p>
    <w:p w14:paraId="4235C12F" w14:textId="77777777" w:rsidR="004A7DA7" w:rsidRPr="00F342FA" w:rsidRDefault="004A7DA7" w:rsidP="004A7DA7">
      <w:pPr>
        <w:spacing w:line="360" w:lineRule="auto"/>
        <w:ind w:left="567" w:hanging="567"/>
        <w:jc w:val="both"/>
        <w:rPr>
          <w:rtl/>
        </w:rPr>
      </w:pPr>
    </w:p>
    <w:p w14:paraId="2340EE95" w14:textId="77777777" w:rsidR="004A7DA7" w:rsidRPr="00F342FA" w:rsidRDefault="004A7DA7" w:rsidP="004A7DA7">
      <w:pPr>
        <w:spacing w:line="360" w:lineRule="auto"/>
        <w:ind w:left="283" w:hanging="567"/>
        <w:jc w:val="both"/>
        <w:rPr>
          <w:b/>
          <w:bCs/>
          <w:rtl/>
        </w:rPr>
      </w:pPr>
      <w:r w:rsidRPr="00F342FA">
        <w:rPr>
          <w:b/>
          <w:bCs/>
          <w:rtl/>
        </w:rPr>
        <w:t>ה. ריבוי עבירות</w:t>
      </w:r>
    </w:p>
    <w:p w14:paraId="0D0DA10D" w14:textId="77777777" w:rsidR="004A7DA7" w:rsidRPr="00F342FA" w:rsidRDefault="004A7DA7" w:rsidP="004A7DA7">
      <w:pPr>
        <w:spacing w:line="360" w:lineRule="auto"/>
        <w:ind w:left="567" w:hanging="567"/>
        <w:jc w:val="both"/>
        <w:rPr>
          <w:rtl/>
        </w:rPr>
      </w:pPr>
    </w:p>
    <w:p w14:paraId="5EE817CF"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10.</w:t>
      </w:r>
      <w:r w:rsidRPr="00F342FA">
        <w:rPr>
          <w:rFonts w:ascii="David" w:hAnsi="David"/>
          <w:rtl/>
        </w:rPr>
        <w:tab/>
        <w:t>באי כוח הצדדים מסכימים, כי יש לראות את העבירות השונות שבוצעו על ידי הנאשם כעבירות שבוצעו במסגרת אירוע אחד, ולגזור עליו עונש אחד כולל בגין כל העבירות שהן הורשע גם יחד. לאחר ששקלתי עמדת באי כוח הצדדים, הנני מחליט להצטרף אליה ולראות את כל העבירות שהנאשם הורשע בביצוען כעבירות שנעברו על ידו במסגרת אירוע אחד.  לפיכך, מתחם העונש ההולם ייקבע להלן עבור כל העבירות שהנאשם הורשע בביצוען גם יחד, ואף העונש שייגזר על הנאשם, יהיה עונש אחד עבור כל העבירות.</w:t>
      </w:r>
    </w:p>
    <w:p w14:paraId="08E640D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0452F78A"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DEF24C6"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227" w:hanging="567"/>
        <w:jc w:val="both"/>
        <w:rPr>
          <w:rFonts w:ascii="David" w:hAnsi="David"/>
          <w:b/>
          <w:bCs/>
          <w:rtl/>
        </w:rPr>
      </w:pPr>
      <w:r w:rsidRPr="00F342FA">
        <w:rPr>
          <w:rFonts w:ascii="David" w:hAnsi="David"/>
          <w:b/>
          <w:bCs/>
          <w:rtl/>
        </w:rPr>
        <w:t>ו. קביעת מתחם העונש ההולם</w:t>
      </w:r>
    </w:p>
    <w:p w14:paraId="5A62B03F"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17104585"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11.</w:t>
      </w:r>
      <w:r w:rsidRPr="00F342FA">
        <w:rPr>
          <w:rFonts w:ascii="David" w:hAnsi="David"/>
          <w:rtl/>
        </w:rPr>
        <w:tab/>
        <w:t xml:space="preserve">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ובמידת הענישה הנהוגה בנסיבות הקשורות בביצוע העבירה על ידי הנאשם. בשלב זה בית המשפט אינו מתייחס לנסיבותיו האישיות של הנאשם, שכן השלב בו בית המשפט מתחשב בנסיבותיו האישיות של הנאשם, יהיה השלב בו יבוא בית המשפט לקבוע את עונשו של הנאשם, בתוך מתחם העונש ההולם. </w:t>
      </w:r>
    </w:p>
    <w:p w14:paraId="6647B09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74F8B2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19ACE6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12.</w:t>
      </w:r>
      <w:r w:rsidRPr="00F342FA">
        <w:rPr>
          <w:rFonts w:ascii="David" w:hAnsi="David"/>
          <w:rtl/>
        </w:rPr>
        <w:tab/>
      </w:r>
      <w:hyperlink r:id="rId19" w:history="1">
        <w:r w:rsidR="00967BB0" w:rsidRPr="00967BB0">
          <w:rPr>
            <w:rStyle w:val="Hyperlink"/>
            <w:rFonts w:ascii="David" w:hAnsi="David"/>
            <w:color w:val="0000FF"/>
            <w:rtl/>
          </w:rPr>
          <w:t>בסעיף 40ט'</w:t>
        </w:r>
      </w:hyperlink>
      <w:r w:rsidRPr="00F342FA">
        <w:rPr>
          <w:rFonts w:ascii="David" w:hAnsi="David"/>
          <w:rtl/>
        </w:rPr>
        <w:t xml:space="preserve"> ל</w:t>
      </w:r>
      <w:hyperlink r:id="rId20" w:history="1">
        <w:r w:rsidR="00154ABF" w:rsidRPr="00154ABF">
          <w:rPr>
            <w:rFonts w:ascii="David" w:hAnsi="David"/>
            <w:color w:val="0000FF"/>
            <w:u w:val="single"/>
            <w:rtl/>
          </w:rPr>
          <w:t>חוק העונשין</w:t>
        </w:r>
      </w:hyperlink>
      <w:r w:rsidRPr="00F342FA">
        <w:rPr>
          <w:rFonts w:ascii="David" w:hAnsi="David"/>
          <w:rtl/>
        </w:rPr>
        <w:t>, פורטו נסיבות שונות, שאינן מהוות רשימה סגורה, שעל בית המשפט להתחשב בהם, ככל שבית המשפט סבור שהן משפיעות על חומרת המעשה ועל אשמו של הנאשם. במקרה שלפני הנאשם פגע במספר ערכים מוגנים</w:t>
      </w:r>
      <w:r>
        <w:rPr>
          <w:rFonts w:ascii="David" w:hAnsi="David" w:hint="cs"/>
          <w:rtl/>
        </w:rPr>
        <w:t>, והם שמירת שלמות הגוף וקדושת החיים, ושמירת הסדר הציבורי.</w:t>
      </w:r>
      <w:r w:rsidRPr="00F342FA">
        <w:rPr>
          <w:rFonts w:ascii="David" w:hAnsi="David"/>
          <w:rtl/>
        </w:rPr>
        <w:t xml:space="preserve"> הנאשם נשא </w:t>
      </w:r>
      <w:r>
        <w:rPr>
          <w:rFonts w:ascii="David" w:hAnsi="David" w:hint="cs"/>
          <w:rtl/>
        </w:rPr>
        <w:t>ו</w:t>
      </w:r>
      <w:r w:rsidRPr="00F342FA">
        <w:rPr>
          <w:rFonts w:ascii="David" w:hAnsi="David"/>
          <w:rtl/>
        </w:rPr>
        <w:t xml:space="preserve">החזיק </w:t>
      </w:r>
      <w:r>
        <w:rPr>
          <w:rFonts w:ascii="David" w:hAnsi="David" w:hint="cs"/>
          <w:rtl/>
        </w:rPr>
        <w:t xml:space="preserve">שלא כחוק </w:t>
      </w:r>
      <w:r w:rsidRPr="00F342FA">
        <w:rPr>
          <w:rFonts w:ascii="David" w:hAnsi="David"/>
          <w:rtl/>
        </w:rPr>
        <w:t xml:space="preserve">בכלי נשק, </w:t>
      </w:r>
      <w:r>
        <w:rPr>
          <w:rFonts w:ascii="David" w:hAnsi="David" w:hint="cs"/>
          <w:rtl/>
        </w:rPr>
        <w:t xml:space="preserve">המסוגל לפגוע באדם פגיעה קשה, ואף קטלנית, </w:t>
      </w:r>
      <w:r w:rsidRPr="00F342FA">
        <w:rPr>
          <w:rFonts w:ascii="David" w:hAnsi="David"/>
          <w:rtl/>
        </w:rPr>
        <w:t xml:space="preserve">ולא זו בלבד שהחזיק בכלי נשק, אלא שבאמצעותו </w:t>
      </w:r>
      <w:r>
        <w:rPr>
          <w:rFonts w:ascii="David" w:hAnsi="David" w:hint="cs"/>
          <w:rtl/>
        </w:rPr>
        <w:t>איים לפגוע ב</w:t>
      </w:r>
      <w:r w:rsidRPr="00F342FA">
        <w:rPr>
          <w:rFonts w:ascii="David" w:hAnsi="David"/>
          <w:rtl/>
        </w:rPr>
        <w:t xml:space="preserve">חתן השמחה. מלבד זאת, הנאשם התנהג בבריונות כלפי השוטרים שהגיעו למקום, הפריע להם בביצוע תפקידם, איים עליהם, התנגד למעצר, קילל אותם והעליב אותם. </w:t>
      </w:r>
    </w:p>
    <w:p w14:paraId="5AEE3BAF"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00748DC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b/>
          <w:bCs/>
          <w:rtl/>
        </w:rPr>
      </w:pPr>
    </w:p>
    <w:p w14:paraId="1270DA86"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13.</w:t>
      </w:r>
      <w:r w:rsidRPr="00F342FA">
        <w:rPr>
          <w:rFonts w:ascii="David" w:hAnsi="David"/>
          <w:rtl/>
        </w:rPr>
        <w:tab/>
        <w:t xml:space="preserve">עבירת נשיאת הנשק והובלתו, לפי </w:t>
      </w:r>
      <w:hyperlink r:id="rId21" w:history="1">
        <w:r w:rsidR="00967BB0" w:rsidRPr="00967BB0">
          <w:rPr>
            <w:rStyle w:val="Hyperlink"/>
            <w:rFonts w:ascii="David" w:hAnsi="David"/>
            <w:color w:val="0000FF"/>
            <w:rtl/>
          </w:rPr>
          <w:t>סעיף 144(ב)</w:t>
        </w:r>
      </w:hyperlink>
      <w:r w:rsidRPr="00F342FA">
        <w:rPr>
          <w:rFonts w:ascii="David" w:hAnsi="David"/>
          <w:rtl/>
        </w:rPr>
        <w:t xml:space="preserve"> ל</w:t>
      </w:r>
      <w:hyperlink r:id="rId22" w:history="1">
        <w:r w:rsidR="00154ABF" w:rsidRPr="00154ABF">
          <w:rPr>
            <w:rFonts w:ascii="David" w:hAnsi="David"/>
            <w:color w:val="0000FF"/>
            <w:u w:val="single"/>
            <w:rtl/>
          </w:rPr>
          <w:t>חוק העונשין</w:t>
        </w:r>
      </w:hyperlink>
      <w:r w:rsidRPr="00F342FA">
        <w:rPr>
          <w:rFonts w:ascii="David" w:hAnsi="David"/>
          <w:rtl/>
        </w:rPr>
        <w:t>, הי עבירה שלצדה קבע המחוקק עונש מרבי של 10 שנות מאסר. עם זאת, בקביעת מתחם העונש ההולם, יש להביא בחשבון, שכלי הנשק היה אקדח הזנקה, שהוסב לירות כדורים בקוטר 9 מ"מ, ולכך שבעת האירוע לא היו בידי הנאשם כדורים שיכול היה לירות באמצעות האקדח. אשר לעבירות שבוצעו על ידי הנאשם כלפי השוטרים, אף הן עבירות חמורות, הפוגעות בסדר הציבורי, ויש להביא בחשבון שהנאשם נהג באלימות רבה כלפי השוטרים, הן מבחינה פיזית והן מבחינה מילולית. התנהגותו הביריונית והאלימה של  הנאשם כלפי השוטרים, והמילים הבוטות והקשות שהשמיע לעברם (ובמיוחד קשה באוזני הביטוי "נאצים", שהנאשם השמיע כלפי השוטרים), מלמדת על כך שמבודר באדם חסר גבולות ומעצורים.</w:t>
      </w:r>
    </w:p>
    <w:p w14:paraId="0E7C137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90441F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3648979"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14.</w:t>
      </w:r>
      <w:r w:rsidRPr="00F342FA">
        <w:rPr>
          <w:rFonts w:ascii="David" w:hAnsi="David"/>
          <w:rtl/>
        </w:rPr>
        <w:tab/>
        <w:t>לאחר ששקלתי טענות באי כוח הצדדים, ולאור הפסיקה שהניחו על שולחני במהלך טיעונם, הנני קובע, כי מתחם העונש ההולם, לכל העבירות שהנאשם הורשע בביצוען נע בין 12 חודשי מאסר ועד 36 חודשים לריצוי בפועל.</w:t>
      </w:r>
    </w:p>
    <w:p w14:paraId="02FAC12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8D18322"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8A09A80"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b/>
          <w:bCs/>
          <w:rtl/>
        </w:rPr>
      </w:pPr>
      <w:r w:rsidRPr="00F342FA">
        <w:rPr>
          <w:rFonts w:ascii="David" w:hAnsi="David"/>
          <w:b/>
          <w:bCs/>
          <w:rtl/>
        </w:rPr>
        <w:t>ז. סטייה ממתחם העונש ההולם</w:t>
      </w:r>
    </w:p>
    <w:p w14:paraId="5454079A"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36B47663"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15.</w:t>
      </w:r>
      <w:r w:rsidRPr="00F342FA">
        <w:rPr>
          <w:rFonts w:ascii="David" w:hAnsi="David"/>
          <w:rtl/>
        </w:rPr>
        <w:tab/>
        <w:t xml:space="preserve">על פי </w:t>
      </w:r>
      <w:hyperlink r:id="rId23" w:history="1">
        <w:r w:rsidR="00967BB0" w:rsidRPr="00967BB0">
          <w:rPr>
            <w:rStyle w:val="Hyperlink"/>
            <w:rFonts w:ascii="David" w:hAnsi="David"/>
            <w:color w:val="0000FF"/>
            <w:rtl/>
          </w:rPr>
          <w:t>סעיף 40ד(א)</w:t>
        </w:r>
      </w:hyperlink>
      <w:r w:rsidRPr="00F342FA">
        <w:rPr>
          <w:rFonts w:ascii="David" w:hAnsi="David"/>
          <w:rtl/>
        </w:rPr>
        <w:t xml:space="preserve"> ל</w:t>
      </w:r>
      <w:hyperlink r:id="rId24" w:history="1">
        <w:r w:rsidR="00154ABF" w:rsidRPr="00154ABF">
          <w:rPr>
            <w:rFonts w:ascii="David" w:hAnsi="David"/>
            <w:color w:val="0000FF"/>
            <w:u w:val="single"/>
            <w:rtl/>
          </w:rPr>
          <w:t>חוק העונשין</w:t>
        </w:r>
      </w:hyperlink>
      <w:r w:rsidRPr="00F342FA">
        <w:rPr>
          <w:rFonts w:ascii="David" w:hAnsi="David"/>
          <w:rtl/>
        </w:rPr>
        <w:t xml:space="preserve">, בית המשפט רשאי לחרוג ממתחם העונש ההולם אם מצא, כי יש סיכוי של ממש לשיקומו של הנאשם. במקרה שכזה, רשאי בית המשפט לקבוע את עונשו של הנאשם "לפי שיקולי שיקומו", וכן מוסמך בית המשפט להורות על נקיטת אמצעי שיקום, לרבות העמדת הנאשם במבחן. עם זאת, לא ניתן לחרוג ממתחם העונש ההולם, גם כאשר יש סיכוי של ממש לשיקומו של הנאשם, אם מעשה העבירה ומידת אשמו של הנאשם הם "בעלי חומרה יתרה". </w:t>
      </w:r>
    </w:p>
    <w:p w14:paraId="442E8CD4"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8DD8B30"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6319909"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16.</w:t>
      </w:r>
      <w:r w:rsidRPr="00F342FA">
        <w:rPr>
          <w:rFonts w:ascii="David" w:hAnsi="David"/>
          <w:rtl/>
        </w:rPr>
        <w:tab/>
        <w:t>במקרה שלפני לא מצאתי שיקולי שיקום המצדיקים סטייה ממתחם העונש ההולם שקבעתי לעיל. עונשו של הנאשם ייגזר אפוא בתוך מתחם העונש ההולם שקבעתי לעיל.</w:t>
      </w:r>
    </w:p>
    <w:p w14:paraId="67C8DDF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1FF90628"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2F6DFEC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227" w:hanging="567"/>
        <w:jc w:val="both"/>
        <w:rPr>
          <w:rFonts w:ascii="David" w:hAnsi="David"/>
          <w:b/>
          <w:bCs/>
          <w:rtl/>
        </w:rPr>
      </w:pPr>
      <w:r w:rsidRPr="00F342FA">
        <w:rPr>
          <w:rFonts w:ascii="David" w:hAnsi="David"/>
          <w:b/>
          <w:bCs/>
          <w:rtl/>
        </w:rPr>
        <w:t>י. קביעת העונש</w:t>
      </w:r>
    </w:p>
    <w:p w14:paraId="29D4E93F"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804E981"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17.</w:t>
      </w:r>
      <w:r w:rsidRPr="00F342FA">
        <w:rPr>
          <w:rFonts w:ascii="David" w:hAnsi="David"/>
          <w:rtl/>
        </w:rPr>
        <w:tab/>
        <w:t>לחובת הנאשם יש לזקוף את החומרה הטמונה בכל אחת מהעבירות בהן הורשע. התנהגותו הבריונית, חסרת המעצורים ופורצת הגבולות, ראויה לתגובה הולמת, במיוחד לאור העובדה, שבשנת 2014 הנאשם נדון ל- 6 חודשי מאסר בפועל בעקבות הרשעתו במספר עבירות, שכללו, בין היתר, תקיפת שוטר.</w:t>
      </w:r>
    </w:p>
    <w:p w14:paraId="1F7EEEFA"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3A2C2F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ab/>
        <w:t>לעומת זאת, יש להביא לזכות הנאשם את העובדה כי הודה לפני תחילת שמיעת הראיות, קיבל אחריות על התנהגותו הפסולה והביע חרטה. כמו כן יש לזכור, שחרף העובדה שהנאשם החזיק בידו כלי נשק, ואיים על הסובבים אותו, הוא לא באמת יכול היה לפגוע בהם, משום שלא היו לו כדורים.</w:t>
      </w:r>
    </w:p>
    <w:p w14:paraId="761F3966"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26EA07E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B3ECAF6"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18.</w:t>
      </w:r>
      <w:r w:rsidRPr="00F342FA">
        <w:rPr>
          <w:rFonts w:ascii="David" w:hAnsi="David"/>
          <w:rtl/>
        </w:rPr>
        <w:tab/>
        <w:t>לפיכך, לאחר ששקלתי את טענות באי כוח הצדדים, ואת כל הנסיבות הצריכות לעניין הנני גוזר על הנאשם העונשים הבאים:</w:t>
      </w:r>
    </w:p>
    <w:p w14:paraId="32FD4497"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393D2D32"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r w:rsidRPr="00F342FA">
        <w:rPr>
          <w:rFonts w:ascii="David" w:hAnsi="David"/>
          <w:rtl/>
        </w:rPr>
        <w:t>(א)</w:t>
      </w:r>
      <w:r w:rsidRPr="00F342FA">
        <w:rPr>
          <w:rFonts w:ascii="David" w:hAnsi="David"/>
          <w:rtl/>
        </w:rPr>
        <w:tab/>
        <w:t>הנני דן את הנאשם ל- 24 (עשרים וארבעה) חודשי מאסר, מתוכם 14 (ארבעה עשר) חודשים לריצוי בפועל, והיתר, 10 (עשרה) חודשים לריצוי על תנאי, והתנאי הוא שבמשך 3(שלוש) שנים לא יעבור הנאשם עבירה מהעבירות הבאות:</w:t>
      </w:r>
    </w:p>
    <w:p w14:paraId="7AFBB6EB" w14:textId="77777777" w:rsidR="004A7DA7" w:rsidRPr="00F342FA" w:rsidRDefault="004A7DA7" w:rsidP="004A7DA7">
      <w:pPr>
        <w:spacing w:line="360" w:lineRule="auto"/>
        <w:ind w:left="1701" w:hanging="567"/>
        <w:jc w:val="both"/>
        <w:rPr>
          <w:rtl/>
        </w:rPr>
      </w:pPr>
      <w:r w:rsidRPr="00F342FA">
        <w:rPr>
          <w:rtl/>
        </w:rPr>
        <w:t>(א)</w:t>
      </w:r>
      <w:r w:rsidRPr="00F342FA">
        <w:rPr>
          <w:rtl/>
        </w:rPr>
        <w:tab/>
        <w:t xml:space="preserve">עבירות בנשק לפי </w:t>
      </w:r>
      <w:hyperlink r:id="rId25" w:history="1">
        <w:r w:rsidR="00967BB0" w:rsidRPr="00967BB0">
          <w:rPr>
            <w:rStyle w:val="Hyperlink"/>
            <w:color w:val="0000FF"/>
            <w:rtl/>
          </w:rPr>
          <w:t>סעיף 144</w:t>
        </w:r>
      </w:hyperlink>
      <w:r w:rsidRPr="00F342FA">
        <w:rPr>
          <w:rtl/>
        </w:rPr>
        <w:t xml:space="preserve"> ל</w:t>
      </w:r>
      <w:hyperlink r:id="rId26" w:history="1">
        <w:r w:rsidR="00154ABF" w:rsidRPr="00154ABF">
          <w:rPr>
            <w:color w:val="0000FF"/>
            <w:u w:val="single"/>
            <w:rtl/>
          </w:rPr>
          <w:t>חוק העונשין</w:t>
        </w:r>
      </w:hyperlink>
      <w:r w:rsidRPr="00F342FA">
        <w:rPr>
          <w:rtl/>
        </w:rPr>
        <w:t>, תשל"ז – 1977;</w:t>
      </w:r>
    </w:p>
    <w:p w14:paraId="25A55AD2" w14:textId="77777777" w:rsidR="004A7DA7" w:rsidRPr="00F342FA" w:rsidRDefault="004A7DA7" w:rsidP="004A7DA7">
      <w:pPr>
        <w:spacing w:line="360" w:lineRule="auto"/>
        <w:ind w:left="1701" w:hanging="567"/>
        <w:jc w:val="both"/>
        <w:rPr>
          <w:rtl/>
        </w:rPr>
      </w:pPr>
      <w:r w:rsidRPr="00F342FA">
        <w:rPr>
          <w:rtl/>
        </w:rPr>
        <w:t>(ב)</w:t>
      </w:r>
      <w:r w:rsidRPr="00F342FA">
        <w:rPr>
          <w:rtl/>
        </w:rPr>
        <w:tab/>
        <w:t xml:space="preserve">הפרעה לשוטר במילוי תפקידו, עבירה לפי </w:t>
      </w:r>
      <w:hyperlink r:id="rId27" w:history="1">
        <w:r w:rsidR="00967BB0" w:rsidRPr="00967BB0">
          <w:rPr>
            <w:rStyle w:val="Hyperlink"/>
            <w:color w:val="0000FF"/>
            <w:rtl/>
          </w:rPr>
          <w:t>סעיף 275</w:t>
        </w:r>
      </w:hyperlink>
      <w:r w:rsidRPr="00F342FA">
        <w:rPr>
          <w:rtl/>
        </w:rPr>
        <w:t xml:space="preserve"> סיפא ל</w:t>
      </w:r>
      <w:hyperlink r:id="rId28" w:history="1">
        <w:r w:rsidR="00154ABF" w:rsidRPr="00154ABF">
          <w:rPr>
            <w:color w:val="0000FF"/>
            <w:u w:val="single"/>
            <w:rtl/>
          </w:rPr>
          <w:t>חוק העונשין</w:t>
        </w:r>
      </w:hyperlink>
      <w:r w:rsidRPr="00F342FA">
        <w:rPr>
          <w:rtl/>
        </w:rPr>
        <w:t>.</w:t>
      </w:r>
    </w:p>
    <w:p w14:paraId="5399F118" w14:textId="77777777" w:rsidR="004A7DA7" w:rsidRPr="00F342FA" w:rsidRDefault="004A7DA7" w:rsidP="004A7DA7">
      <w:pPr>
        <w:spacing w:line="360" w:lineRule="auto"/>
        <w:ind w:left="1701" w:hanging="567"/>
        <w:jc w:val="both"/>
        <w:rPr>
          <w:rtl/>
        </w:rPr>
      </w:pPr>
      <w:r w:rsidRPr="00F342FA">
        <w:rPr>
          <w:rtl/>
        </w:rPr>
        <w:t>(ג)</w:t>
      </w:r>
      <w:r w:rsidRPr="00F342FA">
        <w:rPr>
          <w:rtl/>
        </w:rPr>
        <w:tab/>
        <w:t xml:space="preserve">איומים, עבירה לפי </w:t>
      </w:r>
      <w:hyperlink r:id="rId29" w:history="1">
        <w:r w:rsidR="00967BB0" w:rsidRPr="00967BB0">
          <w:rPr>
            <w:rStyle w:val="Hyperlink"/>
            <w:color w:val="0000FF"/>
            <w:rtl/>
          </w:rPr>
          <w:t>סעיף 192</w:t>
        </w:r>
      </w:hyperlink>
      <w:r w:rsidRPr="00F342FA">
        <w:rPr>
          <w:rtl/>
        </w:rPr>
        <w:t xml:space="preserve"> ל</w:t>
      </w:r>
      <w:hyperlink r:id="rId30" w:history="1">
        <w:r w:rsidR="00154ABF" w:rsidRPr="00154ABF">
          <w:rPr>
            <w:color w:val="0000FF"/>
            <w:u w:val="single"/>
            <w:rtl/>
          </w:rPr>
          <w:t>חוק העונשין</w:t>
        </w:r>
      </w:hyperlink>
      <w:r w:rsidRPr="00F342FA">
        <w:rPr>
          <w:rtl/>
        </w:rPr>
        <w:t>;</w:t>
      </w:r>
    </w:p>
    <w:p w14:paraId="53C31882"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p>
    <w:p w14:paraId="7E90178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r w:rsidRPr="00F342FA">
        <w:rPr>
          <w:rFonts w:ascii="David" w:hAnsi="David"/>
          <w:rtl/>
        </w:rPr>
        <w:t>(ב)</w:t>
      </w:r>
      <w:r w:rsidRPr="00F342FA">
        <w:rPr>
          <w:rFonts w:ascii="David" w:hAnsi="David"/>
          <w:rtl/>
        </w:rPr>
        <w:tab/>
        <w:t>מתקופת המאסר</w:t>
      </w:r>
      <w:r>
        <w:rPr>
          <w:rFonts w:ascii="David" w:hAnsi="David" w:hint="cs"/>
          <w:rtl/>
        </w:rPr>
        <w:t xml:space="preserve"> בפועל,</w:t>
      </w:r>
      <w:r w:rsidRPr="00F342FA">
        <w:rPr>
          <w:rFonts w:ascii="David" w:hAnsi="David"/>
          <w:rtl/>
        </w:rPr>
        <w:t xml:space="preserve"> שעל הנאשם לרצות לפי האמור בסעיף קטן (א) שלעיל, תנוכה התקופה בה הנאשם נתון במעצר (מתאריך 17.10.20</w:t>
      </w:r>
      <w:r>
        <w:rPr>
          <w:rFonts w:ascii="David" w:hAnsi="David" w:hint="cs"/>
          <w:rtl/>
        </w:rPr>
        <w:t>19</w:t>
      </w:r>
      <w:r>
        <w:rPr>
          <w:rStyle w:val="ab"/>
          <w:rFonts w:ascii="David" w:hAnsi="David"/>
          <w:rtl/>
        </w:rPr>
        <w:footnoteReference w:id="1"/>
      </w:r>
      <w:r w:rsidRPr="00F342FA">
        <w:rPr>
          <w:rFonts w:ascii="David" w:hAnsi="David"/>
          <w:rtl/>
        </w:rPr>
        <w:t xml:space="preserve"> ועד היום).</w:t>
      </w:r>
    </w:p>
    <w:p w14:paraId="78E484B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p>
    <w:p w14:paraId="71C54510" w14:textId="77777777" w:rsidR="004A7DA7" w:rsidRPr="00F342FA" w:rsidRDefault="00154ABF"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bookmarkStart w:id="8" w:name="Nitan"/>
      <w:r>
        <w:rPr>
          <w:rFonts w:ascii="David" w:hAnsi="David"/>
          <w:b/>
          <w:bCs/>
          <w:rtl/>
        </w:rPr>
        <w:t xml:space="preserve"> ניתן היום, י"ט בסיוון, התש"ף, 11.6.2020, והודע בפומבי. </w:t>
      </w:r>
      <w:bookmarkEnd w:id="8"/>
    </w:p>
    <w:p w14:paraId="37F76123" w14:textId="77777777" w:rsidR="004A7DA7" w:rsidRDefault="00154ABF" w:rsidP="004A7DA7">
      <w:pPr>
        <w:rPr>
          <w:rtl/>
        </w:rPr>
      </w:pPr>
      <w:r>
        <w:rPr>
          <w:rFonts w:ascii="David" w:hAnsi="David"/>
          <w:rtl/>
        </w:rPr>
        <w:t xml:space="preserve"> והודע לנאשם כי הוא זכאי לערער על פסק הדין בתוך 45 ימים מהיום לפני בית המשפט העליון. </w:t>
      </w:r>
    </w:p>
    <w:p w14:paraId="28564BF7" w14:textId="77777777" w:rsidR="004A7DA7" w:rsidRDefault="004A7DA7" w:rsidP="004A7DA7">
      <w:pPr>
        <w:rPr>
          <w:rtl/>
        </w:rPr>
      </w:pPr>
    </w:p>
    <w:p w14:paraId="11AD0AD1" w14:textId="77777777" w:rsidR="004A7DA7" w:rsidRPr="00154ABF" w:rsidRDefault="00154ABF" w:rsidP="004A7DA7">
      <w:pPr>
        <w:jc w:val="right"/>
        <w:rPr>
          <w:color w:val="FFFFFF"/>
          <w:sz w:val="2"/>
          <w:szCs w:val="2"/>
          <w:rtl/>
        </w:rPr>
      </w:pPr>
      <w:r w:rsidRPr="00154ABF">
        <w:rPr>
          <w:color w:val="FFFFFF"/>
          <w:sz w:val="2"/>
          <w:szCs w:val="2"/>
          <w:rtl/>
        </w:rPr>
        <w:t>5129371</w:t>
      </w:r>
    </w:p>
    <w:tbl>
      <w:tblPr>
        <w:bidiVisual/>
        <w:tblW w:w="0" w:type="auto"/>
        <w:jc w:val="right"/>
        <w:tblLook w:val="01E0" w:firstRow="1" w:lastRow="1" w:firstColumn="1" w:lastColumn="1" w:noHBand="0" w:noVBand="0"/>
      </w:tblPr>
      <w:tblGrid>
        <w:gridCol w:w="2576"/>
      </w:tblGrid>
      <w:tr w:rsidR="004A7DA7" w14:paraId="1895BD6C" w14:textId="77777777" w:rsidTr="004A7DA7">
        <w:trPr>
          <w:jc w:val="right"/>
        </w:trPr>
        <w:tc>
          <w:tcPr>
            <w:tcW w:w="2576" w:type="dxa"/>
            <w:tcBorders>
              <w:top w:val="nil"/>
              <w:left w:val="nil"/>
              <w:bottom w:val="single" w:sz="4" w:space="0" w:color="auto"/>
              <w:right w:val="nil"/>
            </w:tcBorders>
            <w:shd w:val="clear" w:color="auto" w:fill="auto"/>
            <w:vAlign w:val="bottom"/>
          </w:tcPr>
          <w:p w14:paraId="36849D5D" w14:textId="77777777" w:rsidR="004A7DA7" w:rsidRPr="00154ABF" w:rsidRDefault="00154ABF" w:rsidP="004A7DA7">
            <w:pPr>
              <w:jc w:val="center"/>
              <w:rPr>
                <w:rFonts w:ascii="Courier New" w:hAnsi="Courier New"/>
                <w:b/>
                <w:bCs/>
                <w:color w:val="FFFFFF"/>
                <w:sz w:val="2"/>
                <w:szCs w:val="2"/>
                <w:rtl/>
              </w:rPr>
            </w:pPr>
            <w:r w:rsidRPr="00154ABF">
              <w:rPr>
                <w:rFonts w:ascii="Courier New" w:hAnsi="Courier New"/>
                <w:b/>
                <w:bCs/>
                <w:color w:val="FFFFFF"/>
                <w:sz w:val="2"/>
                <w:szCs w:val="2"/>
                <w:rtl/>
              </w:rPr>
              <w:t>54678313</w:t>
            </w:r>
          </w:p>
        </w:tc>
      </w:tr>
      <w:tr w:rsidR="004A7DA7" w14:paraId="522AAF57" w14:textId="77777777" w:rsidTr="004A7DA7">
        <w:trPr>
          <w:jc w:val="right"/>
        </w:trPr>
        <w:tc>
          <w:tcPr>
            <w:tcW w:w="2576" w:type="dxa"/>
            <w:tcBorders>
              <w:top w:val="single" w:sz="4" w:space="0" w:color="auto"/>
              <w:left w:val="nil"/>
              <w:bottom w:val="nil"/>
              <w:right w:val="nil"/>
            </w:tcBorders>
            <w:shd w:val="clear" w:color="auto" w:fill="auto"/>
          </w:tcPr>
          <w:p w14:paraId="43909A65" w14:textId="77777777" w:rsidR="004A7DA7" w:rsidRPr="004A7DA7" w:rsidRDefault="004A7DA7" w:rsidP="004A7DA7">
            <w:pPr>
              <w:jc w:val="center"/>
              <w:rPr>
                <w:b/>
                <w:bCs/>
                <w:sz w:val="22"/>
                <w:szCs w:val="22"/>
                <w:rtl/>
              </w:rPr>
            </w:pPr>
            <w:r w:rsidRPr="004A7DA7">
              <w:rPr>
                <w:rFonts w:hint="cs"/>
                <w:b/>
                <w:bCs/>
                <w:sz w:val="22"/>
                <w:szCs w:val="22"/>
                <w:rtl/>
              </w:rPr>
              <w:t>יצחק כהן, שופט</w:t>
            </w:r>
          </w:p>
          <w:p w14:paraId="1D7FFD72" w14:textId="77777777" w:rsidR="004A7DA7" w:rsidRPr="004A7DA7" w:rsidRDefault="004A7DA7" w:rsidP="004A7DA7">
            <w:pPr>
              <w:jc w:val="center"/>
              <w:rPr>
                <w:b/>
                <w:bCs/>
              </w:rPr>
            </w:pPr>
            <w:r w:rsidRPr="004A7DA7">
              <w:rPr>
                <w:rFonts w:hint="cs"/>
                <w:b/>
                <w:bCs/>
                <w:sz w:val="22"/>
                <w:szCs w:val="22"/>
                <w:rtl/>
              </w:rPr>
              <w:t>סגן נשיא</w:t>
            </w:r>
          </w:p>
        </w:tc>
      </w:tr>
    </w:tbl>
    <w:p w14:paraId="4A958DE6" w14:textId="77777777" w:rsidR="004A7DA7" w:rsidRPr="00967BB0" w:rsidRDefault="00967BB0" w:rsidP="004A7DA7">
      <w:pPr>
        <w:jc w:val="right"/>
        <w:rPr>
          <w:color w:val="FFFFFF"/>
          <w:sz w:val="2"/>
          <w:szCs w:val="2"/>
        </w:rPr>
      </w:pPr>
      <w:r w:rsidRPr="00967BB0">
        <w:rPr>
          <w:color w:val="FFFFFF"/>
          <w:sz w:val="2"/>
          <w:szCs w:val="2"/>
          <w:rtl/>
        </w:rPr>
        <w:t>5129371</w:t>
      </w:r>
    </w:p>
    <w:p w14:paraId="66717C9B" w14:textId="77777777" w:rsidR="000D7A3B" w:rsidRPr="00967BB0" w:rsidRDefault="00967BB0" w:rsidP="00154ABF">
      <w:pPr>
        <w:keepNext/>
        <w:rPr>
          <w:rFonts w:ascii="David" w:hAnsi="David"/>
          <w:color w:val="FFFFFF"/>
          <w:sz w:val="2"/>
          <w:szCs w:val="2"/>
          <w:rtl/>
        </w:rPr>
      </w:pPr>
      <w:r w:rsidRPr="00967BB0">
        <w:rPr>
          <w:rFonts w:ascii="David" w:hAnsi="David"/>
          <w:color w:val="FFFFFF"/>
          <w:sz w:val="2"/>
          <w:szCs w:val="2"/>
          <w:rtl/>
        </w:rPr>
        <w:t>54678313</w:t>
      </w:r>
    </w:p>
    <w:p w14:paraId="2AC62E29" w14:textId="77777777" w:rsidR="00154ABF" w:rsidRDefault="00154ABF" w:rsidP="00154ABF">
      <w:pPr>
        <w:rPr>
          <w:rtl/>
        </w:rPr>
      </w:pPr>
    </w:p>
    <w:p w14:paraId="0FE5AB4C" w14:textId="77777777" w:rsidR="00154ABF" w:rsidRDefault="00154ABF" w:rsidP="00154AB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8E93243" w14:textId="77777777" w:rsidR="00967BB0" w:rsidRPr="00967BB0" w:rsidRDefault="00967BB0" w:rsidP="00967BB0">
      <w:pPr>
        <w:keepNext/>
        <w:rPr>
          <w:rFonts w:ascii="David" w:hAnsi="David"/>
          <w:color w:val="000000"/>
          <w:sz w:val="22"/>
          <w:szCs w:val="22"/>
          <w:rtl/>
        </w:rPr>
      </w:pPr>
    </w:p>
    <w:p w14:paraId="253A2243" w14:textId="77777777" w:rsidR="00967BB0" w:rsidRPr="00967BB0" w:rsidRDefault="00967BB0" w:rsidP="00967BB0">
      <w:pPr>
        <w:keepNext/>
        <w:rPr>
          <w:rFonts w:ascii="David" w:hAnsi="David"/>
          <w:color w:val="000000"/>
          <w:sz w:val="22"/>
          <w:szCs w:val="22"/>
          <w:rtl/>
        </w:rPr>
      </w:pPr>
      <w:r w:rsidRPr="00967BB0">
        <w:rPr>
          <w:rFonts w:ascii="David" w:hAnsi="David"/>
          <w:color w:val="000000"/>
          <w:sz w:val="22"/>
          <w:szCs w:val="22"/>
          <w:rtl/>
        </w:rPr>
        <w:t>יצחק כהן 54678313-/</w:t>
      </w:r>
    </w:p>
    <w:p w14:paraId="424129CC" w14:textId="77777777" w:rsidR="00154ABF" w:rsidRPr="00154ABF" w:rsidRDefault="00967BB0" w:rsidP="00967BB0">
      <w:pPr>
        <w:rPr>
          <w:color w:val="0000FF"/>
          <w:u w:val="single"/>
        </w:rPr>
      </w:pPr>
      <w:r w:rsidRPr="00967BB0">
        <w:rPr>
          <w:color w:val="000000"/>
          <w:u w:val="single"/>
          <w:rtl/>
        </w:rPr>
        <w:t>נוסח מסמך זה כפוף לשינויי ניסוח ועריכה</w:t>
      </w:r>
    </w:p>
    <w:sectPr w:rsidR="00154ABF" w:rsidRPr="00154ABF" w:rsidSect="00967BB0">
      <w:headerReference w:type="even" r:id="rId32"/>
      <w:headerReference w:type="default" r:id="rId33"/>
      <w:footerReference w:type="even" r:id="rId34"/>
      <w:footerReference w:type="default" r:id="rId35"/>
      <w:pgSz w:w="11907" w:h="16840" w:code="9"/>
      <w:pgMar w:top="1701" w:right="1418" w:bottom="1247" w:left="1588"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15C3A" w14:textId="77777777" w:rsidR="00D10724" w:rsidRDefault="00D10724" w:rsidP="004A7DA7">
      <w:r>
        <w:separator/>
      </w:r>
    </w:p>
  </w:endnote>
  <w:endnote w:type="continuationSeparator" w:id="0">
    <w:p w14:paraId="120C0487" w14:textId="77777777" w:rsidR="00D10724" w:rsidRDefault="00D10724" w:rsidP="004A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524ED" w14:textId="77777777" w:rsidR="00967BB0" w:rsidRDefault="00967BB0" w:rsidP="00967B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466F3E" w14:textId="77777777" w:rsidR="00A27796" w:rsidRPr="00967BB0" w:rsidRDefault="00967BB0" w:rsidP="00967BB0">
    <w:pPr>
      <w:pStyle w:val="a5"/>
      <w:pBdr>
        <w:top w:val="single" w:sz="4" w:space="1" w:color="auto"/>
        <w:between w:val="single" w:sz="4" w:space="0" w:color="auto"/>
      </w:pBdr>
      <w:spacing w:after="60"/>
      <w:jc w:val="center"/>
      <w:rPr>
        <w:rFonts w:ascii="FrankRuehl" w:hAnsi="FrankRuehl" w:cs="FrankRuehl"/>
        <w:color w:val="000000"/>
      </w:rPr>
    </w:pPr>
    <w:r w:rsidRPr="00967B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B4E40" w14:textId="77777777" w:rsidR="00967BB0" w:rsidRDefault="00967BB0" w:rsidP="00967B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B26">
      <w:rPr>
        <w:rFonts w:ascii="FrankRuehl" w:hAnsi="FrankRuehl" w:cs="FrankRuehl"/>
        <w:noProof/>
        <w:rtl/>
      </w:rPr>
      <w:t>1</w:t>
    </w:r>
    <w:r>
      <w:rPr>
        <w:rFonts w:ascii="FrankRuehl" w:hAnsi="FrankRuehl" w:cs="FrankRuehl"/>
        <w:rtl/>
      </w:rPr>
      <w:fldChar w:fldCharType="end"/>
    </w:r>
  </w:p>
  <w:p w14:paraId="67A5ADFC" w14:textId="77777777" w:rsidR="00A27796" w:rsidRPr="00967BB0" w:rsidRDefault="00967BB0" w:rsidP="00967BB0">
    <w:pPr>
      <w:pStyle w:val="a5"/>
      <w:pBdr>
        <w:top w:val="single" w:sz="4" w:space="1" w:color="auto"/>
        <w:between w:val="single" w:sz="4" w:space="0" w:color="auto"/>
      </w:pBdr>
      <w:spacing w:after="60"/>
      <w:jc w:val="center"/>
      <w:rPr>
        <w:rFonts w:ascii="FrankRuehl" w:hAnsi="FrankRuehl" w:cs="FrankRuehl"/>
        <w:color w:val="000000"/>
      </w:rPr>
    </w:pPr>
    <w:r w:rsidRPr="00967BB0">
      <w:rPr>
        <w:rFonts w:ascii="FrankRuehl" w:hAnsi="FrankRuehl" w:cs="FrankRuehl"/>
        <w:color w:val="000000"/>
      </w:rPr>
      <w:pict w14:anchorId="3B0C2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7D2BC" w14:textId="77777777" w:rsidR="00D10724" w:rsidRDefault="00D10724" w:rsidP="004A7DA7">
      <w:r>
        <w:separator/>
      </w:r>
    </w:p>
  </w:footnote>
  <w:footnote w:type="continuationSeparator" w:id="0">
    <w:p w14:paraId="1977BFE3" w14:textId="77777777" w:rsidR="00D10724" w:rsidRDefault="00D10724" w:rsidP="004A7DA7">
      <w:r>
        <w:continuationSeparator/>
      </w:r>
    </w:p>
  </w:footnote>
  <w:footnote w:id="1">
    <w:p w14:paraId="5BAC44DC" w14:textId="77777777" w:rsidR="004A7DA7" w:rsidRDefault="004A7DA7" w:rsidP="004A7DA7">
      <w:pPr>
        <w:pStyle w:val="a9"/>
        <w:rPr>
          <w:rtl/>
        </w:rPr>
      </w:pPr>
      <w:r>
        <w:rPr>
          <w:rStyle w:val="ab"/>
        </w:rPr>
        <w:footnoteRef/>
      </w:r>
      <w:r>
        <w:rPr>
          <w:rtl/>
        </w:rPr>
        <w:t xml:space="preserve"> </w:t>
      </w:r>
      <w:r>
        <w:rPr>
          <w:rtl/>
        </w:rPr>
        <w:tab/>
      </w:r>
      <w:r>
        <w:rPr>
          <w:rFonts w:hint="cs"/>
          <w:rtl/>
        </w:rPr>
        <w:t>תיקון טעות סופר לאחר השמעת גזר הדין.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AD23A" w14:textId="77777777" w:rsidR="00154ABF" w:rsidRPr="00967BB0" w:rsidRDefault="00967BB0" w:rsidP="00967B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5221-11-19</w:t>
    </w:r>
    <w:r>
      <w:rPr>
        <w:rFonts w:ascii="David" w:hAnsi="David"/>
        <w:color w:val="000000"/>
        <w:sz w:val="22"/>
        <w:szCs w:val="22"/>
        <w:rtl/>
      </w:rPr>
      <w:tab/>
      <w:t xml:space="preserve"> מדינת ישראל נ' אלברט (בן מיכאל)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C9C1B" w14:textId="77777777" w:rsidR="00154ABF" w:rsidRPr="00967BB0" w:rsidRDefault="00967BB0" w:rsidP="00967B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5221-11-19</w:t>
    </w:r>
    <w:r>
      <w:rPr>
        <w:rFonts w:ascii="David" w:hAnsi="David"/>
        <w:color w:val="000000"/>
        <w:sz w:val="22"/>
        <w:szCs w:val="22"/>
        <w:rtl/>
      </w:rPr>
      <w:tab/>
      <w:t xml:space="preserve"> מדינת ישראל נ' אלברט (בן מיכאל) אברמוב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DA7"/>
    <w:rsid w:val="000D7A3B"/>
    <w:rsid w:val="00154ABF"/>
    <w:rsid w:val="004A7DA7"/>
    <w:rsid w:val="00706B26"/>
    <w:rsid w:val="00720684"/>
    <w:rsid w:val="00967BB0"/>
    <w:rsid w:val="00A27796"/>
    <w:rsid w:val="00BF6EB1"/>
    <w:rsid w:val="00C501AB"/>
    <w:rsid w:val="00C57BD3"/>
    <w:rsid w:val="00D10724"/>
    <w:rsid w:val="00DF4F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F65235"/>
  <w15:chartTrackingRefBased/>
  <w15:docId w15:val="{DFC6EFC5-022B-459F-8428-04C084D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D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DA7"/>
    <w:pPr>
      <w:tabs>
        <w:tab w:val="center" w:pos="4153"/>
        <w:tab w:val="right" w:pos="8306"/>
      </w:tabs>
    </w:pPr>
  </w:style>
  <w:style w:type="character" w:customStyle="1" w:styleId="a4">
    <w:name w:val="כותרת עליונה תו"/>
    <w:link w:val="a3"/>
    <w:rsid w:val="004A7DA7"/>
    <w:rPr>
      <w:rFonts w:ascii="Times New Roman" w:eastAsia="Times New Roman" w:hAnsi="Times New Roman" w:cs="David"/>
      <w:sz w:val="24"/>
      <w:szCs w:val="24"/>
    </w:rPr>
  </w:style>
  <w:style w:type="paragraph" w:styleId="a5">
    <w:name w:val="footer"/>
    <w:basedOn w:val="a"/>
    <w:link w:val="a6"/>
    <w:rsid w:val="004A7DA7"/>
    <w:pPr>
      <w:tabs>
        <w:tab w:val="center" w:pos="4153"/>
        <w:tab w:val="right" w:pos="8306"/>
      </w:tabs>
    </w:pPr>
  </w:style>
  <w:style w:type="character" w:customStyle="1" w:styleId="a6">
    <w:name w:val="כותרת תחתונה תו"/>
    <w:link w:val="a5"/>
    <w:rsid w:val="004A7DA7"/>
    <w:rPr>
      <w:rFonts w:ascii="Times New Roman" w:eastAsia="Times New Roman" w:hAnsi="Times New Roman" w:cs="David"/>
      <w:sz w:val="24"/>
      <w:szCs w:val="24"/>
    </w:rPr>
  </w:style>
  <w:style w:type="table" w:styleId="a7">
    <w:name w:val="Table Grid"/>
    <w:basedOn w:val="a1"/>
    <w:rsid w:val="004A7D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DA7"/>
  </w:style>
  <w:style w:type="paragraph" w:styleId="a9">
    <w:name w:val="footnote text"/>
    <w:basedOn w:val="a"/>
    <w:link w:val="aa"/>
    <w:rsid w:val="004A7DA7"/>
    <w:rPr>
      <w:sz w:val="20"/>
      <w:szCs w:val="20"/>
    </w:rPr>
  </w:style>
  <w:style w:type="character" w:customStyle="1" w:styleId="aa">
    <w:name w:val="טקסט הערת שוליים תו"/>
    <w:link w:val="a9"/>
    <w:rsid w:val="004A7DA7"/>
    <w:rPr>
      <w:rFonts w:ascii="Times New Roman" w:eastAsia="Times New Roman" w:hAnsi="Times New Roman" w:cs="David"/>
      <w:sz w:val="20"/>
      <w:szCs w:val="20"/>
    </w:rPr>
  </w:style>
  <w:style w:type="character" w:styleId="ab">
    <w:name w:val="footnote reference"/>
    <w:rsid w:val="004A7DA7"/>
    <w:rPr>
      <w:vertAlign w:val="superscript"/>
    </w:rPr>
  </w:style>
  <w:style w:type="character" w:styleId="ac">
    <w:name w:val="line number"/>
    <w:rsid w:val="004A7DA7"/>
  </w:style>
  <w:style w:type="character" w:styleId="Hyperlink">
    <w:name w:val="Hyperlink"/>
    <w:rsid w:val="00154A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34" Type="http://schemas.openxmlformats.org/officeDocument/2006/relationships/footer" Target="footer1.xml"/><Relationship Id="rId7" Type="http://schemas.openxmlformats.org/officeDocument/2006/relationships/hyperlink" Target="http://www.nevo.co.il/law/70301/40d.a"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144"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40i"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1654</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9910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5221</vt:lpwstr>
  </property>
  <property fmtid="{D5CDD505-2E9C-101B-9397-08002B2CF9AE}" pid="6" name="NEWPARTB">
    <vt:lpwstr>11</vt:lpwstr>
  </property>
  <property fmtid="{D5CDD505-2E9C-101B-9397-08002B2CF9AE}" pid="7" name="NEWPARTC">
    <vt:lpwstr>19</vt:lpwstr>
  </property>
  <property fmtid="{D5CDD505-2E9C-101B-9397-08002B2CF9AE}" pid="8" name="APPELLEE">
    <vt:lpwstr>אלברט (בן מיכאל) אברמוב</vt:lpwstr>
  </property>
  <property fmtid="{D5CDD505-2E9C-101B-9397-08002B2CF9AE}" pid="9" name="LAWYER">
    <vt:lpwstr>אדם סרי;יובל זמר</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20200611</vt:lpwstr>
  </property>
  <property fmtid="{D5CDD505-2E9C-101B-9397-08002B2CF9AE}" pid="13" name="TYPE_N_DATE">
    <vt:lpwstr>39020200611</vt:lpwstr>
  </property>
  <property fmtid="{D5CDD505-2E9C-101B-9397-08002B2CF9AE}" pid="14" name="WORDNUMPAGES">
    <vt:lpwstr>6</vt:lpwstr>
  </property>
  <property fmtid="{D5CDD505-2E9C-101B-9397-08002B2CF9AE}" pid="15" name="TYPE_ABS_DATE">
    <vt:lpwstr>390020200611</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70301/144.b:4;192:4;275:4;040i:2;040d.a:2;144:2</vt:lpwstr>
  </property>
</Properties>
</file>