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267F0" w:rsidRPr="00EE6F46" w14:paraId="652C29C2" w14:textId="77777777" w:rsidTr="002A7EA7">
        <w:trPr>
          <w:trHeight w:hRule="exact" w:val="418"/>
          <w:jc w:val="center"/>
        </w:trPr>
        <w:tc>
          <w:tcPr>
            <w:tcW w:w="8721" w:type="dxa"/>
            <w:gridSpan w:val="2"/>
          </w:tcPr>
          <w:p w14:paraId="7B4A1C49" w14:textId="77777777" w:rsidR="00B267F0" w:rsidRPr="00EE6F46" w:rsidRDefault="00B267F0" w:rsidP="001F754C">
            <w:pPr>
              <w:pStyle w:val="a3"/>
              <w:jc w:val="center"/>
              <w:rPr>
                <w:rFonts w:ascii="Tahoma" w:hAnsi="Tahoma" w:cs="Tahoma"/>
                <w:color w:val="000080"/>
                <w:rtl/>
              </w:rPr>
            </w:pPr>
            <w:bookmarkStart w:id="0" w:name="FirstLawyer"/>
            <w:bookmarkStart w:id="1" w:name="LastJudge"/>
            <w:r w:rsidRPr="00EE6F46">
              <w:rPr>
                <w:rFonts w:ascii="Tahoma" w:hAnsi="Tahoma" w:cs="Tahoma"/>
                <w:b/>
                <w:bCs/>
                <w:color w:val="000080"/>
                <w:rtl/>
              </w:rPr>
              <w:t>בית המשפט המחוזי בירושלים</w:t>
            </w:r>
          </w:p>
        </w:tc>
      </w:tr>
      <w:tr w:rsidR="00B267F0" w:rsidRPr="00EE6F46" w14:paraId="4924E324" w14:textId="77777777" w:rsidTr="002A7EA7">
        <w:trPr>
          <w:trHeight w:val="337"/>
          <w:jc w:val="center"/>
        </w:trPr>
        <w:tc>
          <w:tcPr>
            <w:tcW w:w="5058" w:type="dxa"/>
          </w:tcPr>
          <w:p w14:paraId="6A4AE073" w14:textId="77777777" w:rsidR="00B267F0" w:rsidRPr="00EE6F46" w:rsidRDefault="00B267F0" w:rsidP="001F754C">
            <w:pPr>
              <w:rPr>
                <w:rFonts w:cs="FrankRuehl"/>
                <w:sz w:val="28"/>
                <w:szCs w:val="28"/>
                <w:rtl/>
              </w:rPr>
            </w:pPr>
            <w:r w:rsidRPr="00EE6F46">
              <w:rPr>
                <w:rFonts w:cs="FrankRuehl"/>
                <w:sz w:val="28"/>
                <w:szCs w:val="28"/>
                <w:rtl/>
              </w:rPr>
              <w:t>ת"פ</w:t>
            </w:r>
            <w:r w:rsidRPr="00EE6F46">
              <w:rPr>
                <w:rFonts w:cs="FrankRuehl" w:hint="cs"/>
                <w:sz w:val="28"/>
                <w:szCs w:val="28"/>
                <w:rtl/>
              </w:rPr>
              <w:t xml:space="preserve"> </w:t>
            </w:r>
            <w:r w:rsidRPr="00EE6F46">
              <w:rPr>
                <w:rFonts w:cs="FrankRuehl"/>
                <w:sz w:val="28"/>
                <w:szCs w:val="28"/>
                <w:rtl/>
              </w:rPr>
              <w:t>68008-11-19</w:t>
            </w:r>
            <w:r w:rsidRPr="00EE6F46">
              <w:rPr>
                <w:rFonts w:cs="FrankRuehl" w:hint="cs"/>
                <w:sz w:val="28"/>
                <w:szCs w:val="28"/>
                <w:rtl/>
              </w:rPr>
              <w:t xml:space="preserve"> </w:t>
            </w:r>
            <w:r w:rsidRPr="00EE6F46">
              <w:rPr>
                <w:rFonts w:cs="FrankRuehl"/>
                <w:sz w:val="28"/>
                <w:szCs w:val="28"/>
                <w:rtl/>
              </w:rPr>
              <w:t>מדינת ישראל נ' עאמר(עציר) ואח'</w:t>
            </w:r>
          </w:p>
          <w:p w14:paraId="559187F9" w14:textId="77777777" w:rsidR="00B267F0" w:rsidRPr="00EE6F46" w:rsidRDefault="00B267F0" w:rsidP="001F754C">
            <w:pPr>
              <w:pStyle w:val="a3"/>
              <w:rPr>
                <w:rFonts w:cs="FrankRuehl"/>
                <w:sz w:val="28"/>
                <w:szCs w:val="28"/>
                <w:rtl/>
              </w:rPr>
            </w:pPr>
          </w:p>
        </w:tc>
        <w:tc>
          <w:tcPr>
            <w:tcW w:w="3663" w:type="dxa"/>
          </w:tcPr>
          <w:p w14:paraId="4B1A4063" w14:textId="77777777" w:rsidR="00B267F0" w:rsidRPr="00EE6F46" w:rsidRDefault="00B267F0" w:rsidP="001F754C">
            <w:pPr>
              <w:pStyle w:val="a3"/>
              <w:jc w:val="right"/>
              <w:rPr>
                <w:rFonts w:cs="FrankRuehl"/>
                <w:sz w:val="28"/>
                <w:szCs w:val="28"/>
                <w:rtl/>
              </w:rPr>
            </w:pPr>
          </w:p>
        </w:tc>
      </w:tr>
    </w:tbl>
    <w:p w14:paraId="272AB95E" w14:textId="77777777" w:rsidR="00B267F0" w:rsidRPr="00EE6F46" w:rsidRDefault="00B267F0" w:rsidP="00B267F0">
      <w:pPr>
        <w:pStyle w:val="a3"/>
        <w:rPr>
          <w:rtl/>
        </w:rPr>
      </w:pPr>
      <w:r w:rsidRPr="00EE6F46">
        <w:rPr>
          <w:rFonts w:hint="cs"/>
          <w:rtl/>
        </w:rPr>
        <w:t xml:space="preserve"> </w:t>
      </w:r>
    </w:p>
    <w:p w14:paraId="2D160418" w14:textId="77777777" w:rsidR="00B267F0" w:rsidRPr="00EE6F46" w:rsidRDefault="00B267F0" w:rsidP="00B267F0">
      <w:pPr>
        <w:rPr>
          <w:rtl/>
        </w:rPr>
      </w:pPr>
    </w:p>
    <w:p w14:paraId="40A7E85B" w14:textId="77777777" w:rsidR="00B267F0" w:rsidRPr="00EE6F46" w:rsidRDefault="00B267F0" w:rsidP="00B267F0">
      <w:pPr>
        <w:rPr>
          <w:rtl/>
        </w:rPr>
      </w:pPr>
    </w:p>
    <w:p w14:paraId="0489CA85" w14:textId="77777777" w:rsidR="00B267F0" w:rsidRPr="00EE6F46" w:rsidRDefault="00B267F0" w:rsidP="00B267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267F0" w:rsidRPr="00EE6F46" w14:paraId="2DC9BFEB" w14:textId="77777777" w:rsidTr="00B267F0">
        <w:trPr>
          <w:trHeight w:val="295"/>
          <w:jc w:val="center"/>
        </w:trPr>
        <w:tc>
          <w:tcPr>
            <w:tcW w:w="923" w:type="dxa"/>
            <w:tcBorders>
              <w:top w:val="nil"/>
              <w:left w:val="nil"/>
              <w:bottom w:val="nil"/>
              <w:right w:val="nil"/>
            </w:tcBorders>
            <w:shd w:val="clear" w:color="auto" w:fill="auto"/>
          </w:tcPr>
          <w:p w14:paraId="352B1387" w14:textId="77777777" w:rsidR="00B267F0" w:rsidRPr="00EE6F46" w:rsidRDefault="00B267F0" w:rsidP="00B267F0">
            <w:pPr>
              <w:jc w:val="both"/>
              <w:rPr>
                <w:rFonts w:ascii="David" w:hAnsi="David"/>
                <w:sz w:val="26"/>
                <w:szCs w:val="26"/>
              </w:rPr>
            </w:pPr>
            <w:r w:rsidRPr="00EE6F4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098F942" w14:textId="77777777" w:rsidR="00B267F0" w:rsidRPr="00EE6F46" w:rsidRDefault="00B267F0" w:rsidP="001F754C">
            <w:pPr>
              <w:rPr>
                <w:rFonts w:ascii="David" w:hAnsi="David"/>
                <w:b/>
                <w:bCs/>
                <w:sz w:val="26"/>
                <w:szCs w:val="26"/>
                <w:rtl/>
              </w:rPr>
            </w:pPr>
            <w:r w:rsidRPr="00EE6F46">
              <w:rPr>
                <w:rFonts w:ascii="David" w:hAnsi="David"/>
                <w:b/>
                <w:bCs/>
                <w:sz w:val="26"/>
                <w:szCs w:val="26"/>
                <w:rtl/>
              </w:rPr>
              <w:t>כבוד השופטת  חגית מאק-קלמנוביץ</w:t>
            </w:r>
          </w:p>
          <w:p w14:paraId="179F434D" w14:textId="77777777" w:rsidR="00B267F0" w:rsidRPr="00EE6F46" w:rsidRDefault="00B267F0" w:rsidP="001F754C">
            <w:pPr>
              <w:rPr>
                <w:rFonts w:ascii="David" w:hAnsi="David"/>
                <w:sz w:val="26"/>
                <w:szCs w:val="26"/>
                <w:rtl/>
              </w:rPr>
            </w:pPr>
          </w:p>
          <w:p w14:paraId="53E5B125" w14:textId="77777777" w:rsidR="00B267F0" w:rsidRPr="00EE6F46" w:rsidRDefault="00B267F0" w:rsidP="00B267F0">
            <w:pPr>
              <w:jc w:val="both"/>
              <w:rPr>
                <w:rFonts w:ascii="David" w:hAnsi="David"/>
                <w:sz w:val="26"/>
                <w:szCs w:val="26"/>
              </w:rPr>
            </w:pPr>
          </w:p>
        </w:tc>
      </w:tr>
      <w:tr w:rsidR="00B267F0" w:rsidRPr="00EE6F46" w14:paraId="0C12F0A4" w14:textId="77777777" w:rsidTr="00B267F0">
        <w:trPr>
          <w:trHeight w:val="355"/>
          <w:jc w:val="center"/>
        </w:trPr>
        <w:tc>
          <w:tcPr>
            <w:tcW w:w="923" w:type="dxa"/>
            <w:tcBorders>
              <w:top w:val="nil"/>
              <w:left w:val="nil"/>
              <w:bottom w:val="nil"/>
              <w:right w:val="nil"/>
            </w:tcBorders>
            <w:shd w:val="clear" w:color="auto" w:fill="auto"/>
          </w:tcPr>
          <w:p w14:paraId="2FD46E4B" w14:textId="77777777" w:rsidR="00B267F0" w:rsidRPr="00EE6F46" w:rsidRDefault="00B267F0" w:rsidP="00B267F0">
            <w:pPr>
              <w:jc w:val="both"/>
              <w:rPr>
                <w:rFonts w:ascii="David" w:hAnsi="David"/>
                <w:sz w:val="26"/>
                <w:szCs w:val="26"/>
              </w:rPr>
            </w:pPr>
            <w:bookmarkStart w:id="2" w:name="FirstAppellant"/>
            <w:r w:rsidRPr="00EE6F46">
              <w:rPr>
                <w:rFonts w:ascii="David" w:hAnsi="David"/>
                <w:sz w:val="26"/>
                <w:szCs w:val="26"/>
                <w:rtl/>
              </w:rPr>
              <w:t>בעניין:</w:t>
            </w:r>
          </w:p>
        </w:tc>
        <w:tc>
          <w:tcPr>
            <w:tcW w:w="4126" w:type="dxa"/>
            <w:tcBorders>
              <w:top w:val="nil"/>
              <w:left w:val="nil"/>
              <w:bottom w:val="nil"/>
              <w:right w:val="nil"/>
            </w:tcBorders>
            <w:shd w:val="clear" w:color="auto" w:fill="auto"/>
          </w:tcPr>
          <w:p w14:paraId="0397F783" w14:textId="77777777" w:rsidR="00B267F0" w:rsidRPr="00EE6F46" w:rsidRDefault="00B267F0" w:rsidP="001F754C">
            <w:pPr>
              <w:rPr>
                <w:rFonts w:ascii="David" w:hAnsi="David"/>
                <w:sz w:val="26"/>
                <w:szCs w:val="26"/>
              </w:rPr>
            </w:pPr>
            <w:r w:rsidRPr="00EE6F46">
              <w:rPr>
                <w:rFonts w:ascii="David" w:hAnsi="David"/>
                <w:sz w:val="26"/>
                <w:szCs w:val="26"/>
                <w:rtl/>
              </w:rPr>
              <w:t>מדינת ישראל</w:t>
            </w:r>
            <w:r w:rsidRPr="00EE6F46">
              <w:rPr>
                <w:rFonts w:ascii="David" w:hAnsi="David"/>
                <w:sz w:val="26"/>
                <w:szCs w:val="26"/>
                <w:rtl/>
              </w:rPr>
              <w:br/>
            </w:r>
            <w:r w:rsidRPr="00EE6F46">
              <w:rPr>
                <w:rFonts w:ascii="David" w:hAnsi="David" w:hint="cs"/>
                <w:sz w:val="26"/>
                <w:szCs w:val="26"/>
                <w:rtl/>
              </w:rPr>
              <w:t>ע"י פרקליטות מחוז ירושלים (פלילי)</w:t>
            </w:r>
          </w:p>
        </w:tc>
        <w:tc>
          <w:tcPr>
            <w:tcW w:w="3771" w:type="dxa"/>
            <w:tcBorders>
              <w:top w:val="nil"/>
              <w:left w:val="nil"/>
              <w:bottom w:val="nil"/>
              <w:right w:val="nil"/>
            </w:tcBorders>
            <w:shd w:val="clear" w:color="auto" w:fill="auto"/>
          </w:tcPr>
          <w:p w14:paraId="77FEFBE8" w14:textId="77777777" w:rsidR="00B267F0" w:rsidRPr="00EE6F46" w:rsidRDefault="00B267F0" w:rsidP="00B267F0">
            <w:pPr>
              <w:jc w:val="both"/>
              <w:rPr>
                <w:rFonts w:ascii="David" w:hAnsi="David"/>
                <w:sz w:val="26"/>
                <w:szCs w:val="26"/>
              </w:rPr>
            </w:pPr>
          </w:p>
        </w:tc>
      </w:tr>
      <w:bookmarkEnd w:id="2"/>
      <w:tr w:rsidR="00B267F0" w:rsidRPr="00EE6F46" w14:paraId="70B0531C" w14:textId="77777777" w:rsidTr="00B267F0">
        <w:trPr>
          <w:trHeight w:val="355"/>
          <w:jc w:val="center"/>
        </w:trPr>
        <w:tc>
          <w:tcPr>
            <w:tcW w:w="923" w:type="dxa"/>
            <w:tcBorders>
              <w:top w:val="nil"/>
              <w:left w:val="nil"/>
              <w:bottom w:val="nil"/>
              <w:right w:val="nil"/>
            </w:tcBorders>
            <w:shd w:val="clear" w:color="auto" w:fill="auto"/>
          </w:tcPr>
          <w:p w14:paraId="4DA672B5" w14:textId="77777777" w:rsidR="00B267F0" w:rsidRPr="00EE6F46" w:rsidRDefault="00B267F0" w:rsidP="00B267F0">
            <w:pPr>
              <w:jc w:val="both"/>
              <w:rPr>
                <w:rFonts w:ascii="David" w:hAnsi="David"/>
                <w:sz w:val="26"/>
                <w:szCs w:val="26"/>
                <w:rtl/>
              </w:rPr>
            </w:pPr>
          </w:p>
        </w:tc>
        <w:tc>
          <w:tcPr>
            <w:tcW w:w="4126" w:type="dxa"/>
            <w:tcBorders>
              <w:top w:val="nil"/>
              <w:left w:val="nil"/>
              <w:bottom w:val="nil"/>
              <w:right w:val="nil"/>
            </w:tcBorders>
            <w:shd w:val="clear" w:color="auto" w:fill="auto"/>
          </w:tcPr>
          <w:p w14:paraId="058B6D43" w14:textId="77777777" w:rsidR="00B267F0" w:rsidRPr="00EE6F46" w:rsidRDefault="00B267F0" w:rsidP="00B267F0">
            <w:pPr>
              <w:jc w:val="both"/>
              <w:rPr>
                <w:rFonts w:ascii="David" w:hAnsi="David"/>
                <w:sz w:val="26"/>
                <w:szCs w:val="26"/>
                <w:rtl/>
              </w:rPr>
            </w:pPr>
          </w:p>
        </w:tc>
        <w:tc>
          <w:tcPr>
            <w:tcW w:w="3771" w:type="dxa"/>
            <w:tcBorders>
              <w:top w:val="nil"/>
              <w:left w:val="nil"/>
              <w:bottom w:val="nil"/>
              <w:right w:val="nil"/>
            </w:tcBorders>
            <w:shd w:val="clear" w:color="auto" w:fill="auto"/>
          </w:tcPr>
          <w:p w14:paraId="50EB5F35" w14:textId="77777777" w:rsidR="00B267F0" w:rsidRPr="00EE6F46" w:rsidRDefault="00B267F0" w:rsidP="00B267F0">
            <w:pPr>
              <w:jc w:val="right"/>
              <w:rPr>
                <w:rFonts w:ascii="David" w:hAnsi="David"/>
                <w:sz w:val="26"/>
                <w:szCs w:val="26"/>
                <w:rtl/>
              </w:rPr>
            </w:pPr>
            <w:r w:rsidRPr="00EE6F46">
              <w:rPr>
                <w:rFonts w:ascii="David" w:hAnsi="David"/>
                <w:sz w:val="26"/>
                <w:szCs w:val="26"/>
                <w:rtl/>
              </w:rPr>
              <w:t>המאשימה</w:t>
            </w:r>
          </w:p>
        </w:tc>
      </w:tr>
      <w:tr w:rsidR="00B267F0" w:rsidRPr="00EE6F46" w14:paraId="4C4DB428" w14:textId="77777777" w:rsidTr="00B267F0">
        <w:trPr>
          <w:trHeight w:val="355"/>
          <w:jc w:val="center"/>
        </w:trPr>
        <w:tc>
          <w:tcPr>
            <w:tcW w:w="923" w:type="dxa"/>
            <w:tcBorders>
              <w:top w:val="nil"/>
              <w:left w:val="nil"/>
              <w:bottom w:val="nil"/>
              <w:right w:val="nil"/>
            </w:tcBorders>
            <w:shd w:val="clear" w:color="auto" w:fill="auto"/>
          </w:tcPr>
          <w:p w14:paraId="377157BA" w14:textId="77777777" w:rsidR="00B267F0" w:rsidRPr="00EE6F46" w:rsidRDefault="00B267F0" w:rsidP="00B267F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23F4C78" w14:textId="77777777" w:rsidR="00B267F0" w:rsidRPr="00EE6F46" w:rsidRDefault="00B267F0" w:rsidP="00B267F0">
            <w:pPr>
              <w:jc w:val="center"/>
              <w:rPr>
                <w:rFonts w:ascii="David" w:hAnsi="David"/>
                <w:b/>
                <w:bCs/>
                <w:sz w:val="26"/>
                <w:szCs w:val="26"/>
                <w:rtl/>
              </w:rPr>
            </w:pPr>
          </w:p>
          <w:p w14:paraId="21655F87" w14:textId="77777777" w:rsidR="00B267F0" w:rsidRPr="00EE6F46" w:rsidRDefault="00B267F0" w:rsidP="00B267F0">
            <w:pPr>
              <w:jc w:val="center"/>
              <w:rPr>
                <w:rFonts w:ascii="David" w:hAnsi="David"/>
                <w:b/>
                <w:bCs/>
                <w:sz w:val="26"/>
                <w:szCs w:val="26"/>
                <w:rtl/>
              </w:rPr>
            </w:pPr>
            <w:r w:rsidRPr="00EE6F46">
              <w:rPr>
                <w:rFonts w:ascii="David" w:hAnsi="David"/>
                <w:b/>
                <w:bCs/>
                <w:sz w:val="26"/>
                <w:szCs w:val="26"/>
                <w:rtl/>
              </w:rPr>
              <w:t>נגד</w:t>
            </w:r>
          </w:p>
          <w:p w14:paraId="490E7FE8" w14:textId="77777777" w:rsidR="00B267F0" w:rsidRPr="00EE6F46" w:rsidRDefault="00B267F0" w:rsidP="00B267F0">
            <w:pPr>
              <w:jc w:val="both"/>
              <w:rPr>
                <w:rFonts w:ascii="David" w:hAnsi="David"/>
                <w:sz w:val="26"/>
                <w:szCs w:val="26"/>
              </w:rPr>
            </w:pPr>
          </w:p>
        </w:tc>
      </w:tr>
      <w:tr w:rsidR="00B267F0" w:rsidRPr="00EE6F46" w14:paraId="50214C0A" w14:textId="77777777" w:rsidTr="00B267F0">
        <w:trPr>
          <w:trHeight w:val="355"/>
          <w:jc w:val="center"/>
        </w:trPr>
        <w:tc>
          <w:tcPr>
            <w:tcW w:w="923" w:type="dxa"/>
            <w:tcBorders>
              <w:top w:val="nil"/>
              <w:left w:val="nil"/>
              <w:bottom w:val="nil"/>
              <w:right w:val="nil"/>
            </w:tcBorders>
            <w:shd w:val="clear" w:color="auto" w:fill="auto"/>
          </w:tcPr>
          <w:p w14:paraId="5C054A4E" w14:textId="77777777" w:rsidR="00B267F0" w:rsidRPr="00EE6F46" w:rsidRDefault="00B267F0" w:rsidP="001F754C">
            <w:pPr>
              <w:rPr>
                <w:rFonts w:ascii="David" w:hAnsi="David"/>
                <w:sz w:val="26"/>
                <w:szCs w:val="26"/>
                <w:rtl/>
              </w:rPr>
            </w:pPr>
          </w:p>
        </w:tc>
        <w:tc>
          <w:tcPr>
            <w:tcW w:w="4126" w:type="dxa"/>
            <w:tcBorders>
              <w:top w:val="nil"/>
              <w:left w:val="nil"/>
              <w:bottom w:val="nil"/>
              <w:right w:val="nil"/>
            </w:tcBorders>
            <w:shd w:val="clear" w:color="auto" w:fill="auto"/>
          </w:tcPr>
          <w:p w14:paraId="52008221" w14:textId="77777777" w:rsidR="00B267F0" w:rsidRPr="00EE6F46" w:rsidRDefault="00B267F0" w:rsidP="001F754C">
            <w:pPr>
              <w:rPr>
                <w:rFonts w:ascii="David" w:hAnsi="David"/>
                <w:sz w:val="26"/>
                <w:szCs w:val="26"/>
                <w:rtl/>
              </w:rPr>
            </w:pPr>
            <w:r w:rsidRPr="00EE6F46">
              <w:rPr>
                <w:rFonts w:ascii="David" w:hAnsi="David"/>
                <w:sz w:val="26"/>
                <w:szCs w:val="26"/>
                <w:rtl/>
              </w:rPr>
              <w:t>1.איקרימה עאמר (עציר)</w:t>
            </w:r>
          </w:p>
          <w:p w14:paraId="788D0620" w14:textId="77777777" w:rsidR="00B267F0" w:rsidRPr="00EE6F46" w:rsidRDefault="00B267F0" w:rsidP="001F754C">
            <w:pPr>
              <w:rPr>
                <w:rFonts w:ascii="David" w:hAnsi="David"/>
                <w:sz w:val="26"/>
                <w:szCs w:val="26"/>
                <w:rtl/>
              </w:rPr>
            </w:pPr>
            <w:r w:rsidRPr="00EE6F46">
              <w:rPr>
                <w:rFonts w:ascii="David" w:hAnsi="David"/>
                <w:sz w:val="26"/>
                <w:szCs w:val="26"/>
                <w:rtl/>
              </w:rPr>
              <w:t>2.בקר אבו חביב</w:t>
            </w:r>
            <w:r w:rsidRPr="00EE6F46">
              <w:rPr>
                <w:rFonts w:ascii="David" w:hAnsi="David"/>
                <w:sz w:val="26"/>
                <w:szCs w:val="26"/>
                <w:rtl/>
              </w:rPr>
              <w:br/>
            </w:r>
            <w:r w:rsidRPr="00EE6F46">
              <w:rPr>
                <w:rFonts w:ascii="David" w:hAnsi="David" w:hint="cs"/>
                <w:sz w:val="26"/>
                <w:szCs w:val="26"/>
                <w:rtl/>
              </w:rPr>
              <w:t>ע"י ב"כ עוה"ד נדיר בראנסי ואורי בר עוז</w:t>
            </w:r>
          </w:p>
        </w:tc>
        <w:tc>
          <w:tcPr>
            <w:tcW w:w="3771" w:type="dxa"/>
            <w:tcBorders>
              <w:top w:val="nil"/>
              <w:left w:val="nil"/>
              <w:bottom w:val="nil"/>
              <w:right w:val="nil"/>
            </w:tcBorders>
            <w:shd w:val="clear" w:color="auto" w:fill="auto"/>
          </w:tcPr>
          <w:p w14:paraId="5530E72B" w14:textId="77777777" w:rsidR="00B267F0" w:rsidRPr="00EE6F46" w:rsidRDefault="00B267F0" w:rsidP="00B267F0">
            <w:pPr>
              <w:jc w:val="right"/>
              <w:rPr>
                <w:rFonts w:ascii="David" w:hAnsi="David"/>
                <w:sz w:val="26"/>
                <w:szCs w:val="26"/>
              </w:rPr>
            </w:pPr>
          </w:p>
        </w:tc>
      </w:tr>
      <w:tr w:rsidR="00B267F0" w:rsidRPr="00EE6F46" w14:paraId="770D894D" w14:textId="77777777" w:rsidTr="00B267F0">
        <w:trPr>
          <w:trHeight w:val="355"/>
          <w:jc w:val="center"/>
        </w:trPr>
        <w:tc>
          <w:tcPr>
            <w:tcW w:w="923" w:type="dxa"/>
            <w:tcBorders>
              <w:top w:val="nil"/>
              <w:left w:val="nil"/>
              <w:bottom w:val="nil"/>
              <w:right w:val="nil"/>
            </w:tcBorders>
            <w:shd w:val="clear" w:color="auto" w:fill="auto"/>
          </w:tcPr>
          <w:p w14:paraId="286EF94C" w14:textId="77777777" w:rsidR="00B267F0" w:rsidRPr="00EE6F46" w:rsidRDefault="00B267F0" w:rsidP="00B267F0">
            <w:pPr>
              <w:jc w:val="both"/>
              <w:rPr>
                <w:rFonts w:ascii="David" w:hAnsi="David"/>
                <w:sz w:val="26"/>
                <w:szCs w:val="26"/>
                <w:rtl/>
              </w:rPr>
            </w:pPr>
          </w:p>
        </w:tc>
        <w:tc>
          <w:tcPr>
            <w:tcW w:w="4126" w:type="dxa"/>
            <w:tcBorders>
              <w:top w:val="nil"/>
              <w:left w:val="nil"/>
              <w:bottom w:val="nil"/>
              <w:right w:val="nil"/>
            </w:tcBorders>
            <w:shd w:val="clear" w:color="auto" w:fill="auto"/>
          </w:tcPr>
          <w:p w14:paraId="445E8E09" w14:textId="77777777" w:rsidR="00B267F0" w:rsidRPr="00EE6F46" w:rsidRDefault="00B267F0" w:rsidP="00B267F0">
            <w:pPr>
              <w:jc w:val="both"/>
              <w:rPr>
                <w:rFonts w:ascii="David" w:hAnsi="David"/>
                <w:sz w:val="26"/>
                <w:szCs w:val="26"/>
                <w:rtl/>
              </w:rPr>
            </w:pPr>
          </w:p>
        </w:tc>
        <w:tc>
          <w:tcPr>
            <w:tcW w:w="3771" w:type="dxa"/>
            <w:tcBorders>
              <w:top w:val="nil"/>
              <w:left w:val="nil"/>
              <w:bottom w:val="nil"/>
              <w:right w:val="nil"/>
            </w:tcBorders>
            <w:shd w:val="clear" w:color="auto" w:fill="auto"/>
          </w:tcPr>
          <w:p w14:paraId="7A7BB64C" w14:textId="77777777" w:rsidR="00B267F0" w:rsidRPr="00EE6F46" w:rsidRDefault="00B267F0" w:rsidP="00B267F0">
            <w:pPr>
              <w:jc w:val="right"/>
              <w:rPr>
                <w:rFonts w:ascii="David" w:hAnsi="David"/>
                <w:sz w:val="26"/>
                <w:szCs w:val="26"/>
              </w:rPr>
            </w:pPr>
            <w:r w:rsidRPr="00EE6F46">
              <w:rPr>
                <w:rFonts w:ascii="David" w:hAnsi="David"/>
                <w:sz w:val="26"/>
                <w:szCs w:val="26"/>
                <w:rtl/>
              </w:rPr>
              <w:t>הנאשמים</w:t>
            </w:r>
          </w:p>
        </w:tc>
      </w:tr>
    </w:tbl>
    <w:p w14:paraId="5D594D60" w14:textId="77777777" w:rsidR="002A7EA7" w:rsidRDefault="002A7EA7" w:rsidP="00EE6F46">
      <w:pPr>
        <w:rPr>
          <w:sz w:val="26"/>
          <w:szCs w:val="26"/>
          <w:rtl/>
        </w:rPr>
      </w:pPr>
    </w:p>
    <w:p w14:paraId="45FA4633" w14:textId="77777777" w:rsidR="002A7EA7" w:rsidRPr="002A7EA7" w:rsidRDefault="002A7EA7" w:rsidP="002A7EA7">
      <w:pPr>
        <w:spacing w:after="120" w:line="240" w:lineRule="exact"/>
        <w:ind w:left="283" w:hanging="283"/>
        <w:jc w:val="both"/>
        <w:rPr>
          <w:rFonts w:ascii="FrankRuehl" w:hAnsi="FrankRuehl" w:cs="FrankRuehl"/>
          <w:rtl/>
        </w:rPr>
      </w:pPr>
    </w:p>
    <w:p w14:paraId="2D63E2B4" w14:textId="77777777" w:rsidR="00F7153A" w:rsidRDefault="00F7153A" w:rsidP="00F7153A">
      <w:pPr>
        <w:rPr>
          <w:sz w:val="26"/>
          <w:szCs w:val="26"/>
          <w:rtl/>
        </w:rPr>
      </w:pPr>
      <w:bookmarkStart w:id="3" w:name="LawTable"/>
      <w:bookmarkEnd w:id="3"/>
    </w:p>
    <w:p w14:paraId="6BFCD480" w14:textId="77777777" w:rsidR="00F7153A" w:rsidRPr="00F7153A" w:rsidRDefault="00F7153A" w:rsidP="00F7153A">
      <w:pPr>
        <w:spacing w:before="120" w:after="120" w:line="240" w:lineRule="exact"/>
        <w:ind w:left="283" w:hanging="283"/>
        <w:jc w:val="both"/>
        <w:rPr>
          <w:rFonts w:ascii="FrankRuehl" w:hAnsi="FrankRuehl" w:cs="FrankRuehl"/>
          <w:rtl/>
        </w:rPr>
      </w:pPr>
    </w:p>
    <w:p w14:paraId="5D712CC8" w14:textId="77777777" w:rsidR="00F7153A" w:rsidRPr="00F7153A" w:rsidRDefault="00F7153A" w:rsidP="00F7153A">
      <w:pPr>
        <w:spacing w:before="120" w:after="120" w:line="240" w:lineRule="exact"/>
        <w:ind w:left="283" w:hanging="283"/>
        <w:jc w:val="both"/>
        <w:rPr>
          <w:rFonts w:ascii="FrankRuehl" w:hAnsi="FrankRuehl" w:cs="FrankRuehl"/>
          <w:rtl/>
        </w:rPr>
      </w:pPr>
    </w:p>
    <w:p w14:paraId="59CFDF47" w14:textId="77777777" w:rsidR="00F7153A" w:rsidRPr="00F7153A" w:rsidRDefault="00F7153A" w:rsidP="00F7153A">
      <w:pPr>
        <w:spacing w:before="120" w:after="120" w:line="240" w:lineRule="exact"/>
        <w:ind w:left="283" w:hanging="283"/>
        <w:jc w:val="both"/>
        <w:rPr>
          <w:rFonts w:ascii="FrankRuehl" w:hAnsi="FrankRuehl" w:cs="FrankRuehl"/>
          <w:rtl/>
        </w:rPr>
      </w:pPr>
      <w:r w:rsidRPr="00F7153A">
        <w:rPr>
          <w:rFonts w:ascii="FrankRuehl" w:hAnsi="FrankRuehl" w:cs="FrankRuehl"/>
          <w:rtl/>
        </w:rPr>
        <w:t xml:space="preserve">חקיקה שאוזכרה: </w:t>
      </w:r>
    </w:p>
    <w:p w14:paraId="16B592D8" w14:textId="77777777" w:rsidR="00F7153A" w:rsidRPr="00F7153A" w:rsidRDefault="00F7153A" w:rsidP="00F7153A">
      <w:pPr>
        <w:spacing w:before="120" w:after="120" w:line="240" w:lineRule="exact"/>
        <w:ind w:left="283" w:hanging="283"/>
        <w:jc w:val="both"/>
        <w:rPr>
          <w:rFonts w:ascii="FrankRuehl" w:hAnsi="FrankRuehl" w:cs="FrankRuehl"/>
          <w:rtl/>
        </w:rPr>
      </w:pPr>
      <w:hyperlink r:id="rId7" w:history="1">
        <w:r w:rsidRPr="00F7153A">
          <w:rPr>
            <w:rFonts w:ascii="FrankRuehl" w:hAnsi="FrankRuehl" w:cs="FrankRuehl"/>
            <w:color w:val="0000FF"/>
            <w:rtl/>
          </w:rPr>
          <w:t>חוק העונשין, תשל"ז-1977</w:t>
        </w:r>
      </w:hyperlink>
      <w:r w:rsidRPr="00F7153A">
        <w:rPr>
          <w:rFonts w:ascii="FrankRuehl" w:hAnsi="FrankRuehl" w:cs="FrankRuehl"/>
          <w:rtl/>
        </w:rPr>
        <w:t xml:space="preserve">: סע'  </w:t>
      </w:r>
      <w:hyperlink r:id="rId8" w:history="1">
        <w:r w:rsidRPr="00F7153A">
          <w:rPr>
            <w:rFonts w:ascii="FrankRuehl" w:hAnsi="FrankRuehl" w:cs="FrankRuehl"/>
            <w:color w:val="0000FF"/>
            <w:rtl/>
          </w:rPr>
          <w:t>31</w:t>
        </w:r>
      </w:hyperlink>
      <w:r w:rsidRPr="00F7153A">
        <w:rPr>
          <w:rFonts w:ascii="FrankRuehl" w:hAnsi="FrankRuehl" w:cs="FrankRuehl"/>
          <w:rtl/>
        </w:rPr>
        <w:t xml:space="preserve">, </w:t>
      </w:r>
      <w:hyperlink r:id="rId9" w:history="1">
        <w:r w:rsidRPr="00F7153A">
          <w:rPr>
            <w:rFonts w:ascii="FrankRuehl" w:hAnsi="FrankRuehl" w:cs="FrankRuehl"/>
            <w:color w:val="0000FF"/>
            <w:rtl/>
          </w:rPr>
          <w:t>144(א)</w:t>
        </w:r>
      </w:hyperlink>
      <w:r w:rsidRPr="00F7153A">
        <w:rPr>
          <w:rFonts w:ascii="FrankRuehl" w:hAnsi="FrankRuehl" w:cs="FrankRuehl"/>
          <w:rtl/>
        </w:rPr>
        <w:t xml:space="preserve">, </w:t>
      </w:r>
      <w:hyperlink r:id="rId10" w:history="1">
        <w:r w:rsidRPr="00F7153A">
          <w:rPr>
            <w:rFonts w:ascii="FrankRuehl" w:hAnsi="FrankRuehl" w:cs="FrankRuehl"/>
            <w:color w:val="0000FF"/>
            <w:rtl/>
          </w:rPr>
          <w:t>144(ב)</w:t>
        </w:r>
      </w:hyperlink>
    </w:p>
    <w:p w14:paraId="4ECF1919" w14:textId="77777777" w:rsidR="00F7153A" w:rsidRPr="00F7153A" w:rsidRDefault="00F7153A" w:rsidP="00F7153A">
      <w:pPr>
        <w:rPr>
          <w:sz w:val="26"/>
          <w:szCs w:val="26"/>
          <w:rtl/>
        </w:rPr>
      </w:pPr>
      <w:bookmarkStart w:id="4" w:name="LawTable_End"/>
      <w:bookmarkEnd w:id="4"/>
    </w:p>
    <w:p w14:paraId="7A02A97F" w14:textId="77777777" w:rsidR="00B267F0" w:rsidRPr="00EE6F46" w:rsidRDefault="00B267F0" w:rsidP="00B267F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67F0" w14:paraId="770B651D" w14:textId="77777777" w:rsidTr="00B267F0">
        <w:trPr>
          <w:trHeight w:val="355"/>
          <w:jc w:val="center"/>
        </w:trPr>
        <w:tc>
          <w:tcPr>
            <w:tcW w:w="8820" w:type="dxa"/>
            <w:tcBorders>
              <w:top w:val="nil"/>
              <w:left w:val="nil"/>
              <w:bottom w:val="nil"/>
              <w:right w:val="nil"/>
            </w:tcBorders>
            <w:shd w:val="clear" w:color="auto" w:fill="auto"/>
          </w:tcPr>
          <w:p w14:paraId="532D7009" w14:textId="77777777" w:rsidR="00EE6F46" w:rsidRPr="00EE6F46" w:rsidRDefault="00EE6F46" w:rsidP="00EE6F46">
            <w:pPr>
              <w:jc w:val="center"/>
              <w:rPr>
                <w:rFonts w:ascii="David" w:hAnsi="David"/>
                <w:b/>
                <w:bCs/>
                <w:sz w:val="32"/>
                <w:szCs w:val="32"/>
                <w:u w:val="single"/>
                <w:rtl/>
              </w:rPr>
            </w:pPr>
            <w:bookmarkStart w:id="5" w:name="PsakDin" w:colFirst="0" w:colLast="0"/>
            <w:bookmarkEnd w:id="0"/>
            <w:bookmarkEnd w:id="1"/>
            <w:r w:rsidRPr="00EE6F46">
              <w:rPr>
                <w:rFonts w:ascii="David" w:hAnsi="David"/>
                <w:b/>
                <w:bCs/>
                <w:sz w:val="32"/>
                <w:szCs w:val="32"/>
                <w:u w:val="single"/>
                <w:rtl/>
              </w:rPr>
              <w:t>גזר דין לנאשם 2</w:t>
            </w:r>
          </w:p>
          <w:p w14:paraId="112FEFB3" w14:textId="77777777" w:rsidR="00B267F0" w:rsidRPr="00EE6F46" w:rsidRDefault="00B267F0" w:rsidP="00EE6F46">
            <w:pPr>
              <w:jc w:val="center"/>
              <w:rPr>
                <w:rFonts w:ascii="David" w:hAnsi="David"/>
                <w:bCs/>
                <w:sz w:val="32"/>
                <w:szCs w:val="32"/>
                <w:u w:val="single"/>
                <w:rtl/>
              </w:rPr>
            </w:pPr>
          </w:p>
        </w:tc>
      </w:tr>
      <w:bookmarkEnd w:id="5"/>
    </w:tbl>
    <w:p w14:paraId="0B33077E" w14:textId="77777777" w:rsidR="00B267F0" w:rsidRPr="002B7D23" w:rsidRDefault="00B267F0" w:rsidP="00B267F0">
      <w:pPr>
        <w:rPr>
          <w:rFonts w:ascii="David" w:hAnsi="David"/>
          <w:sz w:val="26"/>
          <w:szCs w:val="26"/>
          <w:rtl/>
        </w:rPr>
      </w:pPr>
    </w:p>
    <w:p w14:paraId="3FB32D49" w14:textId="77777777" w:rsidR="00B267F0" w:rsidRPr="002B7D23" w:rsidRDefault="00B267F0" w:rsidP="00B267F0">
      <w:pPr>
        <w:rPr>
          <w:rFonts w:ascii="David" w:hAnsi="David"/>
          <w:sz w:val="26"/>
          <w:szCs w:val="26"/>
          <w:rtl/>
        </w:rPr>
      </w:pPr>
    </w:p>
    <w:p w14:paraId="57DD326B" w14:textId="77777777" w:rsidR="00B267F0" w:rsidRPr="007D6C24" w:rsidRDefault="00B267F0" w:rsidP="00B267F0">
      <w:pPr>
        <w:spacing w:after="240" w:line="360" w:lineRule="auto"/>
        <w:jc w:val="both"/>
        <w:rPr>
          <w:rFonts w:ascii="David" w:hAnsi="David"/>
          <w:b/>
          <w:bCs/>
          <w:sz w:val="26"/>
          <w:szCs w:val="26"/>
          <w:u w:val="single"/>
          <w:rtl/>
        </w:rPr>
      </w:pPr>
      <w:r w:rsidRPr="007D6C24">
        <w:rPr>
          <w:rFonts w:ascii="David" w:hAnsi="David" w:hint="cs"/>
          <w:b/>
          <w:bCs/>
          <w:sz w:val="26"/>
          <w:szCs w:val="26"/>
          <w:u w:val="single"/>
          <w:rtl/>
        </w:rPr>
        <w:t>העובדות וטענות הצדדים</w:t>
      </w:r>
    </w:p>
    <w:p w14:paraId="5BE41819"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6" w:name="ABSTRACT_START"/>
      <w:bookmarkEnd w:id="6"/>
      <w:r>
        <w:rPr>
          <w:rFonts w:ascii="David" w:hAnsi="David" w:hint="cs"/>
          <w:sz w:val="26"/>
          <w:szCs w:val="26"/>
          <w:rtl/>
        </w:rPr>
        <w:t xml:space="preserve">נאשם 2 (להלן: הנאשם) הודה והורשע במסגרת הסדר טיעון בכתב אישום מתוקן בעבירות של סיוע לרכישת נשק וחלקי נשק, עבירה לפי </w:t>
      </w:r>
      <w:hyperlink r:id="rId11" w:history="1">
        <w:r w:rsidR="002A7EA7" w:rsidRPr="002A7EA7">
          <w:rPr>
            <w:rStyle w:val="Hyperlink"/>
            <w:rFonts w:ascii="David" w:hAnsi="David" w:hint="eastAsia"/>
            <w:sz w:val="26"/>
            <w:szCs w:val="26"/>
            <w:rtl/>
          </w:rPr>
          <w:t>סעיף</w:t>
        </w:r>
        <w:r w:rsidR="002A7EA7" w:rsidRPr="002A7EA7">
          <w:rPr>
            <w:rStyle w:val="Hyperlink"/>
            <w:rFonts w:ascii="David" w:hAnsi="David"/>
            <w:sz w:val="26"/>
            <w:szCs w:val="26"/>
            <w:rtl/>
          </w:rPr>
          <w:t xml:space="preserve"> 144(א)</w:t>
        </w:r>
      </w:hyperlink>
      <w:r>
        <w:rPr>
          <w:rFonts w:ascii="David" w:hAnsi="David" w:hint="cs"/>
          <w:sz w:val="26"/>
          <w:szCs w:val="26"/>
          <w:rtl/>
        </w:rPr>
        <w:t xml:space="preserve"> בצירוף </w:t>
      </w:r>
      <w:hyperlink r:id="rId12" w:history="1">
        <w:r w:rsidR="002A7EA7" w:rsidRPr="002A7EA7">
          <w:rPr>
            <w:rStyle w:val="Hyperlink"/>
            <w:rFonts w:ascii="David" w:hAnsi="David" w:hint="eastAsia"/>
            <w:sz w:val="26"/>
            <w:szCs w:val="26"/>
            <w:rtl/>
          </w:rPr>
          <w:t>סעיף</w:t>
        </w:r>
        <w:r w:rsidR="002A7EA7" w:rsidRPr="002A7EA7">
          <w:rPr>
            <w:rStyle w:val="Hyperlink"/>
            <w:rFonts w:ascii="David" w:hAnsi="David"/>
            <w:sz w:val="26"/>
            <w:szCs w:val="26"/>
            <w:rtl/>
          </w:rPr>
          <w:t xml:space="preserve"> 31</w:t>
        </w:r>
      </w:hyperlink>
      <w:r>
        <w:rPr>
          <w:rFonts w:ascii="David" w:hAnsi="David" w:hint="cs"/>
          <w:sz w:val="26"/>
          <w:szCs w:val="26"/>
          <w:rtl/>
        </w:rPr>
        <w:t xml:space="preserve"> רישא וסיפר ל</w:t>
      </w:r>
      <w:hyperlink r:id="rId13" w:history="1">
        <w:r w:rsidR="00EE6F46" w:rsidRPr="00EE6F46">
          <w:rPr>
            <w:rFonts w:ascii="David" w:hAnsi="David"/>
            <w:color w:val="0000FF"/>
            <w:sz w:val="26"/>
            <w:szCs w:val="26"/>
            <w:u w:val="single"/>
            <w:rtl/>
          </w:rPr>
          <w:t>חוק העונשין</w:t>
        </w:r>
      </w:hyperlink>
      <w:r>
        <w:rPr>
          <w:rFonts w:ascii="David" w:hAnsi="David" w:hint="cs"/>
          <w:sz w:val="26"/>
          <w:szCs w:val="26"/>
          <w:rtl/>
        </w:rPr>
        <w:t xml:space="preserve"> תשל"ז-1977 (להלן: חוק העונשין), ובסיוע לנשיאת והובלת נשק וחלקי נשק, עבירה לפי </w:t>
      </w:r>
      <w:hyperlink r:id="rId14" w:history="1">
        <w:r w:rsidR="002A7EA7" w:rsidRPr="002A7EA7">
          <w:rPr>
            <w:rStyle w:val="Hyperlink"/>
            <w:rFonts w:ascii="David" w:hAnsi="David" w:hint="eastAsia"/>
            <w:sz w:val="26"/>
            <w:szCs w:val="26"/>
            <w:rtl/>
          </w:rPr>
          <w:t>סעיף</w:t>
        </w:r>
        <w:r w:rsidR="002A7EA7" w:rsidRPr="002A7EA7">
          <w:rPr>
            <w:rStyle w:val="Hyperlink"/>
            <w:rFonts w:ascii="David" w:hAnsi="David"/>
            <w:sz w:val="26"/>
            <w:szCs w:val="26"/>
            <w:rtl/>
          </w:rPr>
          <w:t xml:space="preserve"> 144(ב)</w:t>
        </w:r>
      </w:hyperlink>
      <w:r>
        <w:rPr>
          <w:rFonts w:ascii="David" w:hAnsi="David" w:hint="cs"/>
          <w:sz w:val="26"/>
          <w:szCs w:val="26"/>
          <w:rtl/>
        </w:rPr>
        <w:t xml:space="preserve"> רישא וסיפר בצירוף </w:t>
      </w:r>
      <w:hyperlink r:id="rId15" w:history="1">
        <w:r w:rsidR="002A7EA7" w:rsidRPr="002A7EA7">
          <w:rPr>
            <w:rStyle w:val="Hyperlink"/>
            <w:rFonts w:ascii="David" w:hAnsi="David" w:hint="eastAsia"/>
            <w:sz w:val="26"/>
            <w:szCs w:val="26"/>
            <w:rtl/>
          </w:rPr>
          <w:t>סעיף</w:t>
        </w:r>
        <w:r w:rsidR="002A7EA7" w:rsidRPr="002A7EA7">
          <w:rPr>
            <w:rStyle w:val="Hyperlink"/>
            <w:rFonts w:ascii="David" w:hAnsi="David"/>
            <w:sz w:val="26"/>
            <w:szCs w:val="26"/>
            <w:rtl/>
          </w:rPr>
          <w:t xml:space="preserve"> 31</w:t>
        </w:r>
      </w:hyperlink>
      <w:r>
        <w:rPr>
          <w:rFonts w:ascii="David" w:hAnsi="David" w:hint="cs"/>
          <w:sz w:val="26"/>
          <w:szCs w:val="26"/>
          <w:rtl/>
        </w:rPr>
        <w:t xml:space="preserve"> לחוק. </w:t>
      </w:r>
    </w:p>
    <w:p w14:paraId="587D6021" w14:textId="77777777" w:rsidR="00B267F0" w:rsidRDefault="00B267F0" w:rsidP="00B267F0">
      <w:pPr>
        <w:spacing w:after="240" w:line="360" w:lineRule="auto"/>
        <w:jc w:val="both"/>
        <w:rPr>
          <w:rFonts w:ascii="David" w:hAnsi="David"/>
          <w:sz w:val="26"/>
          <w:szCs w:val="26"/>
          <w:rtl/>
        </w:rPr>
      </w:pPr>
      <w:bookmarkStart w:id="7" w:name="ABSTRACT_END"/>
      <w:bookmarkEnd w:id="7"/>
      <w:r>
        <w:rPr>
          <w:rFonts w:ascii="David" w:hAnsi="David" w:hint="cs"/>
          <w:sz w:val="26"/>
          <w:szCs w:val="26"/>
          <w:rtl/>
        </w:rPr>
        <w:lastRenderedPageBreak/>
        <w:t>2.</w:t>
      </w:r>
      <w:r>
        <w:rPr>
          <w:rFonts w:ascii="David" w:hAnsi="David" w:hint="cs"/>
          <w:sz w:val="26"/>
          <w:szCs w:val="26"/>
          <w:rtl/>
        </w:rPr>
        <w:tab/>
        <w:t xml:space="preserve">על פי עובדות האישום השני, שבו הורשע הנאשם, במועד שאינו ידוע במדוייק עובר ליום 29.10.19 קשרו נאשם 1 ואסף אברמוביץ קשר לרכוש בחברון נשק מסוג </w:t>
      </w:r>
      <w:r>
        <w:rPr>
          <w:rFonts w:ascii="David" w:hAnsi="David" w:hint="cs"/>
          <w:sz w:val="26"/>
          <w:szCs w:val="26"/>
        </w:rPr>
        <w:t>M</w:t>
      </w:r>
      <w:r>
        <w:rPr>
          <w:rFonts w:ascii="David" w:hAnsi="David" w:hint="cs"/>
          <w:sz w:val="26"/>
          <w:szCs w:val="26"/>
          <w:rtl/>
        </w:rPr>
        <w:t xml:space="preserve">-16 וכן מחסנית וכדורים, ולהביאם לכפר קאסם. ביום 29.10.19 בשעות הצהרים נסעו הנאשם ואסף בהנחיית נאשם 1 בשני כלי רכב בכביש המנהרות לכיוון חברון, במטרה לרכוש את הנשק. אולם לאחר שרכבו של הנאשם נבדק בדיקה שגרתית על ידי המשטרה החליטו לדחות את העסקה למועד אחר. ביום 30.10.19 שכרו הנאשם ואסף רכב מסוג קאיה נירו. למחרת, בתיאום ובהנחית נאשם 1, הגיע אסף לירושלים ברכב הקאיה והנאשם ברכב מסוג סקודה, ונסעו בשיירה בהובלת הנאשם לכיוון חברון דרך כביש 60. בצומת בית חגי פנו ונכנסו לחברון. בחברון פגש אסף סוחר נשק שזהותו אינה ידועה ורכש ממנו רובה מסוג </w:t>
      </w:r>
      <w:r>
        <w:rPr>
          <w:rFonts w:ascii="David" w:hAnsi="David" w:hint="cs"/>
          <w:sz w:val="26"/>
          <w:szCs w:val="26"/>
        </w:rPr>
        <w:t>M</w:t>
      </w:r>
      <w:r>
        <w:rPr>
          <w:rFonts w:ascii="David" w:hAnsi="David" w:hint="cs"/>
          <w:sz w:val="26"/>
          <w:szCs w:val="26"/>
          <w:rtl/>
        </w:rPr>
        <w:t>-16 ומחסנית ובה 7 כדורים תואמים, ואלה הוסלקו בהנחיית נאשם 1 ובסיוע הנאשם ברכב הקאיה. בהמשך עשו הנאשם ואסף את דרכם חזרה מחברון בדרכים שונות, אולם אסף נעצר על ידי המשטרה במחסום המנהרות לאחר חיפוש שבו התגלו הנשק והתחמושת.</w:t>
      </w:r>
    </w:p>
    <w:p w14:paraId="5CDDC527"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3.</w:t>
      </w:r>
      <w:r>
        <w:rPr>
          <w:rFonts w:ascii="David" w:hAnsi="David" w:hint="cs"/>
          <w:sz w:val="26"/>
          <w:szCs w:val="26"/>
          <w:rtl/>
        </w:rPr>
        <w:tab/>
        <w:t>הצדדים הגיעו להסדר טיעון לפיו המאשימה תבקש לגזור על הנאשם עונש שלא יעלה על 14 חודשי מאסר בפועל, והסניגוריה תטען לעונש מאסר בעבודות שירות בכפוף לחוות דעת הממונה ולעונשים נלווים.</w:t>
      </w:r>
    </w:p>
    <w:p w14:paraId="42E149FA"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4.</w:t>
      </w:r>
      <w:r>
        <w:rPr>
          <w:rFonts w:ascii="David" w:hAnsi="David" w:hint="cs"/>
          <w:sz w:val="26"/>
          <w:szCs w:val="26"/>
          <w:rtl/>
        </w:rPr>
        <w:tab/>
        <w:t>ב"כ המאשימה ציין בטיעוניו כי לרכישת הנשק קדם נסיון קודם לנסוע לחברון לצורך זה, שנדחה בשל בדיקה משטרתית שגרתית, וכן שכירת רכב לצורך כך. הוא טען כי עבירות הנשק יוצרות סיכון רב ותוצאותיהן מורגשות ברמה יום יומית, והפנה לפסיקה שעמדה על הצורך במדינות של החמרה בענישה על עבירות נשק לסוגיהן. הוא הפנה לפסקי דין הדנים בסיוע לנשירת אקדח ולמתחמים שנקבעו בהם. ב</w:t>
      </w:r>
      <w:hyperlink r:id="rId16" w:history="1">
        <w:r w:rsidR="00EE6F46" w:rsidRPr="00EE6F46">
          <w:rPr>
            <w:rFonts w:ascii="David" w:hAnsi="David"/>
            <w:color w:val="0000FF"/>
            <w:sz w:val="26"/>
            <w:szCs w:val="26"/>
            <w:u w:val="single"/>
            <w:rtl/>
          </w:rPr>
          <w:t>ת"פ (מחוזי חיפה) 7627-04-20</w:t>
        </w:r>
      </w:hyperlink>
      <w:r>
        <w:rPr>
          <w:rFonts w:ascii="David" w:hAnsi="David" w:hint="cs"/>
          <w:sz w:val="26"/>
          <w:szCs w:val="26"/>
          <w:rtl/>
        </w:rPr>
        <w:t xml:space="preserve"> </w:t>
      </w:r>
      <w:r>
        <w:rPr>
          <w:rFonts w:ascii="David" w:hAnsi="David" w:hint="cs"/>
          <w:b/>
          <w:bCs/>
          <w:sz w:val="26"/>
          <w:szCs w:val="26"/>
          <w:rtl/>
        </w:rPr>
        <w:t>מדינת ישראל נ' אמג'ד אעמר</w:t>
      </w:r>
      <w:r>
        <w:rPr>
          <w:rFonts w:ascii="David" w:hAnsi="David" w:hint="cs"/>
          <w:sz w:val="26"/>
          <w:szCs w:val="26"/>
          <w:rtl/>
        </w:rPr>
        <w:t xml:space="preserve"> (16.6.21) נקבע מתחם בין 9-24 חודשי מאסר לסיוע בנשיאת אקדח וכמות גדולה של כדורים. ב</w:t>
      </w:r>
      <w:hyperlink r:id="rId17" w:history="1">
        <w:r w:rsidR="00EE6F46" w:rsidRPr="00EE6F46">
          <w:rPr>
            <w:rFonts w:ascii="David" w:hAnsi="David"/>
            <w:color w:val="0000FF"/>
            <w:sz w:val="26"/>
            <w:szCs w:val="26"/>
            <w:u w:val="single"/>
            <w:rtl/>
          </w:rPr>
          <w:t>ת"פ (מחוזי מרכז) 21594-06-16</w:t>
        </w:r>
      </w:hyperlink>
      <w:r>
        <w:rPr>
          <w:rFonts w:ascii="David" w:hAnsi="David" w:hint="cs"/>
          <w:sz w:val="26"/>
          <w:szCs w:val="26"/>
          <w:rtl/>
        </w:rPr>
        <w:t xml:space="preserve"> </w:t>
      </w:r>
      <w:r>
        <w:rPr>
          <w:rFonts w:ascii="David" w:hAnsi="David" w:hint="cs"/>
          <w:b/>
          <w:bCs/>
          <w:sz w:val="26"/>
          <w:szCs w:val="26"/>
          <w:rtl/>
        </w:rPr>
        <w:t>מדינת ישראל נ' רמדאן חאג' יחיא</w:t>
      </w:r>
      <w:r>
        <w:rPr>
          <w:rFonts w:ascii="David" w:hAnsi="David" w:hint="cs"/>
          <w:sz w:val="26"/>
          <w:szCs w:val="26"/>
          <w:rtl/>
        </w:rPr>
        <w:t xml:space="preserve"> (7.2.18) נקבע מתחם בין 8-18 חודשי מאסר בגין סיוע לנשיאה והובלת נשק וכן נהיגה בפזיזות ורשלנות. מדובר באקדח גנוב שנישא על ידי מעורב אחר בידיעת הנאשם.  לטענת התובע נסיבות האירוע שבפני חמורות יותר, שכן מדובר ברובה סער ולא באקדח, וכן בסיוע לרכישת הנשק בנוסף לנשיאתו. לטענתו מתחם הענישה נע בין 12-36 חודשי מאסר. בהתחשב בהודאתו של הנאשם, לקיחת האחריות ומאידך הצורך בהרתעה אישית וציבורית, ביקש ב"כ המאשימה לגזור על הנאשם 14 חודשי מאסר בפועל בצירוף מאסר על תנאי. </w:t>
      </w:r>
    </w:p>
    <w:p w14:paraId="57DFC95F"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ב"כ הנאשם טען כי מדובר בתיק מורכב שהיו בו חסיונות רבים. הוא ציין כי חלקו של הנאשם מצומצם ביחס למעורבים האחרים בפרשה, וכי העובדות המיוחסות לו אינן ברף גבוה של חומרה והנאשם לא היה הגורם לקשירת הקשר. עוד נטען כי תסקיר שירות המבחן </w:t>
      </w:r>
      <w:r>
        <w:rPr>
          <w:rFonts w:ascii="David" w:hAnsi="David" w:hint="cs"/>
          <w:sz w:val="26"/>
          <w:szCs w:val="26"/>
          <w:rtl/>
        </w:rPr>
        <w:lastRenderedPageBreak/>
        <w:t xml:space="preserve">שהוגש בעניינו של הנאשם חיובי, עולה ממנו כי הנאשם גדל במשפחה נורמטיבית ואינו נטוע בעולם העברייני. לדברי הסניגור ערך השיקום הוא בעל משקל בכורה ויש להעדיפו על פני שיקולים אחרים. במקרה זה סיכויי השיקום של הנאשם גבוהים, הוא לא ביצע עבירות שנתיים והשתתף בקבוצות טיפוליות. קצינת המבחן המליצה שלא לפגוע בתהליך, והנזק שבשליחת הנאשם למאסר יהיה גדול מהתועלת. הסניגור ציין כי הנאשם הודה במיוחס לו ונטל אחריות. הוא שהה במעצר במשך 3 חודשים והדבר טלטל את חייו, ובנוסף היה באיזוק אלקטרוני במשך 6 חודשים. הוא ביקש להימנע מהחזקת הנאשם למאסר. </w:t>
      </w:r>
    </w:p>
    <w:p w14:paraId="3F3D1B47"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6.</w:t>
      </w:r>
      <w:r>
        <w:rPr>
          <w:rFonts w:ascii="David" w:hAnsi="David" w:hint="cs"/>
          <w:sz w:val="26"/>
          <w:szCs w:val="26"/>
          <w:rtl/>
        </w:rPr>
        <w:tab/>
        <w:t xml:space="preserve">ב"כ הנאשם הפנה לפסקי דין בהם הוטלו על נאשמים עונשי מאסר בעבודות שירות ועונשי מאסר לתקופות לא ארוכות. </w:t>
      </w:r>
      <w:hyperlink r:id="rId18" w:history="1">
        <w:r w:rsidR="0077560E" w:rsidRPr="0077560E">
          <w:rPr>
            <w:rFonts w:ascii="David" w:hAnsi="David"/>
            <w:color w:val="0000FF"/>
            <w:sz w:val="26"/>
            <w:szCs w:val="26"/>
            <w:u w:val="single"/>
            <w:rtl/>
          </w:rPr>
          <w:t xml:space="preserve">בת"פ (מחוזי חיפה) מדינת ישראל נ' אוסמא ג'בארין </w:t>
        </w:r>
      </w:hyperlink>
      <w:r>
        <w:rPr>
          <w:rFonts w:ascii="David" w:hAnsi="David" w:hint="cs"/>
          <w:sz w:val="26"/>
          <w:szCs w:val="26"/>
          <w:rtl/>
        </w:rPr>
        <w:t xml:space="preserve"> (25.9.16) הורשע הנאשם בסיוע בנוכחות לנשיאת והובלת נשק </w:t>
      </w:r>
      <w:r>
        <w:rPr>
          <w:rFonts w:ascii="David" w:hAnsi="David"/>
          <w:sz w:val="26"/>
          <w:szCs w:val="26"/>
          <w:rtl/>
        </w:rPr>
        <w:t>–</w:t>
      </w:r>
      <w:r>
        <w:rPr>
          <w:rFonts w:ascii="David" w:hAnsi="David" w:hint="cs"/>
          <w:sz w:val="26"/>
          <w:szCs w:val="26"/>
          <w:rtl/>
        </w:rPr>
        <w:t xml:space="preserve"> רובה מסוג </w:t>
      </w:r>
      <w:r>
        <w:rPr>
          <w:rFonts w:ascii="David" w:hAnsi="David" w:hint="cs"/>
          <w:sz w:val="26"/>
          <w:szCs w:val="26"/>
        </w:rPr>
        <w:t>M</w:t>
      </w:r>
      <w:r>
        <w:rPr>
          <w:rFonts w:ascii="David" w:hAnsi="David" w:hint="cs"/>
          <w:sz w:val="26"/>
          <w:szCs w:val="26"/>
          <w:rtl/>
        </w:rPr>
        <w:t>-16 וכדורים, ונדון ל-6 חודשי מאסר בעבודות שירות ועונשים נלווים. ב</w:t>
      </w:r>
      <w:hyperlink r:id="rId19" w:history="1">
        <w:r w:rsidR="00EE6F46" w:rsidRPr="00EE6F46">
          <w:rPr>
            <w:rFonts w:ascii="David" w:hAnsi="David"/>
            <w:color w:val="0000FF"/>
            <w:sz w:val="26"/>
            <w:szCs w:val="26"/>
            <w:u w:val="single"/>
            <w:rtl/>
          </w:rPr>
          <w:t>ת"פ (מחוזי מרכז) 26069-10-19</w:t>
        </w:r>
      </w:hyperlink>
      <w:r>
        <w:rPr>
          <w:rFonts w:ascii="David" w:hAnsi="David" w:hint="cs"/>
          <w:sz w:val="26"/>
          <w:szCs w:val="26"/>
          <w:rtl/>
        </w:rPr>
        <w:t xml:space="preserve"> </w:t>
      </w:r>
      <w:r>
        <w:rPr>
          <w:rFonts w:ascii="David" w:hAnsi="David" w:hint="cs"/>
          <w:b/>
          <w:bCs/>
          <w:sz w:val="26"/>
          <w:szCs w:val="26"/>
          <w:rtl/>
        </w:rPr>
        <w:t>מדינת ישראל נ' מואמן סעדה חשב</w:t>
      </w:r>
      <w:r>
        <w:rPr>
          <w:rFonts w:ascii="David" w:hAnsi="David" w:hint="cs"/>
          <w:sz w:val="26"/>
          <w:szCs w:val="26"/>
          <w:rtl/>
        </w:rPr>
        <w:t xml:space="preserve"> (23.2.21) הורשע נאשם בסיוע להובלת נשק, כשנסע ברכב ובו אקדח ומחסנית ריקה. בעניינו נקבע מתחם שבין 7 חודשי מאסר אשר יכול שיינשאו בעבודות שירות לבין 18 חודשי מאסר, והוא נדון ל-7 חודשי מאסר בעבודות שירות. ב</w:t>
      </w:r>
      <w:hyperlink r:id="rId20" w:history="1">
        <w:r w:rsidR="00EE6F46" w:rsidRPr="00EE6F46">
          <w:rPr>
            <w:rFonts w:ascii="David" w:hAnsi="David"/>
            <w:color w:val="0000FF"/>
            <w:sz w:val="26"/>
            <w:szCs w:val="26"/>
            <w:u w:val="single"/>
            <w:rtl/>
          </w:rPr>
          <w:t>ת"פ 66542-05-20</w:t>
        </w:r>
      </w:hyperlink>
      <w:r>
        <w:rPr>
          <w:rFonts w:ascii="David" w:hAnsi="David" w:hint="cs"/>
          <w:sz w:val="26"/>
          <w:szCs w:val="26"/>
          <w:rtl/>
        </w:rPr>
        <w:t xml:space="preserve"> מדינת ישראל נ' </w:t>
      </w:r>
      <w:r w:rsidRPr="00D96E4F">
        <w:rPr>
          <w:rFonts w:ascii="David" w:hAnsi="David" w:hint="cs"/>
          <w:b/>
          <w:bCs/>
          <w:sz w:val="26"/>
          <w:szCs w:val="26"/>
          <w:rtl/>
        </w:rPr>
        <w:t>פח'רי אבו נאב</w:t>
      </w:r>
      <w:r>
        <w:rPr>
          <w:rFonts w:ascii="David" w:hAnsi="David" w:hint="cs"/>
          <w:sz w:val="26"/>
          <w:szCs w:val="26"/>
          <w:rtl/>
        </w:rPr>
        <w:t xml:space="preserve"> (25.1.21) הורשע הנאשם בעבירות נשק שונות, ביניהן החזקת נשק, נקבע תחם ענישה בין 8-24 חודשי מאסר בפועל והנאשם נדון ל-10 חודשי מאסר בפועל. הוא הדגיש כי הנאשם הורשע בעבירה של סיוע, אך בפועל הדבר התבטא בליווי והובלה בלבד והדבר אינו מצדיק עונש של מאסר בפועל. הוא ביקש לגזור על הנאשם עונש של מאסר בעבודות שירות. </w:t>
      </w:r>
    </w:p>
    <w:p w14:paraId="264C3D80"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7.</w:t>
      </w:r>
      <w:r>
        <w:rPr>
          <w:rFonts w:ascii="David" w:hAnsi="David" w:hint="cs"/>
          <w:sz w:val="26"/>
          <w:szCs w:val="26"/>
          <w:rtl/>
        </w:rPr>
        <w:tab/>
        <w:t>הנאשם עצמו הביע חרטה על מעשיו. הוא הודה לשירות המבחן על הליווי והתמיכה, וציין כי הוא מאורס ועתיד להינשא בעוד חודשיים, וכי כיום הוא בוגר ומצוי במקום אחר.</w:t>
      </w:r>
    </w:p>
    <w:p w14:paraId="55E00EA5"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8.</w:t>
      </w:r>
      <w:r>
        <w:rPr>
          <w:rFonts w:ascii="David" w:hAnsi="David" w:hint="cs"/>
          <w:sz w:val="26"/>
          <w:szCs w:val="26"/>
          <w:rtl/>
        </w:rPr>
        <w:tab/>
        <w:t xml:space="preserve">מתסקיר שירות המבחן עולה כי הנאשם יליד 1992, כיום כבן 29, סיים 12 שנות לימוד עם תעודת בגרות חלקית, מתגורר בטייבה עם משפחת מוצאו, מאורס מזה כשנתיים. הוא גדל במשפחה נורמטיבית המחזיקה בערכים חברתיים מקובלים, אשר עודדה לרכישת השכלה. ארוסתו בת 24, עובדת כאחות בבית חולים. הנאשם הסביר כי נאשם 1 בתיק היה מעסיקו וכשפנה אליו וביקש את עזרתו הנאשם התקשה לסרב. על פי האמור בתסקיר הוא היה מודע לכך שמדובר בעסקת נשק, אך רק בעקבות מעצרו הבין את חומרת מעשיו ואת חלקו בביצוע העבירה. הנאשם חש בושה ואשמה על מעשיו, ולדבריו כיום הוא לומד להפעיל שיקול דעת בטרם קבלת החלטות, ולהימנע מקשרים שוליים. קצינת המבחן התרשמה כי הנאשם נרתע מהתנהגותו ומודע לחומרת מעשיו ולהשלכותיהם השליליות ומביע נכונות לשאת בתוצאות מעשיו. הוא ללא עבר פלילי, בעל כוחות ויכולות לתפקוד תקין, מנהל אורח חיים תקין, מגלה יציבות תעסוקתית ומביע שאיפות להתקדם בחייו. קצינת המבחן המליצה להימנע משליחתו למאסר בפועל העלול לפגוע במצבו ולהגביר את חשיפתו לדפוסים עבריינים, ולהסתפק במאסר בעבודות שירות. </w:t>
      </w:r>
    </w:p>
    <w:p w14:paraId="0F9EC429" w14:textId="77777777" w:rsidR="00B267F0" w:rsidRPr="00E83DDA" w:rsidRDefault="00B267F0" w:rsidP="00B267F0">
      <w:pPr>
        <w:spacing w:after="240" w:line="360" w:lineRule="auto"/>
        <w:jc w:val="both"/>
        <w:rPr>
          <w:rFonts w:ascii="David" w:hAnsi="David"/>
          <w:b/>
          <w:bCs/>
          <w:sz w:val="26"/>
          <w:szCs w:val="26"/>
          <w:u w:val="single"/>
          <w:rtl/>
        </w:rPr>
      </w:pPr>
      <w:r w:rsidRPr="00E83DDA">
        <w:rPr>
          <w:rFonts w:ascii="David" w:hAnsi="David" w:hint="cs"/>
          <w:b/>
          <w:bCs/>
          <w:sz w:val="26"/>
          <w:szCs w:val="26"/>
          <w:u w:val="single"/>
          <w:rtl/>
        </w:rPr>
        <w:t>מתחם העונש ההולם</w:t>
      </w:r>
    </w:p>
    <w:p w14:paraId="58D801CE" w14:textId="77777777" w:rsidR="00B267F0" w:rsidRPr="009C7E6A" w:rsidRDefault="00B267F0" w:rsidP="00B267F0">
      <w:pPr>
        <w:spacing w:after="240" w:line="360" w:lineRule="auto"/>
        <w:jc w:val="both"/>
        <w:rPr>
          <w:rFonts w:ascii="Arial" w:hAnsi="Arial"/>
          <w:sz w:val="26"/>
          <w:szCs w:val="26"/>
          <w:rtl/>
        </w:rPr>
      </w:pPr>
      <w:r>
        <w:rPr>
          <w:rFonts w:ascii="Arial" w:hAnsi="Arial" w:hint="cs"/>
          <w:sz w:val="26"/>
          <w:szCs w:val="26"/>
          <w:rtl/>
        </w:rPr>
        <w:t>9.</w:t>
      </w:r>
      <w:r>
        <w:rPr>
          <w:rFonts w:ascii="Arial" w:hAnsi="Arial" w:hint="cs"/>
          <w:sz w:val="26"/>
          <w:szCs w:val="26"/>
          <w:rtl/>
        </w:rPr>
        <w:tab/>
      </w:r>
      <w:r w:rsidRPr="00E83DDA">
        <w:rPr>
          <w:rFonts w:ascii="Arial" w:hAnsi="Arial"/>
          <w:sz w:val="26"/>
          <w:szCs w:val="26"/>
          <w:rtl/>
        </w:rPr>
        <w:t xml:space="preserve">כלי נשק הוא חפץ מסוכן, שהשימוש העיקרי בו הוא לצורך המתת אדם, גרימת פגיעה גופנית חמורה לאדם או איום בפגיעה כזו. אין צורך להכביר מילים באשר לסכנה הנשקפת מסחר והחזקה של כלי נשק הנעשית על ידי מי שאינם מורשים לכך, שלא למטרות ראויות כגון הגנה על בטחון המדינה או על שלום אזרחיה. </w:t>
      </w:r>
      <w:r w:rsidRPr="009C7E6A">
        <w:rPr>
          <w:rFonts w:ascii="Arial" w:hAnsi="Arial" w:hint="cs"/>
          <w:sz w:val="26"/>
          <w:szCs w:val="26"/>
          <w:rtl/>
        </w:rPr>
        <w:t>למרבה הצער בשנים האחרונות אנו עדים כמעט מידי יום לאירועים של ירי ושימוש בנשק המביאים לקיפוח חייהם של רבים, לעיתים קרובות של חפים מפשע. בנוסף לצער על הפגיעות הפיזיות ואבדן החיים, אי</w:t>
      </w:r>
      <w:r>
        <w:rPr>
          <w:rFonts w:ascii="Arial" w:hAnsi="Arial" w:hint="cs"/>
          <w:sz w:val="26"/>
          <w:szCs w:val="26"/>
          <w:rtl/>
        </w:rPr>
        <w:t xml:space="preserve">רועי הירי התכופים מביאים לשינויים באורחות החיים ובנורמות החברתיות, ולתחושה ש"כל דאלים גבר". </w:t>
      </w:r>
    </w:p>
    <w:p w14:paraId="71CA1C6A" w14:textId="77777777" w:rsidR="00B267F0" w:rsidRDefault="00B267F0" w:rsidP="00B267F0">
      <w:pPr>
        <w:spacing w:after="240" w:line="360" w:lineRule="auto"/>
        <w:jc w:val="both"/>
        <w:rPr>
          <w:rFonts w:ascii="Arial" w:hAnsi="Arial"/>
          <w:sz w:val="26"/>
          <w:szCs w:val="26"/>
          <w:rtl/>
        </w:rPr>
      </w:pPr>
      <w:r>
        <w:rPr>
          <w:rFonts w:ascii="Arial" w:hAnsi="Arial" w:hint="cs"/>
          <w:sz w:val="26"/>
          <w:szCs w:val="26"/>
          <w:rtl/>
        </w:rPr>
        <w:t>10.</w:t>
      </w:r>
      <w:r>
        <w:rPr>
          <w:rFonts w:ascii="Arial" w:hAnsi="Arial" w:hint="cs"/>
          <w:sz w:val="26"/>
          <w:szCs w:val="26"/>
          <w:rtl/>
        </w:rPr>
        <w:tab/>
      </w:r>
      <w:r w:rsidRPr="009C7E6A">
        <w:rPr>
          <w:rFonts w:ascii="Arial" w:hAnsi="Arial"/>
          <w:sz w:val="26"/>
          <w:szCs w:val="26"/>
          <w:rtl/>
        </w:rPr>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w:t>
      </w:r>
      <w:r>
        <w:rPr>
          <w:rFonts w:ascii="Arial" w:hAnsi="Arial" w:hint="cs"/>
          <w:sz w:val="26"/>
          <w:szCs w:val="26"/>
          <w:rtl/>
        </w:rPr>
        <w:t xml:space="preserve"> שהפכו כבר ל"מכת מדינה". לעניין זה אפנה, לדוגמא, ל</w:t>
      </w:r>
      <w:hyperlink r:id="rId21" w:history="1">
        <w:r w:rsidR="00EE6F46" w:rsidRPr="00EE6F46">
          <w:rPr>
            <w:rFonts w:ascii="Arial" w:hAnsi="Arial"/>
            <w:color w:val="0000FF"/>
            <w:sz w:val="26"/>
            <w:szCs w:val="26"/>
            <w:u w:val="single"/>
            <w:rtl/>
          </w:rPr>
          <w:t>ע"פ 4406/19</w:t>
        </w:r>
      </w:hyperlink>
      <w:r w:rsidRPr="009C7E6A">
        <w:rPr>
          <w:rFonts w:ascii="Arial" w:hAnsi="Arial"/>
          <w:sz w:val="26"/>
          <w:szCs w:val="26"/>
          <w:rtl/>
        </w:rPr>
        <w:t xml:space="preserve"> </w:t>
      </w:r>
      <w:r w:rsidRPr="009C7E6A">
        <w:rPr>
          <w:rFonts w:ascii="Arial" w:hAnsi="Arial"/>
          <w:b/>
          <w:bCs/>
          <w:sz w:val="26"/>
          <w:szCs w:val="26"/>
          <w:rtl/>
        </w:rPr>
        <w:t>מדינת ישראל נ' יונס סובח</w:t>
      </w:r>
      <w:r>
        <w:rPr>
          <w:rFonts w:ascii="Arial" w:hAnsi="Arial"/>
          <w:sz w:val="26"/>
          <w:szCs w:val="26"/>
          <w:rtl/>
        </w:rPr>
        <w:t xml:space="preserve"> (5.11.19)</w:t>
      </w:r>
      <w:r>
        <w:rPr>
          <w:rFonts w:ascii="Arial" w:hAnsi="Arial" w:hint="cs"/>
          <w:sz w:val="26"/>
          <w:szCs w:val="26"/>
          <w:rtl/>
        </w:rPr>
        <w:t xml:space="preserve"> פסקה 17; </w:t>
      </w:r>
      <w:hyperlink r:id="rId22" w:history="1">
        <w:r w:rsidR="00EE6F46" w:rsidRPr="00EE6F46">
          <w:rPr>
            <w:rFonts w:ascii="Arial" w:hAnsi="Arial"/>
            <w:color w:val="0000FF"/>
            <w:sz w:val="26"/>
            <w:szCs w:val="26"/>
            <w:u w:val="single"/>
            <w:rtl/>
          </w:rPr>
          <w:t>ע"פ 2251/11</w:t>
        </w:r>
      </w:hyperlink>
      <w:r w:rsidRPr="009C7E6A">
        <w:rPr>
          <w:rFonts w:ascii="Arial" w:hAnsi="Arial"/>
          <w:sz w:val="26"/>
          <w:szCs w:val="26"/>
          <w:rtl/>
        </w:rPr>
        <w:t xml:space="preserve"> </w:t>
      </w:r>
      <w:r w:rsidRPr="009C7E6A">
        <w:rPr>
          <w:rFonts w:ascii="Arial" w:hAnsi="Arial"/>
          <w:b/>
          <w:bCs/>
          <w:sz w:val="26"/>
          <w:szCs w:val="26"/>
          <w:rtl/>
        </w:rPr>
        <w:t>ג'מאל נפעא נ' מדינת ישראל</w:t>
      </w:r>
      <w:r w:rsidRPr="009C7E6A">
        <w:rPr>
          <w:rFonts w:ascii="Arial" w:hAnsi="Arial"/>
          <w:sz w:val="26"/>
          <w:szCs w:val="26"/>
          <w:rtl/>
        </w:rPr>
        <w:t xml:space="preserve"> (4.12.11); </w:t>
      </w:r>
      <w:hyperlink r:id="rId23" w:history="1">
        <w:r w:rsidR="00EE6F46" w:rsidRPr="00EE6F46">
          <w:rPr>
            <w:rFonts w:ascii="Arial" w:hAnsi="Arial"/>
            <w:color w:val="0000FF"/>
            <w:sz w:val="26"/>
            <w:szCs w:val="26"/>
            <w:u w:val="single"/>
            <w:rtl/>
          </w:rPr>
          <w:t>ע"פ 6989/13</w:t>
        </w:r>
      </w:hyperlink>
      <w:r w:rsidRPr="009C7E6A">
        <w:rPr>
          <w:rFonts w:ascii="Arial" w:hAnsi="Arial"/>
          <w:sz w:val="26"/>
          <w:szCs w:val="26"/>
          <w:rtl/>
        </w:rPr>
        <w:t xml:space="preserve"> </w:t>
      </w:r>
      <w:r w:rsidRPr="009C7E6A">
        <w:rPr>
          <w:rFonts w:ascii="Arial" w:hAnsi="Arial"/>
          <w:b/>
          <w:bCs/>
          <w:sz w:val="26"/>
          <w:szCs w:val="26"/>
          <w:rtl/>
        </w:rPr>
        <w:t>חנא פרח נ' מדינת ישראל</w:t>
      </w:r>
      <w:r w:rsidRPr="009C7E6A">
        <w:rPr>
          <w:rFonts w:ascii="Arial" w:hAnsi="Arial"/>
          <w:sz w:val="26"/>
          <w:szCs w:val="26"/>
          <w:rtl/>
        </w:rPr>
        <w:t xml:space="preserve"> (25.2.14), </w:t>
      </w:r>
      <w:hyperlink r:id="rId24" w:history="1">
        <w:r w:rsidR="00EE6F46" w:rsidRPr="00EE6F46">
          <w:rPr>
            <w:rFonts w:ascii="Arial" w:hAnsi="Arial"/>
            <w:color w:val="0000FF"/>
            <w:sz w:val="26"/>
            <w:szCs w:val="26"/>
            <w:u w:val="single"/>
            <w:rtl/>
          </w:rPr>
          <w:t>ע"פ 4945/13</w:t>
        </w:r>
      </w:hyperlink>
      <w:r w:rsidRPr="009C7E6A">
        <w:rPr>
          <w:rFonts w:ascii="Arial" w:hAnsi="Arial"/>
          <w:sz w:val="26"/>
          <w:szCs w:val="26"/>
          <w:rtl/>
        </w:rPr>
        <w:t xml:space="preserve"> </w:t>
      </w:r>
      <w:r w:rsidRPr="009C7E6A">
        <w:rPr>
          <w:rFonts w:ascii="Arial" w:hAnsi="Arial"/>
          <w:b/>
          <w:bCs/>
          <w:sz w:val="26"/>
          <w:szCs w:val="26"/>
          <w:rtl/>
        </w:rPr>
        <w:t>מדינת ישראל נ' עבד אלכרים סלימאן</w:t>
      </w:r>
      <w:r w:rsidRPr="009C7E6A">
        <w:rPr>
          <w:rFonts w:ascii="Arial" w:hAnsi="Arial"/>
          <w:sz w:val="26"/>
          <w:szCs w:val="26"/>
        </w:rPr>
        <w:t xml:space="preserve"> </w:t>
      </w:r>
      <w:r w:rsidRPr="009C7E6A">
        <w:rPr>
          <w:rFonts w:ascii="Arial" w:hAnsi="Arial"/>
          <w:sz w:val="26"/>
          <w:szCs w:val="26"/>
          <w:rtl/>
        </w:rPr>
        <w:t xml:space="preserve">(19.1.14), ועוד. </w:t>
      </w:r>
    </w:p>
    <w:p w14:paraId="71B113E1" w14:textId="77777777" w:rsidR="00B267F0" w:rsidRPr="009C7E6A" w:rsidRDefault="00B267F0" w:rsidP="00B267F0">
      <w:pPr>
        <w:spacing w:after="240" w:line="360" w:lineRule="auto"/>
        <w:jc w:val="both"/>
        <w:rPr>
          <w:rFonts w:ascii="Arial" w:hAnsi="Arial"/>
          <w:sz w:val="26"/>
          <w:szCs w:val="26"/>
        </w:rPr>
      </w:pPr>
      <w:r>
        <w:rPr>
          <w:rFonts w:ascii="Arial" w:hAnsi="Arial" w:hint="cs"/>
          <w:sz w:val="26"/>
          <w:szCs w:val="26"/>
          <w:rtl/>
        </w:rPr>
        <w:t>11.</w:t>
      </w:r>
      <w:r>
        <w:rPr>
          <w:rFonts w:ascii="Arial" w:hAnsi="Arial" w:hint="cs"/>
          <w:sz w:val="26"/>
          <w:szCs w:val="26"/>
          <w:rtl/>
        </w:rPr>
        <w:tab/>
        <w:t>באשר לפסיקה הנוהגת, עיינתי בפסקי הדין אליהם הפנו ב"כ הצדדים כמפורט לעיל, ובפסיקה נוספת. אפנה לדוגמא לפסקי דין אלו:</w:t>
      </w:r>
    </w:p>
    <w:p w14:paraId="315484DE" w14:textId="77777777" w:rsidR="00B267F0" w:rsidRPr="009C7E6A" w:rsidRDefault="00EE6F46" w:rsidP="00B267F0">
      <w:pPr>
        <w:numPr>
          <w:ilvl w:val="0"/>
          <w:numId w:val="1"/>
        </w:numPr>
        <w:spacing w:after="120" w:line="360" w:lineRule="auto"/>
        <w:contextualSpacing/>
        <w:jc w:val="both"/>
        <w:rPr>
          <w:rFonts w:ascii="Arial" w:hAnsi="Arial"/>
          <w:sz w:val="26"/>
          <w:szCs w:val="26"/>
        </w:rPr>
      </w:pPr>
      <w:hyperlink r:id="rId25" w:history="1">
        <w:r w:rsidRPr="00EE6F46">
          <w:rPr>
            <w:rFonts w:ascii="Arial" w:hAnsi="Arial"/>
            <w:color w:val="0000FF"/>
            <w:sz w:val="26"/>
            <w:szCs w:val="26"/>
            <w:u w:val="single"/>
            <w:rtl/>
          </w:rPr>
          <w:t>ת"פ (מחוזי י-ם) 52515-03-20</w:t>
        </w:r>
      </w:hyperlink>
      <w:r w:rsidR="00B267F0" w:rsidRPr="009C7E6A">
        <w:rPr>
          <w:rFonts w:ascii="Arial" w:hAnsi="Arial"/>
          <w:sz w:val="26"/>
          <w:szCs w:val="26"/>
          <w:rtl/>
        </w:rPr>
        <w:t xml:space="preserve"> </w:t>
      </w:r>
      <w:r w:rsidR="00B267F0" w:rsidRPr="009C7E6A">
        <w:rPr>
          <w:rFonts w:ascii="Arial" w:hAnsi="Arial"/>
          <w:b/>
          <w:bCs/>
          <w:sz w:val="26"/>
          <w:szCs w:val="26"/>
          <w:rtl/>
        </w:rPr>
        <w:t xml:space="preserve">מדינת ישראל נ' מורשד סנדוקה </w:t>
      </w:r>
      <w:r w:rsidR="00B267F0" w:rsidRPr="009C7E6A">
        <w:rPr>
          <w:rFonts w:ascii="Arial" w:hAnsi="Arial"/>
          <w:sz w:val="26"/>
          <w:szCs w:val="26"/>
          <w:rtl/>
        </w:rPr>
        <w:t>19.10.20) – נאשם 2 הורשע בעבירה של החזקת נשק, תת מקלע מאולתר ברכבו. נקבע מתחם של 7-20 חודשי מאסר, והנאשם, צעיר נורמטיבי, נדון ל – 7 חודשי מאסר ועונשים נלווים.</w:t>
      </w:r>
    </w:p>
    <w:p w14:paraId="127A024E" w14:textId="77777777" w:rsidR="00B267F0" w:rsidRPr="009C7E6A" w:rsidRDefault="00EE6F46" w:rsidP="00B267F0">
      <w:pPr>
        <w:numPr>
          <w:ilvl w:val="0"/>
          <w:numId w:val="1"/>
        </w:numPr>
        <w:spacing w:after="120" w:line="360" w:lineRule="auto"/>
        <w:contextualSpacing/>
        <w:jc w:val="both"/>
        <w:rPr>
          <w:rFonts w:ascii="Arial" w:hAnsi="Arial"/>
          <w:sz w:val="26"/>
          <w:szCs w:val="26"/>
        </w:rPr>
      </w:pPr>
      <w:hyperlink r:id="rId26" w:history="1">
        <w:r w:rsidRPr="00EE6F46">
          <w:rPr>
            <w:rFonts w:ascii="Arial" w:hAnsi="Arial"/>
            <w:color w:val="0000FF"/>
            <w:sz w:val="26"/>
            <w:szCs w:val="26"/>
            <w:u w:val="single"/>
            <w:rtl/>
          </w:rPr>
          <w:t>עפ"ג (חיפה) 43957-03-19</w:t>
        </w:r>
      </w:hyperlink>
      <w:r w:rsidR="00B267F0" w:rsidRPr="009C7E6A">
        <w:rPr>
          <w:rFonts w:ascii="Arial" w:hAnsi="Arial" w:hint="cs"/>
          <w:sz w:val="26"/>
          <w:szCs w:val="26"/>
          <w:rtl/>
        </w:rPr>
        <w:t xml:space="preserve"> </w:t>
      </w:r>
      <w:r w:rsidR="00B267F0" w:rsidRPr="009C7E6A">
        <w:rPr>
          <w:rFonts w:ascii="Arial" w:hAnsi="Arial" w:hint="cs"/>
          <w:b/>
          <w:bCs/>
          <w:sz w:val="26"/>
          <w:szCs w:val="26"/>
          <w:rtl/>
        </w:rPr>
        <w:t>מדינת ישראל נ' אחמד ג'מאחנה</w:t>
      </w:r>
      <w:r w:rsidR="00B267F0" w:rsidRPr="009C7E6A">
        <w:rPr>
          <w:rFonts w:ascii="Arial" w:hAnsi="Arial" w:hint="cs"/>
          <w:sz w:val="26"/>
          <w:szCs w:val="26"/>
          <w:rtl/>
        </w:rPr>
        <w:t xml:space="preserve"> (11.4.19) </w:t>
      </w:r>
      <w:r w:rsidR="00B267F0" w:rsidRPr="009C7E6A">
        <w:rPr>
          <w:rFonts w:ascii="Arial" w:hAnsi="Arial"/>
          <w:sz w:val="26"/>
          <w:szCs w:val="26"/>
          <w:rtl/>
        </w:rPr>
        <w:t>–</w:t>
      </w:r>
      <w:r w:rsidR="00B267F0" w:rsidRPr="009C7E6A">
        <w:rPr>
          <w:rFonts w:ascii="Arial" w:hAnsi="Arial" w:hint="cs"/>
          <w:sz w:val="26"/>
          <w:szCs w:val="26"/>
          <w:rtl/>
        </w:rPr>
        <w:t xml:space="preserve"> המשיב נסע במושב האחורי ברכב כשעל רצפתו נמצא קדח מוסלק בתוף מגבת ובדלת תא הנהג נמצאה מחסנית עם 9 כדורים. המשיב השתלב בהליך טיפולי. בבית משפט השלום נקבע מתחם ענישה בין 7-24 חודשי מאסר, ובית המשפט החליט לסטות לקולא מהמתחם בשל הנסיבות החיוביות וגילו הצעיר של המשיב וגזר עליו 6 חודשי מאסר בעבודות שירות. בערעור הוחמר דינו ברוב דעות ל-9 חודשי מאסר בעבודות שירות וקנס בסך 15,000 ₪.</w:t>
      </w:r>
    </w:p>
    <w:p w14:paraId="6DB73304" w14:textId="77777777" w:rsidR="00B267F0" w:rsidRPr="009C7E6A" w:rsidRDefault="00EE6F46" w:rsidP="00B267F0">
      <w:pPr>
        <w:numPr>
          <w:ilvl w:val="0"/>
          <w:numId w:val="1"/>
        </w:numPr>
        <w:spacing w:after="120" w:line="360" w:lineRule="auto"/>
        <w:contextualSpacing/>
        <w:jc w:val="both"/>
        <w:rPr>
          <w:rFonts w:ascii="Arial" w:hAnsi="Arial"/>
          <w:sz w:val="26"/>
          <w:szCs w:val="26"/>
        </w:rPr>
      </w:pPr>
      <w:hyperlink r:id="rId27" w:history="1">
        <w:r w:rsidRPr="00EE6F46">
          <w:rPr>
            <w:rFonts w:ascii="Arial" w:hAnsi="Arial"/>
            <w:color w:val="0000FF"/>
            <w:sz w:val="26"/>
            <w:szCs w:val="26"/>
            <w:u w:val="single"/>
            <w:rtl/>
          </w:rPr>
          <w:t>עפ"ג (נצרת) 37217-03-19</w:t>
        </w:r>
      </w:hyperlink>
      <w:r w:rsidR="00B267F0" w:rsidRPr="009C7E6A">
        <w:rPr>
          <w:rFonts w:ascii="Arial" w:hAnsi="Arial"/>
          <w:sz w:val="26"/>
          <w:szCs w:val="26"/>
          <w:rtl/>
        </w:rPr>
        <w:t xml:space="preserve"> </w:t>
      </w:r>
      <w:r w:rsidR="00B267F0" w:rsidRPr="009C7E6A">
        <w:rPr>
          <w:rFonts w:ascii="Arial" w:hAnsi="Arial"/>
          <w:b/>
          <w:bCs/>
          <w:sz w:val="26"/>
          <w:szCs w:val="26"/>
          <w:rtl/>
        </w:rPr>
        <w:t>עבדאללה</w:t>
      </w:r>
      <w:r w:rsidR="00B267F0" w:rsidRPr="009C7E6A">
        <w:rPr>
          <w:rFonts w:ascii="Arial" w:hAnsi="Arial"/>
          <w:b/>
          <w:bCs/>
          <w:sz w:val="26"/>
          <w:szCs w:val="26"/>
        </w:rPr>
        <w:t xml:space="preserve"> </w:t>
      </w:r>
      <w:r w:rsidR="00B267F0" w:rsidRPr="009C7E6A">
        <w:rPr>
          <w:rFonts w:ascii="Arial" w:hAnsi="Arial"/>
          <w:b/>
          <w:bCs/>
          <w:sz w:val="26"/>
          <w:szCs w:val="26"/>
          <w:rtl/>
        </w:rPr>
        <w:t>ג</w:t>
      </w:r>
      <w:r w:rsidR="00B267F0" w:rsidRPr="009C7E6A">
        <w:rPr>
          <w:rFonts w:ascii="Arial" w:hAnsi="Arial"/>
          <w:b/>
          <w:bCs/>
          <w:sz w:val="26"/>
          <w:szCs w:val="26"/>
        </w:rPr>
        <w:t>'</w:t>
      </w:r>
      <w:r w:rsidR="00B267F0" w:rsidRPr="009C7E6A">
        <w:rPr>
          <w:rFonts w:ascii="Arial" w:hAnsi="Arial"/>
          <w:b/>
          <w:bCs/>
          <w:sz w:val="26"/>
          <w:szCs w:val="26"/>
          <w:rtl/>
        </w:rPr>
        <w:t>ואברה</w:t>
      </w:r>
      <w:r w:rsidR="00B267F0" w:rsidRPr="009C7E6A">
        <w:rPr>
          <w:rFonts w:ascii="Arial" w:hAnsi="Arial"/>
          <w:b/>
          <w:bCs/>
          <w:sz w:val="26"/>
          <w:szCs w:val="26"/>
        </w:rPr>
        <w:t xml:space="preserve"> </w:t>
      </w:r>
      <w:r w:rsidR="00B267F0" w:rsidRPr="009C7E6A">
        <w:rPr>
          <w:rFonts w:ascii="Arial" w:hAnsi="Arial"/>
          <w:b/>
          <w:bCs/>
          <w:sz w:val="26"/>
          <w:szCs w:val="26"/>
          <w:rtl/>
        </w:rPr>
        <w:t>נ' מדינת</w:t>
      </w:r>
      <w:r w:rsidR="00B267F0" w:rsidRPr="009C7E6A">
        <w:rPr>
          <w:rFonts w:ascii="Arial" w:hAnsi="Arial"/>
          <w:b/>
          <w:bCs/>
          <w:sz w:val="26"/>
          <w:szCs w:val="26"/>
        </w:rPr>
        <w:t xml:space="preserve"> </w:t>
      </w:r>
      <w:r w:rsidR="00B267F0" w:rsidRPr="009C7E6A">
        <w:rPr>
          <w:rFonts w:ascii="Arial" w:hAnsi="Arial"/>
          <w:b/>
          <w:bCs/>
          <w:sz w:val="26"/>
          <w:szCs w:val="26"/>
          <w:rtl/>
        </w:rPr>
        <w:t>ישראל</w:t>
      </w:r>
      <w:r w:rsidR="00B267F0" w:rsidRPr="009C7E6A">
        <w:rPr>
          <w:rFonts w:ascii="Arial" w:hAnsi="Arial"/>
          <w:sz w:val="26"/>
          <w:szCs w:val="26"/>
          <w:rtl/>
        </w:rPr>
        <w:t xml:space="preserve"> (25.11.19) - המערער החזיק בביתו אקדח חצי אוטומטי טעון במחסנית עם כדורים. בבית משפט השלום נקבע מתחם שבין 6-24 חודשי מאסר והמערער נדון ל-8 חודשי מאסר בפועל ועונשים נלווים. הערעור נדחה, תוך התייחסות גם לטענה לפיה הפסיקה הנוהגת המבטאת רמת ענישה נמוכה יותר, ונקבע כי הפסיקה הכירה בצורך להעלות את רמת הענישה בכל קשת עבירות הנשק.    </w:t>
      </w:r>
    </w:p>
    <w:p w14:paraId="282D01A3" w14:textId="77777777" w:rsidR="00B267F0" w:rsidRPr="009C7E6A" w:rsidRDefault="00EE6F46" w:rsidP="00B267F0">
      <w:pPr>
        <w:numPr>
          <w:ilvl w:val="0"/>
          <w:numId w:val="1"/>
        </w:numPr>
        <w:spacing w:after="120" w:line="360" w:lineRule="auto"/>
        <w:contextualSpacing/>
        <w:jc w:val="both"/>
        <w:rPr>
          <w:rFonts w:ascii="Arial" w:hAnsi="Arial"/>
          <w:sz w:val="26"/>
          <w:szCs w:val="26"/>
          <w:rtl/>
        </w:rPr>
      </w:pPr>
      <w:hyperlink r:id="rId28" w:history="1">
        <w:r w:rsidRPr="00EE6F46">
          <w:rPr>
            <w:rFonts w:ascii="Arial" w:hAnsi="Arial"/>
            <w:color w:val="0000FF"/>
            <w:sz w:val="26"/>
            <w:szCs w:val="26"/>
            <w:u w:val="single"/>
            <w:rtl/>
          </w:rPr>
          <w:t>ת"פ (מחוזי י-ם) 62597-10-17</w:t>
        </w:r>
      </w:hyperlink>
      <w:r w:rsidR="00B267F0" w:rsidRPr="009C7E6A">
        <w:rPr>
          <w:rFonts w:ascii="Arial" w:hAnsi="Arial"/>
          <w:sz w:val="26"/>
          <w:szCs w:val="26"/>
          <w:rtl/>
        </w:rPr>
        <w:t xml:space="preserve"> </w:t>
      </w:r>
      <w:r w:rsidR="00B267F0" w:rsidRPr="009C7E6A">
        <w:rPr>
          <w:rFonts w:ascii="Arial" w:hAnsi="Arial"/>
          <w:b/>
          <w:bCs/>
          <w:sz w:val="26"/>
          <w:szCs w:val="26"/>
          <w:rtl/>
        </w:rPr>
        <w:t>מדינת ישראל נ' פלוני</w:t>
      </w:r>
      <w:r w:rsidR="00B267F0" w:rsidRPr="009C7E6A">
        <w:rPr>
          <w:rFonts w:ascii="Arial" w:hAnsi="Arial"/>
          <w:sz w:val="26"/>
          <w:szCs w:val="26"/>
          <w:rtl/>
        </w:rPr>
        <w:t xml:space="preserve"> (6.1.19) - הנאשם הורשע בנשיאת והובלת נשק – אקדח, מחסנית וכדורים, מביתו שבלקיה אל מחוץ ליישוב. הנאשם צעיר, בעל עבר פלילי מינורי כנער. נקבע מתחם ענישה בין  6-30 חודשי מאסר, ועל הנאשם נגזרו 6 חודשי מאסר בעבודות שירות. </w:t>
      </w:r>
    </w:p>
    <w:p w14:paraId="61A49451" w14:textId="77777777" w:rsidR="00B267F0" w:rsidRDefault="00EE6F46" w:rsidP="00B267F0">
      <w:pPr>
        <w:numPr>
          <w:ilvl w:val="0"/>
          <w:numId w:val="1"/>
        </w:numPr>
        <w:spacing w:after="120" w:line="360" w:lineRule="auto"/>
        <w:contextualSpacing/>
        <w:jc w:val="both"/>
        <w:rPr>
          <w:rFonts w:ascii="Arial" w:hAnsi="Arial"/>
        </w:rPr>
      </w:pPr>
      <w:hyperlink r:id="rId29" w:history="1">
        <w:r w:rsidRPr="00EE6F46">
          <w:rPr>
            <w:rFonts w:ascii="Arial" w:hAnsi="Arial"/>
            <w:color w:val="0000FF"/>
            <w:sz w:val="26"/>
            <w:szCs w:val="26"/>
            <w:u w:val="single"/>
            <w:rtl/>
          </w:rPr>
          <w:t>ת"פ (מחוזי י-ם) 11786-06-16</w:t>
        </w:r>
      </w:hyperlink>
      <w:r w:rsidR="00B267F0" w:rsidRPr="009C7E6A">
        <w:rPr>
          <w:rFonts w:ascii="Arial" w:hAnsi="Arial"/>
          <w:sz w:val="26"/>
          <w:szCs w:val="26"/>
          <w:rtl/>
        </w:rPr>
        <w:t xml:space="preserve"> </w:t>
      </w:r>
      <w:r w:rsidR="00B267F0" w:rsidRPr="009C7E6A">
        <w:rPr>
          <w:rFonts w:ascii="Arial" w:hAnsi="Arial"/>
          <w:b/>
          <w:bCs/>
          <w:sz w:val="26"/>
          <w:szCs w:val="26"/>
          <w:rtl/>
        </w:rPr>
        <w:t>מדינת ישראל נ' מאהר רזאק</w:t>
      </w:r>
      <w:r w:rsidR="00B267F0" w:rsidRPr="009C7E6A">
        <w:rPr>
          <w:rFonts w:ascii="Arial" w:hAnsi="Arial"/>
          <w:sz w:val="26"/>
          <w:szCs w:val="26"/>
          <w:rtl/>
        </w:rPr>
        <w:t xml:space="preserve"> (18.6.18) – הנאשם הודה והורשע בהחזקת רימוני הלם שנמצאו על ידו למשך זמן קצר. נקבע מתחם הנע בין מאסר קצר שיכול שירוצה בעבודות שירות לבין 18 חודשי מאסר, בהתחשב בכך שמדובר ברימוני הלם שהסיכון הנשקף מהם נמוך והעבירה ברף התחתון. </w:t>
      </w:r>
    </w:p>
    <w:p w14:paraId="01DAD9EC" w14:textId="77777777" w:rsidR="00B267F0" w:rsidRDefault="00B267F0" w:rsidP="00B267F0">
      <w:pPr>
        <w:spacing w:after="120" w:line="360" w:lineRule="auto"/>
        <w:ind w:left="360"/>
        <w:contextualSpacing/>
        <w:jc w:val="both"/>
        <w:rPr>
          <w:rFonts w:ascii="Arial" w:hAnsi="Arial"/>
          <w:rtl/>
        </w:rPr>
      </w:pPr>
    </w:p>
    <w:p w14:paraId="43E6D4D4" w14:textId="77777777" w:rsidR="00B267F0" w:rsidRDefault="00B267F0" w:rsidP="00B267F0">
      <w:pPr>
        <w:spacing w:after="240" w:line="360" w:lineRule="auto"/>
        <w:jc w:val="both"/>
        <w:rPr>
          <w:rFonts w:ascii="David" w:hAnsi="David"/>
          <w:sz w:val="26"/>
          <w:szCs w:val="26"/>
          <w:rtl/>
        </w:rPr>
      </w:pPr>
      <w:r w:rsidRPr="00565C1A">
        <w:rPr>
          <w:rFonts w:ascii="Arial" w:hAnsi="Arial" w:hint="cs"/>
          <w:sz w:val="26"/>
          <w:szCs w:val="26"/>
          <w:rtl/>
        </w:rPr>
        <w:t>12.</w:t>
      </w:r>
      <w:r>
        <w:rPr>
          <w:rFonts w:ascii="Arial" w:hAnsi="Arial" w:hint="cs"/>
          <w:rtl/>
        </w:rPr>
        <w:tab/>
      </w:r>
      <w:r>
        <w:rPr>
          <w:rFonts w:ascii="David" w:hAnsi="David" w:hint="cs"/>
          <w:sz w:val="26"/>
          <w:szCs w:val="26"/>
          <w:rtl/>
        </w:rPr>
        <w:t xml:space="preserve">נסיבות ביצוע העבירה במקרה זה מתאפיינות בתכנון מראש, שהתבטא בתיאום בין המעורבים, בניסוי הראשון שלא הגיע לכלל ביצוע בשל בדיקת המשטרה ובשכירת רכב לצורך האירוע. הנשק המעורב הוא נשק תקני וארוך, שנשקפת ממנו סכנה רבה. מאידך, חלקו של הנאשם שבפני באירוע היה מצומצם. הוא נהג באחד משני כלי הרכב שנסעו לחברון, אולם על פי עובדות כתב האישום לא נטל כל חלק ברכישת הנשק והדבר נעשה על ידי אסף, שאינו נאשם בתיק זה, ובהנחיית נאשם 1. לאחר רכישת הנשק הנאשם למעשה לא היה מעורב עוד באירוע. הוא ואסף נסעו בדרכים שונות, לא נטען לתיאום כלשהו ביניהם, הנשק והתחמושת לא היו כלל בידיו, ברכבו או בשליטתו של הנאשם. עובדות אלו מציבות את הנאשם שבפני סמוך לרף התחתון של החומרה בעבירות המיוחסות לו. </w:t>
      </w:r>
    </w:p>
    <w:p w14:paraId="097F954C" w14:textId="77777777" w:rsidR="00B267F0" w:rsidRPr="00565C1A" w:rsidRDefault="00B267F0" w:rsidP="00B267F0">
      <w:pPr>
        <w:spacing w:after="240" w:line="360" w:lineRule="auto"/>
        <w:jc w:val="both"/>
        <w:rPr>
          <w:rFonts w:ascii="David" w:hAnsi="David"/>
          <w:b/>
          <w:bCs/>
          <w:sz w:val="26"/>
          <w:szCs w:val="26"/>
          <w:u w:val="single"/>
          <w:rtl/>
        </w:rPr>
      </w:pPr>
      <w:r w:rsidRPr="00565C1A">
        <w:rPr>
          <w:rFonts w:ascii="David" w:hAnsi="David" w:hint="cs"/>
          <w:b/>
          <w:bCs/>
          <w:sz w:val="26"/>
          <w:szCs w:val="26"/>
          <w:u w:val="single"/>
          <w:rtl/>
        </w:rPr>
        <w:t>נסיבות שאינן קשורות בביצוע העבירה</w:t>
      </w:r>
    </w:p>
    <w:p w14:paraId="7E8F4BA3" w14:textId="77777777" w:rsidR="00B267F0" w:rsidRDefault="00B267F0" w:rsidP="00B267F0">
      <w:pPr>
        <w:spacing w:after="240" w:line="360" w:lineRule="auto"/>
        <w:jc w:val="both"/>
        <w:rPr>
          <w:rFonts w:ascii="David" w:hAnsi="David"/>
          <w:sz w:val="26"/>
          <w:szCs w:val="26"/>
          <w:rtl/>
        </w:rPr>
      </w:pPr>
      <w:r>
        <w:rPr>
          <w:rFonts w:ascii="David" w:hAnsi="David" w:hint="cs"/>
          <w:sz w:val="26"/>
          <w:szCs w:val="26"/>
          <w:rtl/>
        </w:rPr>
        <w:t>13.</w:t>
      </w:r>
      <w:r>
        <w:rPr>
          <w:rFonts w:ascii="David" w:hAnsi="David" w:hint="cs"/>
          <w:sz w:val="26"/>
          <w:szCs w:val="26"/>
          <w:rtl/>
        </w:rPr>
        <w:tab/>
        <w:t xml:space="preserve">הנאשם צעיר כבן 29, ללא עבר פלילי, בעל עבר תעסוקתי ונורמטיבי, עומד להינשא לארוסתו מזה שנתיים. כאמור, בתסקיר מסר כי ביצע את העבירה מתוך היענות ללחץ של מעסיקו, ועל רקע זה בוצעו העבירות, כאשר חלקו של הנאשם באירוע מינורי יחסית. </w:t>
      </w:r>
    </w:p>
    <w:p w14:paraId="5A55B3E9" w14:textId="77777777" w:rsidR="00B267F0" w:rsidRDefault="00B267F0" w:rsidP="00B267F0">
      <w:pPr>
        <w:spacing w:after="240" w:line="360" w:lineRule="auto"/>
        <w:ind w:firstLine="720"/>
        <w:jc w:val="both"/>
        <w:rPr>
          <w:rFonts w:ascii="David" w:hAnsi="David"/>
          <w:sz w:val="26"/>
          <w:szCs w:val="26"/>
          <w:rtl/>
        </w:rPr>
      </w:pPr>
      <w:r>
        <w:rPr>
          <w:rFonts w:ascii="David" w:hAnsi="David" w:hint="cs"/>
          <w:sz w:val="26"/>
          <w:szCs w:val="26"/>
          <w:rtl/>
        </w:rPr>
        <w:t xml:space="preserve">הנאשם שהה במעצר ממש כ-3 חודשים ובפיקוח אלקטרוני כ-6 חודשים, ולא נטען להפרות. באופן מעשי תקופת המעצר שקולה כנגד תקופה של מאסר בפועל שהנאשם ריצה כבר. </w:t>
      </w:r>
    </w:p>
    <w:p w14:paraId="24E3C9B0" w14:textId="77777777" w:rsidR="00B267F0" w:rsidRDefault="00B267F0" w:rsidP="00B267F0">
      <w:pPr>
        <w:spacing w:after="240" w:line="360" w:lineRule="auto"/>
        <w:ind w:firstLine="720"/>
        <w:jc w:val="both"/>
        <w:rPr>
          <w:rFonts w:ascii="David" w:hAnsi="David"/>
          <w:sz w:val="26"/>
          <w:szCs w:val="26"/>
          <w:rtl/>
        </w:rPr>
      </w:pPr>
      <w:r>
        <w:rPr>
          <w:rFonts w:ascii="David" w:hAnsi="David" w:hint="cs"/>
          <w:sz w:val="26"/>
          <w:szCs w:val="26"/>
          <w:rtl/>
        </w:rPr>
        <w:t xml:space="preserve">הסניגור טען כי יש להעדיף את עקרון השיקום. במקרה זה אינני סבורה שמדובר על שיקום, שכן העבירות המיוחסות לנאשם הן בגדר אירוע חד פעמי ולא נדרש ממנו הליך טיפולי משמעותי. עם זאת, יש לזקוף לזכות הנאשם את שיתוף הפעולה עם שירות המבחן ואת כלל הנסיבות החיוביות כמפורט בתסקיר. </w:t>
      </w:r>
    </w:p>
    <w:p w14:paraId="51BD28D2" w14:textId="77777777" w:rsidR="00B267F0" w:rsidRDefault="00B267F0" w:rsidP="00B267F0">
      <w:pPr>
        <w:spacing w:after="240" w:line="360" w:lineRule="auto"/>
        <w:ind w:firstLine="720"/>
        <w:jc w:val="both"/>
        <w:rPr>
          <w:rFonts w:ascii="David" w:hAnsi="David"/>
          <w:sz w:val="26"/>
          <w:szCs w:val="26"/>
          <w:rtl/>
        </w:rPr>
      </w:pPr>
      <w:r>
        <w:rPr>
          <w:rFonts w:ascii="David" w:hAnsi="David" w:hint="cs"/>
          <w:sz w:val="26"/>
          <w:szCs w:val="26"/>
          <w:rtl/>
        </w:rPr>
        <w:t xml:space="preserve">כאמור, הפסיקה עמדה על הצורך בענישה מחמירה בעבירות נשק, ובאופן עקרוני אני סבורה שיש מקום להטלת עונש מאסר בפועל ממש. עם זאת, במקרה הנוכחי הנאשם שהה כבר במעצר ממש תקופה לא מבוטלת, בנוסף על תקופה של פיקוח אלקטרוני. בנוסף, כאמור, מדובר באירוע חד פעמי שהנאשם נקלע אליו בלחץ מעבידו, ואשר חלקו בו היה מינורי ולא כלל כל אינטראקציה עם מוכר הנשק, החזקה או שליטה בנשק עצמו. בנסיבות אלו אני סבורה שניתן להסתפק בעונש של 9 חודשי מאסר שירוצו בעבודות שירות. </w:t>
      </w:r>
    </w:p>
    <w:p w14:paraId="60D3EFDB" w14:textId="77777777" w:rsidR="00B267F0" w:rsidRDefault="00B267F0" w:rsidP="00B267F0">
      <w:pPr>
        <w:spacing w:after="240" w:line="360" w:lineRule="auto"/>
        <w:ind w:firstLine="720"/>
        <w:jc w:val="both"/>
        <w:rPr>
          <w:rFonts w:ascii="David" w:hAnsi="David"/>
          <w:sz w:val="26"/>
          <w:szCs w:val="26"/>
          <w:rtl/>
        </w:rPr>
      </w:pPr>
      <w:r>
        <w:rPr>
          <w:rFonts w:ascii="David" w:hAnsi="David" w:hint="cs"/>
          <w:sz w:val="26"/>
          <w:szCs w:val="26"/>
          <w:rtl/>
        </w:rPr>
        <w:t xml:space="preserve">לאור האמור אני דנה את הנאשם לעונש כמפורט להלן: </w:t>
      </w:r>
    </w:p>
    <w:p w14:paraId="3DA59028" w14:textId="77777777" w:rsidR="00B267F0" w:rsidRDefault="00B267F0" w:rsidP="00B267F0">
      <w:pPr>
        <w:pStyle w:val="a9"/>
        <w:numPr>
          <w:ilvl w:val="0"/>
          <w:numId w:val="2"/>
        </w:numPr>
        <w:spacing w:after="240" w:line="360" w:lineRule="auto"/>
        <w:jc w:val="both"/>
        <w:rPr>
          <w:rFonts w:ascii="David" w:hAnsi="David"/>
          <w:sz w:val="26"/>
          <w:szCs w:val="26"/>
        </w:rPr>
      </w:pPr>
      <w:r>
        <w:rPr>
          <w:rFonts w:ascii="David" w:hAnsi="David" w:hint="cs"/>
          <w:sz w:val="26"/>
          <w:szCs w:val="26"/>
          <w:rtl/>
        </w:rPr>
        <w:t xml:space="preserve">9 חודשי מאסר בפועל שירוצה בעבודות שירות בהתאם לחוות דעת הממונה. על הנאשם להתייצב לריצוי עבודות השירות היום 30.9.21 שעה 10:00 במפקדת מחוז מרכז ברמלה. </w:t>
      </w:r>
    </w:p>
    <w:p w14:paraId="13982214" w14:textId="77777777" w:rsidR="00B267F0" w:rsidRPr="00BF2C74" w:rsidRDefault="00B267F0" w:rsidP="00B267F0">
      <w:pPr>
        <w:pStyle w:val="a9"/>
        <w:numPr>
          <w:ilvl w:val="0"/>
          <w:numId w:val="2"/>
        </w:numPr>
        <w:spacing w:after="240" w:line="360" w:lineRule="auto"/>
        <w:jc w:val="both"/>
        <w:rPr>
          <w:rFonts w:ascii="David" w:hAnsi="David"/>
          <w:sz w:val="26"/>
          <w:szCs w:val="26"/>
          <w:rtl/>
        </w:rPr>
      </w:pPr>
      <w:r w:rsidRPr="00BF2C74">
        <w:rPr>
          <w:rFonts w:ascii="David" w:hAnsi="David" w:hint="cs"/>
          <w:sz w:val="26"/>
          <w:szCs w:val="26"/>
          <w:rtl/>
        </w:rPr>
        <w:t>מאסר על תנאי ל-3 חודשים למשך 3 שנים על כל עבירת נשק או נ</w:t>
      </w:r>
      <w:r>
        <w:rPr>
          <w:rFonts w:ascii="David" w:hAnsi="David" w:hint="cs"/>
          <w:sz w:val="26"/>
          <w:szCs w:val="26"/>
          <w:rtl/>
        </w:rPr>
        <w:t>י</w:t>
      </w:r>
      <w:r w:rsidRPr="00BF2C74">
        <w:rPr>
          <w:rFonts w:ascii="David" w:hAnsi="David" w:hint="cs"/>
          <w:sz w:val="26"/>
          <w:szCs w:val="26"/>
          <w:rtl/>
        </w:rPr>
        <w:t>סיון לעבור עבירת נשק.</w:t>
      </w:r>
    </w:p>
    <w:p w14:paraId="4E60210C" w14:textId="77777777" w:rsidR="00B267F0" w:rsidRPr="00EE6F46" w:rsidRDefault="00EE6F46" w:rsidP="00B267F0">
      <w:pPr>
        <w:rPr>
          <w:rFonts w:ascii="David" w:hAnsi="David"/>
          <w:color w:val="FFFFFF"/>
          <w:sz w:val="2"/>
          <w:szCs w:val="2"/>
          <w:rtl/>
        </w:rPr>
      </w:pPr>
      <w:r w:rsidRPr="00EE6F46">
        <w:rPr>
          <w:rFonts w:ascii="David" w:hAnsi="David"/>
          <w:color w:val="FFFFFF"/>
          <w:sz w:val="2"/>
          <w:szCs w:val="2"/>
          <w:rtl/>
        </w:rPr>
        <w:t>5129371</w:t>
      </w:r>
    </w:p>
    <w:p w14:paraId="58E0A3A6" w14:textId="77777777" w:rsidR="00B267F0" w:rsidRPr="00EE6F46" w:rsidRDefault="00EE6F46" w:rsidP="00B267F0">
      <w:pPr>
        <w:rPr>
          <w:rFonts w:ascii="David" w:hAnsi="David"/>
          <w:color w:val="FFFFFF"/>
          <w:sz w:val="2"/>
          <w:szCs w:val="2"/>
          <w:rtl/>
        </w:rPr>
      </w:pPr>
      <w:r w:rsidRPr="00EE6F46">
        <w:rPr>
          <w:rFonts w:ascii="David" w:hAnsi="David"/>
          <w:color w:val="FFFFFF"/>
          <w:sz w:val="2"/>
          <w:szCs w:val="2"/>
          <w:rtl/>
        </w:rPr>
        <w:t>54678313</w:t>
      </w:r>
    </w:p>
    <w:p w14:paraId="3CF2EC6C" w14:textId="77777777" w:rsidR="00B267F0" w:rsidRPr="002B7D23" w:rsidRDefault="00EE6F46" w:rsidP="00B267F0">
      <w:pPr>
        <w:spacing w:line="360" w:lineRule="auto"/>
        <w:jc w:val="both"/>
        <w:rPr>
          <w:rFonts w:ascii="David" w:hAnsi="David"/>
          <w:sz w:val="26"/>
          <w:szCs w:val="26"/>
        </w:rPr>
      </w:pPr>
      <w:bookmarkStart w:id="8" w:name="Nitan"/>
      <w:r>
        <w:rPr>
          <w:rFonts w:ascii="David" w:hAnsi="David"/>
          <w:sz w:val="26"/>
          <w:szCs w:val="26"/>
          <w:rtl/>
        </w:rPr>
        <w:t xml:space="preserve">ניתן היום,  י' אב תשפ"א, 19 יולי 2021, בנוכחות הצדדים. </w:t>
      </w:r>
      <w:bookmarkEnd w:id="8"/>
      <w:r w:rsidR="00B267F0">
        <w:rPr>
          <w:rFonts w:ascii="David" w:hAnsi="David" w:hint="cs"/>
          <w:sz w:val="26"/>
          <w:szCs w:val="26"/>
          <w:rtl/>
        </w:rPr>
        <w:t xml:space="preserve">זכות ערעור לבית המשפט העליון תוך 45 יום. </w:t>
      </w:r>
    </w:p>
    <w:p w14:paraId="4E64D243" w14:textId="77777777" w:rsidR="00B267F0" w:rsidRPr="002B7D23" w:rsidRDefault="00B267F0" w:rsidP="00B267F0">
      <w:pPr>
        <w:rPr>
          <w:rFonts w:ascii="David" w:hAnsi="David"/>
          <w:sz w:val="26"/>
          <w:szCs w:val="26"/>
          <w:rtl/>
        </w:rPr>
      </w:pPr>
    </w:p>
    <w:p w14:paraId="0CE324D1" w14:textId="77777777" w:rsidR="00B267F0" w:rsidRPr="002B7D23" w:rsidRDefault="00B267F0" w:rsidP="00EE6F46">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1081C8D" w14:textId="77777777" w:rsidR="00EE6F46" w:rsidRDefault="002A7EA7" w:rsidP="00EE6F46">
      <w:r w:rsidRPr="002A7EA7">
        <w:rPr>
          <w:rFonts w:ascii="David" w:hAnsi="David"/>
          <w:color w:val="FFFFFF"/>
          <w:sz w:val="2"/>
          <w:szCs w:val="2"/>
          <w:rtl/>
        </w:rPr>
        <w:t>5129371</w:t>
      </w:r>
    </w:p>
    <w:p w14:paraId="2F3C10A9" w14:textId="77777777" w:rsidR="00EE6F46" w:rsidRDefault="00EE6F46" w:rsidP="00EE6F46">
      <w:pPr>
        <w:rPr>
          <w:rtl/>
        </w:rPr>
      </w:pPr>
    </w:p>
    <w:p w14:paraId="2E57E928" w14:textId="77777777" w:rsidR="00EE6F46" w:rsidRDefault="00EE6F46" w:rsidP="00EE6F4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7D9866A0" w14:textId="77777777" w:rsidR="002A7EA7" w:rsidRPr="002A7EA7" w:rsidRDefault="002A7EA7" w:rsidP="002A7EA7">
      <w:pPr>
        <w:keepNext/>
        <w:rPr>
          <w:rFonts w:ascii="David" w:hAnsi="David"/>
          <w:color w:val="000000"/>
          <w:sz w:val="22"/>
          <w:szCs w:val="22"/>
          <w:rtl/>
        </w:rPr>
      </w:pPr>
    </w:p>
    <w:p w14:paraId="5AA60E6F" w14:textId="77777777" w:rsidR="002A7EA7" w:rsidRPr="002A7EA7" w:rsidRDefault="002A7EA7" w:rsidP="002A7EA7">
      <w:pPr>
        <w:keepNext/>
        <w:rPr>
          <w:rFonts w:ascii="David" w:hAnsi="David"/>
          <w:color w:val="000000"/>
          <w:sz w:val="22"/>
          <w:szCs w:val="22"/>
          <w:rtl/>
        </w:rPr>
      </w:pPr>
      <w:r w:rsidRPr="002A7EA7">
        <w:rPr>
          <w:rFonts w:ascii="David" w:hAnsi="David"/>
          <w:color w:val="000000"/>
          <w:sz w:val="22"/>
          <w:szCs w:val="22"/>
          <w:rtl/>
        </w:rPr>
        <w:t>חגית מאק קלמנוביץ 54678313-/</w:t>
      </w:r>
    </w:p>
    <w:p w14:paraId="2F8495C3" w14:textId="77777777" w:rsidR="00EE6F46" w:rsidRPr="00EE6F46" w:rsidRDefault="002A7EA7" w:rsidP="002A7EA7">
      <w:pPr>
        <w:rPr>
          <w:rFonts w:hint="cs"/>
          <w:color w:val="0000FF"/>
          <w:u w:val="single"/>
        </w:rPr>
      </w:pPr>
      <w:r w:rsidRPr="002A7EA7">
        <w:rPr>
          <w:color w:val="000000"/>
          <w:u w:val="single"/>
          <w:rtl/>
        </w:rPr>
        <w:t>נוסח מסמך זה כפוף לשינויי ניסוח ועריכה</w:t>
      </w:r>
      <w:r w:rsidR="0077560E">
        <w:rPr>
          <w:rFonts w:hint="cs"/>
          <w:color w:val="0000FF"/>
          <w:u w:val="single"/>
          <w:rtl/>
        </w:rPr>
        <w:t xml:space="preserve"> </w:t>
      </w:r>
    </w:p>
    <w:sectPr w:rsidR="00EE6F46" w:rsidRPr="00EE6F46" w:rsidSect="002A7EA7">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D75C4" w14:textId="77777777" w:rsidR="001A42B1" w:rsidRDefault="001A42B1" w:rsidP="00374907">
      <w:r>
        <w:separator/>
      </w:r>
    </w:p>
  </w:endnote>
  <w:endnote w:type="continuationSeparator" w:id="0">
    <w:p w14:paraId="23C33723" w14:textId="77777777" w:rsidR="001A42B1" w:rsidRDefault="001A42B1" w:rsidP="0037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9243" w14:textId="77777777" w:rsidR="002A7EA7" w:rsidRDefault="002A7EA7" w:rsidP="002A7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8FD41A" w14:textId="77777777" w:rsidR="001F754C" w:rsidRPr="002A7EA7" w:rsidRDefault="002A7EA7" w:rsidP="002A7EA7">
    <w:pPr>
      <w:pStyle w:val="a5"/>
      <w:pBdr>
        <w:top w:val="single" w:sz="4" w:space="1" w:color="auto"/>
        <w:between w:val="single" w:sz="4" w:space="0" w:color="auto"/>
      </w:pBdr>
      <w:spacing w:after="60"/>
      <w:jc w:val="center"/>
      <w:rPr>
        <w:rFonts w:ascii="FrankRuehl" w:hAnsi="FrankRuehl" w:cs="FrankRuehl"/>
        <w:color w:val="000000"/>
      </w:rPr>
    </w:pPr>
    <w:r w:rsidRPr="002A7E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8930A" w14:textId="77777777" w:rsidR="002A7EA7" w:rsidRDefault="002A7EA7" w:rsidP="002A7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0DB5">
      <w:rPr>
        <w:rFonts w:ascii="FrankRuehl" w:hAnsi="FrankRuehl" w:cs="FrankRuehl"/>
        <w:noProof/>
        <w:rtl/>
      </w:rPr>
      <w:t>1</w:t>
    </w:r>
    <w:r>
      <w:rPr>
        <w:rFonts w:ascii="FrankRuehl" w:hAnsi="FrankRuehl" w:cs="FrankRuehl"/>
        <w:rtl/>
      </w:rPr>
      <w:fldChar w:fldCharType="end"/>
    </w:r>
  </w:p>
  <w:p w14:paraId="093DCBF1" w14:textId="77777777" w:rsidR="001F754C" w:rsidRPr="002A7EA7" w:rsidRDefault="002A7EA7" w:rsidP="002A7EA7">
    <w:pPr>
      <w:pStyle w:val="a5"/>
      <w:pBdr>
        <w:top w:val="single" w:sz="4" w:space="1" w:color="auto"/>
        <w:between w:val="single" w:sz="4" w:space="0" w:color="auto"/>
      </w:pBdr>
      <w:spacing w:after="60"/>
      <w:jc w:val="center"/>
      <w:rPr>
        <w:rFonts w:ascii="FrankRuehl" w:hAnsi="FrankRuehl" w:cs="FrankRuehl"/>
        <w:color w:val="000000"/>
      </w:rPr>
    </w:pPr>
    <w:r w:rsidRPr="002A7EA7">
      <w:rPr>
        <w:rFonts w:ascii="FrankRuehl" w:hAnsi="FrankRuehl" w:cs="FrankRuehl"/>
        <w:color w:val="000000"/>
      </w:rPr>
      <w:pict w14:anchorId="0B177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E2C9B" w14:textId="77777777" w:rsidR="001A42B1" w:rsidRDefault="001A42B1" w:rsidP="00374907">
      <w:r>
        <w:separator/>
      </w:r>
    </w:p>
  </w:footnote>
  <w:footnote w:type="continuationSeparator" w:id="0">
    <w:p w14:paraId="4AC6EAB3" w14:textId="77777777" w:rsidR="001A42B1" w:rsidRDefault="001A42B1" w:rsidP="0037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3E8AE" w14:textId="77777777" w:rsidR="00EE6F46" w:rsidRPr="002A7EA7" w:rsidRDefault="002A7EA7" w:rsidP="002A7E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68008-11-19</w:t>
    </w:r>
    <w:r>
      <w:rPr>
        <w:rFonts w:ascii="David" w:hAnsi="David"/>
        <w:color w:val="000000"/>
        <w:sz w:val="22"/>
        <w:szCs w:val="22"/>
        <w:rtl/>
      </w:rPr>
      <w:tab/>
      <w:t xml:space="preserve"> מדינת ישראל נ' איקרימה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E29A7" w14:textId="77777777" w:rsidR="00EE6F46" w:rsidRPr="002A7EA7" w:rsidRDefault="002A7EA7" w:rsidP="002A7E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68008-11-19</w:t>
    </w:r>
    <w:r>
      <w:rPr>
        <w:rFonts w:ascii="David" w:hAnsi="David"/>
        <w:color w:val="000000"/>
        <w:sz w:val="22"/>
        <w:szCs w:val="22"/>
        <w:rtl/>
      </w:rPr>
      <w:tab/>
      <w:t xml:space="preserve"> מדינת ישראל נ' איקרימה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9306B"/>
    <w:multiLevelType w:val="hybridMultilevel"/>
    <w:tmpl w:val="E684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9603D1"/>
    <w:multiLevelType w:val="hybridMultilevel"/>
    <w:tmpl w:val="2DEE5EF4"/>
    <w:lvl w:ilvl="0" w:tplc="14402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0181299">
    <w:abstractNumId w:val="0"/>
  </w:num>
  <w:num w:numId="2" w16cid:durableId="568656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7F0"/>
    <w:rsid w:val="00006687"/>
    <w:rsid w:val="0010557C"/>
    <w:rsid w:val="001A42B1"/>
    <w:rsid w:val="001B5A3B"/>
    <w:rsid w:val="001F754C"/>
    <w:rsid w:val="002430F5"/>
    <w:rsid w:val="002A7EA7"/>
    <w:rsid w:val="00374907"/>
    <w:rsid w:val="007316E8"/>
    <w:rsid w:val="0077560E"/>
    <w:rsid w:val="00805BF4"/>
    <w:rsid w:val="00B267F0"/>
    <w:rsid w:val="00EE0DB5"/>
    <w:rsid w:val="00EE6F46"/>
    <w:rsid w:val="00F31749"/>
    <w:rsid w:val="00F715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3BFDB6"/>
  <w15:chartTrackingRefBased/>
  <w15:docId w15:val="{C87A184E-FFE2-4268-ABBF-ED352CC5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67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67F0"/>
    <w:pPr>
      <w:tabs>
        <w:tab w:val="center" w:pos="4153"/>
        <w:tab w:val="right" w:pos="8306"/>
      </w:tabs>
    </w:pPr>
  </w:style>
  <w:style w:type="character" w:customStyle="1" w:styleId="a4">
    <w:name w:val="כותרת עליונה תו"/>
    <w:link w:val="a3"/>
    <w:rsid w:val="00B267F0"/>
    <w:rPr>
      <w:rFonts w:ascii="Times New Roman" w:eastAsia="Times New Roman" w:hAnsi="Times New Roman" w:cs="David"/>
      <w:sz w:val="24"/>
      <w:szCs w:val="24"/>
    </w:rPr>
  </w:style>
  <w:style w:type="paragraph" w:styleId="a5">
    <w:name w:val="footer"/>
    <w:basedOn w:val="a"/>
    <w:link w:val="a6"/>
    <w:rsid w:val="00B267F0"/>
    <w:pPr>
      <w:tabs>
        <w:tab w:val="center" w:pos="4153"/>
        <w:tab w:val="right" w:pos="8306"/>
      </w:tabs>
    </w:pPr>
  </w:style>
  <w:style w:type="character" w:customStyle="1" w:styleId="a6">
    <w:name w:val="כותרת תחתונה תו"/>
    <w:link w:val="a5"/>
    <w:rsid w:val="00B267F0"/>
    <w:rPr>
      <w:rFonts w:ascii="Times New Roman" w:eastAsia="Times New Roman" w:hAnsi="Times New Roman" w:cs="David"/>
      <w:sz w:val="24"/>
      <w:szCs w:val="24"/>
    </w:rPr>
  </w:style>
  <w:style w:type="table" w:styleId="a7">
    <w:name w:val="Table Grid"/>
    <w:basedOn w:val="a1"/>
    <w:rsid w:val="00B267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67F0"/>
  </w:style>
  <w:style w:type="paragraph" w:styleId="a9">
    <w:name w:val="List Paragraph"/>
    <w:basedOn w:val="a"/>
    <w:qFormat/>
    <w:rsid w:val="00B267F0"/>
    <w:pPr>
      <w:ind w:left="720"/>
      <w:contextualSpacing/>
    </w:pPr>
  </w:style>
  <w:style w:type="character" w:styleId="Hyperlink">
    <w:name w:val="Hyperlink"/>
    <w:rsid w:val="00EE6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680796" TargetMode="External"/><Relationship Id="rId26" Type="http://schemas.openxmlformats.org/officeDocument/2006/relationships/hyperlink" Target="http://www.nevo.co.il/case/25551440" TargetMode="External"/><Relationship Id="rId3" Type="http://schemas.openxmlformats.org/officeDocument/2006/relationships/settings" Target="settings.xml"/><Relationship Id="rId21" Type="http://schemas.openxmlformats.org/officeDocument/2006/relationships/hyperlink" Target="http://www.nevo.co.il/case/2582486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case/21686768" TargetMode="External"/><Relationship Id="rId25" Type="http://schemas.openxmlformats.org/officeDocument/2006/relationships/hyperlink" Target="http://www.nevo.co.il/case/2656849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589534" TargetMode="External"/><Relationship Id="rId20" Type="http://schemas.openxmlformats.org/officeDocument/2006/relationships/hyperlink" Target="http://www.nevo.co.il/case/26714559" TargetMode="External"/><Relationship Id="rId29" Type="http://schemas.openxmlformats.org/officeDocument/2006/relationships/hyperlink" Target="http://www.nevo.co.il/case/216623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779149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23177651"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2610998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25543800"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1998</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11970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3276912</vt:i4>
      </vt:variant>
      <vt:variant>
        <vt:i4>66</vt:i4>
      </vt:variant>
      <vt:variant>
        <vt:i4>0</vt:i4>
      </vt:variant>
      <vt:variant>
        <vt:i4>5</vt:i4>
      </vt:variant>
      <vt:variant>
        <vt:lpwstr>http://www.nevo.co.il/case/21662347</vt:lpwstr>
      </vt:variant>
      <vt:variant>
        <vt:lpwstr/>
      </vt:variant>
      <vt:variant>
        <vt:i4>3211382</vt:i4>
      </vt:variant>
      <vt:variant>
        <vt:i4>63</vt:i4>
      </vt:variant>
      <vt:variant>
        <vt:i4>0</vt:i4>
      </vt:variant>
      <vt:variant>
        <vt:i4>5</vt:i4>
      </vt:variant>
      <vt:variant>
        <vt:lpwstr>http://www.nevo.co.il/case/23177651</vt:lpwstr>
      </vt:variant>
      <vt:variant>
        <vt:lpwstr/>
      </vt:variant>
      <vt:variant>
        <vt:i4>3407997</vt:i4>
      </vt:variant>
      <vt:variant>
        <vt:i4>60</vt:i4>
      </vt:variant>
      <vt:variant>
        <vt:i4>0</vt:i4>
      </vt:variant>
      <vt:variant>
        <vt:i4>5</vt:i4>
      </vt:variant>
      <vt:variant>
        <vt:lpwstr>http://www.nevo.co.il/case/25543800</vt:lpwstr>
      </vt:variant>
      <vt:variant>
        <vt:lpwstr/>
      </vt:variant>
      <vt:variant>
        <vt:i4>3276912</vt:i4>
      </vt:variant>
      <vt:variant>
        <vt:i4>57</vt:i4>
      </vt:variant>
      <vt:variant>
        <vt:i4>0</vt:i4>
      </vt:variant>
      <vt:variant>
        <vt:i4>5</vt:i4>
      </vt:variant>
      <vt:variant>
        <vt:lpwstr>http://www.nevo.co.il/case/25551440</vt:lpwstr>
      </vt:variant>
      <vt:variant>
        <vt:lpwstr/>
      </vt:variant>
      <vt:variant>
        <vt:i4>3539056</vt:i4>
      </vt:variant>
      <vt:variant>
        <vt:i4>54</vt:i4>
      </vt:variant>
      <vt:variant>
        <vt:i4>0</vt:i4>
      </vt:variant>
      <vt:variant>
        <vt:i4>5</vt:i4>
      </vt:variant>
      <vt:variant>
        <vt:lpwstr>http://www.nevo.co.il/case/26568495</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3407990</vt:i4>
      </vt:variant>
      <vt:variant>
        <vt:i4>39</vt:i4>
      </vt:variant>
      <vt:variant>
        <vt:i4>0</vt:i4>
      </vt:variant>
      <vt:variant>
        <vt:i4>5</vt:i4>
      </vt:variant>
      <vt:variant>
        <vt:lpwstr>http://www.nevo.co.il/case/26714559</vt:lpwstr>
      </vt:variant>
      <vt:variant>
        <vt:lpwstr/>
      </vt:variant>
      <vt:variant>
        <vt:i4>3276923</vt:i4>
      </vt:variant>
      <vt:variant>
        <vt:i4>36</vt:i4>
      </vt:variant>
      <vt:variant>
        <vt:i4>0</vt:i4>
      </vt:variant>
      <vt:variant>
        <vt:i4>5</vt:i4>
      </vt:variant>
      <vt:variant>
        <vt:lpwstr>http://www.nevo.co.il/case/26109982</vt:lpwstr>
      </vt:variant>
      <vt:variant>
        <vt:lpwstr/>
      </vt:variant>
      <vt:variant>
        <vt:i4>3997818</vt:i4>
      </vt:variant>
      <vt:variant>
        <vt:i4>33</vt:i4>
      </vt:variant>
      <vt:variant>
        <vt:i4>0</vt:i4>
      </vt:variant>
      <vt:variant>
        <vt:i4>5</vt:i4>
      </vt:variant>
      <vt:variant>
        <vt:lpwstr>http://www.nevo.co.il/case/21680796</vt:lpwstr>
      </vt:variant>
      <vt:variant>
        <vt:lpwstr/>
      </vt:variant>
      <vt:variant>
        <vt:i4>3407994</vt:i4>
      </vt:variant>
      <vt:variant>
        <vt:i4>30</vt:i4>
      </vt:variant>
      <vt:variant>
        <vt:i4>0</vt:i4>
      </vt:variant>
      <vt:variant>
        <vt:i4>5</vt:i4>
      </vt:variant>
      <vt:variant>
        <vt:lpwstr>http://www.nevo.co.il/case/21686768</vt:lpwstr>
      </vt:variant>
      <vt:variant>
        <vt:lpwstr/>
      </vt:variant>
      <vt:variant>
        <vt:i4>3997823</vt:i4>
      </vt:variant>
      <vt:variant>
        <vt:i4>27</vt:i4>
      </vt:variant>
      <vt:variant>
        <vt:i4>0</vt:i4>
      </vt:variant>
      <vt:variant>
        <vt:i4>5</vt:i4>
      </vt:variant>
      <vt:variant>
        <vt:lpwstr>http://www.nevo.co.il/case/26589534</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68008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איקרימה עאמר;בקר אבו חביב</vt:lpwstr>
  </property>
  <property fmtid="{D5CDD505-2E9C-101B-9397-08002B2CF9AE}" pid="10" name="LAWYER">
    <vt:lpwstr>נדיר בראנסי;אורי בר עוז</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20210719</vt:lpwstr>
  </property>
  <property fmtid="{D5CDD505-2E9C-101B-9397-08002B2CF9AE}" pid="14" name="TYPE_N_DATE">
    <vt:lpwstr>39020210719</vt:lpwstr>
  </property>
  <property fmtid="{D5CDD505-2E9C-101B-9397-08002B2CF9AE}" pid="15" name="WORDNUMPAGES">
    <vt:lpwstr>6</vt:lpwstr>
  </property>
  <property fmtid="{D5CDD505-2E9C-101B-9397-08002B2CF9AE}" pid="16" name="TYPE_ABS_DATE">
    <vt:lpwstr>390020210719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26589534;21686768;21680796;26109982;26714559;25824863;5821327;8291683;7791493;26568495;25551440;25543800;23177651;21662347</vt:lpwstr>
  </property>
  <property fmtid="{D5CDD505-2E9C-101B-9397-08002B2CF9AE}" pid="36" name="LAWLISTTMP1">
    <vt:lpwstr>70301/144.a;031:2;144.b</vt:lpwstr>
  </property>
</Properties>
</file>