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05"/>
      </w:tblGrid>
      <w:tr w:rsidR="004A19B0" w:rsidRPr="002666B0" w14:paraId="02199C6D" w14:textId="77777777" w:rsidTr="00BB6642">
        <w:trPr>
          <w:trHeight w:hRule="exact" w:val="418"/>
          <w:jc w:val="center"/>
        </w:trPr>
        <w:tc>
          <w:tcPr>
            <w:tcW w:w="8505" w:type="dxa"/>
          </w:tcPr>
          <w:p w14:paraId="0F31BC83" w14:textId="77777777" w:rsidR="004A19B0" w:rsidRPr="002666B0" w:rsidRDefault="004A19B0" w:rsidP="00BB6642">
            <w:pPr>
              <w:pStyle w:val="a3"/>
              <w:jc w:val="center"/>
              <w:rPr>
                <w:rFonts w:ascii="Tahoma" w:hAnsi="Tahoma" w:cs="Tahoma"/>
                <w:color w:val="000080"/>
                <w:rtl/>
              </w:rPr>
            </w:pPr>
            <w:bookmarkStart w:id="0" w:name="FirstLawyer"/>
            <w:bookmarkStart w:id="1" w:name="LastJudge"/>
            <w:r w:rsidRPr="002666B0">
              <w:rPr>
                <w:rFonts w:ascii="Tahoma" w:hAnsi="Tahoma" w:cs="Tahoma"/>
                <w:b/>
                <w:bCs/>
                <w:color w:val="000080"/>
                <w:rtl/>
              </w:rPr>
              <w:t>בית המשפט המחוזי בחיפה</w:t>
            </w:r>
          </w:p>
        </w:tc>
      </w:tr>
      <w:tr w:rsidR="004A19B0" w:rsidRPr="002666B0" w14:paraId="337EEB01" w14:textId="77777777" w:rsidTr="00BB6642">
        <w:trPr>
          <w:trHeight w:val="337"/>
          <w:jc w:val="center"/>
        </w:trPr>
        <w:tc>
          <w:tcPr>
            <w:tcW w:w="8505" w:type="dxa"/>
          </w:tcPr>
          <w:p w14:paraId="2B92A2DE" w14:textId="77777777" w:rsidR="004A19B0" w:rsidRPr="002666B0" w:rsidRDefault="004A19B0" w:rsidP="00BB6642">
            <w:pPr>
              <w:pStyle w:val="a3"/>
              <w:rPr>
                <w:rFonts w:cs="FrankRuehl"/>
                <w:sz w:val="28"/>
                <w:szCs w:val="28"/>
                <w:rtl/>
              </w:rPr>
            </w:pPr>
            <w:r w:rsidRPr="002666B0">
              <w:rPr>
                <w:rFonts w:ascii="David" w:hAnsi="David"/>
                <w:b/>
                <w:bCs/>
                <w:sz w:val="28"/>
                <w:szCs w:val="28"/>
                <w:rtl/>
              </w:rPr>
              <w:br/>
              <w:t>ת"פ 23648-12-19 מדינת ישראל נ' ג'רבאן(עציר) ואח'</w:t>
            </w:r>
          </w:p>
        </w:tc>
      </w:tr>
    </w:tbl>
    <w:p w14:paraId="270A535E" w14:textId="77777777" w:rsidR="004A19B0" w:rsidRPr="002666B0" w:rsidRDefault="004A19B0" w:rsidP="004A19B0">
      <w:pPr>
        <w:pStyle w:val="a3"/>
        <w:rPr>
          <w:rtl/>
        </w:rPr>
      </w:pPr>
      <w:r w:rsidRPr="002666B0">
        <w:rPr>
          <w:rFonts w:hint="cs"/>
          <w:rtl/>
        </w:rPr>
        <w:t xml:space="preserve"> </w:t>
      </w:r>
    </w:p>
    <w:p w14:paraId="522CF3FF" w14:textId="77777777" w:rsidR="004A19B0" w:rsidRPr="002666B0" w:rsidRDefault="004A19B0" w:rsidP="004A19B0">
      <w:pPr>
        <w:rPr>
          <w:rtl/>
        </w:rPr>
      </w:pPr>
    </w:p>
    <w:p w14:paraId="219955FB" w14:textId="77777777" w:rsidR="004A19B0" w:rsidRPr="002666B0" w:rsidRDefault="004A19B0" w:rsidP="004A19B0">
      <w:pPr>
        <w:rPr>
          <w:rtl/>
        </w:rPr>
      </w:pPr>
    </w:p>
    <w:tbl>
      <w:tblPr>
        <w:bidiVisual/>
        <w:tblW w:w="8802" w:type="dxa"/>
        <w:tblInd w:w="-28" w:type="dxa"/>
        <w:tblLook w:val="01E0" w:firstRow="1" w:lastRow="1" w:firstColumn="1" w:lastColumn="1" w:noHBand="0" w:noVBand="0"/>
      </w:tblPr>
      <w:tblGrid>
        <w:gridCol w:w="2880"/>
        <w:gridCol w:w="5838"/>
        <w:gridCol w:w="84"/>
      </w:tblGrid>
      <w:tr w:rsidR="004A19B0" w:rsidRPr="002666B0" w14:paraId="5B7E4ED2" w14:textId="77777777" w:rsidTr="004A19B0">
        <w:trPr>
          <w:gridAfter w:val="1"/>
          <w:wAfter w:w="56" w:type="dxa"/>
        </w:trPr>
        <w:tc>
          <w:tcPr>
            <w:tcW w:w="8718" w:type="dxa"/>
            <w:gridSpan w:val="2"/>
            <w:shd w:val="clear" w:color="auto" w:fill="auto"/>
          </w:tcPr>
          <w:p w14:paraId="12843795" w14:textId="77777777" w:rsidR="004A19B0" w:rsidRPr="002666B0" w:rsidRDefault="004A19B0" w:rsidP="007214F0">
            <w:pPr>
              <w:pStyle w:val="a3"/>
              <w:jc w:val="right"/>
              <w:rPr>
                <w:rFonts w:ascii="David" w:hAnsi="David"/>
                <w:b/>
                <w:bCs/>
                <w:sz w:val="4"/>
                <w:szCs w:val="4"/>
              </w:rPr>
            </w:pPr>
            <w:r w:rsidRPr="002666B0">
              <w:rPr>
                <w:rFonts w:hint="cs"/>
                <w:b/>
                <w:bCs/>
                <w:rtl/>
              </w:rPr>
              <w:t xml:space="preserve">                       מספר פל"א </w:t>
            </w:r>
            <w:r w:rsidRPr="002666B0">
              <w:rPr>
                <w:rFonts w:hint="cs"/>
                <w:b/>
                <w:bCs/>
              </w:rPr>
              <w:t>510584/2019</w:t>
            </w:r>
          </w:p>
          <w:p w14:paraId="755507D9" w14:textId="77777777" w:rsidR="004A19B0" w:rsidRPr="002666B0" w:rsidRDefault="004A19B0" w:rsidP="00BB6642">
            <w:pPr>
              <w:rPr>
                <w:rtl/>
              </w:rPr>
            </w:pPr>
          </w:p>
          <w:p w14:paraId="5A1AFCED" w14:textId="77777777" w:rsidR="004A19B0" w:rsidRPr="002666B0" w:rsidRDefault="004A19B0" w:rsidP="00BB6642">
            <w:pPr>
              <w:rPr>
                <w:rStyle w:val="TimesNewRomanTimesNewRoman"/>
                <w:rtl/>
              </w:rPr>
            </w:pPr>
            <w:r w:rsidRPr="002666B0">
              <w:rPr>
                <w:rFonts w:hint="cs"/>
                <w:b/>
                <w:bCs/>
                <w:sz w:val="26"/>
                <w:szCs w:val="26"/>
                <w:rtl/>
              </w:rPr>
              <w:t>לפני כבוד ה</w:t>
            </w:r>
            <w:r w:rsidRPr="002666B0">
              <w:rPr>
                <w:b/>
                <w:bCs/>
                <w:sz w:val="26"/>
                <w:szCs w:val="26"/>
                <w:rtl/>
              </w:rPr>
              <w:t>שופט סארי ג'יוסי</w:t>
            </w:r>
          </w:p>
          <w:p w14:paraId="5865FBEB" w14:textId="77777777" w:rsidR="004A19B0" w:rsidRPr="002666B0" w:rsidRDefault="004A19B0" w:rsidP="00BB6642">
            <w:pPr>
              <w:rPr>
                <w:b/>
                <w:bCs/>
                <w:sz w:val="26"/>
                <w:szCs w:val="26"/>
                <w:rtl/>
              </w:rPr>
            </w:pPr>
            <w:r w:rsidRPr="002666B0">
              <w:rPr>
                <w:rStyle w:val="TimesNewRomanTimesNewRoman"/>
                <w:rtl/>
              </w:rPr>
              <w:t xml:space="preserve"> </w:t>
            </w:r>
          </w:p>
        </w:tc>
      </w:tr>
      <w:tr w:rsidR="004A19B0" w:rsidRPr="002666B0" w14:paraId="3971C432" w14:textId="77777777" w:rsidTr="004A19B0">
        <w:trPr>
          <w:cantSplit/>
          <w:trHeight w:val="724"/>
        </w:trPr>
        <w:tc>
          <w:tcPr>
            <w:tcW w:w="2880" w:type="dxa"/>
            <w:shd w:val="clear" w:color="auto" w:fill="auto"/>
          </w:tcPr>
          <w:p w14:paraId="17A2B013" w14:textId="77777777" w:rsidR="004A19B0" w:rsidRPr="002666B0" w:rsidRDefault="004A19B0" w:rsidP="004A19B0">
            <w:pPr>
              <w:ind w:left="26"/>
              <w:rPr>
                <w:b/>
                <w:bCs/>
                <w:sz w:val="26"/>
                <w:szCs w:val="26"/>
                <w:rtl/>
              </w:rPr>
            </w:pPr>
            <w:bookmarkStart w:id="2" w:name="FirstAppellant"/>
            <w:r w:rsidRPr="002666B0">
              <w:rPr>
                <w:rFonts w:hint="cs"/>
                <w:b/>
                <w:bCs/>
                <w:sz w:val="26"/>
                <w:szCs w:val="26"/>
                <w:rtl/>
              </w:rPr>
              <w:t>ה</w:t>
            </w:r>
            <w:r w:rsidRPr="002666B0">
              <w:rPr>
                <w:b/>
                <w:bCs/>
                <w:sz w:val="26"/>
                <w:szCs w:val="26"/>
                <w:rtl/>
              </w:rPr>
              <w:t>מאשימה</w:t>
            </w:r>
          </w:p>
        </w:tc>
        <w:tc>
          <w:tcPr>
            <w:tcW w:w="5922" w:type="dxa"/>
            <w:gridSpan w:val="2"/>
            <w:shd w:val="clear" w:color="auto" w:fill="auto"/>
          </w:tcPr>
          <w:p w14:paraId="57497DF3" w14:textId="77777777" w:rsidR="004A19B0" w:rsidRPr="002666B0" w:rsidRDefault="004A19B0" w:rsidP="00BB6642">
            <w:r w:rsidRPr="002666B0">
              <w:rPr>
                <w:rFonts w:ascii="David" w:hAnsi="David"/>
                <w:b/>
                <w:bCs/>
                <w:sz w:val="28"/>
                <w:szCs w:val="28"/>
                <w:rtl/>
              </w:rPr>
              <w:t>מדינת ישראל</w:t>
            </w:r>
            <w:r w:rsidRPr="002666B0">
              <w:rPr>
                <w:rFonts w:ascii="David" w:hAnsi="David"/>
                <w:b/>
                <w:bCs/>
                <w:sz w:val="28"/>
                <w:szCs w:val="28"/>
                <w:rtl/>
              </w:rPr>
              <w:br/>
            </w:r>
            <w:r w:rsidRPr="002666B0">
              <w:rPr>
                <w:rFonts w:ascii="David" w:hAnsi="David"/>
                <w:rtl/>
              </w:rPr>
              <w:t xml:space="preserve">ע"י ב"כ עוה"ד נג'וא סלימאן </w:t>
            </w:r>
            <w:r w:rsidRPr="002666B0">
              <w:rPr>
                <w:rFonts w:ascii="David" w:hAnsi="David"/>
                <w:rtl/>
              </w:rPr>
              <w:br/>
              <w:t>פרקליטות מחוז חיפה</w:t>
            </w:r>
          </w:p>
        </w:tc>
      </w:tr>
      <w:bookmarkEnd w:id="2"/>
      <w:tr w:rsidR="004A19B0" w:rsidRPr="002666B0" w14:paraId="3F0CD3D7" w14:textId="77777777" w:rsidTr="004A19B0">
        <w:tc>
          <w:tcPr>
            <w:tcW w:w="8802" w:type="dxa"/>
            <w:gridSpan w:val="3"/>
            <w:shd w:val="clear" w:color="auto" w:fill="auto"/>
            <w:vAlign w:val="center"/>
          </w:tcPr>
          <w:p w14:paraId="5C8081BD" w14:textId="77777777" w:rsidR="004A19B0" w:rsidRPr="002666B0" w:rsidRDefault="004A19B0" w:rsidP="004A19B0">
            <w:pPr>
              <w:jc w:val="center"/>
              <w:rPr>
                <w:rFonts w:ascii="Arial" w:hAnsi="Arial"/>
                <w:b/>
                <w:bCs/>
                <w:sz w:val="26"/>
                <w:szCs w:val="26"/>
                <w:rtl/>
              </w:rPr>
            </w:pPr>
          </w:p>
          <w:p w14:paraId="48FE05C1" w14:textId="77777777" w:rsidR="004A19B0" w:rsidRPr="002666B0" w:rsidRDefault="004A19B0" w:rsidP="004A19B0">
            <w:pPr>
              <w:jc w:val="center"/>
              <w:rPr>
                <w:rFonts w:ascii="Arial" w:hAnsi="Arial"/>
                <w:b/>
                <w:bCs/>
                <w:sz w:val="26"/>
                <w:szCs w:val="26"/>
                <w:rtl/>
              </w:rPr>
            </w:pPr>
            <w:r w:rsidRPr="002666B0">
              <w:rPr>
                <w:rFonts w:ascii="Arial" w:hAnsi="Arial" w:hint="cs"/>
                <w:b/>
                <w:bCs/>
                <w:sz w:val="26"/>
                <w:szCs w:val="26"/>
                <w:rtl/>
              </w:rPr>
              <w:t>נגד</w:t>
            </w:r>
          </w:p>
          <w:p w14:paraId="542F8BA3" w14:textId="77777777" w:rsidR="004A19B0" w:rsidRPr="002666B0" w:rsidRDefault="004A19B0" w:rsidP="00BB6642">
            <w:pPr>
              <w:rPr>
                <w:rFonts w:ascii="Arial" w:hAnsi="Arial"/>
                <w:b/>
                <w:bCs/>
                <w:sz w:val="26"/>
                <w:szCs w:val="26"/>
                <w:rtl/>
              </w:rPr>
            </w:pPr>
          </w:p>
        </w:tc>
      </w:tr>
      <w:tr w:rsidR="004A19B0" w:rsidRPr="002666B0" w14:paraId="2F5F0868" w14:textId="77777777" w:rsidTr="004A19B0">
        <w:tc>
          <w:tcPr>
            <w:tcW w:w="2880" w:type="dxa"/>
            <w:shd w:val="clear" w:color="auto" w:fill="auto"/>
          </w:tcPr>
          <w:p w14:paraId="6A27C0F6" w14:textId="77777777" w:rsidR="004A19B0" w:rsidRPr="002666B0" w:rsidRDefault="004A19B0" w:rsidP="004A19B0">
            <w:pPr>
              <w:ind w:left="26"/>
              <w:rPr>
                <w:b/>
                <w:bCs/>
                <w:sz w:val="26"/>
                <w:szCs w:val="26"/>
              </w:rPr>
            </w:pPr>
            <w:r w:rsidRPr="002666B0">
              <w:rPr>
                <w:rFonts w:hint="cs"/>
                <w:b/>
                <w:bCs/>
                <w:sz w:val="26"/>
                <w:szCs w:val="26"/>
                <w:rtl/>
              </w:rPr>
              <w:t>ה</w:t>
            </w:r>
            <w:r w:rsidRPr="002666B0">
              <w:rPr>
                <w:b/>
                <w:bCs/>
                <w:sz w:val="26"/>
                <w:szCs w:val="26"/>
                <w:rtl/>
              </w:rPr>
              <w:t>נאשמים</w:t>
            </w:r>
          </w:p>
        </w:tc>
        <w:tc>
          <w:tcPr>
            <w:tcW w:w="5922" w:type="dxa"/>
            <w:gridSpan w:val="2"/>
            <w:shd w:val="clear" w:color="auto" w:fill="auto"/>
          </w:tcPr>
          <w:p w14:paraId="12227FC0" w14:textId="77777777" w:rsidR="004A19B0" w:rsidRPr="002666B0" w:rsidRDefault="004A19B0" w:rsidP="00BB6642">
            <w:pPr>
              <w:rPr>
                <w:b/>
                <w:bCs/>
                <w:sz w:val="26"/>
                <w:szCs w:val="26"/>
                <w:rtl/>
              </w:rPr>
            </w:pPr>
            <w:r w:rsidRPr="002666B0">
              <w:rPr>
                <w:b/>
                <w:bCs/>
                <w:sz w:val="26"/>
                <w:szCs w:val="26"/>
              </w:rPr>
              <w:t>.1</w:t>
            </w:r>
            <w:r w:rsidRPr="002666B0">
              <w:rPr>
                <w:rFonts w:cs="Times New Roman"/>
                <w:rtl/>
              </w:rPr>
              <w:t xml:space="preserve"> </w:t>
            </w:r>
            <w:r w:rsidRPr="002666B0">
              <w:rPr>
                <w:b/>
                <w:bCs/>
                <w:sz w:val="26"/>
                <w:szCs w:val="26"/>
                <w:rtl/>
              </w:rPr>
              <w:t>סעדו ג'רבאן (עציר)</w:t>
            </w:r>
            <w:r w:rsidRPr="002666B0">
              <w:rPr>
                <w:rFonts w:cs="Times New Roman"/>
                <w:rtl/>
              </w:rPr>
              <w:t xml:space="preserve"> </w:t>
            </w:r>
            <w:r w:rsidRPr="002666B0">
              <w:rPr>
                <w:b/>
                <w:bCs/>
                <w:sz w:val="26"/>
                <w:szCs w:val="26"/>
                <w:rtl/>
              </w:rPr>
              <w:t>ת"ז</w:t>
            </w:r>
            <w:r w:rsidRPr="002666B0">
              <w:rPr>
                <w:rFonts w:hint="cs"/>
                <w:b/>
                <w:bCs/>
                <w:sz w:val="26"/>
                <w:szCs w:val="26"/>
                <w:rtl/>
              </w:rPr>
              <w:t xml:space="preserve">  </w:t>
            </w:r>
            <w:r w:rsidR="002666B0">
              <w:rPr>
                <w:b/>
                <w:bCs/>
                <w:sz w:val="26"/>
                <w:szCs w:val="26"/>
              </w:rPr>
              <w:t>xxxxxxxxxx</w:t>
            </w:r>
          </w:p>
          <w:p w14:paraId="508BAF2F" w14:textId="77777777" w:rsidR="004A19B0" w:rsidRPr="002666B0" w:rsidRDefault="004A19B0" w:rsidP="00BB6642">
            <w:pPr>
              <w:rPr>
                <w:b/>
                <w:bCs/>
                <w:sz w:val="26"/>
                <w:szCs w:val="26"/>
                <w:rtl/>
              </w:rPr>
            </w:pPr>
            <w:r w:rsidRPr="002666B0">
              <w:rPr>
                <w:rFonts w:hint="cs"/>
                <w:rtl/>
              </w:rPr>
              <w:t>ע"י ב"כ עוה"ד מיכל קורן</w:t>
            </w:r>
          </w:p>
          <w:p w14:paraId="19CC6E06" w14:textId="77777777" w:rsidR="004A19B0" w:rsidRPr="002666B0" w:rsidRDefault="004A19B0" w:rsidP="00BB6642">
            <w:pPr>
              <w:rPr>
                <w:b/>
                <w:bCs/>
                <w:sz w:val="26"/>
                <w:szCs w:val="26"/>
                <w:rtl/>
              </w:rPr>
            </w:pPr>
          </w:p>
          <w:p w14:paraId="52A5AEC0" w14:textId="77777777" w:rsidR="004A19B0" w:rsidRPr="002666B0" w:rsidRDefault="004A19B0" w:rsidP="00BB6642">
            <w:pPr>
              <w:rPr>
                <w:b/>
                <w:bCs/>
                <w:sz w:val="26"/>
                <w:szCs w:val="26"/>
                <w:rtl/>
              </w:rPr>
            </w:pPr>
            <w:r w:rsidRPr="002666B0">
              <w:rPr>
                <w:b/>
                <w:bCs/>
                <w:sz w:val="26"/>
                <w:szCs w:val="26"/>
              </w:rPr>
              <w:t>.2</w:t>
            </w:r>
            <w:r w:rsidRPr="002666B0">
              <w:rPr>
                <w:rFonts w:cs="Times New Roman"/>
                <w:rtl/>
              </w:rPr>
              <w:t xml:space="preserve"> </w:t>
            </w:r>
            <w:r w:rsidRPr="002666B0">
              <w:rPr>
                <w:b/>
                <w:bCs/>
                <w:sz w:val="26"/>
                <w:szCs w:val="26"/>
                <w:rtl/>
              </w:rPr>
              <w:t>אנס זאיט (עצור/אסיר בפיקוח)</w:t>
            </w:r>
            <w:r w:rsidRPr="002666B0">
              <w:rPr>
                <w:rFonts w:cs="Times New Roman"/>
                <w:rtl/>
              </w:rPr>
              <w:t xml:space="preserve"> </w:t>
            </w:r>
            <w:r w:rsidRPr="002666B0">
              <w:rPr>
                <w:b/>
                <w:bCs/>
                <w:sz w:val="26"/>
                <w:szCs w:val="26"/>
                <w:rtl/>
              </w:rPr>
              <w:t>ת"ז</w:t>
            </w:r>
            <w:r w:rsidRPr="002666B0">
              <w:rPr>
                <w:rFonts w:hint="cs"/>
                <w:b/>
                <w:bCs/>
                <w:sz w:val="26"/>
                <w:szCs w:val="26"/>
                <w:rtl/>
              </w:rPr>
              <w:t xml:space="preserve">  </w:t>
            </w:r>
            <w:r w:rsidR="002666B0">
              <w:rPr>
                <w:b/>
                <w:bCs/>
                <w:sz w:val="26"/>
                <w:szCs w:val="26"/>
              </w:rPr>
              <w:t>xxxxxxxxxx</w:t>
            </w:r>
          </w:p>
          <w:p w14:paraId="392DDC09" w14:textId="77777777" w:rsidR="004A19B0" w:rsidRPr="002666B0" w:rsidRDefault="004A19B0" w:rsidP="00BB6642">
            <w:pPr>
              <w:rPr>
                <w:b/>
                <w:bCs/>
                <w:sz w:val="26"/>
                <w:szCs w:val="26"/>
                <w:rtl/>
              </w:rPr>
            </w:pPr>
            <w:r w:rsidRPr="002666B0">
              <w:rPr>
                <w:rFonts w:hint="cs"/>
                <w:rtl/>
              </w:rPr>
              <w:t>ע"י ב"כ עוה"ד מירב חורי</w:t>
            </w:r>
          </w:p>
        </w:tc>
      </w:tr>
    </w:tbl>
    <w:p w14:paraId="6BD24E07" w14:textId="77777777" w:rsidR="004A19B0" w:rsidRPr="002666B0" w:rsidRDefault="004A19B0" w:rsidP="004A19B0">
      <w:pPr>
        <w:rPr>
          <w:rtl/>
        </w:rPr>
      </w:pPr>
    </w:p>
    <w:p w14:paraId="7E0850FC" w14:textId="77777777" w:rsidR="004A19B0" w:rsidRPr="002666B0" w:rsidRDefault="004A19B0" w:rsidP="004A19B0">
      <w:pPr>
        <w:spacing w:line="360" w:lineRule="auto"/>
        <w:rPr>
          <w:rtl/>
        </w:rPr>
      </w:pPr>
      <w:r w:rsidRPr="002666B0">
        <w:rPr>
          <w:rFonts w:hint="cs"/>
          <w:rtl/>
        </w:rPr>
        <w:t>ב"כ המאשימה: עו"ד מיכאל יפרח</w:t>
      </w:r>
    </w:p>
    <w:p w14:paraId="2017C9DC" w14:textId="77777777" w:rsidR="004A19B0" w:rsidRPr="002666B0" w:rsidRDefault="004A19B0" w:rsidP="004A19B0">
      <w:pPr>
        <w:rPr>
          <w:rtl/>
        </w:rPr>
      </w:pPr>
      <w:r w:rsidRPr="002666B0">
        <w:rPr>
          <w:rFonts w:hint="cs"/>
          <w:rtl/>
        </w:rPr>
        <w:t>ב"כ הנאשם 1: עו"ד מיכל קורן</w:t>
      </w:r>
    </w:p>
    <w:p w14:paraId="4BA7CF91" w14:textId="77777777" w:rsidR="004A19B0" w:rsidRPr="002666B0" w:rsidRDefault="004A19B0" w:rsidP="004A19B0">
      <w:pPr>
        <w:rPr>
          <w:rtl/>
        </w:rPr>
      </w:pPr>
      <w:r w:rsidRPr="002666B0">
        <w:rPr>
          <w:rFonts w:hint="cs"/>
          <w:rtl/>
        </w:rPr>
        <w:t>הנאשם בעצמו</w:t>
      </w:r>
    </w:p>
    <w:p w14:paraId="7FD2D4EC" w14:textId="77777777" w:rsidR="004A19B0" w:rsidRPr="002666B0" w:rsidRDefault="004A19B0" w:rsidP="004A19B0"/>
    <w:p w14:paraId="563F6D7A" w14:textId="77777777" w:rsidR="007214F0" w:rsidRDefault="007214F0" w:rsidP="004A19B0">
      <w:pPr>
        <w:jc w:val="center"/>
        <w:rPr>
          <w:rFonts w:ascii="David" w:hAnsi="David"/>
          <w:b/>
          <w:bCs/>
          <w:sz w:val="28"/>
          <w:szCs w:val="28"/>
          <w:rtl/>
        </w:rPr>
      </w:pPr>
    </w:p>
    <w:p w14:paraId="5A57B204" w14:textId="77777777" w:rsidR="007214F0" w:rsidRPr="007214F0" w:rsidRDefault="007214F0" w:rsidP="007214F0">
      <w:pPr>
        <w:spacing w:before="120" w:after="120" w:line="240" w:lineRule="exact"/>
        <w:ind w:left="283" w:hanging="283"/>
        <w:jc w:val="both"/>
        <w:rPr>
          <w:rFonts w:ascii="FrankRuehl" w:hAnsi="FrankRuehl" w:cs="FrankRuehl"/>
          <w:rtl/>
        </w:rPr>
      </w:pPr>
      <w:r w:rsidRPr="007214F0">
        <w:rPr>
          <w:rFonts w:ascii="FrankRuehl" w:hAnsi="FrankRuehl" w:cs="FrankRuehl"/>
          <w:rtl/>
        </w:rPr>
        <w:t xml:space="preserve">חקיקה שאוזכרה: </w:t>
      </w:r>
    </w:p>
    <w:p w14:paraId="71553557" w14:textId="77777777" w:rsidR="007214F0" w:rsidRPr="007214F0" w:rsidRDefault="007214F0" w:rsidP="007214F0">
      <w:pPr>
        <w:spacing w:before="120" w:after="120" w:line="240" w:lineRule="exact"/>
        <w:ind w:left="283" w:hanging="283"/>
        <w:jc w:val="both"/>
        <w:rPr>
          <w:rFonts w:ascii="FrankRuehl" w:hAnsi="FrankRuehl" w:cs="FrankRuehl"/>
          <w:color w:val="0000FF"/>
          <w:rtl/>
        </w:rPr>
      </w:pPr>
      <w:hyperlink r:id="rId6" w:history="1">
        <w:r w:rsidRPr="007214F0">
          <w:rPr>
            <w:rStyle w:val="Hyperlink"/>
            <w:rFonts w:ascii="FrankRuehl" w:hAnsi="FrankRuehl" w:cs="FrankRuehl"/>
            <w:rtl/>
          </w:rPr>
          <w:t>חוק העונשין, תשל"ז-1977</w:t>
        </w:r>
      </w:hyperlink>
      <w:r w:rsidRPr="007214F0">
        <w:rPr>
          <w:rFonts w:ascii="FrankRuehl" w:hAnsi="FrankRuehl" w:cs="FrankRuehl"/>
          <w:color w:val="0000FF"/>
          <w:u w:val="single"/>
          <w:rtl/>
        </w:rPr>
        <w:t xml:space="preserve">: סע'  </w:t>
      </w:r>
      <w:hyperlink r:id="rId7" w:history="1">
        <w:r w:rsidRPr="007214F0">
          <w:rPr>
            <w:rStyle w:val="Hyperlink"/>
            <w:rFonts w:ascii="FrankRuehl" w:hAnsi="FrankRuehl" w:cs="FrankRuehl"/>
          </w:rPr>
          <w:t>25</w:t>
        </w:r>
      </w:hyperlink>
      <w:r w:rsidRPr="007214F0">
        <w:rPr>
          <w:rFonts w:ascii="FrankRuehl" w:hAnsi="FrankRuehl" w:cs="FrankRuehl"/>
          <w:color w:val="0000FF"/>
          <w:u w:val="single"/>
          <w:rtl/>
        </w:rPr>
        <w:t xml:space="preserve">, </w:t>
      </w:r>
      <w:hyperlink r:id="rId8" w:history="1">
        <w:r w:rsidRPr="007214F0">
          <w:rPr>
            <w:rStyle w:val="Hyperlink"/>
            <w:rFonts w:ascii="FrankRuehl" w:hAnsi="FrankRuehl" w:cs="FrankRuehl"/>
          </w:rPr>
          <w:t>34</w:t>
        </w:r>
        <w:r w:rsidRPr="007214F0">
          <w:rPr>
            <w:rStyle w:val="Hyperlink"/>
            <w:rFonts w:ascii="FrankRuehl" w:hAnsi="FrankRuehl" w:cs="FrankRuehl"/>
            <w:rtl/>
          </w:rPr>
          <w:t>ד</w:t>
        </w:r>
        <w:r w:rsidRPr="007214F0">
          <w:rPr>
            <w:rStyle w:val="Hyperlink"/>
            <w:rFonts w:ascii="FrankRuehl" w:hAnsi="FrankRuehl" w:cs="FrankRuehl"/>
          </w:rPr>
          <w:t>'</w:t>
        </w:r>
      </w:hyperlink>
      <w:r w:rsidRPr="007214F0">
        <w:rPr>
          <w:rFonts w:ascii="FrankRuehl" w:hAnsi="FrankRuehl" w:cs="FrankRuehl"/>
          <w:color w:val="0000FF"/>
          <w:u w:val="single"/>
          <w:rtl/>
        </w:rPr>
        <w:t xml:space="preserve">, </w:t>
      </w:r>
      <w:hyperlink r:id="rId9" w:history="1">
        <w:r w:rsidRPr="007214F0">
          <w:rPr>
            <w:rStyle w:val="Hyperlink"/>
            <w:rFonts w:ascii="FrankRuehl" w:hAnsi="FrankRuehl" w:cs="FrankRuehl"/>
          </w:rPr>
          <w:t>144</w:t>
        </w:r>
      </w:hyperlink>
      <w:r w:rsidRPr="007214F0">
        <w:rPr>
          <w:rFonts w:ascii="FrankRuehl" w:hAnsi="FrankRuehl" w:cs="FrankRuehl"/>
          <w:color w:val="0000FF"/>
          <w:u w:val="single"/>
          <w:rtl/>
        </w:rPr>
        <w:t xml:space="preserve">, </w:t>
      </w:r>
      <w:hyperlink r:id="rId10" w:history="1">
        <w:r w:rsidRPr="007214F0">
          <w:rPr>
            <w:rStyle w:val="Hyperlink"/>
            <w:rFonts w:ascii="FrankRuehl" w:hAnsi="FrankRuehl" w:cs="FrankRuehl"/>
          </w:rPr>
          <w:t xml:space="preserve">144 </w:t>
        </w:r>
      </w:hyperlink>
      <w:r w:rsidRPr="007214F0">
        <w:rPr>
          <w:rFonts w:ascii="FrankRuehl" w:hAnsi="FrankRuehl" w:cs="FrankRuehl"/>
          <w:color w:val="0000FF"/>
          <w:rtl/>
        </w:rPr>
        <w:t xml:space="preserve">(א), </w:t>
      </w:r>
      <w:hyperlink r:id="rId11" w:history="1">
        <w:r w:rsidRPr="007214F0">
          <w:rPr>
            <w:rStyle w:val="Hyperlink"/>
            <w:rFonts w:ascii="FrankRuehl" w:hAnsi="FrankRuehl" w:cs="FrankRuehl"/>
          </w:rPr>
          <w:t xml:space="preserve">499 </w:t>
        </w:r>
      </w:hyperlink>
      <w:r w:rsidRPr="007214F0">
        <w:rPr>
          <w:rFonts w:ascii="FrankRuehl" w:hAnsi="FrankRuehl" w:cs="FrankRuehl"/>
          <w:color w:val="0000FF"/>
          <w:rtl/>
        </w:rPr>
        <w:t>(א) (1)</w:t>
      </w:r>
    </w:p>
    <w:p w14:paraId="6CEC4E67" w14:textId="77777777" w:rsidR="007214F0" w:rsidRPr="007214F0" w:rsidRDefault="007214F0" w:rsidP="007214F0">
      <w:pPr>
        <w:jc w:val="center"/>
        <w:rPr>
          <w:rFonts w:ascii="David" w:hAnsi="David"/>
          <w:sz w:val="28"/>
          <w:szCs w:val="28"/>
          <w:rtl/>
        </w:rPr>
      </w:pPr>
      <w:bookmarkStart w:id="3" w:name="LawTable_End"/>
      <w:bookmarkEnd w:id="3"/>
    </w:p>
    <w:p w14:paraId="4088B2BD" w14:textId="77777777" w:rsidR="007214F0" w:rsidRPr="002666B0" w:rsidRDefault="007214F0" w:rsidP="002666B0">
      <w:pPr>
        <w:jc w:val="center"/>
        <w:rPr>
          <w:rFonts w:ascii="David" w:hAnsi="David"/>
          <w:b/>
          <w:bCs/>
          <w:sz w:val="28"/>
          <w:szCs w:val="28"/>
          <w:u w:val="single"/>
          <w:rtl/>
        </w:rPr>
      </w:pPr>
      <w:bookmarkStart w:id="4" w:name="PsakDin"/>
      <w:r w:rsidRPr="002666B0">
        <w:rPr>
          <w:rFonts w:ascii="David" w:hAnsi="David"/>
          <w:b/>
          <w:bCs/>
          <w:sz w:val="28"/>
          <w:szCs w:val="28"/>
          <w:u w:val="single"/>
          <w:rtl/>
        </w:rPr>
        <w:t>גזר דין</w:t>
      </w:r>
    </w:p>
    <w:bookmarkEnd w:id="4"/>
    <w:p w14:paraId="573DD719" w14:textId="77777777" w:rsidR="007214F0" w:rsidRPr="004A19B0" w:rsidRDefault="007214F0" w:rsidP="004A19B0">
      <w:pPr>
        <w:jc w:val="center"/>
        <w:rPr>
          <w:rFonts w:ascii="Arial" w:hAnsi="Arial" w:cs="FrankRuehl"/>
          <w:sz w:val="32"/>
          <w:szCs w:val="32"/>
          <w:u w:val="single"/>
          <w:rtl/>
        </w:rPr>
      </w:pPr>
      <w:r w:rsidRPr="004A19B0">
        <w:rPr>
          <w:rFonts w:ascii="David" w:hAnsi="David"/>
          <w:sz w:val="28"/>
          <w:szCs w:val="28"/>
          <w:u w:val="single"/>
          <w:rtl/>
        </w:rPr>
        <w:t>(ביחס לנאשם מס' 1)</w:t>
      </w:r>
    </w:p>
    <w:bookmarkEnd w:id="0"/>
    <w:bookmarkEnd w:id="1"/>
    <w:p w14:paraId="7A71BD22" w14:textId="77777777" w:rsidR="004A19B0" w:rsidRDefault="004A19B0" w:rsidP="004A19B0">
      <w:pPr>
        <w:rPr>
          <w:rFonts w:ascii="Arial" w:hAnsi="Arial"/>
          <w:rtl/>
        </w:rPr>
      </w:pPr>
    </w:p>
    <w:p w14:paraId="7871C67F" w14:textId="77777777" w:rsidR="004A19B0" w:rsidRPr="000D2E6B" w:rsidRDefault="004A19B0" w:rsidP="004A19B0">
      <w:pPr>
        <w:jc w:val="both"/>
        <w:rPr>
          <w:rFonts w:ascii="Arial" w:hAnsi="Arial"/>
          <w:b/>
          <w:bCs/>
          <w:u w:val="single"/>
          <w:rtl/>
        </w:rPr>
      </w:pPr>
      <w:r w:rsidRPr="000D2E6B">
        <w:rPr>
          <w:rFonts w:ascii="Arial" w:hAnsi="Arial" w:hint="cs"/>
          <w:b/>
          <w:bCs/>
          <w:u w:val="single"/>
          <w:rtl/>
        </w:rPr>
        <w:t>הכרעת הדין</w:t>
      </w:r>
    </w:p>
    <w:p w14:paraId="3FD8EDCC" w14:textId="77777777" w:rsidR="004A19B0" w:rsidRDefault="004A19B0" w:rsidP="004A19B0">
      <w:pPr>
        <w:jc w:val="both"/>
        <w:rPr>
          <w:rFonts w:ascii="Arial" w:hAnsi="Arial"/>
          <w:rtl/>
        </w:rPr>
      </w:pPr>
    </w:p>
    <w:p w14:paraId="00278819" w14:textId="77777777" w:rsidR="004A19B0" w:rsidRDefault="004A19B0" w:rsidP="004A19B0">
      <w:pPr>
        <w:jc w:val="both"/>
        <w:rPr>
          <w:rFonts w:ascii="Arial" w:hAnsi="Arial"/>
          <w:rtl/>
        </w:rPr>
      </w:pPr>
    </w:p>
    <w:p w14:paraId="079CEA85" w14:textId="77777777" w:rsidR="004A19B0" w:rsidRDefault="004A19B0" w:rsidP="004A19B0">
      <w:pPr>
        <w:spacing w:line="360" w:lineRule="auto"/>
        <w:jc w:val="both"/>
        <w:rPr>
          <w:rFonts w:ascii="Arial" w:hAnsi="Arial"/>
          <w:rtl/>
        </w:rPr>
      </w:pPr>
      <w:r>
        <w:rPr>
          <w:rFonts w:ascii="Arial" w:hAnsi="Arial" w:hint="cs"/>
          <w:rtl/>
        </w:rPr>
        <w:t>1.</w:t>
      </w:r>
      <w:r>
        <w:rPr>
          <w:rFonts w:ascii="Arial" w:hAnsi="Arial" w:hint="cs"/>
          <w:rtl/>
        </w:rPr>
        <w:tab/>
      </w:r>
      <w:bookmarkStart w:id="5" w:name="ABSTRACT_START"/>
      <w:bookmarkEnd w:id="5"/>
      <w:r>
        <w:rPr>
          <w:rFonts w:ascii="Arial" w:hAnsi="Arial" w:hint="cs"/>
          <w:rtl/>
        </w:rPr>
        <w:t>הנאשם 1 (להלן:"</w:t>
      </w:r>
      <w:r w:rsidRPr="00EA3093">
        <w:rPr>
          <w:rFonts w:ascii="Miriam" w:hAnsi="Miriam" w:cs="Miriam"/>
          <w:rtl/>
        </w:rPr>
        <w:t>הנאשם</w:t>
      </w:r>
      <w:r>
        <w:rPr>
          <w:rFonts w:ascii="Arial" w:hAnsi="Arial" w:hint="cs"/>
          <w:rtl/>
        </w:rPr>
        <w:t xml:space="preserve">") הודה בדיון מיום 16.7.20 בעובדות כתב האישום המתוקן במסגרת הסדר טיעון, והורשע על פי הודאתו בביצוע עבירה של ניסיון לרכישת נשק </w:t>
      </w:r>
      <w:r>
        <w:rPr>
          <w:rFonts w:ascii="Arial" w:hAnsi="Arial"/>
          <w:rtl/>
        </w:rPr>
        <w:t>–</w:t>
      </w:r>
      <w:r>
        <w:rPr>
          <w:rFonts w:ascii="Arial" w:hAnsi="Arial" w:hint="cs"/>
          <w:rtl/>
        </w:rPr>
        <w:t xml:space="preserve"> עבירה לפי </w:t>
      </w:r>
      <w:hyperlink r:id="rId12" w:history="1">
        <w:r w:rsidR="007214F0" w:rsidRPr="007214F0">
          <w:rPr>
            <w:rStyle w:val="Hyperlink"/>
            <w:rFonts w:ascii="Arial" w:hAnsi="Arial" w:hint="eastAsia"/>
            <w:color w:val="0000FF"/>
            <w:rtl/>
          </w:rPr>
          <w:t>סעיף</w:t>
        </w:r>
        <w:r w:rsidR="007214F0" w:rsidRPr="007214F0">
          <w:rPr>
            <w:rStyle w:val="Hyperlink"/>
            <w:rFonts w:ascii="Arial" w:hAnsi="Arial"/>
            <w:color w:val="0000FF"/>
            <w:rtl/>
          </w:rPr>
          <w:t xml:space="preserve"> 144 (א)</w:t>
        </w:r>
      </w:hyperlink>
      <w:r>
        <w:rPr>
          <w:rFonts w:ascii="Arial" w:hAnsi="Arial" w:hint="cs"/>
          <w:rtl/>
        </w:rPr>
        <w:t xml:space="preserve"> רישא + סיפא + </w:t>
      </w:r>
      <w:hyperlink r:id="rId13" w:history="1">
        <w:r w:rsidR="007214F0" w:rsidRPr="007214F0">
          <w:rPr>
            <w:rStyle w:val="Hyperlink"/>
            <w:rFonts w:ascii="Arial" w:hAnsi="Arial" w:hint="eastAsia"/>
            <w:color w:val="0000FF"/>
            <w:rtl/>
          </w:rPr>
          <w:t>סעיף</w:t>
        </w:r>
        <w:r w:rsidR="007214F0" w:rsidRPr="007214F0">
          <w:rPr>
            <w:rStyle w:val="Hyperlink"/>
            <w:rFonts w:ascii="Arial" w:hAnsi="Arial"/>
            <w:color w:val="0000FF"/>
            <w:rtl/>
          </w:rPr>
          <w:t xml:space="preserve"> 25</w:t>
        </w:r>
      </w:hyperlink>
      <w:r>
        <w:rPr>
          <w:rFonts w:ascii="Arial" w:hAnsi="Arial" w:hint="cs"/>
          <w:rtl/>
        </w:rPr>
        <w:t xml:space="preserve"> ל</w:t>
      </w:r>
      <w:hyperlink r:id="rId14" w:history="1">
        <w:r w:rsidR="002666B0" w:rsidRPr="002666B0">
          <w:rPr>
            <w:rFonts w:ascii="Arial" w:hAnsi="Arial"/>
            <w:color w:val="0000FF"/>
            <w:u w:val="single"/>
            <w:rtl/>
          </w:rPr>
          <w:t>חוק העונשין</w:t>
        </w:r>
      </w:hyperlink>
      <w:r>
        <w:rPr>
          <w:rFonts w:ascii="Arial" w:hAnsi="Arial" w:hint="cs"/>
          <w:rtl/>
        </w:rPr>
        <w:t>, התשל"ז-1977</w:t>
      </w:r>
      <w:bookmarkStart w:id="6" w:name="ABSTRACT_END"/>
      <w:bookmarkEnd w:id="6"/>
      <w:r>
        <w:rPr>
          <w:rFonts w:ascii="Arial" w:hAnsi="Arial" w:hint="cs"/>
          <w:rtl/>
        </w:rPr>
        <w:t xml:space="preserve">. </w:t>
      </w:r>
    </w:p>
    <w:p w14:paraId="29DDB614" w14:textId="77777777" w:rsidR="004A19B0" w:rsidRDefault="004A19B0" w:rsidP="004A19B0">
      <w:pPr>
        <w:spacing w:line="360" w:lineRule="auto"/>
        <w:jc w:val="both"/>
        <w:rPr>
          <w:rFonts w:ascii="Arial" w:hAnsi="Arial"/>
          <w:rtl/>
        </w:rPr>
      </w:pPr>
    </w:p>
    <w:p w14:paraId="399EE33D" w14:textId="77777777" w:rsidR="004A19B0" w:rsidRDefault="004A19B0" w:rsidP="004A19B0">
      <w:pPr>
        <w:spacing w:line="360" w:lineRule="auto"/>
        <w:jc w:val="both"/>
        <w:rPr>
          <w:rFonts w:ascii="Arial" w:hAnsi="Arial"/>
          <w:rtl/>
        </w:rPr>
      </w:pPr>
      <w:r>
        <w:rPr>
          <w:rFonts w:ascii="Arial" w:hAnsi="Arial" w:hint="cs"/>
          <w:rtl/>
        </w:rPr>
        <w:t>2.</w:t>
      </w:r>
      <w:r>
        <w:rPr>
          <w:rFonts w:ascii="Arial" w:hAnsi="Arial" w:hint="cs"/>
          <w:rtl/>
        </w:rPr>
        <w:tab/>
        <w:t>כתב האישום הוגש כנגד שניים, הנאשם ו-א' ז' (להלן:"</w:t>
      </w:r>
      <w:r w:rsidRPr="008B02D2">
        <w:rPr>
          <w:rFonts w:ascii="Miriam" w:hAnsi="Miriam" w:cs="Miriam"/>
          <w:rtl/>
        </w:rPr>
        <w:t xml:space="preserve">נאשם </w:t>
      </w:r>
      <w:r>
        <w:rPr>
          <w:rFonts w:ascii="Arial" w:hAnsi="Arial" w:hint="cs"/>
          <w:rtl/>
        </w:rPr>
        <w:t>2"). על פי עובדות כתב האישום המתוקן ביחס לנאשם, נאשם 2 וחסיין דרסייה (להלן: "</w:t>
      </w:r>
      <w:r w:rsidRPr="00EA3093">
        <w:rPr>
          <w:rFonts w:ascii="Miriam" w:hAnsi="Miriam" w:cs="Miriam"/>
          <w:rtl/>
        </w:rPr>
        <w:t>חסיין</w:t>
      </w:r>
      <w:r>
        <w:rPr>
          <w:rFonts w:ascii="Arial" w:hAnsi="Arial" w:hint="cs"/>
          <w:rtl/>
        </w:rPr>
        <w:t xml:space="preserve">") הם קרובי משפחה המתגוררים בטולכרם. בין הנאשם לחסין קיימת היכרות מוקדמת. במהלך חודש נובמבר 2019 קשרו הנאשם וחסיין קשר לסחור בנשק, בכך שחסיין ימכור לנאשם נשק, בתמורה לתשלום סכום </w:t>
      </w:r>
      <w:r>
        <w:rPr>
          <w:rFonts w:ascii="Arial" w:hAnsi="Arial" w:hint="cs"/>
          <w:rtl/>
        </w:rPr>
        <w:lastRenderedPageBreak/>
        <w:t xml:space="preserve">כסף שאינו פחות מ- 13,500 ₪. השניים תיאמו כי חסיין יגיע למקום מגוריו של הנאשם בג'סר א-זרקא, ימסור לו את הנשק ויקבל לידיו מהנאשם את התשלום עבורו. בהמשך לקשר בין חסיין לבין הנאשם, ביום 25.11.19, סמוך לשעה 11:00, נכנסו נאשם 2 וחסיין לישראל שלא כדין, כשהם מחזיקים ונושאים בצוותא חדא חפץ דמוי רובה סער </w:t>
      </w:r>
      <w:r>
        <w:rPr>
          <w:rFonts w:ascii="Arial" w:hAnsi="Arial" w:hint="cs"/>
        </w:rPr>
        <w:t>M</w:t>
      </w:r>
      <w:r>
        <w:rPr>
          <w:rFonts w:ascii="Arial" w:hAnsi="Arial"/>
        </w:rPr>
        <w:t>-16</w:t>
      </w:r>
      <w:r>
        <w:rPr>
          <w:rFonts w:ascii="Arial" w:hAnsi="Arial" w:hint="cs"/>
          <w:rtl/>
        </w:rPr>
        <w:t>, שהוסב לירי תחמושת בקליבר 5.56</w:t>
      </w:r>
      <w:r>
        <w:rPr>
          <w:rFonts w:ascii="Arial" w:hAnsi="Arial" w:hint="cs"/>
        </w:rPr>
        <w:t>X</w:t>
      </w:r>
      <w:r>
        <w:rPr>
          <w:rFonts w:ascii="Arial" w:hAnsi="Arial" w:hint="cs"/>
          <w:rtl/>
        </w:rPr>
        <w:t xml:space="preserve">45 מ"מ ושמכיל חלקי נשק תקינים כגון מכלול של רובה סער </w:t>
      </w:r>
      <w:r>
        <w:rPr>
          <w:rFonts w:ascii="Arial" w:hAnsi="Arial" w:hint="cs"/>
        </w:rPr>
        <w:t>M</w:t>
      </w:r>
      <w:r>
        <w:rPr>
          <w:rFonts w:ascii="Arial" w:hAnsi="Arial"/>
        </w:rPr>
        <w:t>-16</w:t>
      </w:r>
      <w:r>
        <w:rPr>
          <w:rFonts w:ascii="Arial" w:hAnsi="Arial" w:hint="cs"/>
          <w:rtl/>
        </w:rPr>
        <w:t xml:space="preserve"> שסוגל לירות קליע או כדור שבכוחם להמית אדם וכן מחסנית לנשק (להלן: "</w:t>
      </w:r>
      <w:r w:rsidRPr="00737ECC">
        <w:rPr>
          <w:rFonts w:ascii="Miriam" w:hAnsi="Miriam" w:cs="Miriam"/>
          <w:rtl/>
        </w:rPr>
        <w:t>הנשק</w:t>
      </w:r>
      <w:r>
        <w:rPr>
          <w:rFonts w:ascii="Arial" w:hAnsi="Arial" w:hint="cs"/>
          <w:rtl/>
        </w:rPr>
        <w:t>", "</w:t>
      </w:r>
      <w:r w:rsidRPr="00737ECC">
        <w:rPr>
          <w:rFonts w:ascii="Miriam" w:hAnsi="Miriam" w:cs="Miriam"/>
          <w:rtl/>
        </w:rPr>
        <w:t>האבזר</w:t>
      </w:r>
      <w:r>
        <w:rPr>
          <w:rFonts w:ascii="Arial" w:hAnsi="Arial" w:hint="cs"/>
          <w:rtl/>
        </w:rPr>
        <w:t>"). הנשק היה מפורק לחלקים שהיו ארוזים בניילון, ונמצא בתיק שחור (להלן</w:t>
      </w:r>
      <w:r>
        <w:rPr>
          <w:rFonts w:ascii="Arial" w:hAnsi="Arial" w:hint="cs"/>
        </w:rPr>
        <w:t xml:space="preserve"> :</w:t>
      </w:r>
      <w:r>
        <w:rPr>
          <w:rFonts w:ascii="Arial" w:hAnsi="Arial" w:hint="cs"/>
          <w:rtl/>
        </w:rPr>
        <w:t xml:space="preserve"> "</w:t>
      </w:r>
      <w:r w:rsidRPr="00737ECC">
        <w:rPr>
          <w:rFonts w:ascii="Miriam" w:hAnsi="Miriam" w:cs="Miriam"/>
          <w:rtl/>
        </w:rPr>
        <w:t>התיק</w:t>
      </w:r>
      <w:r>
        <w:rPr>
          <w:rFonts w:ascii="Arial" w:hAnsi="Arial" w:hint="cs"/>
          <w:rtl/>
        </w:rPr>
        <w:t>").</w:t>
      </w:r>
    </w:p>
    <w:p w14:paraId="1F807EC8" w14:textId="77777777" w:rsidR="004A19B0" w:rsidRDefault="004A19B0" w:rsidP="004A19B0">
      <w:pPr>
        <w:spacing w:line="360" w:lineRule="auto"/>
        <w:jc w:val="both"/>
        <w:rPr>
          <w:rFonts w:ascii="Arial" w:hAnsi="Arial"/>
          <w:rtl/>
        </w:rPr>
      </w:pPr>
      <w:r>
        <w:rPr>
          <w:rFonts w:ascii="Arial" w:hAnsi="Arial" w:hint="cs"/>
          <w:rtl/>
        </w:rPr>
        <w:t>במהלך שהותם בארץ, פגשו נאשם 2 וחסיין בעבדאללה אבו זיד כשהוא נוהג ברכב מסוג מיצובישי לאנסר בצבע כסף שמספרו 82-470-64 (להלן: "</w:t>
      </w:r>
      <w:r w:rsidRPr="00737ECC">
        <w:rPr>
          <w:rFonts w:ascii="Miriam" w:hAnsi="Miriam" w:cs="Miriam"/>
          <w:rtl/>
        </w:rPr>
        <w:t>הרכב</w:t>
      </w:r>
      <w:r>
        <w:rPr>
          <w:rFonts w:ascii="Arial" w:hAnsi="Arial" w:hint="cs"/>
          <w:rtl/>
        </w:rPr>
        <w:t>"), וביקשו כי יסיעם לג'סר א-זרקא. עבדאללה הסכים להסיע את השניים תמורת תשלום.</w:t>
      </w:r>
    </w:p>
    <w:p w14:paraId="1F8C71C2" w14:textId="77777777" w:rsidR="004A19B0" w:rsidRDefault="004A19B0" w:rsidP="004A19B0">
      <w:pPr>
        <w:spacing w:line="360" w:lineRule="auto"/>
        <w:jc w:val="both"/>
        <w:rPr>
          <w:rFonts w:ascii="Arial" w:hAnsi="Arial"/>
          <w:rtl/>
        </w:rPr>
      </w:pPr>
      <w:r>
        <w:rPr>
          <w:rFonts w:ascii="Arial" w:hAnsi="Arial" w:hint="cs"/>
          <w:rtl/>
        </w:rPr>
        <w:t>בתאריך הנ"ל, סמוך לשעה 11:30, הגיעו נאשם 2 וחסיין לכניסה לג'סר א-זרקא, ברכב, כשהם נושאים ומחזיקים בצוותא חדא בנשק, שלא כדין, לצורך מימוש הקשר בין חסיין לבין הנאשם.</w:t>
      </w:r>
    </w:p>
    <w:p w14:paraId="69F4F4AB" w14:textId="77777777" w:rsidR="004A19B0" w:rsidRPr="00CA3CFB" w:rsidRDefault="004A19B0" w:rsidP="004A19B0">
      <w:pPr>
        <w:spacing w:line="360" w:lineRule="auto"/>
        <w:jc w:val="both"/>
        <w:rPr>
          <w:rFonts w:ascii="Arial" w:hAnsi="Arial"/>
          <w:rtl/>
        </w:rPr>
      </w:pPr>
      <w:r>
        <w:rPr>
          <w:rFonts w:ascii="Arial" w:hAnsi="Arial" w:hint="cs"/>
          <w:rtl/>
        </w:rPr>
        <w:t>בכניסה לג'סר א-זרקא נעצר הרכב על ידי אנשי משטרה. בחיפוש שנערך ברכב נתפס הנשק והנאשם 2, חסיין ועבדאללה נעצרו.</w:t>
      </w:r>
    </w:p>
    <w:p w14:paraId="755B321D" w14:textId="77777777" w:rsidR="004A19B0" w:rsidRPr="00B05847" w:rsidRDefault="004A19B0" w:rsidP="004A19B0">
      <w:pPr>
        <w:spacing w:line="360" w:lineRule="auto"/>
        <w:jc w:val="both"/>
        <w:rPr>
          <w:rtl/>
        </w:rPr>
      </w:pPr>
    </w:p>
    <w:p w14:paraId="469E7540" w14:textId="77777777" w:rsidR="004A19B0" w:rsidRDefault="004A19B0" w:rsidP="004A19B0">
      <w:pPr>
        <w:spacing w:line="360" w:lineRule="auto"/>
        <w:jc w:val="both"/>
        <w:rPr>
          <w:rtl/>
        </w:rPr>
      </w:pPr>
      <w:r>
        <w:rPr>
          <w:rFonts w:hint="cs"/>
          <w:rtl/>
        </w:rPr>
        <w:t>3.</w:t>
      </w:r>
      <w:r>
        <w:rPr>
          <w:rFonts w:hint="cs"/>
          <w:rtl/>
        </w:rPr>
        <w:tab/>
        <w:t xml:space="preserve">הצדדים לא הגיעו להסדר לעניין העונש, ועל כן טענו בפניי בדיון מיום 16.7.2020. </w:t>
      </w:r>
    </w:p>
    <w:p w14:paraId="4804F5AF" w14:textId="77777777" w:rsidR="004A19B0" w:rsidRDefault="004A19B0" w:rsidP="004A19B0">
      <w:pPr>
        <w:spacing w:line="360" w:lineRule="auto"/>
        <w:jc w:val="both"/>
        <w:rPr>
          <w:rtl/>
        </w:rPr>
      </w:pPr>
    </w:p>
    <w:p w14:paraId="015227D3" w14:textId="77777777" w:rsidR="004A19B0" w:rsidRPr="00064AB4" w:rsidRDefault="004A19B0" w:rsidP="004A19B0">
      <w:pPr>
        <w:spacing w:line="360" w:lineRule="auto"/>
        <w:jc w:val="both"/>
        <w:rPr>
          <w:b/>
          <w:bCs/>
          <w:u w:val="single"/>
          <w:rtl/>
        </w:rPr>
      </w:pPr>
      <w:r w:rsidRPr="00064AB4">
        <w:rPr>
          <w:rFonts w:hint="cs"/>
          <w:b/>
          <w:bCs/>
          <w:u w:val="single"/>
          <w:rtl/>
        </w:rPr>
        <w:t>הטיעון לעונש</w:t>
      </w:r>
    </w:p>
    <w:p w14:paraId="47CE76AF" w14:textId="77777777" w:rsidR="004A19B0" w:rsidRDefault="004A19B0" w:rsidP="004A19B0">
      <w:pPr>
        <w:spacing w:line="360" w:lineRule="auto"/>
        <w:jc w:val="both"/>
        <w:rPr>
          <w:rtl/>
        </w:rPr>
      </w:pPr>
    </w:p>
    <w:p w14:paraId="56ABF7C8" w14:textId="77777777" w:rsidR="004A19B0" w:rsidRDefault="004A19B0" w:rsidP="004A19B0">
      <w:pPr>
        <w:spacing w:line="360" w:lineRule="auto"/>
        <w:jc w:val="both"/>
        <w:rPr>
          <w:rtl/>
        </w:rPr>
      </w:pPr>
      <w:r>
        <w:rPr>
          <w:rFonts w:hint="cs"/>
          <w:rtl/>
        </w:rPr>
        <w:t>4.</w:t>
      </w:r>
      <w:r>
        <w:rPr>
          <w:rtl/>
        </w:rPr>
        <w:tab/>
      </w:r>
      <w:r>
        <w:rPr>
          <w:rFonts w:hint="cs"/>
          <w:rtl/>
        </w:rPr>
        <w:t xml:space="preserve">לא הוגשו ראיות מטעם שני הצדדים, ולנאשם אין הרשעות קודמות. </w:t>
      </w:r>
    </w:p>
    <w:p w14:paraId="1E4DA1A7" w14:textId="77777777" w:rsidR="004A19B0" w:rsidRDefault="004A19B0" w:rsidP="004A19B0">
      <w:pPr>
        <w:spacing w:line="360" w:lineRule="auto"/>
        <w:jc w:val="both"/>
        <w:rPr>
          <w:rtl/>
        </w:rPr>
      </w:pPr>
    </w:p>
    <w:p w14:paraId="233F5006" w14:textId="77777777" w:rsidR="004A19B0" w:rsidRDefault="004A19B0" w:rsidP="004A19B0">
      <w:pPr>
        <w:spacing w:line="360" w:lineRule="auto"/>
        <w:jc w:val="both"/>
        <w:rPr>
          <w:rtl/>
        </w:rPr>
      </w:pPr>
      <w:r>
        <w:rPr>
          <w:rFonts w:hint="cs"/>
          <w:rtl/>
        </w:rPr>
        <w:t>5.</w:t>
      </w:r>
      <w:r>
        <w:rPr>
          <w:rFonts w:hint="cs"/>
          <w:rtl/>
        </w:rPr>
        <w:tab/>
        <w:t>המאשימה טענה, כי קיימת מגמת החמרה בענישה בשנים האחרונות בנוגע לעבירות אלימות המבוצעות באמצעות נשק, לרבות עבירות החזקת נשק, בשל התרבותן בתקופה האחרונה. מגמה זו מתחייבת לטענתה בשל הצורך להיאבק בתופעה ולנסות למגרה. בטיעוניה אלה הפנתה לפסיקת בית המשפט העליון ב</w:t>
      </w:r>
      <w:hyperlink r:id="rId15" w:history="1">
        <w:r w:rsidR="002666B0" w:rsidRPr="002666B0">
          <w:rPr>
            <w:color w:val="0000FF"/>
            <w:u w:val="single"/>
            <w:rtl/>
          </w:rPr>
          <w:t>ע"פ 4945/13</w:t>
        </w:r>
      </w:hyperlink>
      <w:r>
        <w:rPr>
          <w:rFonts w:hint="cs"/>
          <w:rtl/>
        </w:rPr>
        <w:t xml:space="preserve"> </w:t>
      </w:r>
      <w:r w:rsidRPr="00897007">
        <w:rPr>
          <w:rFonts w:hint="cs"/>
          <w:b/>
          <w:bCs/>
          <w:rtl/>
        </w:rPr>
        <w:t>מ"י נ' סלימאן</w:t>
      </w:r>
      <w:r>
        <w:rPr>
          <w:rFonts w:hint="cs"/>
          <w:rtl/>
        </w:rPr>
        <w:t xml:space="preserve"> (19.1.14), </w:t>
      </w:r>
      <w:hyperlink r:id="rId16" w:history="1">
        <w:r w:rsidR="002666B0" w:rsidRPr="002666B0">
          <w:rPr>
            <w:color w:val="0000FF"/>
            <w:u w:val="single"/>
            <w:rtl/>
          </w:rPr>
          <w:t>ע"פ 2252/11</w:t>
        </w:r>
      </w:hyperlink>
      <w:r>
        <w:rPr>
          <w:rFonts w:hint="cs"/>
          <w:rtl/>
        </w:rPr>
        <w:t xml:space="preserve"> </w:t>
      </w:r>
      <w:r w:rsidRPr="00897007">
        <w:rPr>
          <w:rFonts w:hint="cs"/>
          <w:b/>
          <w:bCs/>
          <w:rtl/>
        </w:rPr>
        <w:t>מ"י נ' ג'מאל נפאע</w:t>
      </w:r>
      <w:r>
        <w:rPr>
          <w:rFonts w:hint="cs"/>
          <w:rtl/>
        </w:rPr>
        <w:t xml:space="preserve"> (4.12.11), </w:t>
      </w:r>
      <w:hyperlink r:id="rId17" w:history="1">
        <w:r w:rsidR="002666B0" w:rsidRPr="002666B0">
          <w:rPr>
            <w:color w:val="0000FF"/>
            <w:u w:val="single"/>
            <w:rtl/>
          </w:rPr>
          <w:t>ע"פ 9702/16</w:t>
        </w:r>
      </w:hyperlink>
      <w:r>
        <w:rPr>
          <w:rFonts w:hint="cs"/>
          <w:rtl/>
        </w:rPr>
        <w:t xml:space="preserve"> </w:t>
      </w:r>
      <w:r w:rsidRPr="00901DA5">
        <w:rPr>
          <w:rFonts w:hint="cs"/>
          <w:b/>
          <w:bCs/>
          <w:rtl/>
        </w:rPr>
        <w:t>סאמי אבו אלולאיה נ' מדינת ישראל</w:t>
      </w:r>
      <w:r>
        <w:rPr>
          <w:rFonts w:hint="cs"/>
          <w:rtl/>
        </w:rPr>
        <w:t xml:space="preserve"> (13.9.17) ולפסיקה נוספת. לשיטתה, בתקופה האחרונה התעצם הצורך להילחם בתופעת הסחר בנשק בלתי חוקי שהפכה למכת מדינה של ממש, וזאת באמצעות ענישה מחמירה אשר תעביר מסר תקיף, חד וברור לנאשם ולשכמותו, לפיו החברה, ובראשה בתי המשפט, סולדים מעבירות דוגמת זו בה הורשע הנאשם, וכי יש לנהוג עם עבריינים כאלה אכיפה בלתי סלחנית על דרך שלילת חירותם לתקופה ממושכת. </w:t>
      </w:r>
    </w:p>
    <w:p w14:paraId="4EEDAD2D" w14:textId="77777777" w:rsidR="004A19B0" w:rsidRDefault="004A19B0" w:rsidP="004A19B0">
      <w:pPr>
        <w:spacing w:line="360" w:lineRule="auto"/>
        <w:jc w:val="both"/>
        <w:rPr>
          <w:rtl/>
        </w:rPr>
      </w:pPr>
    </w:p>
    <w:p w14:paraId="0F197DA1" w14:textId="77777777" w:rsidR="004A19B0" w:rsidRDefault="004A19B0" w:rsidP="004A19B0">
      <w:pPr>
        <w:spacing w:line="360" w:lineRule="auto"/>
        <w:jc w:val="both"/>
        <w:rPr>
          <w:rtl/>
        </w:rPr>
      </w:pPr>
      <w:r>
        <w:rPr>
          <w:rtl/>
        </w:rPr>
        <w:tab/>
      </w:r>
      <w:r>
        <w:rPr>
          <w:rFonts w:hint="cs"/>
          <w:rtl/>
        </w:rPr>
        <w:t xml:space="preserve">עוד טענה כי במסגרת שיקולי הענישה, על בית המשפט ליתן דעתו גם לסוג הנשק אותו ניסה הנאשם לרכוש, ולעניין זה הפנתה לע"פ 1332/04 </w:t>
      </w:r>
      <w:r w:rsidRPr="00D24A3B">
        <w:rPr>
          <w:rFonts w:hint="cs"/>
          <w:b/>
          <w:bCs/>
          <w:rtl/>
        </w:rPr>
        <w:t>פס נ' מדינת ישראל</w:t>
      </w:r>
      <w:r>
        <w:rPr>
          <w:rFonts w:hint="cs"/>
          <w:rtl/>
        </w:rPr>
        <w:t>, פ"ד נח (5) 541, שם דובר על נשק שעל פי טיבו אינו מיועד להגנה עצמית, בדומה למקרה שלפנינו, כאשר השימוש בו יכול להביא להרג ללא הבחנה.</w:t>
      </w:r>
    </w:p>
    <w:p w14:paraId="5FF53AA4" w14:textId="77777777" w:rsidR="004A19B0" w:rsidRDefault="004A19B0" w:rsidP="004A19B0">
      <w:pPr>
        <w:spacing w:line="360" w:lineRule="auto"/>
        <w:jc w:val="both"/>
        <w:rPr>
          <w:rtl/>
        </w:rPr>
      </w:pPr>
    </w:p>
    <w:p w14:paraId="5DD78569" w14:textId="77777777" w:rsidR="004A19B0" w:rsidRDefault="004A19B0" w:rsidP="004A19B0">
      <w:pPr>
        <w:spacing w:line="360" w:lineRule="auto"/>
        <w:jc w:val="both"/>
        <w:rPr>
          <w:rtl/>
        </w:rPr>
      </w:pPr>
      <w:r>
        <w:rPr>
          <w:rtl/>
        </w:rPr>
        <w:tab/>
      </w:r>
      <w:r>
        <w:rPr>
          <w:rFonts w:hint="cs"/>
          <w:rtl/>
        </w:rPr>
        <w:t>לטענת המאשימה בבחינת מתחם העונש ההולם את מעשי הנאשם, יש לתת את הדעת לנסיבות המחמירות הרבות הקשורות בביצוע העבירה: הנאשם היה דומיננטי באירוע; הנזק הכבד שהיה צפוי להיגרם מביצוע העבירה לו הנשק היה מגיע לידי הנאשם; התכנון שקדם לביצוע העבירה כשהסיבה לביצועה אינה ידועה.</w:t>
      </w:r>
    </w:p>
    <w:p w14:paraId="3025F333" w14:textId="77777777" w:rsidR="004A19B0" w:rsidRDefault="004A19B0" w:rsidP="004A19B0">
      <w:pPr>
        <w:spacing w:line="360" w:lineRule="auto"/>
        <w:jc w:val="both"/>
        <w:rPr>
          <w:rtl/>
        </w:rPr>
      </w:pPr>
    </w:p>
    <w:p w14:paraId="3AEFAE24" w14:textId="77777777" w:rsidR="004A19B0" w:rsidRDefault="004A19B0" w:rsidP="004A19B0">
      <w:pPr>
        <w:spacing w:line="360" w:lineRule="auto"/>
        <w:jc w:val="both"/>
        <w:rPr>
          <w:rtl/>
        </w:rPr>
      </w:pPr>
      <w:r>
        <w:rPr>
          <w:rtl/>
        </w:rPr>
        <w:tab/>
      </w:r>
      <w:r>
        <w:rPr>
          <w:rFonts w:hint="cs"/>
          <w:rtl/>
        </w:rPr>
        <w:t>אשר למדיניות הענישה גם כאן הפנתה המאשימה למספר פסקי דין המלמדים על מתחם העונש ההולם. לבסוף בקשה על יסוד הנתונים שמנתה קודם, מדיניות הענישה הנוהגת, התכנון, סוג הנשק, וביצוע העבירות בצוותא חדא עם שותפים נוספים, לקבוע כי מתחם העונש ההולם נע בין 2.5-4.5 שנות מאסר בפועל, לגזור על הנאשם מאסר בפועל ארוך ברף אמצעי של המתחם ולהשית עליו גם עונש מאסר מותנה ארוך ומשמעותי וקנס כספי.</w:t>
      </w:r>
    </w:p>
    <w:p w14:paraId="17F860EA" w14:textId="77777777" w:rsidR="004A19B0" w:rsidRDefault="004A19B0" w:rsidP="004A19B0">
      <w:pPr>
        <w:spacing w:line="360" w:lineRule="auto"/>
        <w:jc w:val="both"/>
        <w:rPr>
          <w:rtl/>
        </w:rPr>
      </w:pPr>
      <w:r>
        <w:rPr>
          <w:rFonts w:hint="cs"/>
          <w:rtl/>
        </w:rPr>
        <w:t xml:space="preserve"> </w:t>
      </w:r>
    </w:p>
    <w:p w14:paraId="2EAAAF93" w14:textId="77777777" w:rsidR="004A19B0" w:rsidRDefault="004A19B0" w:rsidP="004A19B0">
      <w:pPr>
        <w:spacing w:line="360" w:lineRule="auto"/>
        <w:jc w:val="both"/>
        <w:rPr>
          <w:rtl/>
        </w:rPr>
      </w:pPr>
      <w:r>
        <w:rPr>
          <w:rFonts w:hint="cs"/>
          <w:rtl/>
        </w:rPr>
        <w:t>7.</w:t>
      </w:r>
      <w:r>
        <w:rPr>
          <w:rFonts w:hint="cs"/>
          <w:rtl/>
        </w:rPr>
        <w:tab/>
        <w:t xml:space="preserve">ב"כ הנאשם הפנתה לתיקון המשמעותי לטענתה של כתב האישום והדגישה כי העבירות בהן הורשע הנאשם הן קלות יחסית כאשר עבירת הרכישה על פי </w:t>
      </w:r>
      <w:hyperlink r:id="rId18" w:history="1">
        <w:r w:rsidR="007214F0" w:rsidRPr="007214F0">
          <w:rPr>
            <w:rStyle w:val="Hyperlink"/>
            <w:rFonts w:hint="eastAsia"/>
            <w:color w:val="0000FF"/>
            <w:rtl/>
          </w:rPr>
          <w:t>סע</w:t>
        </w:r>
        <w:r w:rsidR="007214F0" w:rsidRPr="007214F0">
          <w:rPr>
            <w:rStyle w:val="Hyperlink"/>
            <w:color w:val="0000FF"/>
            <w:rtl/>
          </w:rPr>
          <w:t>' 144</w:t>
        </w:r>
      </w:hyperlink>
      <w:r>
        <w:rPr>
          <w:rFonts w:hint="cs"/>
          <w:rtl/>
        </w:rPr>
        <w:t xml:space="preserve"> ל</w:t>
      </w:r>
      <w:hyperlink r:id="rId19" w:history="1">
        <w:r w:rsidR="002666B0" w:rsidRPr="002666B0">
          <w:rPr>
            <w:color w:val="0000FF"/>
            <w:u w:val="single"/>
            <w:rtl/>
          </w:rPr>
          <w:t>חוק העונשין</w:t>
        </w:r>
      </w:hyperlink>
      <w:r>
        <w:rPr>
          <w:rFonts w:hint="cs"/>
          <w:rtl/>
        </w:rPr>
        <w:t>, להבדיל מהמכירה, נמצאת בסמכות בית משפט השלום וכי הנאשם הודה בהזדמנות הראשונה ובכך חסך זמן שיפוטי יקר וזימון מספר רב של עדים לרבות שוטרים לרבות מיחידת האזנות סתר, כאשר הוא בוחר לקחת אחריות על מעשיו. עוד הדגישה את גילו הצעיר של הנאשם  (יליד 1994), כי מדובר בהסתבכות ראשונה בפלילים. עוד טענה, כי כל חלקו של הנאשם באירוע מסתכם בשיחת טלפון. אעיר כאן כי ב"כ המאשימה התנגדה לטיעון זה ובצדק, משזה חורג מעובדות כתב האישום המתוקן ואינו עולה ממנו.</w:t>
      </w:r>
    </w:p>
    <w:p w14:paraId="651E6794" w14:textId="77777777" w:rsidR="004A19B0" w:rsidRDefault="004A19B0" w:rsidP="004A19B0">
      <w:pPr>
        <w:spacing w:line="360" w:lineRule="auto"/>
        <w:jc w:val="both"/>
        <w:rPr>
          <w:rtl/>
        </w:rPr>
      </w:pPr>
    </w:p>
    <w:p w14:paraId="5A78760D" w14:textId="77777777" w:rsidR="004A19B0" w:rsidRDefault="004A19B0" w:rsidP="004A19B0">
      <w:pPr>
        <w:spacing w:line="360" w:lineRule="auto"/>
        <w:jc w:val="both"/>
        <w:rPr>
          <w:rtl/>
        </w:rPr>
      </w:pPr>
      <w:r>
        <w:rPr>
          <w:rFonts w:hint="cs"/>
          <w:rtl/>
        </w:rPr>
        <w:t>עוד נטען כי אין מחלוקת שהנאשם לא היה בזמן מעצרם של הנאשם 2 וחסיין ותפיסת הנשק.</w:t>
      </w:r>
    </w:p>
    <w:p w14:paraId="5A55B008" w14:textId="77777777" w:rsidR="004A19B0" w:rsidRDefault="004A19B0" w:rsidP="004A19B0">
      <w:pPr>
        <w:spacing w:line="360" w:lineRule="auto"/>
        <w:jc w:val="both"/>
        <w:rPr>
          <w:rtl/>
        </w:rPr>
      </w:pPr>
    </w:p>
    <w:p w14:paraId="244EFE8C" w14:textId="77777777" w:rsidR="004A19B0" w:rsidRDefault="004A19B0" w:rsidP="004A19B0">
      <w:pPr>
        <w:spacing w:line="360" w:lineRule="auto"/>
        <w:jc w:val="both"/>
        <w:rPr>
          <w:rtl/>
        </w:rPr>
      </w:pPr>
      <w:r>
        <w:rPr>
          <w:rtl/>
        </w:rPr>
        <w:tab/>
      </w:r>
      <w:r>
        <w:rPr>
          <w:rFonts w:hint="cs"/>
          <w:rtl/>
        </w:rPr>
        <w:t>נטען כי הנשק הגיע מפורק, כאשר הפסיקה מבחינה בין סוג כלי הנשק, כמותו, האם הגיע עם מחסנית וקליעים, האם היה קליע בקנה, כאשר בענייננו מדובר בכלי נשק בודד שהגיע ללא תחמושת. עוד נטען כי הנשק לא נועד לשרת ארגון פשיעה, או לשם פגיעה באדם ספציפי, ועל כך למדים משתיקת כתב האישום בעניין זה.</w:t>
      </w:r>
    </w:p>
    <w:p w14:paraId="0587F9F5" w14:textId="77777777" w:rsidR="004A19B0" w:rsidRDefault="004A19B0" w:rsidP="004A19B0">
      <w:pPr>
        <w:spacing w:line="360" w:lineRule="auto"/>
        <w:jc w:val="both"/>
        <w:rPr>
          <w:rtl/>
        </w:rPr>
      </w:pPr>
    </w:p>
    <w:p w14:paraId="4C8CEF37" w14:textId="77777777" w:rsidR="004A19B0" w:rsidRDefault="004A19B0" w:rsidP="004A19B0">
      <w:pPr>
        <w:spacing w:line="360" w:lineRule="auto"/>
        <w:jc w:val="both"/>
        <w:rPr>
          <w:rtl/>
        </w:rPr>
      </w:pPr>
      <w:r>
        <w:rPr>
          <w:rFonts w:hint="cs"/>
          <w:rtl/>
        </w:rPr>
        <w:t>8.</w:t>
      </w:r>
      <w:r>
        <w:rPr>
          <w:rFonts w:hint="cs"/>
          <w:rtl/>
        </w:rPr>
        <w:tab/>
        <w:t>ב"כ הנאשם הפנתה למספר רב של פסקי דין מהם ביקשה ללמוד על מדיניות הענישה הנהוגה תוך שהיא מדגישה כי בפסיקת בית המשפט העליון נקבעו מדרגי חומרה בעבירות נשק כך שרכישה והחזקה הם במדרג הנמוך, לאחריהם במעמד ביניים ניצבות עבירות של הובלה ונשיאה, ואילו במדרג הגבוה ביותר ניצבות עבירת הסחר באמל"ח. בהקשר זה הפנתה ל-</w:t>
      </w:r>
      <w:hyperlink r:id="rId20" w:history="1">
        <w:r w:rsidR="002666B0" w:rsidRPr="002666B0">
          <w:rPr>
            <w:color w:val="0000FF"/>
            <w:u w:val="single"/>
            <w:rtl/>
          </w:rPr>
          <w:t>ע"פ 4945/13</w:t>
        </w:r>
      </w:hyperlink>
      <w:r>
        <w:rPr>
          <w:rFonts w:hint="cs"/>
          <w:rtl/>
        </w:rPr>
        <w:t xml:space="preserve"> </w:t>
      </w:r>
      <w:r w:rsidRPr="002366E2">
        <w:rPr>
          <w:rFonts w:hint="cs"/>
          <w:b/>
          <w:bCs/>
          <w:rtl/>
        </w:rPr>
        <w:t>מדינת ישראל נ' עבד אלכרים סלימאן</w:t>
      </w:r>
      <w:r>
        <w:rPr>
          <w:rFonts w:hint="cs"/>
          <w:rtl/>
        </w:rPr>
        <w:t xml:space="preserve"> (19.1.14) שם על אף שהנאשם הורשע בעבירות חמורות בהרבה מהמקרה שלנו - רכישת נשק מסוג קרל גוסטב עם תחמושת ועשה שימוש בנשק (ירה באויר) ולאחר מכן הטמינו בסמוך לביתו כאשר ביום האירוע נשא את הנשק ברכבו ומשהבחין בשוטרים נמלט מהרכב, נקבע בבית המשפט המחוזי מתחם ענישה של עבודות שירות עד 20 חודשי מאסר בפועל ובית המשפט העליון לא התערב בקביעה זו. עוד הפנתה למספר פסקי דין מהם בקשה לבסס טיעוניה בדבר מתחם ענישה שנע בין 6 ל-18 חודשי מאסר בפועל, תוך שהיא מבקשת לערוך אבחנה בין עבירות של ניסיון לסחר בנשק לבין ניסיון לרכוש נשק.</w:t>
      </w:r>
    </w:p>
    <w:p w14:paraId="55C1E832" w14:textId="77777777" w:rsidR="004A19B0" w:rsidRDefault="004A19B0" w:rsidP="004A19B0">
      <w:pPr>
        <w:spacing w:line="360" w:lineRule="auto"/>
        <w:jc w:val="both"/>
        <w:rPr>
          <w:rtl/>
        </w:rPr>
      </w:pPr>
    </w:p>
    <w:p w14:paraId="0AF5B07E" w14:textId="77777777" w:rsidR="004A19B0" w:rsidRDefault="004A19B0" w:rsidP="004A19B0">
      <w:pPr>
        <w:spacing w:line="360" w:lineRule="auto"/>
        <w:jc w:val="both"/>
        <w:rPr>
          <w:rtl/>
        </w:rPr>
      </w:pPr>
      <w:r>
        <w:rPr>
          <w:rtl/>
        </w:rPr>
        <w:tab/>
      </w:r>
      <w:r>
        <w:rPr>
          <w:rFonts w:hint="cs"/>
          <w:rtl/>
        </w:rPr>
        <w:t>ב"כ הנאשם גם הדגישה נסיבות הקשורות בביצוע העבירה ונסיבות אישיות של הנאשם: העדר תחמושת; מצב הנשק המפורק; העדר פגיעה או כוונת פגיעה באדם ספציפי; גילו הצעיר של הנאשם; הודאתו שניתנה בהזדמנות הראשונה ועברו הפלילי הנקי.</w:t>
      </w:r>
    </w:p>
    <w:p w14:paraId="0E807B96" w14:textId="77777777" w:rsidR="004A19B0" w:rsidRDefault="004A19B0" w:rsidP="004A19B0">
      <w:pPr>
        <w:spacing w:line="360" w:lineRule="auto"/>
        <w:jc w:val="both"/>
        <w:rPr>
          <w:rtl/>
        </w:rPr>
      </w:pPr>
    </w:p>
    <w:p w14:paraId="7211EA9A" w14:textId="77777777" w:rsidR="004A19B0" w:rsidRDefault="004A19B0" w:rsidP="004A19B0">
      <w:pPr>
        <w:spacing w:line="360" w:lineRule="auto"/>
        <w:jc w:val="both"/>
      </w:pPr>
      <w:r>
        <w:rPr>
          <w:rtl/>
        </w:rPr>
        <w:tab/>
      </w:r>
      <w:r>
        <w:rPr>
          <w:rFonts w:hint="cs"/>
          <w:rtl/>
        </w:rPr>
        <w:t xml:space="preserve">לבסוף תהתה הכיצד ניתן לקבוע לאור הפסיקה אליה הפנתה ונסיבות ביצוע העבירה, כי המתחם הינו בטווח לו טענה המאשימה, ועוד כיצד ניתן למקם את העונש, בשים לב למותר הנסיבות שאינן קשורות בביצוע העבירה באמצע המתחם ולא בתחתיתו. בהמשך, בקשה לצרף פסק דין נוסף של בית המשפט המחוזי בנצרת (ת"פ 15129-07-16 </w:t>
      </w:r>
      <w:r w:rsidRPr="009208CA">
        <w:rPr>
          <w:rFonts w:hint="cs"/>
          <w:b/>
          <w:bCs/>
          <w:rtl/>
        </w:rPr>
        <w:t>מ"י נ' עימאד בן סלים</w:t>
      </w:r>
      <w:r>
        <w:rPr>
          <w:rFonts w:hint="cs"/>
          <w:rtl/>
        </w:rPr>
        <w:t xml:space="preserve"> </w:t>
      </w:r>
      <w:r w:rsidRPr="009208CA">
        <w:rPr>
          <w:rFonts w:hint="cs"/>
          <w:b/>
          <w:bCs/>
          <w:rtl/>
        </w:rPr>
        <w:t>סלימאן</w:t>
      </w:r>
      <w:r>
        <w:rPr>
          <w:rFonts w:hint="cs"/>
          <w:rtl/>
        </w:rPr>
        <w:t xml:space="preserve"> (21.11.16)) התומך לשיטתה בעמדה ובטיעונים שהציגה במסגרתו נקבע מתחם עונש של  6 חודשי מאסר בפועל לבין 20 חודשי מאסר בפועל לעבירות שביצע הנאשם שם </w:t>
      </w:r>
      <w:r>
        <w:rPr>
          <w:rtl/>
        </w:rPr>
        <w:t>–</w:t>
      </w:r>
      <w:r>
        <w:rPr>
          <w:rFonts w:hint="cs"/>
          <w:rtl/>
        </w:rPr>
        <w:t xml:space="preserve"> קשירת קשר לביצוע פשע </w:t>
      </w:r>
      <w:r>
        <w:rPr>
          <w:rtl/>
        </w:rPr>
        <w:t>–</w:t>
      </w:r>
      <w:r>
        <w:rPr>
          <w:rFonts w:hint="cs"/>
          <w:rtl/>
        </w:rPr>
        <w:t xml:space="preserve"> עבירה לפי </w:t>
      </w:r>
      <w:hyperlink r:id="rId21" w:history="1">
        <w:r w:rsidR="007214F0" w:rsidRPr="007214F0">
          <w:rPr>
            <w:rStyle w:val="Hyperlink"/>
            <w:rFonts w:hint="eastAsia"/>
            <w:color w:val="0000FF"/>
            <w:rtl/>
          </w:rPr>
          <w:t>סע</w:t>
        </w:r>
        <w:r w:rsidR="007214F0" w:rsidRPr="007214F0">
          <w:rPr>
            <w:rStyle w:val="Hyperlink"/>
            <w:color w:val="0000FF"/>
            <w:rtl/>
          </w:rPr>
          <w:t>' 499 (א) (1)</w:t>
        </w:r>
      </w:hyperlink>
      <w:r>
        <w:rPr>
          <w:rFonts w:hint="cs"/>
          <w:rtl/>
        </w:rPr>
        <w:t xml:space="preserve"> וניסיון לביצוע עבירות בנשק (החזקה ונשיאה) </w:t>
      </w:r>
      <w:r>
        <w:rPr>
          <w:rtl/>
        </w:rPr>
        <w:t>–</w:t>
      </w:r>
      <w:r>
        <w:rPr>
          <w:rFonts w:hint="cs"/>
          <w:rtl/>
        </w:rPr>
        <w:t xml:space="preserve"> עבירה לפי </w:t>
      </w:r>
      <w:hyperlink r:id="rId22" w:history="1">
        <w:r w:rsidR="007214F0" w:rsidRPr="007214F0">
          <w:rPr>
            <w:rStyle w:val="Hyperlink"/>
            <w:rFonts w:hint="eastAsia"/>
            <w:color w:val="0000FF"/>
            <w:rtl/>
          </w:rPr>
          <w:t>סע</w:t>
        </w:r>
        <w:r w:rsidR="007214F0" w:rsidRPr="007214F0">
          <w:rPr>
            <w:rStyle w:val="Hyperlink"/>
            <w:color w:val="0000FF"/>
            <w:rtl/>
          </w:rPr>
          <w:t>' 144 (א)</w:t>
        </w:r>
      </w:hyperlink>
      <w:r>
        <w:rPr>
          <w:rFonts w:hint="cs"/>
          <w:rtl/>
        </w:rPr>
        <w:t xml:space="preserve"> ל</w:t>
      </w:r>
      <w:hyperlink r:id="rId23" w:history="1">
        <w:r w:rsidR="002666B0" w:rsidRPr="002666B0">
          <w:rPr>
            <w:color w:val="0000FF"/>
            <w:u w:val="single"/>
            <w:rtl/>
          </w:rPr>
          <w:t>חוק העונשין</w:t>
        </w:r>
      </w:hyperlink>
      <w:r>
        <w:rPr>
          <w:rFonts w:hint="cs"/>
          <w:rtl/>
        </w:rPr>
        <w:t>.</w:t>
      </w:r>
    </w:p>
    <w:p w14:paraId="3462103B" w14:textId="77777777" w:rsidR="004A19B0" w:rsidRDefault="004A19B0" w:rsidP="004A19B0">
      <w:pPr>
        <w:spacing w:line="360" w:lineRule="auto"/>
        <w:jc w:val="both"/>
        <w:rPr>
          <w:rtl/>
        </w:rPr>
      </w:pPr>
      <w:r>
        <w:rPr>
          <w:rFonts w:hint="cs"/>
          <w:rtl/>
        </w:rPr>
        <w:t xml:space="preserve">   </w:t>
      </w:r>
    </w:p>
    <w:p w14:paraId="31156BB2" w14:textId="77777777" w:rsidR="004A19B0" w:rsidRPr="00E540F0" w:rsidRDefault="004A19B0" w:rsidP="004A19B0">
      <w:pPr>
        <w:spacing w:line="360" w:lineRule="auto"/>
        <w:jc w:val="both"/>
        <w:rPr>
          <w:b/>
          <w:bCs/>
          <w:u w:val="single"/>
          <w:rtl/>
        </w:rPr>
      </w:pPr>
      <w:r w:rsidRPr="00E540F0">
        <w:rPr>
          <w:rFonts w:hint="cs"/>
          <w:b/>
          <w:bCs/>
          <w:u w:val="single"/>
          <w:rtl/>
        </w:rPr>
        <w:t>דיון</w:t>
      </w:r>
    </w:p>
    <w:p w14:paraId="1DD1515A" w14:textId="77777777" w:rsidR="004A19B0" w:rsidRPr="00B05847" w:rsidRDefault="004A19B0" w:rsidP="004A19B0">
      <w:pPr>
        <w:spacing w:line="360" w:lineRule="auto"/>
        <w:jc w:val="both"/>
        <w:rPr>
          <w:rtl/>
        </w:rPr>
      </w:pPr>
      <w:r>
        <w:rPr>
          <w:rFonts w:hint="cs"/>
          <w:rtl/>
        </w:rPr>
        <w:t xml:space="preserve"> </w:t>
      </w:r>
    </w:p>
    <w:p w14:paraId="022A9A54" w14:textId="77777777" w:rsidR="004A19B0" w:rsidRPr="00E540F0" w:rsidRDefault="004A19B0" w:rsidP="004A19B0">
      <w:pPr>
        <w:jc w:val="both"/>
        <w:rPr>
          <w:b/>
          <w:bCs/>
          <w:u w:val="single"/>
          <w:rtl/>
        </w:rPr>
      </w:pPr>
      <w:r w:rsidRPr="00E540F0">
        <w:rPr>
          <w:rFonts w:hint="cs"/>
          <w:b/>
          <w:bCs/>
          <w:u w:val="single"/>
          <w:rtl/>
        </w:rPr>
        <w:t>הערך החברתי שנפגע</w:t>
      </w:r>
    </w:p>
    <w:p w14:paraId="376F3792" w14:textId="77777777" w:rsidR="004A19B0" w:rsidRDefault="004A19B0" w:rsidP="004A19B0">
      <w:pPr>
        <w:spacing w:line="360" w:lineRule="auto"/>
        <w:jc w:val="both"/>
        <w:rPr>
          <w:rtl/>
        </w:rPr>
      </w:pPr>
    </w:p>
    <w:p w14:paraId="40B3B894" w14:textId="77777777" w:rsidR="004A19B0" w:rsidRDefault="004A19B0" w:rsidP="004A19B0">
      <w:pPr>
        <w:spacing w:line="360" w:lineRule="auto"/>
        <w:jc w:val="both"/>
        <w:rPr>
          <w:rtl/>
        </w:rPr>
      </w:pPr>
      <w:r>
        <w:rPr>
          <w:rFonts w:hint="cs"/>
          <w:rtl/>
        </w:rPr>
        <w:t>9.</w:t>
      </w:r>
      <w:r>
        <w:rPr>
          <w:rFonts w:hint="cs"/>
          <w:rtl/>
        </w:rPr>
        <w:tab/>
        <w:t xml:space="preserve">הנאשם הורשע בכך שעבר עבירה של ניסיון לרכוש נשק ואבזר נשק בלא רשות על פי דין לפי </w:t>
      </w:r>
      <w:hyperlink r:id="rId24" w:history="1">
        <w:r w:rsidR="007214F0" w:rsidRPr="007214F0">
          <w:rPr>
            <w:rStyle w:val="Hyperlink"/>
            <w:rFonts w:hint="eastAsia"/>
            <w:color w:val="0000FF"/>
            <w:rtl/>
          </w:rPr>
          <w:t>סעיף</w:t>
        </w:r>
        <w:r w:rsidR="007214F0" w:rsidRPr="007214F0">
          <w:rPr>
            <w:rStyle w:val="Hyperlink"/>
            <w:color w:val="0000FF"/>
            <w:rtl/>
          </w:rPr>
          <w:t xml:space="preserve"> 144(א)</w:t>
        </w:r>
      </w:hyperlink>
      <w:r>
        <w:rPr>
          <w:rFonts w:hint="cs"/>
          <w:rtl/>
        </w:rPr>
        <w:t xml:space="preserve"> רישא וסיפא ל</w:t>
      </w:r>
      <w:hyperlink r:id="rId25" w:history="1">
        <w:r w:rsidR="002666B0" w:rsidRPr="002666B0">
          <w:rPr>
            <w:color w:val="0000FF"/>
            <w:u w:val="single"/>
            <w:rtl/>
          </w:rPr>
          <w:t>חוק העונשין</w:t>
        </w:r>
      </w:hyperlink>
      <w:r>
        <w:rPr>
          <w:rFonts w:hint="cs"/>
          <w:rtl/>
        </w:rPr>
        <w:t xml:space="preserve">. </w:t>
      </w:r>
    </w:p>
    <w:p w14:paraId="49BCDCC2" w14:textId="77777777" w:rsidR="004A19B0" w:rsidRDefault="004A19B0" w:rsidP="004A19B0">
      <w:pPr>
        <w:spacing w:line="360" w:lineRule="auto"/>
        <w:jc w:val="both"/>
        <w:rPr>
          <w:rtl/>
        </w:rPr>
      </w:pPr>
    </w:p>
    <w:p w14:paraId="6D6DD3E4" w14:textId="77777777" w:rsidR="004A19B0" w:rsidRDefault="004A19B0" w:rsidP="004A19B0">
      <w:pPr>
        <w:spacing w:line="360" w:lineRule="auto"/>
        <w:jc w:val="both"/>
        <w:rPr>
          <w:rtl/>
        </w:rPr>
      </w:pPr>
      <w:r>
        <w:rPr>
          <w:rFonts w:hint="cs"/>
          <w:rtl/>
        </w:rPr>
        <w:t>10.</w:t>
      </w:r>
      <w:r>
        <w:rPr>
          <w:rFonts w:hint="cs"/>
          <w:rtl/>
        </w:rPr>
        <w:tab/>
        <w:t>בפסיקה עמדו בתי המשפט על כך שהערכים החברתיים הנפגעים מעסקה בנשק בלא רשות הם שלום הציבור וביטחונו ושמירה על שלמות גופו של אדם ורכושו. כך נפסק ב</w:t>
      </w:r>
      <w:hyperlink r:id="rId26" w:history="1">
        <w:r w:rsidR="002666B0" w:rsidRPr="002666B0">
          <w:rPr>
            <w:color w:val="0000FF"/>
            <w:u w:val="single"/>
            <w:rtl/>
          </w:rPr>
          <w:t>ע"פ 4945/13</w:t>
        </w:r>
      </w:hyperlink>
      <w:r>
        <w:rPr>
          <w:rFonts w:hint="cs"/>
          <w:rtl/>
        </w:rPr>
        <w:t xml:space="preserve"> </w:t>
      </w:r>
      <w:r w:rsidRPr="005B2330">
        <w:rPr>
          <w:rFonts w:hint="cs"/>
          <w:b/>
          <w:bCs/>
          <w:rtl/>
        </w:rPr>
        <w:t>מ"י נ' סלימאן</w:t>
      </w:r>
      <w:r>
        <w:rPr>
          <w:rFonts w:hint="cs"/>
          <w:rtl/>
        </w:rPr>
        <w:t xml:space="preserve"> שלעיל:</w:t>
      </w:r>
    </w:p>
    <w:p w14:paraId="2966D4BB" w14:textId="77777777" w:rsidR="004A19B0" w:rsidRDefault="004A19B0" w:rsidP="004A19B0">
      <w:pPr>
        <w:spacing w:line="360" w:lineRule="auto"/>
        <w:jc w:val="both"/>
        <w:rPr>
          <w:rtl/>
        </w:rPr>
      </w:pPr>
    </w:p>
    <w:p w14:paraId="68FBC9FF" w14:textId="77777777" w:rsidR="004A19B0" w:rsidRDefault="004A19B0" w:rsidP="004A19B0">
      <w:pPr>
        <w:spacing w:line="360" w:lineRule="auto"/>
        <w:ind w:left="720" w:right="510"/>
        <w:jc w:val="both"/>
        <w:rPr>
          <w:rtl/>
        </w:rPr>
      </w:pPr>
      <w:r>
        <w:rPr>
          <w:rFonts w:hint="cs"/>
          <w:rtl/>
        </w:rPr>
        <w:t>"</w:t>
      </w:r>
      <w:r w:rsidRPr="00540BE2">
        <w:rPr>
          <w:rFonts w:ascii="Miriam" w:hAnsi="Miriam" w:cs="Miriam"/>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w:t>
      </w:r>
      <w:r>
        <w:rPr>
          <w:rFonts w:ascii="Miriam" w:hAnsi="Miriam" w:cs="Miriam" w:hint="cs"/>
          <w:rtl/>
        </w:rPr>
        <w:t xml:space="preserve"> </w:t>
      </w:r>
      <w:r w:rsidRPr="00540BE2">
        <w:rPr>
          <w:rFonts w:ascii="Miriam" w:hAnsi="Miriam" w:cs="Miriam"/>
          <w:rtl/>
        </w:rPr>
        <w:t>אזרחים תמימים</w:t>
      </w:r>
      <w:r>
        <w:rPr>
          <w:rFonts w:hint="cs"/>
          <w:rtl/>
        </w:rPr>
        <w:t>."</w:t>
      </w:r>
    </w:p>
    <w:p w14:paraId="1E812118" w14:textId="77777777" w:rsidR="004A19B0" w:rsidRDefault="004A19B0" w:rsidP="004A19B0">
      <w:pPr>
        <w:spacing w:line="360" w:lineRule="auto"/>
        <w:jc w:val="both"/>
        <w:rPr>
          <w:rtl/>
        </w:rPr>
      </w:pPr>
    </w:p>
    <w:p w14:paraId="5ADF46F2" w14:textId="77777777" w:rsidR="004A19B0" w:rsidRDefault="004A19B0" w:rsidP="004A19B0">
      <w:pPr>
        <w:spacing w:line="360" w:lineRule="auto"/>
        <w:jc w:val="both"/>
        <w:rPr>
          <w:rtl/>
        </w:rPr>
      </w:pPr>
      <w:r>
        <w:rPr>
          <w:rtl/>
        </w:rPr>
        <w:tab/>
      </w:r>
      <w:r>
        <w:rPr>
          <w:rFonts w:hint="cs"/>
          <w:rtl/>
        </w:rPr>
        <w:t>התייחסות לערכים החברתיים הנפגעים, כאמור, נכללה בפסיקת בתי המשפט שהתוותה את מדיניות הענישה לאותן עבירות, כפי שיפורט להלן.</w:t>
      </w:r>
    </w:p>
    <w:p w14:paraId="42B198B7" w14:textId="77777777" w:rsidR="004A19B0" w:rsidRDefault="004A19B0" w:rsidP="004A19B0">
      <w:pPr>
        <w:spacing w:line="360" w:lineRule="auto"/>
        <w:jc w:val="both"/>
        <w:rPr>
          <w:b/>
          <w:bCs/>
          <w:u w:val="single"/>
          <w:rtl/>
        </w:rPr>
      </w:pPr>
    </w:p>
    <w:p w14:paraId="323C866A" w14:textId="77777777" w:rsidR="004A19B0" w:rsidRPr="008F7890" w:rsidRDefault="004A19B0" w:rsidP="004A19B0">
      <w:pPr>
        <w:spacing w:line="360" w:lineRule="auto"/>
        <w:jc w:val="both"/>
        <w:rPr>
          <w:b/>
          <w:bCs/>
          <w:u w:val="single"/>
          <w:rtl/>
        </w:rPr>
      </w:pPr>
      <w:r w:rsidRPr="008F7890">
        <w:rPr>
          <w:rFonts w:hint="cs"/>
          <w:b/>
          <w:bCs/>
          <w:u w:val="single"/>
          <w:rtl/>
        </w:rPr>
        <w:t>מדיניות הענישה הנהוגה</w:t>
      </w:r>
    </w:p>
    <w:p w14:paraId="56FD537E" w14:textId="77777777" w:rsidR="004A19B0" w:rsidRDefault="004A19B0" w:rsidP="004A19B0">
      <w:pPr>
        <w:spacing w:line="360" w:lineRule="auto"/>
        <w:jc w:val="both"/>
        <w:rPr>
          <w:rtl/>
        </w:rPr>
      </w:pPr>
    </w:p>
    <w:p w14:paraId="4F78F173" w14:textId="77777777" w:rsidR="004A19B0" w:rsidRDefault="004A19B0" w:rsidP="004A19B0">
      <w:pPr>
        <w:spacing w:line="360" w:lineRule="auto"/>
        <w:jc w:val="both"/>
        <w:rPr>
          <w:rtl/>
        </w:rPr>
      </w:pPr>
      <w:r>
        <w:rPr>
          <w:rFonts w:hint="cs"/>
          <w:rtl/>
        </w:rPr>
        <w:t>11.</w:t>
      </w:r>
      <w:r>
        <w:rPr>
          <w:rFonts w:hint="cs"/>
          <w:rtl/>
        </w:rPr>
        <w:tab/>
        <w:t>ב</w:t>
      </w:r>
      <w:hyperlink r:id="rId27" w:history="1">
        <w:r w:rsidR="002666B0" w:rsidRPr="002666B0">
          <w:rPr>
            <w:color w:val="0000FF"/>
            <w:u w:val="single"/>
            <w:rtl/>
          </w:rPr>
          <w:t>ע"פ 8045/17</w:t>
        </w:r>
      </w:hyperlink>
      <w:r>
        <w:rPr>
          <w:rFonts w:hint="cs"/>
          <w:rtl/>
        </w:rPr>
        <w:t xml:space="preserve"> בראנסי נ' מ"י (16.8.18) שב בית המשפט העליון והדגיש את החומרה הרבה הנודעת לעבירות הנשק והצורך להחמיר בעונשם של עוברי עבירה זו, וכך נאמר שם:</w:t>
      </w:r>
    </w:p>
    <w:p w14:paraId="6DD39919" w14:textId="77777777" w:rsidR="004A19B0" w:rsidRDefault="004A19B0" w:rsidP="004A19B0">
      <w:pPr>
        <w:spacing w:line="360" w:lineRule="auto"/>
        <w:ind w:left="720" w:right="510"/>
        <w:jc w:val="both"/>
        <w:rPr>
          <w:rtl/>
        </w:rPr>
      </w:pPr>
    </w:p>
    <w:p w14:paraId="69A5497E" w14:textId="77777777" w:rsidR="004A19B0" w:rsidRPr="00414750" w:rsidRDefault="004A19B0" w:rsidP="004A19B0">
      <w:pPr>
        <w:spacing w:line="360" w:lineRule="auto"/>
        <w:ind w:left="720" w:right="510"/>
        <w:jc w:val="both"/>
        <w:rPr>
          <w:rFonts w:ascii="Miriam" w:hAnsi="Miriam" w:cs="Miriam"/>
          <w:rtl/>
        </w:rPr>
      </w:pPr>
      <w:r>
        <w:rPr>
          <w:rFonts w:hint="cs"/>
          <w:rtl/>
        </w:rPr>
        <w:t>"</w:t>
      </w:r>
      <w:r w:rsidRPr="00414750">
        <w:rPr>
          <w:rFonts w:ascii="Miriam" w:hAnsi="Miriam" w:cs="Miriam"/>
          <w:rtl/>
        </w:rPr>
        <w:t>פעילות של סחר בלתי חוקי בנשק אוצרת בחובה פגיעה בערכים חברתיים בעלי חשיבות רבה, בהם שלמות הגוף, חיי אדם ושלום הציבור וביטחונו. כלי הנשק שנמכרו</w:t>
      </w:r>
      <w:r w:rsidRPr="00414750">
        <w:rPr>
          <w:rFonts w:ascii="Miriam" w:hAnsi="Miriam" w:cs="Miriam"/>
          <w:rtl/>
        </w:rPr>
        <w:tab/>
        <w:t>במסגרת האישומים הם על פי טיבם כאלה שבאמצעותם ניתן בנקל לפגוע בשלמות הגוף ולגדוע חיי אדם. חומרת הנזק הנגרם בעקבות ביצוע עבירות כגון אלו מתעצמת במקרים כבענייננו, שבהם נמכרים כלי נשק בעלי פוטנציאל פגיעה ממשי, שהרי דין</w:t>
      </w:r>
      <w:r>
        <w:rPr>
          <w:rFonts w:ascii="Miriam" w:hAnsi="Miriam" w:cs="Miriam" w:hint="cs"/>
          <w:rtl/>
        </w:rPr>
        <w:t xml:space="preserve"> </w:t>
      </w:r>
      <w:r w:rsidRPr="00414750">
        <w:rPr>
          <w:rFonts w:ascii="Miriam" w:hAnsi="Miriam" w:cs="Miriam"/>
          <w:rtl/>
        </w:rPr>
        <w:t>סחר ברובה סער, בתת-מקלע או באקדח אמין ואיכותי, אינו כדין סחר באקדח</w:t>
      </w:r>
      <w:r>
        <w:rPr>
          <w:rFonts w:ascii="Miriam" w:hAnsi="Miriam" w:cs="Miriam" w:hint="cs"/>
          <w:rtl/>
        </w:rPr>
        <w:t xml:space="preserve"> </w:t>
      </w:r>
      <w:r w:rsidRPr="00414750">
        <w:rPr>
          <w:rFonts w:ascii="Miriam" w:hAnsi="Miriam" w:cs="Miriam"/>
          <w:rtl/>
        </w:rPr>
        <w:t>מאולתר...</w:t>
      </w:r>
    </w:p>
    <w:p w14:paraId="050158E5" w14:textId="77777777" w:rsidR="004A19B0" w:rsidRPr="00414750" w:rsidRDefault="004A19B0" w:rsidP="004A19B0">
      <w:pPr>
        <w:spacing w:line="360" w:lineRule="auto"/>
        <w:ind w:left="720" w:right="510"/>
        <w:jc w:val="both"/>
        <w:rPr>
          <w:rFonts w:ascii="Miriam" w:hAnsi="Miriam" w:cs="Miriam"/>
          <w:rtl/>
        </w:rPr>
      </w:pPr>
      <w:r w:rsidRPr="00414750">
        <w:rPr>
          <w:rFonts w:ascii="Miriam" w:hAnsi="Miriam" w:cs="Miriam"/>
          <w:rtl/>
        </w:rPr>
        <w:t>...</w:t>
      </w:r>
    </w:p>
    <w:p w14:paraId="1FBBEECF" w14:textId="77777777" w:rsidR="004A19B0" w:rsidRPr="00414750" w:rsidRDefault="004A19B0" w:rsidP="004A19B0">
      <w:pPr>
        <w:spacing w:line="360" w:lineRule="auto"/>
        <w:ind w:left="720" w:right="510"/>
        <w:jc w:val="both"/>
        <w:rPr>
          <w:rFonts w:ascii="Miriam" w:hAnsi="Miriam" w:cs="Miriam"/>
          <w:rtl/>
        </w:rPr>
      </w:pPr>
      <w:r w:rsidRPr="00414750">
        <w:rPr>
          <w:rFonts w:ascii="Miriam" w:hAnsi="Miriam" w:cs="Miriam"/>
          <w:rtl/>
        </w:rPr>
        <w:t>...יש חשיבות בענישה מוחשית של כל אחת ואחת מהחוליות בשרשרת הסחר. כל אחת מאותן חוליות 'מוחזקת כמי שמודעת לתוצאות האפשריות הקשות העלולות לנבוע מהשימוש שייעשה בנשק לאחר שיגיע אל 'הצרכן הסופי' בקצה השרשרת'... לעניין הצורך בהחמרה בענישה ציינה השופטת (כתוארה אז) א' חיות בפסק הדין בעניין נפאע:</w:t>
      </w:r>
    </w:p>
    <w:p w14:paraId="07C535B9" w14:textId="77777777" w:rsidR="004A19B0" w:rsidRPr="00414750" w:rsidRDefault="004A19B0" w:rsidP="004A19B0">
      <w:pPr>
        <w:spacing w:line="360" w:lineRule="auto"/>
        <w:ind w:left="720" w:right="510"/>
        <w:jc w:val="both"/>
        <w:rPr>
          <w:rFonts w:ascii="Miriam" w:hAnsi="Miriam" w:cs="Miriam"/>
          <w:rtl/>
        </w:rPr>
      </w:pPr>
      <w:r w:rsidRPr="00414750">
        <w:rPr>
          <w:rFonts w:ascii="Miriam" w:hAnsi="Miriam" w:cs="Miriam"/>
          <w:rtl/>
        </w:rPr>
        <w:tab/>
      </w:r>
      <w:r w:rsidRPr="00414750">
        <w:rPr>
          <w:rFonts w:ascii="Miriam" w:hAnsi="Miriam" w:cs="Miriam"/>
          <w:rtl/>
        </w:rPr>
        <w:tab/>
      </w:r>
    </w:p>
    <w:p w14:paraId="33AAA85D" w14:textId="77777777" w:rsidR="004A19B0" w:rsidRPr="00414750" w:rsidRDefault="004A19B0" w:rsidP="004A19B0">
      <w:pPr>
        <w:spacing w:line="360" w:lineRule="auto"/>
        <w:ind w:left="720" w:right="510"/>
        <w:jc w:val="both"/>
        <w:rPr>
          <w:rFonts w:ascii="Miriam" w:hAnsi="Miriam" w:cs="Miriam"/>
          <w:rtl/>
        </w:rPr>
      </w:pPr>
      <w:r w:rsidRPr="00414750">
        <w:rPr>
          <w:rFonts w:ascii="Miriam" w:hAnsi="Miriam" w:cs="Miriam"/>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בעונשים המאסר הנגזרים על נאשמים בעבירות אלו לעומת העונשים הנגזרים כיום"(שם, פסקה 7)".</w:t>
      </w:r>
    </w:p>
    <w:p w14:paraId="3509CD6E" w14:textId="77777777" w:rsidR="004A19B0" w:rsidRPr="00414750" w:rsidRDefault="004A19B0" w:rsidP="004A19B0">
      <w:pPr>
        <w:spacing w:line="360" w:lineRule="auto"/>
        <w:ind w:left="720" w:right="510"/>
        <w:jc w:val="both"/>
        <w:rPr>
          <w:rFonts w:ascii="Miriam" w:hAnsi="Miriam" w:cs="Miriam"/>
          <w:rtl/>
        </w:rPr>
      </w:pPr>
    </w:p>
    <w:p w14:paraId="541AC00A" w14:textId="77777777" w:rsidR="004A19B0" w:rsidRDefault="004A19B0" w:rsidP="004A19B0">
      <w:pPr>
        <w:spacing w:line="360" w:lineRule="auto"/>
        <w:jc w:val="both"/>
        <w:rPr>
          <w:rtl/>
        </w:rPr>
      </w:pPr>
      <w:r>
        <w:rPr>
          <w:rFonts w:hint="cs"/>
          <w:rtl/>
        </w:rPr>
        <w:t>12.</w:t>
      </w:r>
      <w:r>
        <w:rPr>
          <w:rFonts w:hint="cs"/>
          <w:rtl/>
        </w:rPr>
        <w:tab/>
        <w:t>מגמת ההחמרה בענישה בעבירות סחר והחזקת נשק קיבלה לאחרונה ביטוי בפסיקת בית המשפט העליון ב</w:t>
      </w:r>
      <w:hyperlink r:id="rId28" w:history="1">
        <w:r w:rsidR="002666B0" w:rsidRPr="002666B0">
          <w:rPr>
            <w:color w:val="0000FF"/>
            <w:u w:val="single"/>
            <w:rtl/>
          </w:rPr>
          <w:t>ע"פ 4406/19</w:t>
        </w:r>
      </w:hyperlink>
      <w:r>
        <w:rPr>
          <w:rFonts w:hint="cs"/>
          <w:rtl/>
        </w:rPr>
        <w:t xml:space="preserve"> </w:t>
      </w:r>
      <w:r w:rsidRPr="00207CDF">
        <w:rPr>
          <w:rFonts w:hint="cs"/>
          <w:b/>
          <w:bCs/>
          <w:rtl/>
        </w:rPr>
        <w:t>מ"י נ' יונס סובח ואח'</w:t>
      </w:r>
      <w:r>
        <w:rPr>
          <w:rFonts w:hint="cs"/>
          <w:rtl/>
        </w:rPr>
        <w:t xml:space="preserve"> (5.11.19) שם כותב השופט י' אלרון:</w:t>
      </w:r>
    </w:p>
    <w:p w14:paraId="214619A0" w14:textId="77777777" w:rsidR="004A19B0" w:rsidRDefault="004A19B0" w:rsidP="004A19B0">
      <w:pPr>
        <w:spacing w:line="360" w:lineRule="auto"/>
        <w:jc w:val="both"/>
        <w:rPr>
          <w:rtl/>
        </w:rPr>
      </w:pPr>
    </w:p>
    <w:p w14:paraId="1951C85F" w14:textId="77777777" w:rsidR="004A19B0" w:rsidRPr="00486304" w:rsidRDefault="004A19B0" w:rsidP="004A19B0">
      <w:pPr>
        <w:spacing w:line="360" w:lineRule="auto"/>
        <w:ind w:left="720" w:right="510"/>
        <w:jc w:val="both"/>
        <w:rPr>
          <w:rFonts w:ascii="Miriam" w:hAnsi="Miriam" w:cs="Miriam"/>
          <w:rtl/>
        </w:rPr>
      </w:pPr>
      <w:r>
        <w:rPr>
          <w:rFonts w:hint="cs"/>
          <w:rtl/>
        </w:rPr>
        <w:t>"</w:t>
      </w:r>
      <w:r w:rsidRPr="00486304">
        <w:rPr>
          <w:rFonts w:ascii="Miriam" w:hAnsi="Miriam" w:cs="Miriam"/>
          <w:rtl/>
        </w:rPr>
        <w:t>אולם, לעתים מדיניות הענישה הנהוגה ביחס לעבירה מסויימת אינה מספקת, ועל בית המשפט להורות על החמרה בענישה על מנת לקדם ולהגן על הערכים אשר ביסודה, ובכך לבלום את נפיצותן של עבירות מסויימות ההופכות ל"מכת מדינה", ולתת ביטוי לחומרה שיש לייחס להן.</w:t>
      </w:r>
    </w:p>
    <w:p w14:paraId="7180B5A8" w14:textId="77777777" w:rsidR="004A19B0" w:rsidRPr="00486304" w:rsidRDefault="004A19B0" w:rsidP="004A19B0">
      <w:pPr>
        <w:spacing w:line="360" w:lineRule="auto"/>
        <w:ind w:left="720" w:right="510"/>
        <w:jc w:val="both"/>
        <w:rPr>
          <w:rFonts w:ascii="Miriam" w:hAnsi="Miriam" w:cs="Miriam"/>
          <w:rtl/>
        </w:rPr>
      </w:pPr>
      <w:r w:rsidRPr="00486304">
        <w:rPr>
          <w:rFonts w:ascii="Miriam" w:hAnsi="Miriam" w:cs="Miriam"/>
          <w:rtl/>
        </w:rPr>
        <w:t xml:space="preserve">המקרה שלפנינו נמנה לטעמי עם אותם מקרים חריגים אשר בהם נדרשה התערבותו של בית משפט זה בשבתו כערכאת ערעור, וזאת לנוכח מדיניות הענישה המחמירה אשר יש לנקוט כלפי העבירות הכוללות שימוש בנשק חם כאמצעי ליישוב סכסוכים.  ... </w:t>
      </w:r>
    </w:p>
    <w:p w14:paraId="71C5E35E" w14:textId="77777777" w:rsidR="004A19B0" w:rsidRDefault="004A19B0" w:rsidP="004A19B0">
      <w:pPr>
        <w:spacing w:line="360" w:lineRule="auto"/>
        <w:ind w:left="720" w:right="510"/>
        <w:jc w:val="both"/>
        <w:rPr>
          <w:rFonts w:ascii="Miriam" w:hAnsi="Miriam" w:cs="Miriam"/>
          <w:rtl/>
        </w:rPr>
      </w:pPr>
    </w:p>
    <w:p w14:paraId="4FB0785F" w14:textId="77777777" w:rsidR="004A19B0" w:rsidRDefault="004A19B0" w:rsidP="004A19B0">
      <w:pPr>
        <w:spacing w:line="360" w:lineRule="auto"/>
        <w:ind w:left="720" w:right="510"/>
        <w:jc w:val="both"/>
        <w:rPr>
          <w:rtl/>
        </w:rPr>
      </w:pPr>
      <w:r w:rsidRPr="00486304">
        <w:rPr>
          <w:rFonts w:ascii="Miriam" w:hAnsi="Miriam" w:cs="Miriam"/>
          <w:rtl/>
        </w:rPr>
        <w:t>... בהתאם לכך ולנוכח ריבוי מקרי הירי, יש לנקוט במדיניות ענישה מחמירה כלפי ביצוע עבירות החזקת נשק שלא כדין ...</w:t>
      </w:r>
      <w:r>
        <w:rPr>
          <w:rFonts w:hint="cs"/>
          <w:rtl/>
        </w:rPr>
        <w:t>"</w:t>
      </w:r>
    </w:p>
    <w:p w14:paraId="4006ABA7" w14:textId="77777777" w:rsidR="004A19B0" w:rsidRDefault="004A19B0" w:rsidP="004A19B0">
      <w:pPr>
        <w:spacing w:line="360" w:lineRule="auto"/>
        <w:jc w:val="both"/>
        <w:rPr>
          <w:rtl/>
        </w:rPr>
      </w:pPr>
      <w:r>
        <w:rPr>
          <w:rtl/>
        </w:rPr>
        <w:tab/>
      </w:r>
    </w:p>
    <w:p w14:paraId="5AF40906" w14:textId="77777777" w:rsidR="004A19B0" w:rsidRDefault="004A19B0" w:rsidP="004A19B0">
      <w:pPr>
        <w:spacing w:line="360" w:lineRule="auto"/>
        <w:jc w:val="both"/>
        <w:rPr>
          <w:rtl/>
        </w:rPr>
      </w:pPr>
      <w:r>
        <w:rPr>
          <w:rtl/>
        </w:rPr>
        <w:tab/>
      </w:r>
      <w:r>
        <w:rPr>
          <w:rFonts w:hint="cs"/>
          <w:rtl/>
        </w:rPr>
        <w:t>לעמדה זו הצטרף השופט מ' מזוז:</w:t>
      </w:r>
    </w:p>
    <w:p w14:paraId="5F0AFF79" w14:textId="77777777" w:rsidR="004A19B0" w:rsidRDefault="004A19B0" w:rsidP="004A19B0">
      <w:pPr>
        <w:spacing w:line="360" w:lineRule="auto"/>
        <w:jc w:val="both"/>
        <w:rPr>
          <w:rtl/>
        </w:rPr>
      </w:pPr>
    </w:p>
    <w:p w14:paraId="43F7AC0F" w14:textId="77777777" w:rsidR="004A19B0" w:rsidRPr="004521F1" w:rsidRDefault="004A19B0" w:rsidP="004A19B0">
      <w:pPr>
        <w:spacing w:line="360" w:lineRule="auto"/>
        <w:ind w:left="720" w:right="510"/>
        <w:jc w:val="both"/>
        <w:rPr>
          <w:rFonts w:ascii="Miriam" w:hAnsi="Miriam" w:cs="Miriam"/>
          <w:rtl/>
        </w:rPr>
      </w:pPr>
      <w:r w:rsidRPr="004521F1">
        <w:rPr>
          <w:rFonts w:ascii="Miriam" w:hAnsi="Miriam" w:cs="Miriam"/>
          <w:rtl/>
        </w:rPr>
        <w:t xml:space="preserve">"ביעור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וכל שכן מקום שנעשה בנשק כזה שימוש בביצוע עבירות אלימות למיניהן." </w:t>
      </w:r>
    </w:p>
    <w:p w14:paraId="0F9092E5" w14:textId="77777777" w:rsidR="004A19B0" w:rsidRDefault="004A19B0" w:rsidP="004A19B0">
      <w:pPr>
        <w:spacing w:line="360" w:lineRule="auto"/>
        <w:jc w:val="both"/>
        <w:rPr>
          <w:rtl/>
        </w:rPr>
      </w:pPr>
    </w:p>
    <w:p w14:paraId="38600DB2" w14:textId="77777777" w:rsidR="004A19B0" w:rsidRPr="00552AD0" w:rsidRDefault="004A19B0" w:rsidP="004A19B0">
      <w:pPr>
        <w:spacing w:line="360" w:lineRule="auto"/>
        <w:jc w:val="both"/>
        <w:rPr>
          <w:b/>
          <w:bCs/>
          <w:u w:val="single"/>
          <w:rtl/>
        </w:rPr>
      </w:pPr>
      <w:r w:rsidRPr="00552AD0">
        <w:rPr>
          <w:rFonts w:hint="cs"/>
          <w:b/>
          <w:bCs/>
          <w:u w:val="single"/>
          <w:rtl/>
        </w:rPr>
        <w:t>נסיבות הקשורות בביצוע העבירה</w:t>
      </w:r>
    </w:p>
    <w:p w14:paraId="57FA2979" w14:textId="77777777" w:rsidR="004A19B0" w:rsidRDefault="004A19B0" w:rsidP="004A19B0">
      <w:pPr>
        <w:spacing w:line="360" w:lineRule="auto"/>
        <w:jc w:val="both"/>
        <w:rPr>
          <w:rtl/>
        </w:rPr>
      </w:pPr>
    </w:p>
    <w:p w14:paraId="3315EF8F" w14:textId="77777777" w:rsidR="004A19B0" w:rsidRDefault="004A19B0" w:rsidP="004A19B0">
      <w:pPr>
        <w:spacing w:line="360" w:lineRule="auto"/>
        <w:jc w:val="both"/>
        <w:rPr>
          <w:rFonts w:ascii="Arial" w:hAnsi="Arial"/>
          <w:rtl/>
        </w:rPr>
      </w:pPr>
      <w:r>
        <w:rPr>
          <w:rFonts w:hint="cs"/>
          <w:rtl/>
        </w:rPr>
        <w:t>13.</w:t>
      </w:r>
      <w:r>
        <w:rPr>
          <w:rFonts w:hint="cs"/>
          <w:rtl/>
        </w:rPr>
        <w:tab/>
        <w:t>באשר לנסיבות הקשורות בביצוע העבירה מכתב האישום עולה, כי הנאשם הורשע בניסיון רכישת נשק בלא רשות על פי דין, כאשר הנשק כלל לא הגיע לידי הנאשם, והוא לא עשה בו שימוש, וחלקו של הנאשם הסתכם באותו קשר שיצר עם חסיין לרכוש בנשק בכך שחסיין ימכור לו הנשק בתמורה לתשלום סכום שלא יפחת מ 13,500 ₪ נשק, כאשר התשלום יבוצע עם מסירתו וקבלתו לידי הנאשם. כל התיאור שמופיע בכתב האישום לגבי האירועים שבאו בעקבות אותו סיכום אינם קושרים את הנאשם, ואינם מצביעים על מעורבותו בכניסת חסיין והנאשם 2 לישראל, כשהם מחזיקים ונושאים בנשק, וכן באותה הפגישה שהיתה לחסיין והנאשם 2 עם עבדאללה אבו זיד, שנהג ברכב בו נסעו במטרה להסיעם לג'סר א-זרקא, שם נעצר הרכב על ידי אנשי המשטרה, ובחיפוש שנערך בו נתפס הנשק.</w:t>
      </w:r>
      <w:r>
        <w:rPr>
          <w:rFonts w:ascii="Arial" w:hAnsi="Arial" w:hint="cs"/>
          <w:rtl/>
        </w:rPr>
        <w:t xml:space="preserve"> כמו כן, מדובר בכלי נשק בודד מסוג דמוי רובה סער </w:t>
      </w:r>
      <w:r>
        <w:rPr>
          <w:rFonts w:ascii="Arial" w:hAnsi="Arial"/>
        </w:rPr>
        <w:t>M-16</w:t>
      </w:r>
      <w:r>
        <w:rPr>
          <w:rFonts w:ascii="Arial" w:hAnsi="Arial" w:hint="cs"/>
          <w:rtl/>
        </w:rPr>
        <w:t>, שמכיל חלקי נשק תקינים, אך היה מפורק לחלקים וללא תחמושת.</w:t>
      </w:r>
    </w:p>
    <w:p w14:paraId="6B940A4D" w14:textId="77777777" w:rsidR="004A19B0" w:rsidRDefault="004A19B0" w:rsidP="004A19B0">
      <w:pPr>
        <w:spacing w:line="360" w:lineRule="auto"/>
        <w:jc w:val="both"/>
        <w:rPr>
          <w:rFonts w:ascii="Arial" w:hAnsi="Arial"/>
          <w:rtl/>
        </w:rPr>
      </w:pPr>
    </w:p>
    <w:p w14:paraId="295C2582" w14:textId="77777777" w:rsidR="004A19B0" w:rsidRDefault="004A19B0" w:rsidP="004A19B0">
      <w:pPr>
        <w:spacing w:line="360" w:lineRule="auto"/>
        <w:jc w:val="both"/>
        <w:rPr>
          <w:rFonts w:ascii="Arial" w:hAnsi="Arial"/>
          <w:rtl/>
        </w:rPr>
      </w:pPr>
      <w:r>
        <w:rPr>
          <w:rFonts w:ascii="Arial" w:hAnsi="Arial"/>
          <w:rtl/>
        </w:rPr>
        <w:tab/>
      </w:r>
      <w:r>
        <w:rPr>
          <w:rFonts w:ascii="Arial" w:hAnsi="Arial" w:hint="cs"/>
          <w:rtl/>
        </w:rPr>
        <w:t>יחד עם זאת, לא ניתן להתעלם מחלקו של הנאשם במסכת האירועים, שכן הוא הוא הרוכש שהביא ליצירתה של אותה עסקה עבריינית, על כל האירועים שהתלוו לכך בהמשך.</w:t>
      </w:r>
    </w:p>
    <w:p w14:paraId="4F17B7AE" w14:textId="77777777" w:rsidR="004A19B0" w:rsidRDefault="004A19B0" w:rsidP="004A19B0">
      <w:pPr>
        <w:spacing w:line="360" w:lineRule="auto"/>
        <w:jc w:val="both"/>
        <w:rPr>
          <w:rFonts w:ascii="Arial" w:hAnsi="Arial"/>
          <w:rtl/>
        </w:rPr>
      </w:pPr>
    </w:p>
    <w:p w14:paraId="5BEE64AD" w14:textId="77777777" w:rsidR="004A19B0" w:rsidRPr="008003FD" w:rsidRDefault="004A19B0" w:rsidP="004A19B0">
      <w:pPr>
        <w:spacing w:line="360" w:lineRule="auto"/>
        <w:jc w:val="both"/>
        <w:rPr>
          <w:rFonts w:ascii="Arial" w:hAnsi="Arial"/>
          <w:b/>
          <w:bCs/>
          <w:u w:val="single"/>
          <w:rtl/>
        </w:rPr>
      </w:pPr>
      <w:r w:rsidRPr="008003FD">
        <w:rPr>
          <w:rFonts w:ascii="Arial" w:hAnsi="Arial" w:hint="cs"/>
          <w:b/>
          <w:bCs/>
          <w:u w:val="single"/>
          <w:rtl/>
        </w:rPr>
        <w:t>נסיבות שאינן קשורות בביצוע העבירה</w:t>
      </w:r>
    </w:p>
    <w:p w14:paraId="63993236" w14:textId="77777777" w:rsidR="004A19B0" w:rsidRDefault="004A19B0" w:rsidP="004A19B0">
      <w:pPr>
        <w:spacing w:line="360" w:lineRule="auto"/>
        <w:jc w:val="both"/>
        <w:rPr>
          <w:rFonts w:ascii="Arial" w:hAnsi="Arial"/>
          <w:rtl/>
        </w:rPr>
      </w:pPr>
      <w:r>
        <w:rPr>
          <w:rFonts w:ascii="Arial" w:hAnsi="Arial" w:hint="cs"/>
          <w:rtl/>
        </w:rPr>
        <w:t>14.</w:t>
      </w:r>
      <w:r>
        <w:rPr>
          <w:rFonts w:ascii="Arial" w:hAnsi="Arial" w:hint="cs"/>
          <w:rtl/>
        </w:rPr>
        <w:tab/>
        <w:t>כפי שפורט לעיל, לנאשם אין עבר פלילי. הנאשם הודה וחסך זמן שיפוטי, וכן חסך את הצורך בשמיעת עדויות. הנאשם שוהה במעצר תקופה משמעותית מיום 26.11.19.</w:t>
      </w:r>
    </w:p>
    <w:p w14:paraId="07283B01" w14:textId="77777777" w:rsidR="004A19B0" w:rsidRDefault="004A19B0" w:rsidP="004A19B0">
      <w:pPr>
        <w:spacing w:line="360" w:lineRule="auto"/>
        <w:jc w:val="both"/>
        <w:rPr>
          <w:rFonts w:ascii="Arial" w:hAnsi="Arial"/>
          <w:rtl/>
        </w:rPr>
      </w:pPr>
    </w:p>
    <w:p w14:paraId="2D6C52BB" w14:textId="77777777" w:rsidR="004A19B0" w:rsidRPr="00585BC4" w:rsidRDefault="004A19B0" w:rsidP="004A19B0">
      <w:pPr>
        <w:spacing w:line="360" w:lineRule="auto"/>
        <w:jc w:val="both"/>
        <w:rPr>
          <w:rFonts w:ascii="Arial" w:hAnsi="Arial"/>
          <w:b/>
          <w:bCs/>
          <w:u w:val="single"/>
          <w:rtl/>
        </w:rPr>
      </w:pPr>
      <w:r w:rsidRPr="00585BC4">
        <w:rPr>
          <w:rFonts w:ascii="Arial" w:hAnsi="Arial" w:hint="cs"/>
          <w:b/>
          <w:bCs/>
          <w:u w:val="single"/>
          <w:rtl/>
        </w:rPr>
        <w:t>מתחם העונש ההולם וקביעת העונש ההולם לנאשם</w:t>
      </w:r>
    </w:p>
    <w:p w14:paraId="2FAEA0B5" w14:textId="77777777" w:rsidR="004A19B0" w:rsidRDefault="004A19B0" w:rsidP="004A19B0">
      <w:pPr>
        <w:spacing w:line="360" w:lineRule="auto"/>
        <w:jc w:val="both"/>
        <w:rPr>
          <w:rFonts w:ascii="Arial" w:hAnsi="Arial"/>
          <w:rtl/>
        </w:rPr>
      </w:pPr>
    </w:p>
    <w:p w14:paraId="59581240" w14:textId="77777777" w:rsidR="004A19B0" w:rsidRDefault="004A19B0" w:rsidP="004A19B0">
      <w:pPr>
        <w:spacing w:line="360" w:lineRule="auto"/>
        <w:jc w:val="both"/>
        <w:rPr>
          <w:rFonts w:ascii="Arial" w:hAnsi="Arial"/>
          <w:rtl/>
        </w:rPr>
      </w:pPr>
      <w:r>
        <w:rPr>
          <w:rFonts w:ascii="Arial" w:hAnsi="Arial" w:hint="cs"/>
          <w:rtl/>
        </w:rPr>
        <w:t>15.</w:t>
      </w:r>
      <w:r>
        <w:rPr>
          <w:rFonts w:ascii="Arial" w:hAnsi="Arial" w:hint="cs"/>
          <w:rtl/>
        </w:rPr>
        <w:tab/>
        <w:t xml:space="preserve">הפסיקה אליה הפנתה המאשימה ברובה אינה משקפת מקרים בעלי נסיבות דומות, וכידוע יש להביא בחשבון נסיבותיו הספציפיות של הנאשם והמקרה בעת קביעת העונש ההולם. ב"כ הנאשם הפנתה לפסיקה הקובעת מדרגי חומרה ביחס לעבירות הנשק השונות, ואכן עבירות של רכישה והחזקה הוצבו במדרג נמוך יותר לעומת עבירות הובלה ונשיאה שהוצבו במעמד ביניים, ואילו עבירות סחר באמל"ח סוווגו במדרג חומרה גבוה (ראו </w:t>
      </w:r>
      <w:r w:rsidRPr="000C75AD">
        <w:rPr>
          <w:rFonts w:ascii="Arial" w:hAnsi="Arial" w:hint="cs"/>
          <w:b/>
          <w:bCs/>
          <w:rtl/>
        </w:rPr>
        <w:t>עניין סלימאן</w:t>
      </w:r>
      <w:r>
        <w:rPr>
          <w:rFonts w:ascii="Arial" w:hAnsi="Arial" w:hint="cs"/>
          <w:rtl/>
        </w:rPr>
        <w:t xml:space="preserve"> הנ"ל ב</w:t>
      </w:r>
      <w:hyperlink r:id="rId29" w:history="1">
        <w:r w:rsidR="002666B0" w:rsidRPr="002666B0">
          <w:rPr>
            <w:rFonts w:ascii="Arial" w:hAnsi="Arial"/>
            <w:color w:val="0000FF"/>
            <w:u w:val="single"/>
            <w:rtl/>
          </w:rPr>
          <w:t>ע"פ 4945/13</w:t>
        </w:r>
      </w:hyperlink>
      <w:r>
        <w:rPr>
          <w:rFonts w:ascii="Arial" w:hAnsi="Arial" w:hint="cs"/>
          <w:rtl/>
        </w:rPr>
        <w:t xml:space="preserve">). </w:t>
      </w:r>
    </w:p>
    <w:p w14:paraId="22C0FA91" w14:textId="77777777" w:rsidR="004A19B0" w:rsidRDefault="004A19B0" w:rsidP="004A19B0">
      <w:pPr>
        <w:spacing w:line="360" w:lineRule="auto"/>
        <w:jc w:val="both"/>
        <w:rPr>
          <w:rFonts w:ascii="Arial" w:hAnsi="Arial"/>
          <w:rtl/>
        </w:rPr>
      </w:pPr>
    </w:p>
    <w:p w14:paraId="605953EE" w14:textId="77777777" w:rsidR="004A19B0" w:rsidRDefault="004A19B0" w:rsidP="004A19B0">
      <w:pPr>
        <w:spacing w:line="360" w:lineRule="auto"/>
        <w:jc w:val="both"/>
        <w:rPr>
          <w:rFonts w:ascii="Arial" w:hAnsi="Arial"/>
          <w:rtl/>
        </w:rPr>
      </w:pPr>
      <w:r>
        <w:rPr>
          <w:rFonts w:ascii="Arial" w:hAnsi="Arial" w:hint="cs"/>
          <w:rtl/>
        </w:rPr>
        <w:t>16.</w:t>
      </w:r>
      <w:r>
        <w:rPr>
          <w:rFonts w:ascii="Arial" w:hAnsi="Arial" w:hint="cs"/>
          <w:rtl/>
        </w:rPr>
        <w:tab/>
        <w:t xml:space="preserve">בתי המשפט משיתים ענישה מגוונת בגין עבירות בנשק ומנעד הענישה הינו רחב ונקבע בהתאם למיקומן של עבירות הנשק באותו מדרג של חומרה, וכן בהתחשב בסוג הנשק ובטיבו. אומנם, על פי </w:t>
      </w:r>
      <w:hyperlink r:id="rId30" w:history="1">
        <w:r w:rsidR="007214F0" w:rsidRPr="007214F0">
          <w:rPr>
            <w:rStyle w:val="Hyperlink"/>
            <w:rFonts w:ascii="Arial" w:hAnsi="Arial" w:hint="eastAsia"/>
            <w:color w:val="0000FF"/>
            <w:rtl/>
          </w:rPr>
          <w:t>סעיף</w:t>
        </w:r>
        <w:r w:rsidR="007214F0" w:rsidRPr="007214F0">
          <w:rPr>
            <w:rStyle w:val="Hyperlink"/>
            <w:rFonts w:ascii="Arial" w:hAnsi="Arial"/>
            <w:color w:val="0000FF"/>
            <w:rtl/>
          </w:rPr>
          <w:t xml:space="preserve"> 34ד'</w:t>
        </w:r>
      </w:hyperlink>
      <w:r>
        <w:rPr>
          <w:rFonts w:ascii="Arial" w:hAnsi="Arial" w:hint="cs"/>
          <w:rtl/>
        </w:rPr>
        <w:t xml:space="preserve"> ל</w:t>
      </w:r>
      <w:hyperlink r:id="rId31" w:history="1">
        <w:r w:rsidR="002666B0" w:rsidRPr="002666B0">
          <w:rPr>
            <w:rFonts w:ascii="Arial" w:hAnsi="Arial"/>
            <w:color w:val="0000FF"/>
            <w:u w:val="single"/>
            <w:rtl/>
          </w:rPr>
          <w:t>חוק העונשין</w:t>
        </w:r>
      </w:hyperlink>
      <w:r>
        <w:rPr>
          <w:rFonts w:ascii="Arial" w:hAnsi="Arial" w:hint="cs"/>
          <w:rtl/>
        </w:rPr>
        <w:t xml:space="preserve"> העונש הצפוי למורשע בניסיון לעבור עבירה, הוא העונש הקבוע לצידה של העבירה המושלמת אותה ניסה לבצע, אולם, כפי שהראתה ב"כ הנאשם, אם עסקת הנשק לא הושלמה ומדובר בהרשעה בגין ניסיון מתחם העונש עומד על כמחצית ממתחם העונש בגין עסקה בנשק </w:t>
      </w:r>
      <w:r>
        <w:rPr>
          <w:rFonts w:ascii="Arial" w:hAnsi="Arial"/>
          <w:rtl/>
        </w:rPr>
        <w:t>–</w:t>
      </w:r>
      <w:r>
        <w:rPr>
          <w:rFonts w:ascii="Arial" w:hAnsi="Arial" w:hint="cs"/>
          <w:rtl/>
        </w:rPr>
        <w:t xml:space="preserve"> ראו: </w:t>
      </w:r>
      <w:hyperlink r:id="rId32" w:history="1">
        <w:r w:rsidR="002666B0" w:rsidRPr="002666B0">
          <w:rPr>
            <w:rFonts w:ascii="Arial" w:hAnsi="Arial"/>
            <w:color w:val="0000FF"/>
            <w:u w:val="single"/>
            <w:rtl/>
          </w:rPr>
          <w:t>ת"פ 39998-08-15</w:t>
        </w:r>
      </w:hyperlink>
      <w:r>
        <w:rPr>
          <w:rFonts w:ascii="Arial" w:hAnsi="Arial" w:hint="cs"/>
          <w:rtl/>
        </w:rPr>
        <w:t xml:space="preserve"> </w:t>
      </w:r>
      <w:r w:rsidRPr="00295B43">
        <w:rPr>
          <w:rFonts w:ascii="Arial" w:hAnsi="Arial" w:hint="cs"/>
          <w:b/>
          <w:bCs/>
          <w:rtl/>
        </w:rPr>
        <w:t>מ"י נ' קישק</w:t>
      </w:r>
      <w:r>
        <w:rPr>
          <w:rFonts w:ascii="Arial" w:hAnsi="Arial" w:hint="cs"/>
          <w:rtl/>
        </w:rPr>
        <w:t xml:space="preserve"> (27.10.16), </w:t>
      </w:r>
      <w:hyperlink r:id="rId33" w:history="1">
        <w:r w:rsidR="002666B0" w:rsidRPr="002666B0">
          <w:rPr>
            <w:rFonts w:ascii="Arial" w:hAnsi="Arial"/>
            <w:color w:val="0000FF"/>
            <w:u w:val="single"/>
            <w:rtl/>
          </w:rPr>
          <w:t>ת"פ 20778-11-12</w:t>
        </w:r>
      </w:hyperlink>
      <w:r>
        <w:rPr>
          <w:rFonts w:ascii="Arial" w:hAnsi="Arial" w:hint="cs"/>
          <w:rtl/>
        </w:rPr>
        <w:t xml:space="preserve"> </w:t>
      </w:r>
      <w:r w:rsidRPr="00295B43">
        <w:rPr>
          <w:rFonts w:ascii="Arial" w:hAnsi="Arial" w:hint="cs"/>
          <w:b/>
          <w:bCs/>
          <w:rtl/>
        </w:rPr>
        <w:t>מ"י נ' סלפיתי</w:t>
      </w:r>
      <w:r>
        <w:rPr>
          <w:rFonts w:ascii="Arial" w:hAnsi="Arial" w:hint="cs"/>
          <w:rtl/>
        </w:rPr>
        <w:t xml:space="preserve"> (5.5.13), </w:t>
      </w:r>
      <w:hyperlink r:id="rId34" w:history="1">
        <w:r w:rsidR="002666B0" w:rsidRPr="002666B0">
          <w:rPr>
            <w:rFonts w:ascii="Arial" w:hAnsi="Arial"/>
            <w:color w:val="0000FF"/>
            <w:u w:val="single"/>
            <w:rtl/>
          </w:rPr>
          <w:t>ת"פ 67703-11-16</w:t>
        </w:r>
      </w:hyperlink>
      <w:r>
        <w:rPr>
          <w:rFonts w:ascii="Arial" w:hAnsi="Arial" w:hint="cs"/>
          <w:rtl/>
        </w:rPr>
        <w:t xml:space="preserve"> </w:t>
      </w:r>
      <w:r w:rsidRPr="00295B43">
        <w:rPr>
          <w:rFonts w:ascii="Arial" w:hAnsi="Arial" w:hint="cs"/>
          <w:b/>
          <w:bCs/>
          <w:rtl/>
        </w:rPr>
        <w:t>מ"י נ' מוגרבי</w:t>
      </w:r>
      <w:r>
        <w:rPr>
          <w:rFonts w:ascii="Arial" w:hAnsi="Arial" w:hint="cs"/>
          <w:rtl/>
        </w:rPr>
        <w:t xml:space="preserve"> (22.11.17).</w:t>
      </w:r>
    </w:p>
    <w:p w14:paraId="5DF5C7B2" w14:textId="77777777" w:rsidR="004A19B0" w:rsidRDefault="004A19B0" w:rsidP="004A19B0">
      <w:pPr>
        <w:spacing w:line="360" w:lineRule="auto"/>
        <w:jc w:val="both"/>
        <w:rPr>
          <w:rFonts w:ascii="Arial" w:hAnsi="Arial"/>
          <w:rtl/>
        </w:rPr>
      </w:pPr>
    </w:p>
    <w:p w14:paraId="38FAE9A1" w14:textId="77777777" w:rsidR="004A19B0" w:rsidRDefault="004A19B0" w:rsidP="004A19B0">
      <w:pPr>
        <w:spacing w:line="360" w:lineRule="auto"/>
        <w:jc w:val="both"/>
        <w:rPr>
          <w:rFonts w:ascii="Arial" w:hAnsi="Arial"/>
          <w:rtl/>
        </w:rPr>
      </w:pPr>
      <w:r>
        <w:rPr>
          <w:rFonts w:ascii="Arial" w:hAnsi="Arial" w:hint="cs"/>
          <w:rtl/>
        </w:rPr>
        <w:t>17.</w:t>
      </w:r>
      <w:r>
        <w:rPr>
          <w:rFonts w:ascii="Arial" w:hAnsi="Arial" w:hint="cs"/>
          <w:rtl/>
        </w:rPr>
        <w:tab/>
        <w:t>לאחר שבחנתי את הענישה בעבירות דומות ובפסיקה שהוצגה בפני על ידי שני הצדים סבורני כי יש להעמיד את מתחם הענישה במקרה זה בין 12 חודשי מאסר ל- 24 חודשי מאסר בפועל, וכן עונשים נלווים של מאסר על תנאי וקנס כספי. הקנס הכספי מוטל נוכח תכליתה הכלכלית של העבירה.</w:t>
      </w:r>
    </w:p>
    <w:p w14:paraId="0CE1A9E5" w14:textId="77777777" w:rsidR="004A19B0" w:rsidRDefault="004A19B0" w:rsidP="004A19B0">
      <w:pPr>
        <w:spacing w:line="360" w:lineRule="auto"/>
        <w:jc w:val="both"/>
        <w:rPr>
          <w:rFonts w:ascii="Arial" w:hAnsi="Arial"/>
          <w:rtl/>
        </w:rPr>
      </w:pPr>
    </w:p>
    <w:p w14:paraId="483F78F4" w14:textId="77777777" w:rsidR="004A19B0" w:rsidRDefault="004A19B0" w:rsidP="004A19B0">
      <w:pPr>
        <w:spacing w:line="360" w:lineRule="auto"/>
        <w:jc w:val="both"/>
        <w:rPr>
          <w:rFonts w:ascii="Arial" w:hAnsi="Arial"/>
          <w:rtl/>
        </w:rPr>
      </w:pPr>
      <w:r>
        <w:rPr>
          <w:rFonts w:ascii="Arial" w:hAnsi="Arial" w:hint="cs"/>
          <w:rtl/>
        </w:rPr>
        <w:t>18.</w:t>
      </w:r>
      <w:r>
        <w:rPr>
          <w:rFonts w:ascii="Arial" w:hAnsi="Arial" w:hint="cs"/>
          <w:rtl/>
        </w:rPr>
        <w:tab/>
        <w:t xml:space="preserve">בהתחשב בנסיבותיו של הנאשם שאינן קשורות בביצוע העבירה סבורני מבלי להקל ראש בחומרת העבירה שביצע, כי יש לקבוע את העונש ברף התחתון של המדרג, היינו: 12 חודשי מאסר בפועל. בכך יינתן ביטוי מחד למהות המעשים ולחומרתם, ומאידך לנתוני הנאשם ונסיבותיו האישיות ועברו הנקי, כך שבסופו של יום תתקבל תוצאה עונשית מידתית. </w:t>
      </w:r>
    </w:p>
    <w:p w14:paraId="460FFC69" w14:textId="77777777" w:rsidR="004A19B0" w:rsidRDefault="004A19B0" w:rsidP="004A19B0">
      <w:pPr>
        <w:spacing w:line="360" w:lineRule="auto"/>
        <w:jc w:val="both"/>
        <w:rPr>
          <w:rFonts w:ascii="Arial" w:hAnsi="Arial"/>
          <w:rtl/>
        </w:rPr>
      </w:pPr>
    </w:p>
    <w:p w14:paraId="6E5324D4" w14:textId="77777777" w:rsidR="004A19B0" w:rsidRDefault="004A19B0" w:rsidP="004A19B0">
      <w:pPr>
        <w:spacing w:line="360" w:lineRule="auto"/>
        <w:jc w:val="both"/>
        <w:rPr>
          <w:rFonts w:ascii="Arial" w:hAnsi="Arial"/>
          <w:rtl/>
        </w:rPr>
      </w:pPr>
      <w:r>
        <w:rPr>
          <w:rFonts w:ascii="Arial" w:hAnsi="Arial" w:hint="cs"/>
          <w:rtl/>
        </w:rPr>
        <w:t>19.</w:t>
      </w:r>
      <w:r>
        <w:rPr>
          <w:rFonts w:ascii="Arial" w:hAnsi="Arial" w:hint="cs"/>
          <w:rtl/>
        </w:rPr>
        <w:tab/>
        <w:t>אשר על כן, ומכל הטעמים שפורטו, הנני מטיל הנאשם את העונשים הבאים:</w:t>
      </w:r>
    </w:p>
    <w:p w14:paraId="06B8CD4F" w14:textId="77777777" w:rsidR="004A19B0" w:rsidRDefault="004A19B0" w:rsidP="004A19B0">
      <w:pPr>
        <w:spacing w:line="360" w:lineRule="auto"/>
        <w:jc w:val="both"/>
        <w:rPr>
          <w:rFonts w:ascii="Arial" w:hAnsi="Arial"/>
          <w:rtl/>
        </w:rPr>
      </w:pPr>
    </w:p>
    <w:p w14:paraId="7AA8FF93" w14:textId="77777777" w:rsidR="004A19B0" w:rsidRDefault="004A19B0" w:rsidP="004A19B0">
      <w:pPr>
        <w:spacing w:line="360" w:lineRule="auto"/>
        <w:jc w:val="both"/>
        <w:rPr>
          <w:rFonts w:ascii="Arial" w:hAnsi="Arial"/>
          <w:rtl/>
        </w:rPr>
      </w:pPr>
      <w:r>
        <w:rPr>
          <w:rFonts w:ascii="Arial" w:hAnsi="Arial"/>
          <w:rtl/>
        </w:rPr>
        <w:tab/>
      </w:r>
      <w:r>
        <w:rPr>
          <w:rFonts w:ascii="Arial" w:hAnsi="Arial" w:hint="cs"/>
          <w:rtl/>
        </w:rPr>
        <w:t>א.</w:t>
      </w:r>
      <w:r>
        <w:rPr>
          <w:rFonts w:ascii="Arial" w:hAnsi="Arial" w:hint="cs"/>
          <w:rtl/>
        </w:rPr>
        <w:tab/>
        <w:t>מאסר בפועל של 12 חודשים בניכוי ימי מעצרו, החל מיום 26.11.19.</w:t>
      </w:r>
    </w:p>
    <w:p w14:paraId="4061AD3A" w14:textId="77777777" w:rsidR="004A19B0" w:rsidRDefault="004A19B0" w:rsidP="004A19B0">
      <w:pPr>
        <w:spacing w:line="360" w:lineRule="auto"/>
        <w:jc w:val="both"/>
        <w:rPr>
          <w:rFonts w:ascii="Arial" w:hAnsi="Arial"/>
          <w:rtl/>
        </w:rPr>
      </w:pPr>
      <w:r>
        <w:rPr>
          <w:rFonts w:ascii="Arial" w:hAnsi="Arial"/>
          <w:rtl/>
        </w:rPr>
        <w:tab/>
      </w:r>
      <w:r>
        <w:rPr>
          <w:rFonts w:ascii="Arial" w:hAnsi="Arial" w:hint="cs"/>
          <w:rtl/>
        </w:rPr>
        <w:t>ב.</w:t>
      </w:r>
      <w:r>
        <w:rPr>
          <w:rFonts w:ascii="Arial" w:hAnsi="Arial" w:hint="cs"/>
          <w:rtl/>
        </w:rPr>
        <w:tab/>
        <w:t xml:space="preserve">12 חודשי מאסר על תנאי, והתנאי הוא שהנאשם לא יעבור תוך תקופה של </w:t>
      </w:r>
      <w:r>
        <w:rPr>
          <w:rFonts w:ascii="Arial" w:hAnsi="Arial"/>
          <w:rtl/>
        </w:rPr>
        <w:tab/>
      </w:r>
      <w:r>
        <w:rPr>
          <w:rFonts w:ascii="Arial" w:hAnsi="Arial"/>
          <w:rtl/>
        </w:rPr>
        <w:tab/>
      </w:r>
      <w:r>
        <w:rPr>
          <w:rFonts w:ascii="Arial" w:hAnsi="Arial" w:hint="cs"/>
          <w:rtl/>
        </w:rPr>
        <w:t>שלוש שנים מהיום, כל עבירה בנשק מסוג פשע ויורשע בגינה.</w:t>
      </w:r>
    </w:p>
    <w:p w14:paraId="7E3F699A" w14:textId="77777777" w:rsidR="004A19B0" w:rsidRDefault="004A19B0" w:rsidP="004A19B0">
      <w:pPr>
        <w:spacing w:line="360" w:lineRule="auto"/>
        <w:jc w:val="both"/>
        <w:rPr>
          <w:rFonts w:ascii="Arial" w:hAnsi="Arial"/>
          <w:rtl/>
        </w:rPr>
      </w:pPr>
      <w:r>
        <w:rPr>
          <w:rFonts w:ascii="Arial" w:hAnsi="Arial"/>
          <w:rtl/>
        </w:rPr>
        <w:tab/>
      </w:r>
      <w:r>
        <w:rPr>
          <w:rFonts w:ascii="Arial" w:hAnsi="Arial" w:hint="cs"/>
          <w:rtl/>
        </w:rPr>
        <w:t>ג.</w:t>
      </w:r>
      <w:r>
        <w:rPr>
          <w:rFonts w:ascii="Arial" w:hAnsi="Arial" w:hint="cs"/>
          <w:rtl/>
        </w:rPr>
        <w:tab/>
        <w:t xml:space="preserve">6 חודשי מאסר על תנאי, והתנאי הוא שהנאשם לא יעבור תוך תקופה של </w:t>
      </w:r>
      <w:r>
        <w:rPr>
          <w:rFonts w:ascii="Arial" w:hAnsi="Arial"/>
          <w:rtl/>
        </w:rPr>
        <w:tab/>
      </w:r>
      <w:r>
        <w:rPr>
          <w:rFonts w:ascii="Arial" w:hAnsi="Arial"/>
          <w:rtl/>
        </w:rPr>
        <w:tab/>
      </w:r>
      <w:r>
        <w:rPr>
          <w:rFonts w:ascii="Arial" w:hAnsi="Arial" w:hint="cs"/>
          <w:rtl/>
        </w:rPr>
        <w:t>שלוש שנים מהיום, כל עבירה בנשק מסוג עוון ויורשע בגינה.</w:t>
      </w:r>
    </w:p>
    <w:p w14:paraId="61C3297C" w14:textId="77777777" w:rsidR="004A19B0" w:rsidRDefault="004A19B0" w:rsidP="004A19B0">
      <w:pPr>
        <w:spacing w:line="360" w:lineRule="auto"/>
        <w:jc w:val="both"/>
        <w:rPr>
          <w:rFonts w:ascii="Arial" w:hAnsi="Arial"/>
          <w:rtl/>
        </w:rPr>
      </w:pPr>
    </w:p>
    <w:p w14:paraId="171B73A9" w14:textId="77777777" w:rsidR="004A19B0" w:rsidRDefault="004A19B0" w:rsidP="004A19B0">
      <w:pPr>
        <w:spacing w:line="360" w:lineRule="auto"/>
        <w:jc w:val="both"/>
        <w:rPr>
          <w:rFonts w:ascii="Arial" w:hAnsi="Arial"/>
          <w:rtl/>
        </w:rPr>
      </w:pPr>
      <w:r>
        <w:rPr>
          <w:rFonts w:ascii="Arial" w:hAnsi="Arial"/>
          <w:rtl/>
        </w:rPr>
        <w:tab/>
      </w:r>
      <w:r>
        <w:rPr>
          <w:rFonts w:ascii="Arial" w:hAnsi="Arial" w:hint="cs"/>
          <w:rtl/>
        </w:rPr>
        <w:t>ד.</w:t>
      </w:r>
      <w:r>
        <w:rPr>
          <w:rFonts w:ascii="Arial" w:hAnsi="Arial" w:hint="cs"/>
          <w:rtl/>
        </w:rPr>
        <w:tab/>
        <w:t xml:space="preserve">אני מחייב את הנאשם בתשלום קנס בסך 2,000 ₪ או עשרים ימי מאסר </w:t>
      </w:r>
      <w:r>
        <w:rPr>
          <w:rFonts w:ascii="Arial" w:hAnsi="Arial"/>
          <w:rtl/>
        </w:rPr>
        <w:tab/>
      </w:r>
      <w:r>
        <w:rPr>
          <w:rFonts w:ascii="Arial" w:hAnsi="Arial"/>
          <w:rtl/>
        </w:rPr>
        <w:tab/>
      </w:r>
      <w:r>
        <w:rPr>
          <w:rFonts w:ascii="Arial" w:hAnsi="Arial"/>
          <w:rtl/>
        </w:rPr>
        <w:tab/>
      </w:r>
      <w:r>
        <w:rPr>
          <w:rFonts w:ascii="Arial" w:hAnsi="Arial" w:hint="cs"/>
          <w:rtl/>
        </w:rPr>
        <w:t xml:space="preserve">תמורתו. הקנס ישולם בתוך 30 יום ממועד סיום ריצוי עונש המאסר. אי עמידה </w:t>
      </w:r>
      <w:r>
        <w:rPr>
          <w:rFonts w:ascii="Arial" w:hAnsi="Arial"/>
          <w:rtl/>
        </w:rPr>
        <w:tab/>
      </w:r>
      <w:r>
        <w:rPr>
          <w:rFonts w:ascii="Arial" w:hAnsi="Arial"/>
          <w:rtl/>
        </w:rPr>
        <w:tab/>
      </w:r>
      <w:r>
        <w:rPr>
          <w:rFonts w:ascii="Arial" w:hAnsi="Arial"/>
          <w:rtl/>
        </w:rPr>
        <w:tab/>
      </w:r>
      <w:r>
        <w:rPr>
          <w:rFonts w:ascii="Arial" w:hAnsi="Arial" w:hint="cs"/>
          <w:rtl/>
        </w:rPr>
        <w:t>בתשלום במועד תגרור תוספת פיגורים כדין.</w:t>
      </w:r>
    </w:p>
    <w:p w14:paraId="1330C64E" w14:textId="77777777" w:rsidR="004A19B0" w:rsidRDefault="004A19B0" w:rsidP="004A19B0">
      <w:pPr>
        <w:spacing w:line="360" w:lineRule="auto"/>
        <w:jc w:val="both"/>
        <w:rPr>
          <w:rFonts w:ascii="Arial" w:hAnsi="Arial"/>
          <w:rtl/>
        </w:rPr>
      </w:pPr>
    </w:p>
    <w:p w14:paraId="513462BF" w14:textId="77777777" w:rsidR="004A19B0" w:rsidRDefault="004A19B0" w:rsidP="004A19B0">
      <w:pPr>
        <w:spacing w:line="360" w:lineRule="auto"/>
        <w:jc w:val="both"/>
        <w:rPr>
          <w:rFonts w:ascii="Arial" w:hAnsi="Arial"/>
          <w:rtl/>
        </w:rPr>
      </w:pPr>
      <w:r>
        <w:rPr>
          <w:rFonts w:ascii="Arial" w:hAnsi="Arial" w:hint="cs"/>
          <w:rtl/>
        </w:rPr>
        <w:t>הודעה זכות ערעור לבית המשפט העליון תוך ארבעים וחמישה יום.</w:t>
      </w:r>
    </w:p>
    <w:p w14:paraId="61BD0D01" w14:textId="77777777" w:rsidR="004A19B0" w:rsidRPr="002666B0" w:rsidRDefault="002666B0" w:rsidP="004A19B0">
      <w:pPr>
        <w:spacing w:line="360" w:lineRule="auto"/>
        <w:jc w:val="both"/>
        <w:rPr>
          <w:rFonts w:ascii="Arial" w:hAnsi="Arial"/>
          <w:color w:val="FFFFFF"/>
          <w:sz w:val="2"/>
          <w:szCs w:val="2"/>
          <w:rtl/>
        </w:rPr>
      </w:pPr>
      <w:r w:rsidRPr="002666B0">
        <w:rPr>
          <w:rFonts w:ascii="Arial" w:hAnsi="Arial"/>
          <w:color w:val="FFFFFF"/>
          <w:sz w:val="2"/>
          <w:szCs w:val="2"/>
          <w:rtl/>
        </w:rPr>
        <w:t>5129371</w:t>
      </w:r>
    </w:p>
    <w:p w14:paraId="2CA8D47A" w14:textId="77777777" w:rsidR="004A19B0" w:rsidRDefault="002666B0" w:rsidP="004A19B0">
      <w:pPr>
        <w:spacing w:line="360" w:lineRule="auto"/>
        <w:rPr>
          <w:rFonts w:cs="FrankRuehl"/>
          <w:sz w:val="28"/>
          <w:szCs w:val="28"/>
          <w:rtl/>
        </w:rPr>
      </w:pPr>
      <w:bookmarkStart w:id="7" w:name="Nitan"/>
      <w:r w:rsidRPr="002666B0">
        <w:rPr>
          <w:rFonts w:ascii="Arial" w:hAnsi="Arial"/>
          <w:color w:val="FFFFFF"/>
          <w:sz w:val="2"/>
          <w:szCs w:val="2"/>
          <w:rtl/>
        </w:rPr>
        <w:t>54678313</w:t>
      </w:r>
      <w:r>
        <w:rPr>
          <w:rFonts w:ascii="Arial" w:hAnsi="Arial"/>
          <w:rtl/>
        </w:rPr>
        <w:t xml:space="preserve">ניתן היום,  ו' אב תש"פ, 27 יולי 2020, בהעדר הצדדים. </w:t>
      </w:r>
      <w:bookmarkEnd w:id="7"/>
    </w:p>
    <w:p w14:paraId="63EC227C" w14:textId="77777777" w:rsidR="004A19B0" w:rsidRDefault="004A19B0" w:rsidP="002666B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4F3EAE7" w14:textId="77777777" w:rsidR="004A19B0" w:rsidRDefault="004A19B0" w:rsidP="004A19B0">
      <w:pPr>
        <w:jc w:val="center"/>
        <w:rPr>
          <w:rFonts w:ascii="Arial" w:hAnsi="Arial" w:cs="FrankRuehl"/>
          <w:sz w:val="28"/>
          <w:szCs w:val="28"/>
          <w:rtl/>
        </w:rPr>
      </w:pPr>
    </w:p>
    <w:p w14:paraId="4C87836C" w14:textId="77777777" w:rsidR="004A19B0" w:rsidRDefault="004A19B0" w:rsidP="004A19B0">
      <w:pPr>
        <w:rPr>
          <w:rFonts w:cs="FrankRuehl"/>
          <w:sz w:val="28"/>
          <w:szCs w:val="28"/>
          <w:rtl/>
        </w:rPr>
      </w:pPr>
    </w:p>
    <w:p w14:paraId="05C9A878" w14:textId="77777777" w:rsidR="004A19B0" w:rsidRPr="007214F0" w:rsidRDefault="007214F0" w:rsidP="004A19B0">
      <w:pPr>
        <w:pStyle w:val="a3"/>
        <w:jc w:val="center"/>
        <w:rPr>
          <w:color w:val="FFFFFF"/>
          <w:sz w:val="2"/>
          <w:szCs w:val="2"/>
          <w:rtl/>
        </w:rPr>
      </w:pPr>
      <w:r w:rsidRPr="007214F0">
        <w:rPr>
          <w:color w:val="FFFFFF"/>
          <w:sz w:val="2"/>
          <w:szCs w:val="2"/>
          <w:rtl/>
        </w:rPr>
        <w:t>5129371</w:t>
      </w:r>
    </w:p>
    <w:p w14:paraId="2450BC17" w14:textId="77777777" w:rsidR="00A8603C" w:rsidRPr="007214F0" w:rsidRDefault="007214F0" w:rsidP="002666B0">
      <w:pPr>
        <w:keepNext/>
        <w:rPr>
          <w:rFonts w:ascii="David" w:hAnsi="David"/>
          <w:color w:val="FFFFFF"/>
          <w:sz w:val="2"/>
          <w:szCs w:val="2"/>
          <w:rtl/>
        </w:rPr>
      </w:pPr>
      <w:r w:rsidRPr="007214F0">
        <w:rPr>
          <w:rFonts w:ascii="David" w:hAnsi="David"/>
          <w:color w:val="FFFFFF"/>
          <w:sz w:val="2"/>
          <w:szCs w:val="2"/>
          <w:rtl/>
        </w:rPr>
        <w:t>54678313</w:t>
      </w:r>
    </w:p>
    <w:p w14:paraId="484C968C" w14:textId="77777777" w:rsidR="002666B0" w:rsidRDefault="002666B0" w:rsidP="002666B0">
      <w:pPr>
        <w:rPr>
          <w:rtl/>
        </w:rPr>
      </w:pPr>
    </w:p>
    <w:p w14:paraId="3D384AAE" w14:textId="77777777" w:rsidR="002666B0" w:rsidRDefault="002666B0" w:rsidP="002666B0">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3395DC8A" w14:textId="77777777" w:rsidR="007214F0" w:rsidRPr="007214F0" w:rsidRDefault="007214F0" w:rsidP="007214F0">
      <w:pPr>
        <w:keepNext/>
        <w:rPr>
          <w:rFonts w:ascii="David" w:hAnsi="David"/>
          <w:color w:val="000000"/>
          <w:sz w:val="22"/>
          <w:szCs w:val="22"/>
          <w:rtl/>
        </w:rPr>
      </w:pPr>
    </w:p>
    <w:p w14:paraId="173A601E" w14:textId="77777777" w:rsidR="007214F0" w:rsidRPr="007214F0" w:rsidRDefault="007214F0" w:rsidP="007214F0">
      <w:pPr>
        <w:keepNext/>
        <w:rPr>
          <w:rFonts w:ascii="David" w:hAnsi="David"/>
          <w:color w:val="000000"/>
          <w:sz w:val="22"/>
          <w:szCs w:val="22"/>
          <w:rtl/>
        </w:rPr>
      </w:pPr>
      <w:r w:rsidRPr="007214F0">
        <w:rPr>
          <w:rFonts w:ascii="David" w:hAnsi="David"/>
          <w:color w:val="000000"/>
          <w:sz w:val="22"/>
          <w:szCs w:val="22"/>
          <w:rtl/>
        </w:rPr>
        <w:t>סארי ג'יוסי 54678313-/</w:t>
      </w:r>
    </w:p>
    <w:p w14:paraId="35862B67" w14:textId="77777777" w:rsidR="002666B0" w:rsidRPr="002666B0" w:rsidRDefault="007214F0" w:rsidP="007214F0">
      <w:pPr>
        <w:rPr>
          <w:color w:val="0000FF"/>
          <w:u w:val="single"/>
        </w:rPr>
      </w:pPr>
      <w:r w:rsidRPr="007214F0">
        <w:rPr>
          <w:color w:val="000000"/>
          <w:u w:val="single"/>
          <w:rtl/>
        </w:rPr>
        <w:t>נוסח מסמך זה כפוף לשינויי ניסוח ועריכה</w:t>
      </w:r>
    </w:p>
    <w:sectPr w:rsidR="002666B0" w:rsidRPr="002666B0" w:rsidSect="007214F0">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17D769" w14:textId="77777777" w:rsidR="00252905" w:rsidRDefault="00252905" w:rsidP="00B63B41">
      <w:r>
        <w:separator/>
      </w:r>
    </w:p>
  </w:endnote>
  <w:endnote w:type="continuationSeparator" w:id="0">
    <w:p w14:paraId="4BD76641" w14:textId="77777777" w:rsidR="00252905" w:rsidRDefault="00252905" w:rsidP="00B63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E53C8" w14:textId="77777777" w:rsidR="007214F0" w:rsidRDefault="007214F0" w:rsidP="007214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9A0CF50" w14:textId="77777777" w:rsidR="00BB6642" w:rsidRPr="007214F0" w:rsidRDefault="007214F0" w:rsidP="007214F0">
    <w:pPr>
      <w:pStyle w:val="a5"/>
      <w:pBdr>
        <w:top w:val="single" w:sz="4" w:space="1" w:color="auto"/>
        <w:between w:val="single" w:sz="4" w:space="0" w:color="auto"/>
      </w:pBdr>
      <w:spacing w:after="60"/>
      <w:jc w:val="center"/>
      <w:rPr>
        <w:rFonts w:ascii="FrankRuehl" w:hAnsi="FrankRuehl" w:cs="FrankRuehl"/>
        <w:color w:val="000000"/>
      </w:rPr>
    </w:pPr>
    <w:r w:rsidRPr="007214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15424" w14:textId="77777777" w:rsidR="007214F0" w:rsidRDefault="007214F0" w:rsidP="007214F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C0E01">
      <w:rPr>
        <w:rFonts w:ascii="FrankRuehl" w:hAnsi="FrankRuehl" w:cs="FrankRuehl"/>
        <w:noProof/>
        <w:rtl/>
      </w:rPr>
      <w:t>1</w:t>
    </w:r>
    <w:r>
      <w:rPr>
        <w:rFonts w:ascii="FrankRuehl" w:hAnsi="FrankRuehl" w:cs="FrankRuehl"/>
        <w:rtl/>
      </w:rPr>
      <w:fldChar w:fldCharType="end"/>
    </w:r>
  </w:p>
  <w:p w14:paraId="4015F0EC" w14:textId="77777777" w:rsidR="00BB6642" w:rsidRPr="007214F0" w:rsidRDefault="007214F0" w:rsidP="007214F0">
    <w:pPr>
      <w:pStyle w:val="a5"/>
      <w:pBdr>
        <w:top w:val="single" w:sz="4" w:space="1" w:color="auto"/>
        <w:between w:val="single" w:sz="4" w:space="0" w:color="auto"/>
      </w:pBdr>
      <w:spacing w:after="60"/>
      <w:jc w:val="center"/>
      <w:rPr>
        <w:rFonts w:ascii="FrankRuehl" w:hAnsi="FrankRuehl" w:cs="FrankRuehl"/>
        <w:color w:val="000000"/>
      </w:rPr>
    </w:pPr>
    <w:r w:rsidRPr="007214F0">
      <w:rPr>
        <w:rFonts w:ascii="FrankRuehl" w:hAnsi="FrankRuehl" w:cs="FrankRuehl"/>
        <w:color w:val="000000"/>
      </w:rPr>
      <w:pict w14:anchorId="19E16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801BB" w14:textId="77777777" w:rsidR="00252905" w:rsidRDefault="00252905" w:rsidP="00B63B41">
      <w:r>
        <w:separator/>
      </w:r>
    </w:p>
  </w:footnote>
  <w:footnote w:type="continuationSeparator" w:id="0">
    <w:p w14:paraId="6609CC30" w14:textId="77777777" w:rsidR="00252905" w:rsidRDefault="00252905" w:rsidP="00B63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62B13" w14:textId="77777777" w:rsidR="002666B0" w:rsidRPr="007214F0" w:rsidRDefault="007214F0" w:rsidP="007214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23648-12-19</w:t>
    </w:r>
    <w:r>
      <w:rPr>
        <w:rFonts w:ascii="David" w:hAnsi="David"/>
        <w:color w:val="000000"/>
        <w:sz w:val="22"/>
        <w:szCs w:val="22"/>
        <w:rtl/>
      </w:rPr>
      <w:tab/>
      <w:t xml:space="preserve"> מדינת ישראל נ' סעדו ג'רבאן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36F38" w14:textId="77777777" w:rsidR="002666B0" w:rsidRPr="007214F0" w:rsidRDefault="007214F0" w:rsidP="007214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23648-12-19</w:t>
    </w:r>
    <w:r>
      <w:rPr>
        <w:rFonts w:ascii="David" w:hAnsi="David"/>
        <w:color w:val="000000"/>
        <w:sz w:val="22"/>
        <w:szCs w:val="22"/>
        <w:rtl/>
      </w:rPr>
      <w:tab/>
      <w:t xml:space="preserve"> מדינת ישראל נ' סעדו ג'רבאן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19B0"/>
    <w:rsid w:val="00252905"/>
    <w:rsid w:val="002666B0"/>
    <w:rsid w:val="004A19B0"/>
    <w:rsid w:val="007214F0"/>
    <w:rsid w:val="007A0D2F"/>
    <w:rsid w:val="00A8603C"/>
    <w:rsid w:val="00B63B41"/>
    <w:rsid w:val="00BB6642"/>
    <w:rsid w:val="00C501AB"/>
    <w:rsid w:val="00D93063"/>
    <w:rsid w:val="00FC0E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454C7C"/>
  <w15:chartTrackingRefBased/>
  <w15:docId w15:val="{E28C86A6-7F17-447F-BDDC-0513610BA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19B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19B0"/>
    <w:pPr>
      <w:tabs>
        <w:tab w:val="center" w:pos="4153"/>
        <w:tab w:val="right" w:pos="8306"/>
      </w:tabs>
    </w:pPr>
  </w:style>
  <w:style w:type="character" w:customStyle="1" w:styleId="a4">
    <w:name w:val="כותרת עליונה תו"/>
    <w:link w:val="a3"/>
    <w:rsid w:val="004A19B0"/>
    <w:rPr>
      <w:rFonts w:ascii="Times New Roman" w:eastAsia="Times New Roman" w:hAnsi="Times New Roman" w:cs="David"/>
      <w:sz w:val="24"/>
      <w:szCs w:val="24"/>
    </w:rPr>
  </w:style>
  <w:style w:type="paragraph" w:styleId="a5">
    <w:name w:val="footer"/>
    <w:basedOn w:val="a"/>
    <w:link w:val="a6"/>
    <w:rsid w:val="004A19B0"/>
    <w:pPr>
      <w:tabs>
        <w:tab w:val="center" w:pos="4153"/>
        <w:tab w:val="right" w:pos="8306"/>
      </w:tabs>
    </w:pPr>
  </w:style>
  <w:style w:type="character" w:customStyle="1" w:styleId="a6">
    <w:name w:val="כותרת תחתונה תו"/>
    <w:link w:val="a5"/>
    <w:rsid w:val="004A19B0"/>
    <w:rPr>
      <w:rFonts w:ascii="Times New Roman" w:eastAsia="Times New Roman" w:hAnsi="Times New Roman" w:cs="David"/>
      <w:sz w:val="24"/>
      <w:szCs w:val="24"/>
    </w:rPr>
  </w:style>
  <w:style w:type="table" w:styleId="a7">
    <w:name w:val="Table Grid"/>
    <w:basedOn w:val="a1"/>
    <w:rsid w:val="004A19B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19B0"/>
  </w:style>
  <w:style w:type="character" w:customStyle="1" w:styleId="TimesNewRomanTimesNewRoman">
    <w:name w:val="סגנון (לטיני) Times New Roman (עברית ושפות אחרות) Times New Roman..."/>
    <w:rsid w:val="004A19B0"/>
    <w:rPr>
      <w:rFonts w:ascii="Times New Roman" w:hAnsi="Times New Roman" w:cs="David" w:hint="default"/>
      <w:b/>
      <w:bCs/>
      <w:sz w:val="26"/>
      <w:szCs w:val="26"/>
    </w:rPr>
  </w:style>
  <w:style w:type="character" w:styleId="a9">
    <w:name w:val="line number"/>
    <w:rsid w:val="004A19B0"/>
  </w:style>
  <w:style w:type="character" w:styleId="Hyperlink">
    <w:name w:val="Hyperlink"/>
    <w:rsid w:val="002666B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144" TargetMode="External"/><Relationship Id="rId26" Type="http://schemas.openxmlformats.org/officeDocument/2006/relationships/hyperlink" Target="http://www.nevo.co.il/case/7791493" TargetMode="External"/><Relationship Id="rId39" Type="http://schemas.openxmlformats.org/officeDocument/2006/relationships/footer" Target="footer2.xml"/><Relationship Id="rId21" Type="http://schemas.openxmlformats.org/officeDocument/2006/relationships/hyperlink" Target="http://www.nevo.co.il/law/70301/499.a.1" TargetMode="External"/><Relationship Id="rId34" Type="http://schemas.openxmlformats.org/officeDocument/2006/relationships/hyperlink" Target="http://www.nevo.co.il/case/21688764"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case/6244124" TargetMode="External"/><Relationship Id="rId20" Type="http://schemas.openxmlformats.org/officeDocument/2006/relationships/hyperlink" Target="http://www.nevo.co.il/case/7791493" TargetMode="External"/><Relationship Id="rId29" Type="http://schemas.openxmlformats.org/officeDocument/2006/relationships/hyperlink" Target="http://www.nevo.co.il/case/7791493"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case/2052350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779149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5824863" TargetMode="External"/><Relationship Id="rId36"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case/23750625" TargetMode="External"/><Relationship Id="rId30" Type="http://schemas.openxmlformats.org/officeDocument/2006/relationships/hyperlink" Target="http://www.nevo.co.il/law/70301/34d"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34d"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21771409"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403621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2446</Words>
  <Characters>12235</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14652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3801210</vt:i4>
      </vt:variant>
      <vt:variant>
        <vt:i4>84</vt:i4>
      </vt:variant>
      <vt:variant>
        <vt:i4>0</vt:i4>
      </vt:variant>
      <vt:variant>
        <vt:i4>5</vt:i4>
      </vt:variant>
      <vt:variant>
        <vt:lpwstr>http://www.nevo.co.il/case/21688764</vt:lpwstr>
      </vt:variant>
      <vt:variant>
        <vt:lpwstr/>
      </vt:variant>
      <vt:variant>
        <vt:i4>3211379</vt:i4>
      </vt:variant>
      <vt:variant>
        <vt:i4>81</vt:i4>
      </vt:variant>
      <vt:variant>
        <vt:i4>0</vt:i4>
      </vt:variant>
      <vt:variant>
        <vt:i4>5</vt:i4>
      </vt:variant>
      <vt:variant>
        <vt:lpwstr>http://www.nevo.co.il/case/4036214</vt:lpwstr>
      </vt:variant>
      <vt:variant>
        <vt:lpwstr/>
      </vt:variant>
      <vt:variant>
        <vt:i4>3407987</vt:i4>
      </vt:variant>
      <vt:variant>
        <vt:i4>78</vt:i4>
      </vt:variant>
      <vt:variant>
        <vt:i4>0</vt:i4>
      </vt:variant>
      <vt:variant>
        <vt:i4>5</vt:i4>
      </vt:variant>
      <vt:variant>
        <vt:lpwstr>http://www.nevo.co.il/case/20523508</vt:lpwstr>
      </vt:variant>
      <vt:variant>
        <vt:lpwstr/>
      </vt:variant>
      <vt:variant>
        <vt:i4>7995492</vt:i4>
      </vt:variant>
      <vt:variant>
        <vt:i4>75</vt:i4>
      </vt:variant>
      <vt:variant>
        <vt:i4>0</vt:i4>
      </vt:variant>
      <vt:variant>
        <vt:i4>5</vt:i4>
      </vt:variant>
      <vt:variant>
        <vt:lpwstr>http://www.nevo.co.il/law/70301</vt:lpwstr>
      </vt:variant>
      <vt:variant>
        <vt:lpwstr/>
      </vt:variant>
      <vt:variant>
        <vt:i4>6357094</vt:i4>
      </vt:variant>
      <vt:variant>
        <vt:i4>72</vt:i4>
      </vt:variant>
      <vt:variant>
        <vt:i4>0</vt:i4>
      </vt:variant>
      <vt:variant>
        <vt:i4>5</vt:i4>
      </vt:variant>
      <vt:variant>
        <vt:lpwstr>http://www.nevo.co.il/law/70301/34d</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3604596</vt:i4>
      </vt:variant>
      <vt:variant>
        <vt:i4>63</vt:i4>
      </vt:variant>
      <vt:variant>
        <vt:i4>0</vt:i4>
      </vt:variant>
      <vt:variant>
        <vt:i4>5</vt:i4>
      </vt:variant>
      <vt:variant>
        <vt:lpwstr>http://www.nevo.co.il/case/23750625</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3407990</vt:i4>
      </vt:variant>
      <vt:variant>
        <vt:i4>33</vt:i4>
      </vt:variant>
      <vt:variant>
        <vt:i4>0</vt:i4>
      </vt:variant>
      <vt:variant>
        <vt:i4>5</vt:i4>
      </vt:variant>
      <vt:variant>
        <vt:lpwstr>http://www.nevo.co.il/case/21771409</vt:lpwstr>
      </vt:variant>
      <vt:variant>
        <vt:lpwstr/>
      </vt:variant>
      <vt:variant>
        <vt:i4>3604592</vt:i4>
      </vt:variant>
      <vt:variant>
        <vt:i4>30</vt:i4>
      </vt:variant>
      <vt:variant>
        <vt:i4>0</vt:i4>
      </vt:variant>
      <vt:variant>
        <vt:i4>5</vt:i4>
      </vt:variant>
      <vt:variant>
        <vt:lpwstr>http://www.nevo.co.il/case/6244124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7995492</vt:i4>
      </vt:variant>
      <vt:variant>
        <vt:i4>24</vt:i4>
      </vt:variant>
      <vt:variant>
        <vt:i4>0</vt:i4>
      </vt:variant>
      <vt:variant>
        <vt:i4>5</vt:i4>
      </vt:variant>
      <vt:variant>
        <vt:lpwstr>http://www.nevo.co.il/law/70301</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7077945</vt:i4>
      </vt:variant>
      <vt:variant>
        <vt:i4>15</vt:i4>
      </vt:variant>
      <vt:variant>
        <vt:i4>0</vt:i4>
      </vt:variant>
      <vt:variant>
        <vt:i4>5</vt:i4>
      </vt:variant>
      <vt:variant>
        <vt:lpwstr>http://www.nevo.co.il/law/70301/499.a.1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6357094</vt:i4>
      </vt:variant>
      <vt:variant>
        <vt:i4>6</vt:i4>
      </vt:variant>
      <vt:variant>
        <vt:i4>0</vt:i4>
      </vt:variant>
      <vt:variant>
        <vt:i4>5</vt:i4>
      </vt:variant>
      <vt:variant>
        <vt:lpwstr>http://www.nevo.co.il/law/70301/34d</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23648</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סעדו ג'רבאן;אנס זאיט</vt:lpwstr>
  </property>
  <property fmtid="{D5CDD505-2E9C-101B-9397-08002B2CF9AE}" pid="10" name="LAWYER">
    <vt:lpwstr>נג'וא סלימאן;מיכל קורן;מירב חורי;מיכאל יפרח</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20200727</vt:lpwstr>
  </property>
  <property fmtid="{D5CDD505-2E9C-101B-9397-08002B2CF9AE}" pid="14" name="TYPE_N_DATE">
    <vt:lpwstr>39020200727</vt:lpwstr>
  </property>
  <property fmtid="{D5CDD505-2E9C-101B-9397-08002B2CF9AE}" pid="15" name="CASESLISTTMP1">
    <vt:lpwstr>7791493:4;6244124;21771409;23750625;25824863;20523508;4036214;21688764</vt:lpwstr>
  </property>
  <property fmtid="{D5CDD505-2E9C-101B-9397-08002B2CF9AE}" pid="16" name="CASENOTES1">
    <vt:lpwstr>ProcID=133;209&amp;PartA=1332&amp;PartC=04</vt:lpwstr>
  </property>
  <property fmtid="{D5CDD505-2E9C-101B-9397-08002B2CF9AE}" pid="17" name="CASENOTES2">
    <vt:lpwstr>ProcID=209&amp;PartA=15129&amp;PartB=07&amp;PartC=16</vt:lpwstr>
  </property>
  <property fmtid="{D5CDD505-2E9C-101B-9397-08002B2CF9AE}" pid="18" name="WORDNUMPAGES">
    <vt:lpwstr>8</vt:lpwstr>
  </property>
  <property fmtid="{D5CDD505-2E9C-101B-9397-08002B2CF9AE}" pid="19" name="TYPE_ABS_DATE">
    <vt:lpwstr>390020200727</vt:lpwstr>
  </property>
  <property fmtid="{D5CDD505-2E9C-101B-9397-08002B2CF9AE}" pid="20" name="LAWLISTTMP1">
    <vt:lpwstr>70301/144.a:3;025;144;499.a.1;034d</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ies>
</file>