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5563F" w:rsidRPr="00AF7F66" w14:paraId="38069267" w14:textId="77777777" w:rsidTr="003B7570">
        <w:trPr>
          <w:trHeight w:hRule="exact" w:val="418"/>
          <w:jc w:val="center"/>
        </w:trPr>
        <w:tc>
          <w:tcPr>
            <w:tcW w:w="8721" w:type="dxa"/>
            <w:gridSpan w:val="2"/>
          </w:tcPr>
          <w:p w14:paraId="118BB760" w14:textId="77777777" w:rsidR="00D5563F" w:rsidRPr="00AF7F66" w:rsidRDefault="00D5563F" w:rsidP="00904DB4">
            <w:pPr>
              <w:pStyle w:val="a3"/>
              <w:jc w:val="center"/>
              <w:rPr>
                <w:rFonts w:ascii="Tahoma" w:hAnsi="Tahoma" w:cs="Tahoma"/>
                <w:color w:val="000080"/>
                <w:rtl/>
              </w:rPr>
            </w:pPr>
            <w:r w:rsidRPr="00AF7F66">
              <w:rPr>
                <w:rFonts w:ascii="Tahoma" w:hAnsi="Tahoma" w:cs="Tahoma"/>
                <w:b/>
                <w:bCs/>
                <w:color w:val="000080"/>
                <w:rtl/>
              </w:rPr>
              <w:t>בית המשפט המחוזי בחיפה</w:t>
            </w:r>
          </w:p>
        </w:tc>
      </w:tr>
      <w:tr w:rsidR="00D5563F" w:rsidRPr="000F52ED" w14:paraId="273AD636" w14:textId="77777777" w:rsidTr="003B7570">
        <w:trPr>
          <w:trHeight w:val="337"/>
          <w:jc w:val="center"/>
        </w:trPr>
        <w:tc>
          <w:tcPr>
            <w:tcW w:w="5060" w:type="dxa"/>
          </w:tcPr>
          <w:p w14:paraId="6F2B398E" w14:textId="77777777" w:rsidR="00D5563F" w:rsidRPr="000F52ED" w:rsidRDefault="00D5563F" w:rsidP="000F52ED">
            <w:pPr>
              <w:spacing w:before="120" w:after="120" w:line="240" w:lineRule="exact"/>
              <w:rPr>
                <w:rFonts w:ascii="David" w:hAnsi="David"/>
                <w:sz w:val="26"/>
                <w:szCs w:val="26"/>
                <w:rtl/>
              </w:rPr>
            </w:pPr>
            <w:r w:rsidRPr="000F52ED">
              <w:rPr>
                <w:rFonts w:ascii="David" w:hAnsi="David"/>
                <w:sz w:val="26"/>
                <w:szCs w:val="26"/>
                <w:rtl/>
              </w:rPr>
              <w:t>תפ"ח 48783-12-19 מדינת ישראל נ' ח'לאילי(עציר)</w:t>
            </w:r>
          </w:p>
          <w:p w14:paraId="684BE901" w14:textId="77777777" w:rsidR="00D5563F" w:rsidRPr="000F52ED" w:rsidRDefault="00D5563F" w:rsidP="000F52ED">
            <w:pPr>
              <w:pStyle w:val="a3"/>
              <w:spacing w:before="120" w:after="120" w:line="240" w:lineRule="exact"/>
              <w:rPr>
                <w:rFonts w:ascii="David" w:hAnsi="David"/>
                <w:sz w:val="26"/>
                <w:szCs w:val="26"/>
                <w:rtl/>
              </w:rPr>
            </w:pPr>
          </w:p>
        </w:tc>
        <w:tc>
          <w:tcPr>
            <w:tcW w:w="3661" w:type="dxa"/>
          </w:tcPr>
          <w:p w14:paraId="4336C546" w14:textId="77777777" w:rsidR="00D5563F" w:rsidRPr="000F52ED" w:rsidRDefault="00D5563F" w:rsidP="000F52ED">
            <w:pPr>
              <w:pStyle w:val="a3"/>
              <w:spacing w:before="120" w:after="120" w:line="240" w:lineRule="exact"/>
              <w:jc w:val="right"/>
              <w:rPr>
                <w:rFonts w:ascii="David" w:hAnsi="David"/>
                <w:sz w:val="26"/>
                <w:szCs w:val="26"/>
                <w:rtl/>
              </w:rPr>
            </w:pPr>
          </w:p>
        </w:tc>
      </w:tr>
    </w:tbl>
    <w:p w14:paraId="1738AFE9" w14:textId="77777777" w:rsidR="00D5563F" w:rsidRPr="000F52ED" w:rsidRDefault="00D5563F" w:rsidP="00E60AA8">
      <w:pPr>
        <w:pStyle w:val="a3"/>
        <w:spacing w:before="120" w:after="120" w:line="240" w:lineRule="exact"/>
        <w:rPr>
          <w:rFonts w:ascii="David" w:hAnsi="David"/>
          <w:sz w:val="26"/>
          <w:szCs w:val="26"/>
          <w:rtl/>
        </w:rPr>
      </w:pPr>
      <w:r w:rsidRPr="000F52ED">
        <w:rPr>
          <w:rtl/>
        </w:rPr>
        <w:t xml:space="preserve"> </w:t>
      </w:r>
    </w:p>
    <w:tbl>
      <w:tblPr>
        <w:bidiVisual/>
        <w:tblW w:w="9018" w:type="dxa"/>
        <w:tblInd w:w="-28" w:type="dxa"/>
        <w:tblLook w:val="01E0" w:firstRow="1" w:lastRow="1" w:firstColumn="1" w:lastColumn="1" w:noHBand="0" w:noVBand="0"/>
      </w:tblPr>
      <w:tblGrid>
        <w:gridCol w:w="2401"/>
        <w:gridCol w:w="6617"/>
      </w:tblGrid>
      <w:tr w:rsidR="00D5563F" w:rsidRPr="000F52ED" w14:paraId="31D12C15" w14:textId="77777777" w:rsidTr="00D5563F">
        <w:tc>
          <w:tcPr>
            <w:tcW w:w="9018" w:type="dxa"/>
            <w:gridSpan w:val="2"/>
            <w:shd w:val="clear" w:color="auto" w:fill="auto"/>
          </w:tcPr>
          <w:p w14:paraId="74C12C66" w14:textId="77777777" w:rsidR="00D5563F" w:rsidRPr="000F52ED" w:rsidRDefault="00D5563F" w:rsidP="000F52ED">
            <w:pPr>
              <w:spacing w:before="120" w:after="120" w:line="240" w:lineRule="exact"/>
              <w:rPr>
                <w:rFonts w:ascii="David" w:hAnsi="David" w:hint="cs"/>
                <w:b/>
                <w:bCs/>
                <w:sz w:val="26"/>
                <w:szCs w:val="26"/>
              </w:rPr>
            </w:pPr>
            <w:bookmarkStart w:id="0" w:name="FirstAppellant"/>
            <w:r w:rsidRPr="000F52ED">
              <w:rPr>
                <w:rFonts w:ascii="David" w:hAnsi="David"/>
                <w:b/>
                <w:bCs/>
                <w:sz w:val="26"/>
                <w:szCs w:val="26"/>
                <w:rtl/>
              </w:rPr>
              <w:t>לפני הרכב כבוד השופטים:</w:t>
            </w:r>
            <w:r w:rsidRPr="000F52ED">
              <w:rPr>
                <w:rFonts w:ascii="David" w:hAnsi="David"/>
                <w:b/>
                <w:bCs/>
                <w:sz w:val="26"/>
                <w:szCs w:val="26"/>
                <w:rtl/>
              </w:rPr>
              <w:br/>
              <w:t>יחיאל ליפשיץ, [אב"ד]</w:t>
            </w:r>
            <w:r w:rsidRPr="000F52ED">
              <w:rPr>
                <w:rFonts w:ascii="David" w:hAnsi="David"/>
                <w:b/>
                <w:bCs/>
                <w:sz w:val="26"/>
                <w:szCs w:val="26"/>
                <w:rtl/>
              </w:rPr>
              <w:br/>
              <w:t xml:space="preserve">גלית ציגלר, </w:t>
            </w:r>
            <w:r w:rsidRPr="000F52ED">
              <w:rPr>
                <w:rFonts w:ascii="David" w:hAnsi="David"/>
                <w:b/>
                <w:bCs/>
                <w:sz w:val="26"/>
                <w:szCs w:val="26"/>
                <w:rtl/>
              </w:rPr>
              <w:br/>
              <w:t>שמואל מנדלבום</w:t>
            </w:r>
            <w:r w:rsidRPr="000F52ED">
              <w:rPr>
                <w:rStyle w:val="TimesNewRomanTimesNewRoman"/>
                <w:rFonts w:ascii="David" w:hAnsi="David"/>
                <w:rtl/>
              </w:rPr>
              <w:t xml:space="preserve"> </w:t>
            </w:r>
            <w:bookmarkEnd w:id="0"/>
          </w:p>
        </w:tc>
      </w:tr>
      <w:tr w:rsidR="000F52ED" w:rsidRPr="000F52ED" w14:paraId="14E24BA7" w14:textId="77777777" w:rsidTr="000F52ED">
        <w:tc>
          <w:tcPr>
            <w:tcW w:w="2401" w:type="dxa"/>
            <w:shd w:val="clear" w:color="auto" w:fill="auto"/>
          </w:tcPr>
          <w:p w14:paraId="4094F22D" w14:textId="77777777" w:rsidR="000F52ED" w:rsidRPr="000F52ED" w:rsidRDefault="000F52ED" w:rsidP="000F52ED">
            <w:pPr>
              <w:spacing w:before="120" w:after="120" w:line="240" w:lineRule="exact"/>
              <w:rPr>
                <w:rFonts w:ascii="David" w:hAnsi="David"/>
                <w:b/>
                <w:bCs/>
                <w:sz w:val="26"/>
                <w:szCs w:val="26"/>
                <w:rtl/>
              </w:rPr>
            </w:pPr>
            <w:r w:rsidRPr="000F52ED">
              <w:rPr>
                <w:rFonts w:ascii="David" w:hAnsi="David"/>
                <w:b/>
                <w:bCs/>
                <w:sz w:val="26"/>
                <w:szCs w:val="26"/>
                <w:rtl/>
              </w:rPr>
              <w:t>המאשימה</w:t>
            </w:r>
          </w:p>
        </w:tc>
        <w:tc>
          <w:tcPr>
            <w:tcW w:w="6617" w:type="dxa"/>
            <w:shd w:val="clear" w:color="auto" w:fill="auto"/>
          </w:tcPr>
          <w:p w14:paraId="2D1B8C4E" w14:textId="77777777" w:rsidR="000F52ED" w:rsidRPr="000F52ED" w:rsidRDefault="000F52ED" w:rsidP="000F52ED">
            <w:pPr>
              <w:spacing w:before="120" w:after="120" w:line="240" w:lineRule="exact"/>
              <w:rPr>
                <w:rFonts w:ascii="David" w:hAnsi="David" w:hint="cs"/>
                <w:b/>
                <w:bCs/>
                <w:sz w:val="26"/>
                <w:szCs w:val="26"/>
                <w:rtl/>
              </w:rPr>
            </w:pPr>
            <w:r w:rsidRPr="000F52ED">
              <w:rPr>
                <w:rFonts w:ascii="David" w:hAnsi="David"/>
                <w:b/>
                <w:bCs/>
                <w:sz w:val="26"/>
                <w:szCs w:val="26"/>
                <w:rtl/>
              </w:rPr>
              <w:t>מדינת ישראל</w:t>
            </w:r>
            <w:r w:rsidRPr="000F52ED">
              <w:rPr>
                <w:rFonts w:ascii="David" w:hAnsi="David"/>
                <w:b/>
                <w:bCs/>
                <w:sz w:val="26"/>
                <w:szCs w:val="26"/>
                <w:rtl/>
              </w:rPr>
              <w:br/>
              <w:t>באמצעות פרקליטות מחוז חיפה - פלילי</w:t>
            </w:r>
          </w:p>
        </w:tc>
      </w:tr>
      <w:tr w:rsidR="000F52ED" w:rsidRPr="000F52ED" w14:paraId="003A91EA" w14:textId="77777777" w:rsidTr="00BD01AD">
        <w:tc>
          <w:tcPr>
            <w:tcW w:w="9018" w:type="dxa"/>
            <w:gridSpan w:val="2"/>
            <w:shd w:val="clear" w:color="auto" w:fill="auto"/>
          </w:tcPr>
          <w:p w14:paraId="487D0BCD" w14:textId="77777777" w:rsidR="000F52ED" w:rsidRPr="000F52ED" w:rsidRDefault="000F52ED" w:rsidP="000F52ED">
            <w:pPr>
              <w:spacing w:before="240" w:after="240" w:line="240" w:lineRule="exact"/>
              <w:jc w:val="center"/>
              <w:rPr>
                <w:rFonts w:ascii="David" w:hAnsi="David" w:hint="cs"/>
                <w:b/>
                <w:bCs/>
                <w:sz w:val="26"/>
                <w:szCs w:val="26"/>
                <w:rtl/>
              </w:rPr>
            </w:pPr>
            <w:r w:rsidRPr="000F52ED">
              <w:rPr>
                <w:rFonts w:ascii="David" w:hAnsi="David"/>
                <w:b/>
                <w:bCs/>
                <w:sz w:val="26"/>
                <w:szCs w:val="26"/>
                <w:rtl/>
              </w:rPr>
              <w:t>נגד</w:t>
            </w:r>
          </w:p>
        </w:tc>
      </w:tr>
      <w:tr w:rsidR="000F52ED" w:rsidRPr="000F52ED" w14:paraId="69CAC321" w14:textId="77777777" w:rsidTr="000F52ED">
        <w:tc>
          <w:tcPr>
            <w:tcW w:w="2401" w:type="dxa"/>
            <w:shd w:val="clear" w:color="auto" w:fill="auto"/>
          </w:tcPr>
          <w:p w14:paraId="61FC7AB3" w14:textId="77777777" w:rsidR="000F52ED" w:rsidRPr="000F52ED" w:rsidRDefault="000F52ED" w:rsidP="000F52ED">
            <w:pPr>
              <w:spacing w:before="120" w:after="120" w:line="240" w:lineRule="exact"/>
              <w:rPr>
                <w:rFonts w:ascii="David" w:hAnsi="David"/>
                <w:b/>
                <w:bCs/>
                <w:sz w:val="26"/>
                <w:szCs w:val="26"/>
                <w:rtl/>
              </w:rPr>
            </w:pPr>
            <w:r w:rsidRPr="000F52ED">
              <w:rPr>
                <w:rFonts w:ascii="David" w:hAnsi="David"/>
                <w:b/>
                <w:bCs/>
                <w:sz w:val="26"/>
                <w:szCs w:val="26"/>
                <w:rtl/>
              </w:rPr>
              <w:t>הנאשם</w:t>
            </w:r>
          </w:p>
        </w:tc>
        <w:tc>
          <w:tcPr>
            <w:tcW w:w="6617" w:type="dxa"/>
            <w:shd w:val="clear" w:color="auto" w:fill="auto"/>
          </w:tcPr>
          <w:p w14:paraId="2DFC03D1" w14:textId="77777777" w:rsidR="000F52ED" w:rsidRPr="000F52ED" w:rsidRDefault="000F52ED" w:rsidP="000F52ED">
            <w:pPr>
              <w:spacing w:before="120" w:after="120" w:line="240" w:lineRule="exact"/>
              <w:rPr>
                <w:rFonts w:ascii="David" w:hAnsi="David"/>
                <w:b/>
                <w:bCs/>
                <w:sz w:val="26"/>
                <w:szCs w:val="26"/>
                <w:rtl/>
              </w:rPr>
            </w:pPr>
            <w:r w:rsidRPr="000F52ED">
              <w:rPr>
                <w:rFonts w:ascii="David" w:hAnsi="David"/>
                <w:b/>
                <w:bCs/>
                <w:sz w:val="26"/>
                <w:szCs w:val="26"/>
                <w:rtl/>
              </w:rPr>
              <w:t>טארק ח'לאילי (עציר)</w:t>
            </w:r>
            <w:r w:rsidRPr="000F52ED">
              <w:rPr>
                <w:rFonts w:ascii="David" w:hAnsi="David"/>
                <w:sz w:val="26"/>
                <w:szCs w:val="26"/>
                <w:rtl/>
              </w:rPr>
              <w:t xml:space="preserve"> </w:t>
            </w:r>
            <w:r w:rsidRPr="000F52ED">
              <w:rPr>
                <w:rFonts w:ascii="David" w:hAnsi="David"/>
                <w:b/>
                <w:bCs/>
                <w:sz w:val="26"/>
                <w:szCs w:val="26"/>
                <w:rtl/>
              </w:rPr>
              <w:t xml:space="preserve">ת.ז.  </w:t>
            </w:r>
            <w:r w:rsidRPr="000F52ED">
              <w:rPr>
                <w:rFonts w:ascii="David" w:hAnsi="David"/>
                <w:b/>
                <w:bCs/>
                <w:sz w:val="26"/>
                <w:szCs w:val="26"/>
              </w:rPr>
              <w:t>xxxxxxxxxx</w:t>
            </w:r>
          </w:p>
          <w:p w14:paraId="382B222C" w14:textId="77777777" w:rsidR="000F52ED" w:rsidRPr="000F52ED" w:rsidRDefault="000F52ED" w:rsidP="000F52ED">
            <w:pPr>
              <w:spacing w:before="120" w:after="120" w:line="240" w:lineRule="exact"/>
              <w:rPr>
                <w:rFonts w:ascii="David" w:hAnsi="David"/>
                <w:b/>
                <w:bCs/>
                <w:sz w:val="26"/>
                <w:szCs w:val="26"/>
                <w:rtl/>
              </w:rPr>
            </w:pPr>
            <w:r w:rsidRPr="000F52ED">
              <w:rPr>
                <w:rFonts w:ascii="David" w:hAnsi="David"/>
                <w:b/>
                <w:bCs/>
                <w:sz w:val="26"/>
                <w:szCs w:val="26"/>
                <w:rtl/>
              </w:rPr>
              <w:t>באמצעות באי כוחו – עו"ד משה שרמן ועו"ד חיים רוט</w:t>
            </w:r>
          </w:p>
        </w:tc>
      </w:tr>
    </w:tbl>
    <w:p w14:paraId="22ACBE54" w14:textId="77777777" w:rsidR="00D5563F" w:rsidRPr="00AF7F66" w:rsidRDefault="00D5563F" w:rsidP="00D5563F">
      <w:pPr>
        <w:spacing w:line="360" w:lineRule="auto"/>
        <w:jc w:val="both"/>
        <w:rPr>
          <w:sz w:val="6"/>
          <w:szCs w:val="6"/>
        </w:rPr>
      </w:pPr>
      <w:bookmarkStart w:id="1" w:name="LastJudge"/>
      <w:bookmarkEnd w:id="1"/>
      <w:r w:rsidRPr="00AF7F66">
        <w:rPr>
          <w:rFonts w:hint="cs"/>
          <w:sz w:val="6"/>
          <w:szCs w:val="6"/>
          <w:rtl/>
        </w:rPr>
        <w:t>&lt;#2#&gt;</w:t>
      </w:r>
    </w:p>
    <w:p w14:paraId="580E6139" w14:textId="77777777" w:rsidR="000F52ED" w:rsidRPr="000F52ED" w:rsidRDefault="000F52ED" w:rsidP="000F52ED">
      <w:pPr>
        <w:spacing w:before="120" w:after="120" w:line="240" w:lineRule="exact"/>
        <w:ind w:left="283" w:hanging="283"/>
        <w:jc w:val="both"/>
        <w:rPr>
          <w:rFonts w:ascii="FrankRuehl" w:hAnsi="FrankRuehl" w:cs="FrankRuehl"/>
          <w:rtl/>
        </w:rPr>
      </w:pPr>
      <w:bookmarkStart w:id="2" w:name="LawTable"/>
      <w:bookmarkEnd w:id="2"/>
    </w:p>
    <w:p w14:paraId="3AB4B733" w14:textId="77777777" w:rsidR="000F52ED" w:rsidRPr="000F52ED" w:rsidRDefault="000F52ED" w:rsidP="000F52ED">
      <w:pPr>
        <w:spacing w:before="120" w:after="120" w:line="240" w:lineRule="exact"/>
        <w:ind w:left="283" w:hanging="283"/>
        <w:jc w:val="both"/>
        <w:rPr>
          <w:rFonts w:ascii="FrankRuehl" w:hAnsi="FrankRuehl" w:cs="FrankRuehl"/>
          <w:rtl/>
        </w:rPr>
      </w:pPr>
      <w:r w:rsidRPr="000F52ED">
        <w:rPr>
          <w:rFonts w:ascii="FrankRuehl" w:hAnsi="FrankRuehl" w:cs="FrankRuehl"/>
          <w:rtl/>
        </w:rPr>
        <w:t xml:space="preserve">חקיקה שאוזכרה: </w:t>
      </w:r>
    </w:p>
    <w:p w14:paraId="41E50428" w14:textId="77777777" w:rsidR="000F52ED" w:rsidRDefault="000F52ED" w:rsidP="000F52ED">
      <w:pPr>
        <w:spacing w:before="120" w:after="120" w:line="240" w:lineRule="exact"/>
        <w:ind w:left="283" w:hanging="283"/>
        <w:jc w:val="both"/>
        <w:rPr>
          <w:rFonts w:ascii="FrankRuehl" w:hAnsi="FrankRuehl" w:cs="FrankRuehl" w:hint="cs"/>
          <w:color w:val="0000FF"/>
          <w:rtl/>
        </w:rPr>
      </w:pPr>
      <w:hyperlink r:id="rId6" w:history="1">
        <w:r w:rsidRPr="000F52ED">
          <w:rPr>
            <w:rStyle w:val="Hyperlink"/>
            <w:rFonts w:ascii="FrankRuehl" w:hAnsi="FrankRuehl" w:cs="FrankRuehl"/>
            <w:u w:val="none"/>
            <w:rtl/>
          </w:rPr>
          <w:t>חוק העונשין, תשל"ז-1977</w:t>
        </w:r>
      </w:hyperlink>
      <w:r w:rsidRPr="000F52ED">
        <w:rPr>
          <w:rFonts w:ascii="FrankRuehl" w:hAnsi="FrankRuehl" w:cs="FrankRuehl"/>
          <w:color w:val="0000FF"/>
          <w:rtl/>
        </w:rPr>
        <w:t xml:space="preserve">: סע'  </w:t>
      </w:r>
      <w:hyperlink r:id="rId7" w:history="1">
        <w:r w:rsidRPr="000F52ED">
          <w:rPr>
            <w:rStyle w:val="Hyperlink"/>
            <w:rFonts w:ascii="FrankRuehl" w:hAnsi="FrankRuehl" w:cs="FrankRuehl"/>
            <w:u w:val="none"/>
          </w:rPr>
          <w:t>144</w:t>
        </w:r>
      </w:hyperlink>
      <w:r w:rsidRPr="000F52ED">
        <w:rPr>
          <w:rFonts w:ascii="FrankRuehl" w:hAnsi="FrankRuehl" w:cs="FrankRuehl"/>
          <w:color w:val="0000FF"/>
          <w:rtl/>
        </w:rPr>
        <w:t xml:space="preserve">(ב), </w:t>
      </w:r>
      <w:hyperlink r:id="rId8" w:history="1">
        <w:r w:rsidRPr="000F52ED">
          <w:rPr>
            <w:rStyle w:val="Hyperlink"/>
            <w:rFonts w:ascii="FrankRuehl" w:hAnsi="FrankRuehl" w:cs="FrankRuehl"/>
            <w:u w:val="none"/>
          </w:rPr>
          <w:t xml:space="preserve">300 </w:t>
        </w:r>
      </w:hyperlink>
      <w:r w:rsidRPr="000F52ED">
        <w:rPr>
          <w:rFonts w:ascii="FrankRuehl" w:hAnsi="FrankRuehl" w:cs="FrankRuehl"/>
          <w:color w:val="0000FF"/>
          <w:rtl/>
        </w:rPr>
        <w:t xml:space="preserve">(א), </w:t>
      </w:r>
      <w:hyperlink r:id="rId9" w:history="1">
        <w:r w:rsidRPr="000F52ED">
          <w:rPr>
            <w:rStyle w:val="Hyperlink"/>
            <w:rFonts w:ascii="FrankRuehl" w:hAnsi="FrankRuehl" w:cs="FrankRuehl"/>
            <w:u w:val="none"/>
          </w:rPr>
          <w:t>333</w:t>
        </w:r>
      </w:hyperlink>
      <w:r w:rsidRPr="000F52ED">
        <w:rPr>
          <w:rFonts w:ascii="FrankRuehl" w:hAnsi="FrankRuehl" w:cs="FrankRuehl"/>
          <w:color w:val="0000FF"/>
          <w:rtl/>
        </w:rPr>
        <w:t xml:space="preserve">, </w:t>
      </w:r>
      <w:hyperlink r:id="rId10" w:history="1">
        <w:r w:rsidRPr="000F52ED">
          <w:rPr>
            <w:rStyle w:val="Hyperlink"/>
            <w:rFonts w:ascii="FrankRuehl" w:hAnsi="FrankRuehl" w:cs="FrankRuehl"/>
            <w:u w:val="none"/>
          </w:rPr>
          <w:t>335</w:t>
        </w:r>
      </w:hyperlink>
    </w:p>
    <w:p w14:paraId="09DD4A33" w14:textId="77777777" w:rsidR="00E60AA8" w:rsidRDefault="00E60AA8" w:rsidP="000F52ED">
      <w:pPr>
        <w:spacing w:before="120" w:after="120" w:line="240" w:lineRule="exact"/>
        <w:ind w:left="283" w:hanging="283"/>
        <w:jc w:val="both"/>
        <w:rPr>
          <w:rFonts w:ascii="FrankRuehl" w:hAnsi="FrankRuehl" w:cs="FrankRuehl" w:hint="cs"/>
          <w:color w:val="0000FF"/>
          <w:rtl/>
        </w:rPr>
      </w:pPr>
    </w:p>
    <w:p w14:paraId="09744DF0" w14:textId="77777777" w:rsidR="007D2DAD" w:rsidRDefault="007D2DAD" w:rsidP="007D2DAD">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4DDEA7A2" w14:textId="77777777" w:rsidR="007D2DAD" w:rsidRDefault="007D2DAD" w:rsidP="007D2DA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7D2DAD">
        <w:rPr>
          <w:rFonts w:cs="FrankRuehl" w:hint="cs"/>
          <w:szCs w:val="26"/>
          <w:rtl/>
        </w:rPr>
        <w:t>בית המשפט המחוזי בחיפה קיבל את ההסכמות העונשיות אליהן הגיעו הצדדים בעניין תקופת המאסר וגזר לנאשם, אשר הורשע בשתי עבירות של רצח באדישות וחבלה חמורה בנסיבות מחמירות, 15 שנות מאסר. עוד גזר בית המשפט לנאשם מאסרים מותנים של 12 ו-8 חודשים ופיצוי בסך 200,000 ₪ לבני משפחות המנוחים.</w:t>
      </w:r>
    </w:p>
    <w:p w14:paraId="71D1DB93" w14:textId="77777777" w:rsidR="007D2DAD" w:rsidRDefault="007D2DAD" w:rsidP="007D2DAD">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עבירת רצח</w:t>
      </w:r>
    </w:p>
    <w:p w14:paraId="1AE17B8F" w14:textId="77777777" w:rsidR="00E60AA8" w:rsidRPr="007D2DAD" w:rsidRDefault="007D2DAD" w:rsidP="007D2DAD">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הסדר טיעון</w:t>
      </w:r>
    </w:p>
    <w:p w14:paraId="574DD8D1" w14:textId="77777777" w:rsidR="00E60AA8" w:rsidRPr="007D2DAD" w:rsidRDefault="007D2DAD" w:rsidP="007D2DA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83A8C9" w14:textId="77777777" w:rsidR="00E60AA8" w:rsidRPr="007D2DAD" w:rsidRDefault="00E60AA8" w:rsidP="007D2DAD">
      <w:pPr>
        <w:pBdr>
          <w:top w:val="single" w:sz="4" w:space="1" w:color="auto"/>
          <w:bottom w:val="single" w:sz="4" w:space="1" w:color="auto"/>
        </w:pBdr>
        <w:spacing w:after="120" w:line="320" w:lineRule="exact"/>
        <w:jc w:val="both"/>
        <w:rPr>
          <w:rFonts w:cs="FrankRuehl"/>
          <w:szCs w:val="26"/>
          <w:rtl/>
        </w:rPr>
      </w:pPr>
      <w:r w:rsidRPr="007D2DAD">
        <w:rPr>
          <w:rFonts w:cs="FrankRuehl" w:hint="cs"/>
          <w:szCs w:val="26"/>
          <w:rtl/>
        </w:rPr>
        <w:t xml:space="preserve">עובר לרצח, התגלע סכסוך בין חבורתו של הנאשם לחבורה עליה נמנים המנוחים. ביום האירוע, הגיעו המנוחים ואדם נוסף סמוך לבית הנאשם כשהם מצויידים בסכינים. אותה עת הנאשם עמד סמוך לביתו, עם חבר </w:t>
      </w:r>
      <w:r w:rsidRPr="007D2DAD">
        <w:rPr>
          <w:rFonts w:cs="FrankRuehl"/>
          <w:szCs w:val="26"/>
          <w:rtl/>
        </w:rPr>
        <w:t>–</w:t>
      </w:r>
      <w:r w:rsidRPr="007D2DAD">
        <w:rPr>
          <w:rFonts w:cs="FrankRuehl" w:hint="cs"/>
          <w:szCs w:val="26"/>
          <w:rtl/>
        </w:rPr>
        <w:t xml:space="preserve"> סבע. הנאשם וסבע היו מצוידים באקדחים ומשהבחינו בחבורה היריבה ירו לעברם. הנאשם ירה ברגלו של אחד מבני החבורה היריבה, אשר נמלט בעקבות כך מהזירה כאשר הוא פצוע. או אז, הנאשם הבחין במנוח רץ לקראתו עם סכין בידו ובתגובה לכך ירה בו מספר יריות שגרמו למותו. במקביל, המנוח הנוסף דקר את סבע וגרם למותו. הנאשם הבחין בכך, ירה בו מטווח קצר וגרם למותו.</w:t>
      </w:r>
    </w:p>
    <w:p w14:paraId="35EEFF36" w14:textId="77777777" w:rsidR="00E60AA8" w:rsidRPr="007D2DAD" w:rsidRDefault="00E60AA8" w:rsidP="007D2DAD">
      <w:pPr>
        <w:pBdr>
          <w:top w:val="single" w:sz="4" w:space="1" w:color="auto"/>
          <w:bottom w:val="single" w:sz="4" w:space="1" w:color="auto"/>
        </w:pBdr>
        <w:spacing w:after="120" w:line="320" w:lineRule="exact"/>
        <w:jc w:val="both"/>
        <w:rPr>
          <w:rFonts w:cs="FrankRuehl"/>
          <w:szCs w:val="26"/>
          <w:rtl/>
        </w:rPr>
      </w:pPr>
      <w:r w:rsidRPr="007D2DAD">
        <w:rPr>
          <w:rFonts w:cs="FrankRuehl" w:hint="cs"/>
          <w:szCs w:val="26"/>
          <w:rtl/>
        </w:rPr>
        <w:lastRenderedPageBreak/>
        <w:t xml:space="preserve">הצדדים הגיעו להסדר שכלל הסכמה עונשית, לפיו ההגנה לא תטען לקרבה לסייג לאחריות פלילית והצדדים יעתרו ל-15 שנות מאסר. עניין המאסר המותנה וגובה הפיצוי נותר ללא הסכמות.  </w:t>
      </w:r>
    </w:p>
    <w:p w14:paraId="2CC18C71" w14:textId="77777777" w:rsidR="00E60AA8" w:rsidRPr="007D2DAD" w:rsidRDefault="007D2DAD" w:rsidP="007D2DA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8358C04" w14:textId="77777777" w:rsidR="00E60AA8" w:rsidRPr="007D2DAD" w:rsidRDefault="00E60AA8" w:rsidP="007D2DAD">
      <w:pPr>
        <w:pBdr>
          <w:top w:val="single" w:sz="4" w:space="1" w:color="auto"/>
          <w:bottom w:val="single" w:sz="4" w:space="1" w:color="auto"/>
        </w:pBdr>
        <w:spacing w:after="120" w:line="320" w:lineRule="exact"/>
        <w:jc w:val="both"/>
        <w:rPr>
          <w:rFonts w:cs="FrankRuehl"/>
          <w:szCs w:val="26"/>
          <w:rtl/>
        </w:rPr>
      </w:pPr>
      <w:r w:rsidRPr="007D2DAD">
        <w:rPr>
          <w:rFonts w:cs="FrankRuehl" w:hint="cs"/>
          <w:szCs w:val="26"/>
          <w:rtl/>
        </w:rPr>
        <w:t>בית המשפט גזר את העונש כמפורט לעיל וקבע כך:</w:t>
      </w:r>
    </w:p>
    <w:p w14:paraId="59493B6F" w14:textId="77777777" w:rsidR="00E60AA8" w:rsidRPr="007D2DAD" w:rsidRDefault="00E60AA8" w:rsidP="007D2DAD">
      <w:pPr>
        <w:pBdr>
          <w:top w:val="single" w:sz="4" w:space="1" w:color="auto"/>
          <w:bottom w:val="single" w:sz="4" w:space="1" w:color="auto"/>
        </w:pBdr>
        <w:spacing w:after="120" w:line="320" w:lineRule="exact"/>
        <w:jc w:val="both"/>
        <w:rPr>
          <w:rFonts w:cs="FrankRuehl"/>
          <w:szCs w:val="26"/>
          <w:rtl/>
        </w:rPr>
      </w:pPr>
      <w:r w:rsidRPr="007D2DAD">
        <w:rPr>
          <w:rFonts w:cs="FrankRuehl" w:hint="cs"/>
          <w:szCs w:val="26"/>
          <w:rtl/>
        </w:rPr>
        <w:t xml:space="preserve">יש מקום לאמץ את ההסדר אליו הגיעו הצדדים. </w:t>
      </w:r>
      <w:r w:rsidRPr="007D2DAD">
        <w:rPr>
          <w:rFonts w:cs="FrankRuehl"/>
          <w:szCs w:val="26"/>
          <w:rtl/>
        </w:rPr>
        <w:t xml:space="preserve">שיקול מרכזי </w:t>
      </w:r>
      <w:r w:rsidRPr="007D2DAD">
        <w:rPr>
          <w:rFonts w:cs="FrankRuehl" w:hint="cs"/>
          <w:szCs w:val="26"/>
          <w:rtl/>
        </w:rPr>
        <w:t xml:space="preserve">שעמד לנגד עיני הצדדים </w:t>
      </w:r>
      <w:r w:rsidRPr="007D2DAD">
        <w:rPr>
          <w:rFonts w:cs="FrankRuehl"/>
          <w:szCs w:val="26"/>
          <w:rtl/>
        </w:rPr>
        <w:t>היה קשיים ראייתיים</w:t>
      </w:r>
      <w:r w:rsidRPr="007D2DAD">
        <w:rPr>
          <w:rFonts w:cs="FrankRuehl" w:hint="cs"/>
          <w:szCs w:val="26"/>
          <w:rtl/>
        </w:rPr>
        <w:t xml:space="preserve"> שהתגלו בהוכחות שהתנהלו עד להסדר. </w:t>
      </w:r>
      <w:r w:rsidRPr="007D2DAD">
        <w:rPr>
          <w:rFonts w:cs="FrankRuehl"/>
          <w:szCs w:val="26"/>
          <w:rtl/>
        </w:rPr>
        <w:t>הסדר טיעון – קל וחומר כשהוא מושג ומוצג על רקע קשיים ראייתיים – הוא נתון משמעותי בגזירת הדין; הוא מוסד שיש אינטרס ציבורי בקיומו והוא חלק מהשיטה האדברסרית, הגם שבית המשפט אינו "חותמת גומי". כיבוד הסדרי טיעון הוא אינטרס לגיטימי ש</w:t>
      </w:r>
      <w:r w:rsidRPr="007D2DAD">
        <w:rPr>
          <w:rFonts w:cs="FrankRuehl" w:hint="cs"/>
          <w:szCs w:val="26"/>
          <w:rtl/>
        </w:rPr>
        <w:t>על בית המשפט לקחת בחשבון</w:t>
      </w:r>
      <w:r w:rsidRPr="007D2DAD">
        <w:rPr>
          <w:rFonts w:cs="FrankRuehl"/>
          <w:szCs w:val="26"/>
          <w:rtl/>
        </w:rPr>
        <w:t>. בפסיקה אף ניתן משקל משמעותי לאינטרס ההסתמכות של הנאשם אשר הודה במיוחס לו מתוך ציפייה כי הודאתו תביא לקבלת הסדר הטיעון</w:t>
      </w:r>
      <w:r w:rsidRPr="007D2DAD">
        <w:rPr>
          <w:rFonts w:cs="FrankRuehl" w:hint="cs"/>
          <w:szCs w:val="26"/>
          <w:rtl/>
        </w:rPr>
        <w:t>.</w:t>
      </w:r>
    </w:p>
    <w:p w14:paraId="697A0430" w14:textId="77777777" w:rsidR="00E60AA8" w:rsidRPr="007D2DAD" w:rsidRDefault="00E60AA8" w:rsidP="007D2DAD">
      <w:pPr>
        <w:pBdr>
          <w:top w:val="single" w:sz="4" w:space="1" w:color="auto"/>
          <w:bottom w:val="single" w:sz="4" w:space="1" w:color="auto"/>
        </w:pBdr>
        <w:spacing w:after="120" w:line="320" w:lineRule="exact"/>
        <w:jc w:val="both"/>
        <w:rPr>
          <w:rFonts w:cs="FrankRuehl"/>
          <w:szCs w:val="26"/>
          <w:rtl/>
        </w:rPr>
      </w:pPr>
      <w:r w:rsidRPr="007D2DAD">
        <w:rPr>
          <w:rFonts w:cs="FrankRuehl" w:hint="cs"/>
          <w:szCs w:val="26"/>
          <w:rtl/>
        </w:rPr>
        <w:t xml:space="preserve">בית המשפט מצא לנכון </w:t>
      </w:r>
      <w:r w:rsidRPr="007D2DAD">
        <w:rPr>
          <w:rFonts w:cs="FrankRuehl"/>
          <w:szCs w:val="26"/>
          <w:rtl/>
        </w:rPr>
        <w:t xml:space="preserve">להעיר </w:t>
      </w:r>
      <w:r w:rsidRPr="007D2DAD">
        <w:rPr>
          <w:rFonts w:cs="FrankRuehl" w:hint="cs"/>
          <w:szCs w:val="26"/>
          <w:rtl/>
        </w:rPr>
        <w:t xml:space="preserve">בגזר הדין </w:t>
      </w:r>
      <w:r w:rsidRPr="007D2DAD">
        <w:rPr>
          <w:rFonts w:cs="FrankRuehl"/>
          <w:szCs w:val="26"/>
          <w:rtl/>
        </w:rPr>
        <w:t xml:space="preserve">בנוגע להתמשכות המשא ומתן בין הצדדים. </w:t>
      </w:r>
      <w:r w:rsidRPr="007D2DAD">
        <w:rPr>
          <w:rFonts w:cs="FrankRuehl" w:hint="cs"/>
          <w:szCs w:val="26"/>
          <w:rtl/>
        </w:rPr>
        <w:t xml:space="preserve">צוין כי </w:t>
      </w:r>
      <w:r w:rsidRPr="007D2DAD">
        <w:rPr>
          <w:rFonts w:cs="FrankRuehl"/>
          <w:szCs w:val="26"/>
          <w:rtl/>
        </w:rPr>
        <w:t xml:space="preserve">כבר בשלביו המוקדמים של ההליך </w:t>
      </w:r>
      <w:r w:rsidRPr="007D2DAD">
        <w:rPr>
          <w:rFonts w:cs="FrankRuehl" w:hint="cs"/>
          <w:szCs w:val="26"/>
          <w:rtl/>
        </w:rPr>
        <w:t>התברר כי בתיק זה קיימים קשיים ראייתיים</w:t>
      </w:r>
      <w:r w:rsidRPr="007D2DAD">
        <w:rPr>
          <w:rFonts w:cs="FrankRuehl"/>
          <w:szCs w:val="26"/>
          <w:rtl/>
        </w:rPr>
        <w:t xml:space="preserve"> </w:t>
      </w:r>
      <w:r w:rsidRPr="007D2DAD">
        <w:rPr>
          <w:rFonts w:cs="FrankRuehl" w:hint="cs"/>
          <w:szCs w:val="26"/>
          <w:rtl/>
        </w:rPr>
        <w:t>ו</w:t>
      </w:r>
      <w:r w:rsidRPr="007D2DAD">
        <w:rPr>
          <w:rFonts w:cs="FrankRuehl"/>
          <w:szCs w:val="26"/>
          <w:rtl/>
        </w:rPr>
        <w:t>היה ברור כי טוב יעשו הצדדים באם יגיעו להסדר טיעון. חרף זאת המשא ומתן בין הצדדים ארך, במקביל לשמיעת הראיות, פרק זמן ארוך ביותר, למעלה משנה</w:t>
      </w:r>
      <w:r w:rsidRPr="007D2DAD">
        <w:rPr>
          <w:rFonts w:cs="FrankRuehl" w:hint="cs"/>
          <w:szCs w:val="26"/>
          <w:rtl/>
        </w:rPr>
        <w:t>.</w:t>
      </w:r>
    </w:p>
    <w:p w14:paraId="08FF90BD" w14:textId="77777777" w:rsidR="00E60AA8" w:rsidRPr="000F52ED" w:rsidRDefault="00E60AA8" w:rsidP="007D2DAD">
      <w:pPr>
        <w:pBdr>
          <w:top w:val="single" w:sz="4" w:space="1" w:color="auto"/>
          <w:bottom w:val="single" w:sz="4" w:space="1" w:color="auto"/>
        </w:pBdr>
        <w:spacing w:after="120" w:line="320" w:lineRule="exact"/>
        <w:jc w:val="both"/>
        <w:rPr>
          <w:rFonts w:ascii="FrankRuehl" w:hAnsi="FrankRuehl" w:cs="FrankRuehl" w:hint="cs"/>
          <w:color w:val="0000FF"/>
          <w:rtl/>
        </w:rPr>
      </w:pPr>
      <w:r w:rsidRPr="007D2DAD">
        <w:rPr>
          <w:rFonts w:cs="FrankRuehl"/>
          <w:szCs w:val="26"/>
          <w:rtl/>
        </w:rPr>
        <w:t xml:space="preserve">לעניין הפיצויים, </w:t>
      </w:r>
      <w:r w:rsidRPr="007D2DAD">
        <w:rPr>
          <w:rFonts w:cs="FrankRuehl" w:hint="cs"/>
          <w:szCs w:val="26"/>
          <w:rtl/>
        </w:rPr>
        <w:t xml:space="preserve">נקבע כי </w:t>
      </w:r>
      <w:r w:rsidRPr="007D2DAD">
        <w:rPr>
          <w:rFonts w:cs="FrankRuehl"/>
          <w:szCs w:val="26"/>
          <w:rtl/>
        </w:rPr>
        <w:t>בשים לב לנסיבות האירוע, ונוכח הפיצוי החלקי שהועבר, יש לחרוג מהכלל ולפיו בתיקי רצח יש לפסוק את הפיצוי המקסימלי בעבור כל מנוח. בנוסף,</w:t>
      </w:r>
      <w:r w:rsidRPr="007D2DAD">
        <w:rPr>
          <w:rFonts w:cs="FrankRuehl" w:hint="cs"/>
          <w:szCs w:val="26"/>
          <w:rtl/>
        </w:rPr>
        <w:t xml:space="preserve"> בית המשפט הורה על חפיפה</w:t>
      </w:r>
      <w:r w:rsidRPr="007D2DAD">
        <w:rPr>
          <w:rFonts w:cs="FrankRuehl"/>
          <w:szCs w:val="26"/>
          <w:rtl/>
        </w:rPr>
        <w:t xml:space="preserve"> מסוי</w:t>
      </w:r>
      <w:r w:rsidRPr="007D2DAD">
        <w:rPr>
          <w:rFonts w:cs="FrankRuehl" w:hint="cs"/>
          <w:szCs w:val="26"/>
          <w:rtl/>
        </w:rPr>
        <w:t>מת</w:t>
      </w:r>
      <w:r w:rsidRPr="007D2DAD">
        <w:rPr>
          <w:rFonts w:cs="FrankRuehl"/>
          <w:szCs w:val="26"/>
          <w:rtl/>
        </w:rPr>
        <w:t xml:space="preserve"> </w:t>
      </w:r>
      <w:r w:rsidRPr="007D2DAD">
        <w:rPr>
          <w:rFonts w:cs="FrankRuehl" w:hint="cs"/>
          <w:szCs w:val="26"/>
          <w:rtl/>
        </w:rPr>
        <w:t>(של שלושה חודשים)</w:t>
      </w:r>
      <w:r w:rsidRPr="007D2DAD">
        <w:rPr>
          <w:rFonts w:cs="FrankRuehl"/>
          <w:szCs w:val="26"/>
        </w:rPr>
        <w:t xml:space="preserve"> </w:t>
      </w:r>
      <w:r w:rsidRPr="007D2DAD">
        <w:rPr>
          <w:rFonts w:cs="FrankRuehl"/>
          <w:szCs w:val="26"/>
          <w:rtl/>
        </w:rPr>
        <w:t>בין תקופת המאסר</w:t>
      </w:r>
      <w:r w:rsidRPr="007D2DAD">
        <w:rPr>
          <w:rFonts w:cs="FrankRuehl" w:hint="cs"/>
          <w:szCs w:val="26"/>
          <w:rtl/>
        </w:rPr>
        <w:t xml:space="preserve"> בתיק זה למאסר שמרצה הנאשם בשל בתיק אחר.</w:t>
      </w:r>
      <w:bookmarkStart w:id="4" w:name="ABSTRACT_END"/>
      <w:bookmarkEnd w:id="4"/>
    </w:p>
    <w:p w14:paraId="4F605A55" w14:textId="77777777" w:rsidR="00D5563F" w:rsidRPr="000F52ED" w:rsidRDefault="00D5563F" w:rsidP="000F52ED">
      <w:pPr>
        <w:rPr>
          <w:rFonts w:ascii="Arial" w:hAnsi="Arial"/>
          <w:sz w:val="26"/>
          <w:szCs w:val="26"/>
          <w:rtl/>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563F" w14:paraId="01E4CDA5" w14:textId="77777777" w:rsidTr="00D5563F">
        <w:trPr>
          <w:trHeight w:val="355"/>
          <w:jc w:val="center"/>
        </w:trPr>
        <w:tc>
          <w:tcPr>
            <w:tcW w:w="8820" w:type="dxa"/>
            <w:tcBorders>
              <w:top w:val="nil"/>
              <w:left w:val="nil"/>
              <w:bottom w:val="nil"/>
              <w:right w:val="nil"/>
            </w:tcBorders>
            <w:shd w:val="clear" w:color="auto" w:fill="auto"/>
          </w:tcPr>
          <w:p w14:paraId="3E764725" w14:textId="77777777" w:rsidR="00AF7F66" w:rsidRPr="00AF7F66" w:rsidRDefault="00AF7F66" w:rsidP="00AF7F66">
            <w:pPr>
              <w:jc w:val="center"/>
              <w:rPr>
                <w:rFonts w:ascii="David" w:hAnsi="David"/>
                <w:b/>
                <w:bCs/>
                <w:sz w:val="32"/>
                <w:szCs w:val="32"/>
                <w:u w:val="single"/>
                <w:rtl/>
              </w:rPr>
            </w:pPr>
            <w:bookmarkStart w:id="6" w:name="PsakDin" w:colFirst="0" w:colLast="0"/>
            <w:r w:rsidRPr="00AF7F66">
              <w:rPr>
                <w:rFonts w:ascii="David" w:hAnsi="David"/>
                <w:b/>
                <w:bCs/>
                <w:sz w:val="32"/>
                <w:szCs w:val="32"/>
                <w:u w:val="single"/>
                <w:rtl/>
              </w:rPr>
              <w:t>גזר דין</w:t>
            </w:r>
          </w:p>
          <w:p w14:paraId="5A942F3B" w14:textId="77777777" w:rsidR="00D5563F" w:rsidRPr="00AF7F66" w:rsidRDefault="00D5563F" w:rsidP="00AF7F66">
            <w:pPr>
              <w:jc w:val="center"/>
              <w:rPr>
                <w:rFonts w:ascii="David" w:hAnsi="David"/>
                <w:bCs/>
                <w:sz w:val="32"/>
                <w:szCs w:val="32"/>
                <w:u w:val="single"/>
                <w:rtl/>
              </w:rPr>
            </w:pPr>
          </w:p>
        </w:tc>
      </w:tr>
      <w:bookmarkEnd w:id="6"/>
    </w:tbl>
    <w:p w14:paraId="41B1D2F0" w14:textId="77777777" w:rsidR="00D5563F" w:rsidRPr="000F2247" w:rsidRDefault="00D5563F" w:rsidP="00D5563F">
      <w:pPr>
        <w:rPr>
          <w:rFonts w:ascii="Arial" w:hAnsi="Arial"/>
          <w:b/>
          <w:bCs/>
          <w:sz w:val="26"/>
          <w:szCs w:val="26"/>
          <w:rtl/>
        </w:rPr>
      </w:pPr>
    </w:p>
    <w:p w14:paraId="5DF60A2B" w14:textId="77777777" w:rsidR="00D5563F" w:rsidRDefault="00D5563F" w:rsidP="00D5563F">
      <w:pPr>
        <w:spacing w:line="360" w:lineRule="auto"/>
        <w:jc w:val="both"/>
        <w:rPr>
          <w:rFonts w:ascii="David" w:hAnsi="David"/>
          <w:u w:val="single"/>
        </w:rPr>
      </w:pPr>
      <w:r>
        <w:rPr>
          <w:rFonts w:ascii="David" w:hAnsi="David"/>
          <w:u w:val="single"/>
          <w:rtl/>
        </w:rPr>
        <w:t>כללי</w:t>
      </w:r>
    </w:p>
    <w:p w14:paraId="42F10151" w14:textId="77777777" w:rsidR="00D5563F" w:rsidRDefault="00D5563F" w:rsidP="00D5563F">
      <w:pPr>
        <w:spacing w:line="360" w:lineRule="auto"/>
        <w:jc w:val="both"/>
        <w:rPr>
          <w:rFonts w:ascii="David" w:hAnsi="David"/>
          <w:rtl/>
        </w:rPr>
      </w:pPr>
      <w:r>
        <w:rPr>
          <w:rFonts w:ascii="David" w:hAnsi="David"/>
          <w:rtl/>
        </w:rPr>
        <w:t xml:space="preserve">הנאשם הורשע, על פי הודייתו, בעבירות של </w:t>
      </w:r>
      <w:r>
        <w:rPr>
          <w:rFonts w:ascii="David" w:hAnsi="David"/>
          <w:b/>
          <w:bCs/>
          <w:rtl/>
        </w:rPr>
        <w:t>רצח באדישות</w:t>
      </w:r>
      <w:r>
        <w:rPr>
          <w:rFonts w:ascii="David" w:hAnsi="David"/>
          <w:rtl/>
        </w:rPr>
        <w:t xml:space="preserve"> (2 מקרים), לפי ס' </w:t>
      </w:r>
      <w:hyperlink r:id="rId11" w:history="1">
        <w:r w:rsidR="003B7570" w:rsidRPr="003B7570">
          <w:rPr>
            <w:rStyle w:val="Hyperlink"/>
            <w:rFonts w:ascii="David" w:hAnsi="David"/>
            <w:rtl/>
          </w:rPr>
          <w:t>300 (א)</w:t>
        </w:r>
      </w:hyperlink>
      <w:r>
        <w:rPr>
          <w:rFonts w:ascii="David" w:hAnsi="David"/>
          <w:rtl/>
        </w:rPr>
        <w:t xml:space="preserve"> ל</w:t>
      </w:r>
      <w:hyperlink r:id="rId12" w:history="1">
        <w:r w:rsidR="00AF7F66" w:rsidRPr="00AF7F66">
          <w:rPr>
            <w:rFonts w:ascii="David" w:hAnsi="David"/>
            <w:color w:val="0000FF"/>
            <w:u w:val="single"/>
            <w:rtl/>
          </w:rPr>
          <w:t>חוק העונשין</w:t>
        </w:r>
      </w:hyperlink>
      <w:r>
        <w:rPr>
          <w:rFonts w:ascii="David" w:hAnsi="David"/>
          <w:rtl/>
        </w:rPr>
        <w:t xml:space="preserve">, תשל"ז-1977 (להלן: </w:t>
      </w:r>
      <w:r>
        <w:rPr>
          <w:rFonts w:ascii="David" w:hAnsi="David"/>
          <w:b/>
          <w:bCs/>
          <w:rtl/>
        </w:rPr>
        <w:t>החוק</w:t>
      </w:r>
      <w:r>
        <w:rPr>
          <w:rFonts w:ascii="David" w:hAnsi="David"/>
          <w:rtl/>
        </w:rPr>
        <w:t xml:space="preserve">); </w:t>
      </w:r>
      <w:r>
        <w:rPr>
          <w:rFonts w:ascii="David" w:hAnsi="David"/>
          <w:b/>
          <w:bCs/>
          <w:rtl/>
        </w:rPr>
        <w:t>חבלה חמורה בנסיבות מחמירות</w:t>
      </w:r>
      <w:r>
        <w:rPr>
          <w:rFonts w:ascii="David" w:hAnsi="David"/>
          <w:rtl/>
        </w:rPr>
        <w:t xml:space="preserve">, לפי </w:t>
      </w:r>
      <w:hyperlink r:id="rId13" w:history="1">
        <w:r w:rsidR="003B7570" w:rsidRPr="003B7570">
          <w:rPr>
            <w:rStyle w:val="Hyperlink"/>
            <w:rFonts w:ascii="David" w:hAnsi="David"/>
            <w:rtl/>
          </w:rPr>
          <w:t>ס' 333+335</w:t>
        </w:r>
      </w:hyperlink>
      <w:r>
        <w:rPr>
          <w:rFonts w:ascii="David" w:hAnsi="David"/>
          <w:rtl/>
        </w:rPr>
        <w:t xml:space="preserve"> לחוק; וכן </w:t>
      </w:r>
      <w:r>
        <w:rPr>
          <w:rFonts w:ascii="David" w:hAnsi="David"/>
          <w:b/>
          <w:bCs/>
          <w:rtl/>
        </w:rPr>
        <w:t>נשיאת נשק</w:t>
      </w:r>
      <w:r>
        <w:rPr>
          <w:rFonts w:ascii="David" w:hAnsi="David"/>
          <w:rtl/>
        </w:rPr>
        <w:t xml:space="preserve">, לפי </w:t>
      </w:r>
      <w:hyperlink r:id="rId14" w:history="1">
        <w:r w:rsidR="003B7570" w:rsidRPr="003B7570">
          <w:rPr>
            <w:rStyle w:val="Hyperlink"/>
            <w:rFonts w:ascii="David" w:hAnsi="David"/>
            <w:rtl/>
          </w:rPr>
          <w:t>ס' 144(ב)</w:t>
        </w:r>
      </w:hyperlink>
      <w:r>
        <w:rPr>
          <w:rFonts w:ascii="David" w:hAnsi="David"/>
          <w:rtl/>
        </w:rPr>
        <w:t xml:space="preserve"> רישא לחוק.</w:t>
      </w:r>
    </w:p>
    <w:p w14:paraId="32CC5745" w14:textId="77777777" w:rsidR="00D5563F" w:rsidRDefault="00D5563F" w:rsidP="00D5563F">
      <w:pPr>
        <w:spacing w:line="360" w:lineRule="auto"/>
        <w:jc w:val="both"/>
        <w:rPr>
          <w:rFonts w:ascii="David" w:hAnsi="David"/>
          <w:rtl/>
        </w:rPr>
      </w:pPr>
    </w:p>
    <w:p w14:paraId="643CB98C" w14:textId="77777777" w:rsidR="00D5563F" w:rsidRDefault="00D5563F" w:rsidP="00D5563F">
      <w:pPr>
        <w:spacing w:line="360" w:lineRule="auto"/>
        <w:jc w:val="both"/>
        <w:rPr>
          <w:rFonts w:ascii="David" w:hAnsi="David"/>
          <w:rtl/>
        </w:rPr>
      </w:pPr>
      <w:r>
        <w:rPr>
          <w:rFonts w:ascii="David" w:hAnsi="David"/>
          <w:rtl/>
        </w:rPr>
        <w:t xml:space="preserve">הודיית הנאשם הייתה במסגרת הסדר טיעון שכלל הסכמות, שהעיקרית בהן היא עתירת הצדדים </w:t>
      </w:r>
      <w:r>
        <w:rPr>
          <w:rFonts w:ascii="David" w:hAnsi="David"/>
          <w:u w:val="single"/>
          <w:rtl/>
        </w:rPr>
        <w:t>לרכיב מאסר בפועל לתקופה של 15 שנים</w:t>
      </w:r>
      <w:r>
        <w:rPr>
          <w:rFonts w:ascii="David" w:hAnsi="David"/>
          <w:rtl/>
        </w:rPr>
        <w:t xml:space="preserve">. ההסדר הושג לאחר שמיעה ממושכת של ראיות התביעה ולאחר משא ומתן ארוך שנוהל בין הצדדים. </w:t>
      </w:r>
    </w:p>
    <w:p w14:paraId="08A714A4" w14:textId="77777777" w:rsidR="00D5563F" w:rsidRDefault="00D5563F" w:rsidP="00D5563F">
      <w:pPr>
        <w:spacing w:line="360" w:lineRule="auto"/>
        <w:jc w:val="both"/>
        <w:rPr>
          <w:rFonts w:ascii="David" w:hAnsi="David"/>
          <w:rtl/>
        </w:rPr>
      </w:pPr>
    </w:p>
    <w:p w14:paraId="0CCF96D2" w14:textId="77777777" w:rsidR="00D5563F" w:rsidRDefault="00D5563F" w:rsidP="00D5563F">
      <w:pPr>
        <w:spacing w:line="360" w:lineRule="auto"/>
        <w:jc w:val="both"/>
        <w:rPr>
          <w:rFonts w:ascii="David" w:hAnsi="David"/>
          <w:u w:val="single"/>
          <w:rtl/>
        </w:rPr>
      </w:pPr>
      <w:r>
        <w:rPr>
          <w:rFonts w:ascii="David" w:hAnsi="David"/>
          <w:u w:val="single"/>
          <w:rtl/>
        </w:rPr>
        <w:t xml:space="preserve">עיקרי כתב האישום המתוקן </w:t>
      </w:r>
    </w:p>
    <w:p w14:paraId="12D9B575" w14:textId="77777777" w:rsidR="00D5563F" w:rsidRDefault="00D5563F" w:rsidP="00D5563F">
      <w:pPr>
        <w:spacing w:line="360" w:lineRule="auto"/>
        <w:jc w:val="both"/>
        <w:rPr>
          <w:rFonts w:ascii="David" w:hAnsi="David"/>
          <w:rtl/>
        </w:rPr>
      </w:pPr>
      <w:r>
        <w:rPr>
          <w:rFonts w:ascii="David" w:hAnsi="David"/>
          <w:rtl/>
        </w:rPr>
        <w:t xml:space="preserve">בפתח כתב האישום המתוקן הוצגו שתי חבורות: </w:t>
      </w:r>
      <w:r>
        <w:rPr>
          <w:rFonts w:ascii="David" w:hAnsi="David"/>
          <w:u w:val="single"/>
          <w:rtl/>
        </w:rPr>
        <w:t>מחד גיסא</w:t>
      </w:r>
      <w:r>
        <w:rPr>
          <w:rFonts w:ascii="David" w:hAnsi="David"/>
          <w:rtl/>
        </w:rPr>
        <w:t xml:space="preserve">  - הנאשם והמנוח מוחמד סבע (להלן: </w:t>
      </w:r>
      <w:r>
        <w:rPr>
          <w:rFonts w:ascii="David" w:hAnsi="David"/>
          <w:b/>
          <w:bCs/>
          <w:rtl/>
        </w:rPr>
        <w:t>סבע</w:t>
      </w:r>
      <w:r>
        <w:rPr>
          <w:rFonts w:ascii="David" w:hAnsi="David"/>
          <w:rtl/>
        </w:rPr>
        <w:t xml:space="preserve">) שהיו חברים; </w:t>
      </w:r>
      <w:r>
        <w:rPr>
          <w:rFonts w:ascii="David" w:hAnsi="David"/>
          <w:u w:val="single"/>
          <w:rtl/>
        </w:rPr>
        <w:t>ומאידך גיסא</w:t>
      </w:r>
      <w:r>
        <w:rPr>
          <w:rFonts w:ascii="David" w:hAnsi="David"/>
          <w:rtl/>
        </w:rPr>
        <w:t xml:space="preserve"> - 3 אחים: המנוח אחמד מנאע (להלן: </w:t>
      </w:r>
      <w:r>
        <w:rPr>
          <w:rFonts w:ascii="David" w:hAnsi="David"/>
          <w:b/>
          <w:bCs/>
          <w:rtl/>
        </w:rPr>
        <w:t>אחמד</w:t>
      </w:r>
      <w:r>
        <w:rPr>
          <w:rFonts w:ascii="David" w:hAnsi="David"/>
          <w:rtl/>
        </w:rPr>
        <w:t xml:space="preserve">), המנוח חליל מנאע (להלן: </w:t>
      </w:r>
      <w:r>
        <w:rPr>
          <w:rFonts w:ascii="David" w:hAnsi="David"/>
          <w:b/>
          <w:bCs/>
          <w:rtl/>
        </w:rPr>
        <w:t>חליל)</w:t>
      </w:r>
      <w:r>
        <w:rPr>
          <w:rFonts w:ascii="David" w:hAnsi="David"/>
          <w:rtl/>
        </w:rPr>
        <w:t xml:space="preserve">, וכן מוחמד מנאע (להלן: </w:t>
      </w:r>
      <w:r>
        <w:rPr>
          <w:rFonts w:ascii="David" w:hAnsi="David"/>
          <w:b/>
          <w:bCs/>
          <w:rtl/>
        </w:rPr>
        <w:t>מוחמד</w:t>
      </w:r>
      <w:r>
        <w:rPr>
          <w:rFonts w:ascii="David" w:hAnsi="David"/>
          <w:rtl/>
        </w:rPr>
        <w:t xml:space="preserve">). בין שתי החבורות הייתה היכרות, ועובר ליום האירוע הטראגי שיתואר להלן (1.10.19) התגלע ביניהן סכסוך. </w:t>
      </w:r>
    </w:p>
    <w:p w14:paraId="451301B3" w14:textId="77777777" w:rsidR="00D5563F" w:rsidRDefault="00D5563F" w:rsidP="00D5563F">
      <w:pPr>
        <w:spacing w:line="360" w:lineRule="auto"/>
        <w:jc w:val="both"/>
        <w:rPr>
          <w:rFonts w:ascii="David" w:hAnsi="David"/>
          <w:rtl/>
        </w:rPr>
      </w:pPr>
    </w:p>
    <w:p w14:paraId="053512B6" w14:textId="77777777" w:rsidR="00D5563F" w:rsidRDefault="00D5563F" w:rsidP="00D5563F">
      <w:pPr>
        <w:spacing w:line="360" w:lineRule="auto"/>
        <w:jc w:val="both"/>
        <w:rPr>
          <w:rFonts w:ascii="David" w:hAnsi="David"/>
          <w:rtl/>
        </w:rPr>
      </w:pPr>
      <w:r>
        <w:rPr>
          <w:rFonts w:ascii="David" w:hAnsi="David"/>
          <w:rtl/>
        </w:rPr>
        <w:lastRenderedPageBreak/>
        <w:t xml:space="preserve">ביום האירוע בשעות הצהריים, על רקע הסכסוך לעיל ובעקבות דין ודברים שהיה בין סבע לבין אחמד, חיפשו 3 האחים את הנאשם ואת סבע, והגיעו כשהם מצוידים בסכינים ברכב מסוג סיטרואן (להלן: </w:t>
      </w:r>
      <w:r>
        <w:rPr>
          <w:rFonts w:ascii="David" w:hAnsi="David"/>
          <w:b/>
          <w:bCs/>
          <w:rtl/>
        </w:rPr>
        <w:t>הרכב</w:t>
      </w:r>
      <w:r>
        <w:rPr>
          <w:rFonts w:ascii="David" w:hAnsi="David"/>
          <w:rtl/>
        </w:rPr>
        <w:t>) סמוך לבית הנאשם במג'ד אל כרום, שם עצרו סמוך לסמטה ללא מוצא. אותה עת עמדו הנאשם וסבע סמוך לבית הנאשם כשכל אחד מהם מצויד באקדח. המשך כתב האישום המתוקן מתאר את ההתרחשות הבאה:</w:t>
      </w:r>
    </w:p>
    <w:p w14:paraId="601B8C0F"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הנאשם וסבע הבחינו באחים בתוך הרכב, וכן הבחינו שאחמד אוחז בסכין. בעקבות כך כיוונו הנאשמים את האקדחים לעבר האחים. </w:t>
      </w:r>
    </w:p>
    <w:p w14:paraId="1BD90148"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האחים ירדו מהרכב מצדו הימני, ובמקביל הנאשם וסבע הקיפו את הרכב משני צדדיו ורצו לעבר האחים באקדחים שלופים וירו לעברם; </w:t>
      </w:r>
    </w:p>
    <w:p w14:paraId="6F12D4DC"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אחמד ברח תחילה מהמקום אך כעבור מספר מטרים שב על עקבותיו כשהוא אוחז בידו סכין; </w:t>
      </w:r>
    </w:p>
    <w:p w14:paraId="407CF47B"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באותה עת התעמת הנאשם עם מוחמד, ירה לעבר רגלו, ובעקבות כך נמלט מוחמד מהזירה כשהוא מדדה ומדמם;</w:t>
      </w:r>
    </w:p>
    <w:p w14:paraId="14BBF691"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בשלב זה הבחין הנאשם באחמד רץ לכוונו עם סכין בידו. בעקבות כך ירה הנאשם לעבר אחמד מספר יריות מטווח קצר אשר גרמו למותו, כשהוא שווה נפש לתוצאת מעשיו;</w:t>
      </w:r>
    </w:p>
    <w:p w14:paraId="09EED107"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עוד באותה עת, התעמתו סבע וחליל, וחליל דקר את סבע. כתוצאה מכך נגרם מותו של סבע;  </w:t>
      </w:r>
    </w:p>
    <w:p w14:paraId="29D59D6F"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הנאשם, שעמד בסמוך לסבע וחליל, הבחין במתרחש וירה לעבר חליל מספר יריות מטווח קצר וגרם למותו של האחרון, כשהוא שווה נפש לתוצאות מעשיו. </w:t>
      </w:r>
    </w:p>
    <w:p w14:paraId="03058564"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במהלך כלל האירוע ירה הנאשם לפחות 9 יריות לעבר האחים, וסבע ירה לפחות ירייה אחת; </w:t>
      </w:r>
    </w:p>
    <w:p w14:paraId="05DB0D8C"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t xml:space="preserve"> מיד בתום המתואר לעיל, הנאשם נמלט מהזירה ושב אליה כעבור מספר דקות לאחר שהחליף חולצה, הסתובב בזירה ושוב נמלט ממנה. הנאשם היה בבריחה עד ליום 16.11.19, אז הסגיר עצמו למשטרה. </w:t>
      </w:r>
    </w:p>
    <w:p w14:paraId="3FA35A86" w14:textId="77777777" w:rsidR="00D5563F" w:rsidRDefault="00D5563F" w:rsidP="00D5563F">
      <w:pPr>
        <w:spacing w:line="360" w:lineRule="auto"/>
        <w:jc w:val="both"/>
        <w:rPr>
          <w:rFonts w:ascii="David" w:hAnsi="David"/>
          <w:rtl/>
        </w:rPr>
      </w:pPr>
    </w:p>
    <w:p w14:paraId="78D4AD05" w14:textId="77777777" w:rsidR="00D5563F" w:rsidRDefault="00D5563F" w:rsidP="00D5563F">
      <w:pPr>
        <w:spacing w:line="360" w:lineRule="auto"/>
        <w:jc w:val="both"/>
        <w:rPr>
          <w:rFonts w:ascii="David" w:hAnsi="David"/>
          <w:u w:val="single"/>
          <w:rtl/>
        </w:rPr>
      </w:pPr>
      <w:r>
        <w:rPr>
          <w:rFonts w:ascii="David" w:hAnsi="David"/>
          <w:u w:val="single"/>
          <w:rtl/>
        </w:rPr>
        <w:t>הסדר הטיעון</w:t>
      </w:r>
    </w:p>
    <w:p w14:paraId="11FE8E62" w14:textId="77777777" w:rsidR="00D5563F" w:rsidRDefault="00D5563F" w:rsidP="00D5563F">
      <w:pPr>
        <w:spacing w:line="360" w:lineRule="auto"/>
        <w:jc w:val="both"/>
        <w:rPr>
          <w:rFonts w:ascii="David" w:hAnsi="David"/>
          <w:rtl/>
        </w:rPr>
      </w:pPr>
      <w:r>
        <w:rPr>
          <w:rFonts w:ascii="David" w:hAnsi="David"/>
          <w:rtl/>
        </w:rPr>
        <w:t xml:space="preserve">במקור, הוגש כתב האישום בעבירות של רצח בנסיבות מחמירות (נסיבה מחמירה ראשונה; שני מקרים); ניסיון רצח; וכן נשיאת נשק. על פי הסדר הטיעון, תוקן כתב האישום כפי שפורט לעיל והוסכם בין היתר (ר' ס' 8 להסכם הכתוב), שההגנה לא תטען לקרבה לסייג לאחריות פלילית. לעניין העונש, הצדדים עתרו לרכיב מאסר בפועל של 15 שנים בניכוי תקופת המעצר (מיום 16.11.19), ועוד סוכם כי הצדדים יטענו כראות עיניהם לעניין רכיב המאסר על תנאי ולעניין הפיצויים. </w:t>
      </w:r>
    </w:p>
    <w:p w14:paraId="6DA8F8ED" w14:textId="77777777" w:rsidR="00D5563F" w:rsidRDefault="00D5563F" w:rsidP="00D5563F">
      <w:pPr>
        <w:spacing w:line="360" w:lineRule="auto"/>
        <w:jc w:val="both"/>
        <w:rPr>
          <w:rFonts w:ascii="David" w:hAnsi="David"/>
          <w:u w:val="single"/>
        </w:rPr>
      </w:pPr>
    </w:p>
    <w:p w14:paraId="06628633" w14:textId="77777777" w:rsidR="00D5563F" w:rsidRDefault="00D5563F" w:rsidP="00D5563F">
      <w:pPr>
        <w:spacing w:line="360" w:lineRule="auto"/>
        <w:jc w:val="both"/>
        <w:rPr>
          <w:rFonts w:ascii="David" w:hAnsi="David"/>
          <w:u w:val="single"/>
          <w:rtl/>
        </w:rPr>
      </w:pPr>
      <w:r>
        <w:rPr>
          <w:rFonts w:ascii="David" w:hAnsi="David"/>
          <w:u w:val="single"/>
          <w:rtl/>
        </w:rPr>
        <w:t>תסקיר</w:t>
      </w:r>
      <w:r>
        <w:rPr>
          <w:rFonts w:ascii="David" w:hAnsi="David" w:hint="cs"/>
          <w:u w:val="single"/>
          <w:rtl/>
        </w:rPr>
        <w:t>י</w:t>
      </w:r>
      <w:r>
        <w:rPr>
          <w:rFonts w:ascii="David" w:hAnsi="David"/>
          <w:u w:val="single"/>
          <w:rtl/>
        </w:rPr>
        <w:t xml:space="preserve"> קורבנות העבירה</w:t>
      </w:r>
    </w:p>
    <w:p w14:paraId="0CC30DCD" w14:textId="77777777" w:rsidR="00D5563F" w:rsidRDefault="00D5563F" w:rsidP="00D5563F">
      <w:pPr>
        <w:spacing w:line="360" w:lineRule="auto"/>
        <w:jc w:val="both"/>
        <w:rPr>
          <w:rFonts w:ascii="David" w:hAnsi="David"/>
          <w:rtl/>
        </w:rPr>
      </w:pPr>
      <w:r>
        <w:rPr>
          <w:rFonts w:ascii="David" w:hAnsi="David"/>
          <w:rtl/>
        </w:rPr>
        <w:t>שירות המבחן הכין תסקיר הנוגע לאמו של המנוח, אחִיו מוחמד וכן אחיותיו; ותסקיר נוסף הנגע לאלמנתו וילדיו של אחמד.</w:t>
      </w:r>
    </w:p>
    <w:p w14:paraId="31F51896" w14:textId="77777777" w:rsidR="00D5563F" w:rsidRDefault="00D5563F" w:rsidP="00D5563F">
      <w:pPr>
        <w:spacing w:line="360" w:lineRule="auto"/>
        <w:jc w:val="both"/>
        <w:rPr>
          <w:rFonts w:ascii="David" w:hAnsi="David"/>
          <w:rtl/>
        </w:rPr>
      </w:pPr>
    </w:p>
    <w:p w14:paraId="22BD054A" w14:textId="77777777" w:rsidR="00D5563F" w:rsidRDefault="00D5563F" w:rsidP="00D5563F">
      <w:pPr>
        <w:spacing w:line="360" w:lineRule="auto"/>
        <w:jc w:val="both"/>
        <w:rPr>
          <w:rFonts w:ascii="David" w:hAnsi="David"/>
          <w:rtl/>
        </w:rPr>
      </w:pPr>
      <w:r>
        <w:rPr>
          <w:rFonts w:ascii="David" w:hAnsi="David"/>
          <w:rtl/>
        </w:rPr>
        <w:t>בתסקיר הראשון צוין כי תמונת הנזק למשפחת המנוחים היא "קשה וחמורה ביותר". מדובר במשפחה שכללה את אֵם המנוחים ו 6 ילדים (אבי המשפחה נפטר כשנה לפני האירוע). המנוח אחמד, כבן 30 שנים במותו, היה הבכור, והמנוח חליל, כבן 20 במותו, היה החמישי בסדר הלידה. משום הרצון לשמור על צנעת הנוגעים בדבר לא נאריך בפירוט, אך נציין, בקצרה, כי בני המשפחה מתקשים להכיל את חסרון המנוחים ולהתמודד עם האובדן המטלטל. עורכות התסקיר תיארו, הן בנוגע לאֵם המנוחים ו</w:t>
      </w:r>
      <w:r>
        <w:rPr>
          <w:rFonts w:ascii="David" w:hAnsi="David" w:hint="cs"/>
          <w:rtl/>
        </w:rPr>
        <w:t>ה</w:t>
      </w:r>
      <w:r>
        <w:rPr>
          <w:rFonts w:ascii="David" w:hAnsi="David"/>
          <w:rtl/>
        </w:rPr>
        <w:t>ן בנוגע למוחמד ואחיותיו, פגיעה קשה בכל מישורי החיים – הנפשי, הרגשי, המשפחתי והכלכלי. חרף השנים שחלפו מאז האירוע בני המשפחה חווים את אובדן המנוחים כאילו התרחש זה עתה, ובפגישה עם בני המשפחה בלטו הכאב והאבל. צוין כי לא התקיים בין הצדדים הליך של סולחה, ובני המשפחה רואים עצמם כפגיעים בהיעדר מקור תמיכה גברי משמעותי ובשים לב למעמדם החברתי בכפר. התחושות הקשות של בני המשפחה הועצמו, מנקודת מבטם, נוכח הסדר הטיעון המבטא בעיניהם היעדר הכרה בעוצמת הפגיעה וההרס שנגר</w:t>
      </w:r>
      <w:r>
        <w:rPr>
          <w:rFonts w:ascii="David" w:hAnsi="David" w:hint="cs"/>
          <w:rtl/>
        </w:rPr>
        <w:t>מו</w:t>
      </w:r>
      <w:r>
        <w:rPr>
          <w:rFonts w:ascii="David" w:hAnsi="David"/>
          <w:rtl/>
        </w:rPr>
        <w:t xml:space="preserve"> להם. עורכות התסקיר התייחסו ביתר פירוט לכל אחד מבני המשפחה עמם נפגשו (אם המנוחים, מוחמד ושתיים מהאחיות) ותיארו את הפגיעה הקונקרטית והקשה בכל אחד מהם. </w:t>
      </w:r>
    </w:p>
    <w:p w14:paraId="4880B6B5" w14:textId="77777777" w:rsidR="00D5563F" w:rsidRDefault="00D5563F" w:rsidP="00D5563F">
      <w:pPr>
        <w:spacing w:line="360" w:lineRule="auto"/>
        <w:jc w:val="both"/>
        <w:rPr>
          <w:rFonts w:ascii="David" w:hAnsi="David"/>
          <w:rtl/>
        </w:rPr>
      </w:pPr>
    </w:p>
    <w:p w14:paraId="0CEE1AE5" w14:textId="77777777" w:rsidR="00D5563F" w:rsidRDefault="00D5563F" w:rsidP="00D5563F">
      <w:pPr>
        <w:spacing w:line="360" w:lineRule="auto"/>
        <w:jc w:val="both"/>
        <w:rPr>
          <w:rFonts w:ascii="David" w:hAnsi="David"/>
          <w:rtl/>
        </w:rPr>
      </w:pPr>
      <w:r>
        <w:rPr>
          <w:rFonts w:ascii="David" w:hAnsi="David"/>
          <w:rtl/>
        </w:rPr>
        <w:t xml:space="preserve">לגבי המנוח אחמד, צוין כי הוא הותיר אחריו אלמנה ו 2 ילדים, כיום כבני 6 ו 7. עובר למותו בני הזוג היו פרודים, ואלמנתו תיארה אותו כאב מסור שהילדים היו כל עולמו. היא הוסיפה שעובר לאירוע היא קיוותה שהיחסים בינה לבין המנוח </w:t>
      </w:r>
      <w:r>
        <w:rPr>
          <w:rFonts w:ascii="David" w:hAnsi="David" w:hint="cs"/>
          <w:rtl/>
        </w:rPr>
        <w:t xml:space="preserve">ישתפרו והם </w:t>
      </w:r>
      <w:r>
        <w:rPr>
          <w:rFonts w:ascii="David" w:hAnsi="David"/>
          <w:rtl/>
        </w:rPr>
        <w:t xml:space="preserve">ישובו לחיות יחדיו. צוין, שחרף פרידת בני הזוג המנוח תמך כספית באלמנתו ובילדים, ומותו </w:t>
      </w:r>
      <w:r>
        <w:rPr>
          <w:rFonts w:ascii="David" w:hAnsi="David" w:hint="cs"/>
          <w:rtl/>
        </w:rPr>
        <w:t>גרם למצוקה כלכלית ו</w:t>
      </w:r>
      <w:r>
        <w:rPr>
          <w:rFonts w:ascii="David" w:hAnsi="David"/>
          <w:rtl/>
        </w:rPr>
        <w:t xml:space="preserve">אילץ את האלמנה להתמודד לבדה עם הנטל הכלכלי ועם חוסר וודאות קיומית בהיעדר תמיכה אחרת מצד משפחתה או מצד משפחת המנוח. בנוסף, תוארו השלכות האובדן על ילדי המנוח - חייהם השתנו באחת, וילדותם הפכה מרגילה ובריאה לעצובה ועם חסכים. התסקיר אף פירט את הקשיים של כל אחד מהילדים ומטעמי צנעת הפרט לא נרחיב בנדון. </w:t>
      </w:r>
    </w:p>
    <w:p w14:paraId="258A6E34" w14:textId="77777777" w:rsidR="00D5563F" w:rsidRDefault="00D5563F" w:rsidP="00D5563F">
      <w:pPr>
        <w:spacing w:line="360" w:lineRule="auto"/>
        <w:jc w:val="both"/>
        <w:rPr>
          <w:rFonts w:ascii="David" w:hAnsi="David"/>
          <w:u w:val="single"/>
          <w:rtl/>
        </w:rPr>
      </w:pPr>
    </w:p>
    <w:p w14:paraId="4AB27E68" w14:textId="77777777" w:rsidR="00D5563F" w:rsidRDefault="00D5563F" w:rsidP="00D5563F">
      <w:pPr>
        <w:spacing w:line="360" w:lineRule="auto"/>
        <w:jc w:val="both"/>
        <w:rPr>
          <w:rFonts w:ascii="David" w:hAnsi="David"/>
          <w:u w:val="single"/>
          <w:rtl/>
        </w:rPr>
      </w:pPr>
      <w:r>
        <w:rPr>
          <w:rFonts w:ascii="David" w:hAnsi="David"/>
          <w:u w:val="single"/>
          <w:rtl/>
        </w:rPr>
        <w:t>תמצית טיעוני הצדדים לעונש ודבר הנאשם</w:t>
      </w:r>
    </w:p>
    <w:p w14:paraId="3CA83A7E" w14:textId="77777777" w:rsidR="00D5563F" w:rsidRDefault="00D5563F" w:rsidP="00D5563F">
      <w:pPr>
        <w:spacing w:line="360" w:lineRule="auto"/>
        <w:jc w:val="both"/>
        <w:rPr>
          <w:rFonts w:ascii="David" w:hAnsi="David"/>
          <w:rtl/>
        </w:rPr>
      </w:pPr>
      <w:r>
        <w:rPr>
          <w:rFonts w:ascii="David" w:hAnsi="David"/>
          <w:rtl/>
        </w:rPr>
        <w:t xml:space="preserve">שני הצדדים עתרו, מטבע הדברים, לאמץ את הסדר הטיעון; וטענו, בתמצית, כי בשקלול כלל הנסיבות מדובר בהסדר סביר ומאוזן שבא על רקע הקשיים הראייתיים שהתגלו במהלך שמיעת ההליך. </w:t>
      </w:r>
    </w:p>
    <w:p w14:paraId="1CD8BE08" w14:textId="77777777" w:rsidR="00D5563F" w:rsidRDefault="00D5563F" w:rsidP="00D5563F">
      <w:pPr>
        <w:spacing w:line="360" w:lineRule="auto"/>
        <w:jc w:val="both"/>
        <w:rPr>
          <w:rFonts w:ascii="David" w:hAnsi="David"/>
          <w:rtl/>
        </w:rPr>
      </w:pPr>
    </w:p>
    <w:p w14:paraId="41FEEC9B" w14:textId="77777777" w:rsidR="00D5563F" w:rsidRDefault="00D5563F" w:rsidP="00D5563F">
      <w:pPr>
        <w:spacing w:line="360" w:lineRule="auto"/>
        <w:jc w:val="both"/>
        <w:rPr>
          <w:rFonts w:ascii="David" w:hAnsi="David"/>
          <w:rtl/>
        </w:rPr>
      </w:pPr>
      <w:r>
        <w:rPr>
          <w:rFonts w:ascii="David" w:hAnsi="David"/>
          <w:rtl/>
        </w:rPr>
        <w:t>המאשימה הפנתה לעברו הפלילי של הנאשם ולכך כי בימים אלה הוא מרצה עונש מאסר של 6 חודשים שנגזר עליו לאחרונה, תקופה שאין לשיטת</w:t>
      </w:r>
      <w:r>
        <w:rPr>
          <w:rFonts w:ascii="David" w:hAnsi="David" w:hint="cs"/>
          <w:rtl/>
        </w:rPr>
        <w:t>ה</w:t>
      </w:r>
      <w:r>
        <w:rPr>
          <w:rFonts w:ascii="David" w:hAnsi="David"/>
          <w:rtl/>
        </w:rPr>
        <w:t xml:space="preserve"> לנכות מהמאסר שיושת בהליך הנוכחי. נוסף על כך עתרה המאשימה להטלת הפיצויים המרביים, בנפרד, לטובת אלמנתו של אחמד ולטובת משפחתו של המנוח חליל; וכן עתרה לפיצוי משמעותי לטובת מוחמד שכאמור נפצע באירוע. </w:t>
      </w:r>
    </w:p>
    <w:p w14:paraId="6BC7DCE2" w14:textId="77777777" w:rsidR="00D5563F" w:rsidRDefault="00D5563F" w:rsidP="00D5563F">
      <w:pPr>
        <w:spacing w:line="360" w:lineRule="auto"/>
        <w:jc w:val="both"/>
        <w:rPr>
          <w:rFonts w:ascii="David" w:hAnsi="David"/>
          <w:rtl/>
        </w:rPr>
      </w:pPr>
    </w:p>
    <w:p w14:paraId="6D71BD7D" w14:textId="77777777" w:rsidR="00D5563F" w:rsidRDefault="00D5563F" w:rsidP="00D5563F">
      <w:pPr>
        <w:spacing w:line="360" w:lineRule="auto"/>
        <w:jc w:val="both"/>
        <w:rPr>
          <w:rFonts w:ascii="David" w:hAnsi="David"/>
          <w:rtl/>
        </w:rPr>
      </w:pPr>
      <w:r>
        <w:rPr>
          <w:rFonts w:ascii="David" w:hAnsi="David"/>
          <w:rtl/>
        </w:rPr>
        <w:t>גם באי כוח הנאשם עתרו לאימוץ ההסדר, וביססו את עתירתם לעיל בקשיים הראיית</w:t>
      </w:r>
      <w:r>
        <w:rPr>
          <w:rFonts w:ascii="David" w:hAnsi="David" w:hint="cs"/>
          <w:rtl/>
        </w:rPr>
        <w:t>י</w:t>
      </w:r>
      <w:r>
        <w:rPr>
          <w:rFonts w:ascii="David" w:hAnsi="David"/>
          <w:rtl/>
        </w:rPr>
        <w:t>ים שלרובם נחשף בית המשפט במהלך שמיעת הראיות. עיקר טיעוני ההגנה מוקדו בטעמים שאמורים להוביל לאי השתת תקרת הפיצוי. צוין כי מבלי להקל בתוצאות האירוע, נתוני הבסיס הם כי המנוחים ומוחמד היו אלה שהגיעו חמושים בסכינים וחיפשו אחר סבע – שאף מצא את מותו באירוע. לכן, ועל אף שהנאשם אינו חוסה תחת ההגנה העצמית או קרוב לכך, יש לבחון את האירוע – בהקשר לסוגיית הפיצוי – בפריזמת הנתונים לעיל. ועוד בהקשר לפיצויים, הפנו באי כוח הנאשם לכך כי לאחר האירוע ובמסגרת הסדר "הודנה", שילמה משפחת הנאשם למשפחת המנוחים סכום של 50,000 ₪ (נתון שלא הוכחש או נסתר על ידי המאשימה), ואף העתיקו את מקום מגוריהם אל מחוץ ממג'ד אל כרום. בנוסף, עתרו באי כוח הנאשם לחפיפה ולו מסוימת של המאסר אותו מרצה הנאשם, עם התקופה שתיגזר עליו.</w:t>
      </w:r>
    </w:p>
    <w:p w14:paraId="3F7F5A1F" w14:textId="77777777" w:rsidR="00D5563F" w:rsidRDefault="00D5563F" w:rsidP="00D5563F">
      <w:pPr>
        <w:spacing w:line="360" w:lineRule="auto"/>
        <w:jc w:val="both"/>
        <w:rPr>
          <w:rFonts w:ascii="David" w:hAnsi="David"/>
          <w:rtl/>
        </w:rPr>
      </w:pPr>
    </w:p>
    <w:p w14:paraId="13B13EE4" w14:textId="77777777" w:rsidR="00D5563F" w:rsidRDefault="00D5563F" w:rsidP="00D5563F">
      <w:pPr>
        <w:spacing w:line="360" w:lineRule="auto"/>
        <w:jc w:val="both"/>
        <w:rPr>
          <w:rFonts w:ascii="David" w:hAnsi="David"/>
          <w:u w:val="single"/>
          <w:rtl/>
        </w:rPr>
      </w:pPr>
      <w:r>
        <w:rPr>
          <w:rFonts w:ascii="David" w:hAnsi="David"/>
          <w:u w:val="single"/>
          <w:rtl/>
        </w:rPr>
        <w:t>דיון והחלטה</w:t>
      </w:r>
    </w:p>
    <w:p w14:paraId="11C66C53" w14:textId="77777777" w:rsidR="00D5563F" w:rsidRDefault="00D5563F" w:rsidP="00D5563F">
      <w:pPr>
        <w:pStyle w:val="ListParagraph"/>
        <w:spacing w:after="0" w:line="360" w:lineRule="auto"/>
        <w:ind w:left="0"/>
        <w:jc w:val="both"/>
        <w:rPr>
          <w:rFonts w:ascii="David" w:hAnsi="David" w:cs="David"/>
          <w:sz w:val="24"/>
          <w:szCs w:val="24"/>
          <w:rtl/>
        </w:rPr>
      </w:pPr>
      <w:r>
        <w:rPr>
          <w:rFonts w:ascii="David" w:hAnsi="David" w:cs="David"/>
          <w:sz w:val="24"/>
          <w:szCs w:val="24"/>
          <w:rtl/>
        </w:rPr>
        <w:t xml:space="preserve">אין חולק על חומרת האירוע. מדובר באירוע טראגי בו היו מעורבים חמישה – מתוך 3 האחים לבית מנאע, שניים נורו למוות על ידי הנאשם; ובנוסף, חברו של הנאשם - סבע, קיפח אף הוא את חייו לאחר שנדקר על ידי חליל. טרגדיה גדולה נפלה אם כן על משפחת מנאע ועל משפחתו של סבע. </w:t>
      </w:r>
    </w:p>
    <w:p w14:paraId="0436682D" w14:textId="77777777" w:rsidR="00D5563F" w:rsidRDefault="00D5563F" w:rsidP="00D5563F">
      <w:pPr>
        <w:pStyle w:val="ListParagraph"/>
        <w:spacing w:after="0" w:line="360" w:lineRule="auto"/>
        <w:ind w:left="0"/>
        <w:jc w:val="both"/>
        <w:rPr>
          <w:rFonts w:ascii="David" w:hAnsi="David" w:cs="David"/>
          <w:sz w:val="24"/>
          <w:szCs w:val="24"/>
          <w:rtl/>
        </w:rPr>
      </w:pPr>
    </w:p>
    <w:p w14:paraId="3647266B" w14:textId="77777777" w:rsidR="00D5563F" w:rsidRPr="002F691B" w:rsidRDefault="00D5563F" w:rsidP="00D5563F">
      <w:pPr>
        <w:pStyle w:val="ListParagraph"/>
        <w:spacing w:after="0" w:line="360" w:lineRule="auto"/>
        <w:ind w:left="0"/>
        <w:jc w:val="both"/>
        <w:rPr>
          <w:rFonts w:ascii="David" w:hAnsi="David" w:cs="David"/>
          <w:b/>
          <w:bCs/>
          <w:sz w:val="24"/>
          <w:szCs w:val="24"/>
          <w:rtl/>
        </w:rPr>
      </w:pPr>
      <w:r w:rsidRPr="002F691B">
        <w:rPr>
          <w:rFonts w:ascii="David" w:hAnsi="David" w:cs="David"/>
          <w:sz w:val="24"/>
          <w:szCs w:val="24"/>
          <w:rtl/>
        </w:rPr>
        <w:t>ב</w:t>
      </w:r>
      <w:hyperlink r:id="rId15" w:history="1">
        <w:r w:rsidR="00AF7F66" w:rsidRPr="00AF7F66">
          <w:rPr>
            <w:rFonts w:ascii="David" w:hAnsi="David" w:cs="David"/>
            <w:color w:val="0000FF"/>
            <w:sz w:val="24"/>
            <w:szCs w:val="24"/>
            <w:u w:val="single"/>
            <w:rtl/>
          </w:rPr>
          <w:t>ע"פ 9422/11</w:t>
        </w:r>
      </w:hyperlink>
      <w:r w:rsidRPr="002F691B">
        <w:rPr>
          <w:rFonts w:ascii="David" w:hAnsi="David" w:cs="David"/>
          <w:sz w:val="24"/>
          <w:szCs w:val="24"/>
          <w:rtl/>
        </w:rPr>
        <w:t xml:space="preserve"> </w:t>
      </w:r>
      <w:r w:rsidRPr="002F691B">
        <w:rPr>
          <w:rFonts w:ascii="Miriam" w:hAnsi="Miriam" w:cs="Miriam"/>
          <w:sz w:val="24"/>
          <w:szCs w:val="24"/>
          <w:rtl/>
        </w:rPr>
        <w:t>דהן נ' מדינת ישראל</w:t>
      </w:r>
      <w:r w:rsidRPr="002F691B">
        <w:rPr>
          <w:rFonts w:ascii="David" w:hAnsi="David" w:cs="David"/>
          <w:sz w:val="24"/>
          <w:szCs w:val="24"/>
          <w:rtl/>
        </w:rPr>
        <w:t xml:space="preserve"> </w:t>
      </w:r>
      <w:r w:rsidR="000F52ED" w:rsidRPr="000F52ED">
        <w:rPr>
          <w:rFonts w:ascii="Times New Roman" w:hAnsi="Times New Roman" w:cs="David"/>
          <w:szCs w:val="24"/>
          <w:rtl/>
        </w:rPr>
        <w:t xml:space="preserve">[פורסם בנבו] </w:t>
      </w:r>
      <w:r w:rsidRPr="002F691B">
        <w:rPr>
          <w:rFonts w:ascii="David" w:hAnsi="David" w:cs="David"/>
          <w:sz w:val="24"/>
          <w:szCs w:val="24"/>
          <w:rtl/>
        </w:rPr>
        <w:t xml:space="preserve">(3.7.13), הובאו הדברים הבאים שנכונים גם לענייננו: </w:t>
      </w:r>
    </w:p>
    <w:p w14:paraId="6299A6D1" w14:textId="77777777" w:rsidR="00D5563F" w:rsidRDefault="00D5563F" w:rsidP="00D5563F">
      <w:pPr>
        <w:pStyle w:val="ListParagraph"/>
        <w:spacing w:after="0" w:line="360" w:lineRule="auto"/>
        <w:ind w:left="0"/>
        <w:jc w:val="both"/>
        <w:rPr>
          <w:rFonts w:ascii="David" w:hAnsi="David" w:cs="David"/>
          <w:b/>
          <w:bCs/>
          <w:sz w:val="24"/>
          <w:szCs w:val="24"/>
          <w:rtl/>
        </w:rPr>
      </w:pPr>
    </w:p>
    <w:p w14:paraId="3BA198DC" w14:textId="77777777" w:rsidR="00D5563F" w:rsidRDefault="00D5563F" w:rsidP="00D5563F">
      <w:pPr>
        <w:pStyle w:val="ListParagraph"/>
        <w:spacing w:after="0" w:line="360" w:lineRule="auto"/>
        <w:ind w:left="0"/>
        <w:jc w:val="both"/>
        <w:rPr>
          <w:rFonts w:ascii="David" w:hAnsi="David" w:cs="David"/>
          <w:b/>
          <w:bCs/>
          <w:sz w:val="24"/>
          <w:szCs w:val="24"/>
          <w:rtl/>
        </w:rPr>
      </w:pPr>
      <w:r>
        <w:rPr>
          <w:rFonts w:ascii="David" w:hAnsi="David" w:cs="David"/>
          <w:b/>
          <w:bCs/>
          <w:sz w:val="24"/>
          <w:szCs w:val="24"/>
          <w:rtl/>
        </w:rPr>
        <w:t xml:space="preserve">"דומה, כי כבר נאמר כל שניתן על הקלות הבלתי נתפסת בה נגדעים בארצנו חיי אדם,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 </w:t>
      </w:r>
    </w:p>
    <w:p w14:paraId="41721034" w14:textId="77777777" w:rsidR="00D5563F" w:rsidRDefault="00D5563F" w:rsidP="00D5563F">
      <w:pPr>
        <w:spacing w:line="360" w:lineRule="auto"/>
        <w:jc w:val="both"/>
        <w:rPr>
          <w:rFonts w:ascii="David" w:hAnsi="David"/>
          <w:rtl/>
        </w:rPr>
      </w:pPr>
    </w:p>
    <w:p w14:paraId="4FE48464" w14:textId="77777777" w:rsidR="00D5563F" w:rsidRDefault="00D5563F" w:rsidP="00D5563F">
      <w:pPr>
        <w:spacing w:line="360" w:lineRule="auto"/>
        <w:jc w:val="both"/>
        <w:rPr>
          <w:rFonts w:ascii="David" w:hAnsi="David"/>
          <w:u w:val="single"/>
          <w:rtl/>
        </w:rPr>
      </w:pPr>
      <w:r>
        <w:rPr>
          <w:rFonts w:ascii="David" w:hAnsi="David"/>
          <w:u w:val="single"/>
          <w:rtl/>
        </w:rPr>
        <w:t xml:space="preserve">לאחר ששקלנו את כלל נתוני העניין ואת טיעוני הצדדים מצאנו לנכון לאמץ את ההסדר. </w:t>
      </w:r>
    </w:p>
    <w:p w14:paraId="0CB7C094" w14:textId="77777777" w:rsidR="00D5563F" w:rsidRDefault="00D5563F" w:rsidP="00D5563F">
      <w:pPr>
        <w:spacing w:line="360" w:lineRule="auto"/>
        <w:jc w:val="both"/>
        <w:rPr>
          <w:rFonts w:ascii="David" w:hAnsi="David"/>
          <w:rtl/>
        </w:rPr>
      </w:pPr>
    </w:p>
    <w:p w14:paraId="0063B5DA" w14:textId="77777777" w:rsidR="00D5563F" w:rsidRDefault="00D5563F" w:rsidP="00D5563F">
      <w:pPr>
        <w:spacing w:line="360" w:lineRule="auto"/>
        <w:jc w:val="both"/>
        <w:rPr>
          <w:rFonts w:ascii="David" w:hAnsi="David"/>
          <w:rtl/>
        </w:rPr>
      </w:pPr>
      <w:r>
        <w:rPr>
          <w:rFonts w:ascii="David" w:hAnsi="David"/>
          <w:rtl/>
        </w:rPr>
        <w:t xml:space="preserve">שיקול מרכזי היה זה עליו הצביעו הצדדים הוא הקשיים הראייתיים. כתב האישום הוגש בחודש 12/2019; שמיעת הראיות החלה בחודש 11/2020, ומאז נשמעו למעלה מ 30 דיוני הוכחות. בנוסף, דיונים לא מעטים בוטלו מסיבות שונות (קורונה, בעיות בריאות, ועוד). משכך, גם בית המשפט נחשף לחלק ניכר מראיות הצדדים ולקשיים שהובילו להסדר הטיעון. שמיעת ההליך החלה עם עדותו של מוחמד, העד היחיד שיכול היה לשפוך אור על האירוע מתחילתו ועד סופו, אך הוא  מסר מספר גרסאות לאירוע, דבר שלא הקל על גילוי האמת. בנוסף, העידו מספר עדים שהבחינו בחלקים מהאירוע וכן הובאו ממצאים פורנזיים רבים אשר מסרו "עדות שותקת" אודות האירוע האלים שהתרחש בין חמשת המעורבים, שלושה מהם כבר אינם לצערנו עמנו.  </w:t>
      </w:r>
    </w:p>
    <w:p w14:paraId="0C4415A2" w14:textId="77777777" w:rsidR="00D5563F" w:rsidRDefault="00D5563F" w:rsidP="00D5563F">
      <w:pPr>
        <w:spacing w:line="360" w:lineRule="auto"/>
        <w:jc w:val="both"/>
        <w:rPr>
          <w:rFonts w:ascii="David" w:hAnsi="David"/>
          <w:rtl/>
        </w:rPr>
      </w:pPr>
    </w:p>
    <w:p w14:paraId="2AFEAC7D" w14:textId="77777777" w:rsidR="00D5563F" w:rsidRDefault="00D5563F" w:rsidP="00D5563F">
      <w:pPr>
        <w:spacing w:line="360" w:lineRule="auto"/>
        <w:jc w:val="both"/>
        <w:rPr>
          <w:rFonts w:ascii="David" w:hAnsi="David"/>
          <w:rtl/>
        </w:rPr>
      </w:pPr>
      <w:r>
        <w:rPr>
          <w:rFonts w:ascii="David" w:hAnsi="David"/>
          <w:rtl/>
        </w:rPr>
        <w:t xml:space="preserve">משכך, הקשיים הראייתיים אליהם הפנו באי כוח הצדדים לא היו בעלמא. עם זאת, יודגש, חרף אותם קשיים אין לדעת בוודאות כיצד היה מסתיים ההליך – בשני מאסרי עולם; בזיכוי; או בכל תוצאת ביניים. הסדר הטיעון הושג לאחר משא ומתן בין הצדדים, כאשר כל צד כלכל את צעדיו והעריך מנקודת מבטו את הראיות, על החוזקות והחולשות שבהן, וכן שקלל את סיכוייו וסיכוניו. מדובר בשני צדדים בעלי ידע וניסיון, שבחנו היטב את הראיות בתיק והגיעו להסדר לאחר שמיעה ממושכת של הראיות. חזקה על הצדדים ששקללו היטב את הסיכויים והסיכונים בפניהם ניצבו, </w:t>
      </w:r>
      <w:r>
        <w:rPr>
          <w:rFonts w:ascii="David" w:hAnsi="David"/>
          <w:u w:val="single"/>
          <w:rtl/>
        </w:rPr>
        <w:t>ומשכך מדובר בהסדר שהוא טוב עבור שני הצדדים</w:t>
      </w:r>
      <w:r>
        <w:rPr>
          <w:rFonts w:ascii="David" w:hAnsi="David"/>
          <w:rtl/>
        </w:rPr>
        <w:t>.</w:t>
      </w:r>
      <w:r>
        <w:rPr>
          <w:rFonts w:ascii="David" w:hAnsi="David"/>
          <w:u w:val="single"/>
          <w:rtl/>
        </w:rPr>
        <w:t xml:space="preserve"> </w:t>
      </w:r>
    </w:p>
    <w:p w14:paraId="072C07F4" w14:textId="77777777" w:rsidR="00D5563F" w:rsidRDefault="00D5563F" w:rsidP="00D5563F">
      <w:pPr>
        <w:spacing w:line="360" w:lineRule="auto"/>
        <w:jc w:val="both"/>
        <w:rPr>
          <w:rFonts w:ascii="David" w:hAnsi="David"/>
          <w:rtl/>
        </w:rPr>
      </w:pPr>
    </w:p>
    <w:p w14:paraId="3F39C9FC" w14:textId="77777777" w:rsidR="00D5563F" w:rsidRDefault="00D5563F" w:rsidP="00D5563F">
      <w:pPr>
        <w:spacing w:line="360" w:lineRule="auto"/>
        <w:jc w:val="both"/>
        <w:rPr>
          <w:rFonts w:ascii="David" w:hAnsi="David"/>
          <w:rtl/>
        </w:rPr>
      </w:pPr>
      <w:r>
        <w:rPr>
          <w:rFonts w:ascii="David" w:hAnsi="David"/>
          <w:rtl/>
        </w:rPr>
        <w:t xml:space="preserve">נזכיר, כי הסדר טיעון – קל וחומר כשהוא מושג ומוצג על רקע קשיים ראייתיים – הוא נתון משמעותי בגזירת הדין; הוא מוסד שיש אינטרס ציבורי בקיומו והוא חלק מהשיטה האדברסרית, הגם שלצד זאת נקבע כי בית המשפט אינו "חותמת גומי". על בית המשפט לשים לנגד עיניו שכיבוד הסדרי טיעון הוא אינטרס לגיטימי שאם לא כן עלול לחול כרסום במעמדו של מוסד זה. בפסיקה אף ניתן משקל משמעותי </w:t>
      </w:r>
      <w:r>
        <w:rPr>
          <w:rFonts w:ascii="David" w:hAnsi="David"/>
          <w:u w:val="single"/>
          <w:rtl/>
        </w:rPr>
        <w:t>לאינטרס ההסתמכות של הנאשם</w:t>
      </w:r>
      <w:r>
        <w:rPr>
          <w:rFonts w:ascii="David" w:hAnsi="David"/>
          <w:rtl/>
        </w:rPr>
        <w:t xml:space="preserve"> אשר הודה במיוחס לו מתוך ציפייה כי הודאתו תביא לקבלת הסדר הטיעון (וראה בנדון האמור ב</w:t>
      </w:r>
      <w:hyperlink r:id="rId16" w:history="1">
        <w:r w:rsidR="00AF7F66" w:rsidRPr="00AF7F66">
          <w:rPr>
            <w:rFonts w:ascii="David" w:hAnsi="David"/>
            <w:color w:val="0000FF"/>
            <w:u w:val="single"/>
            <w:rtl/>
          </w:rPr>
          <w:t>ע"פ 1958/98</w:t>
        </w:r>
      </w:hyperlink>
      <w:r>
        <w:rPr>
          <w:rFonts w:ascii="David" w:hAnsi="David"/>
          <w:rtl/>
        </w:rPr>
        <w:t xml:space="preserve"> </w:t>
      </w:r>
      <w:r>
        <w:rPr>
          <w:rFonts w:ascii="Miriam" w:hAnsi="Miriam" w:cs="Miriam"/>
          <w:rtl/>
        </w:rPr>
        <w:t>פלוני נ' מדינת ישראל</w:t>
      </w:r>
      <w:r>
        <w:rPr>
          <w:rFonts w:ascii="David" w:hAnsi="David"/>
          <w:rtl/>
        </w:rPr>
        <w:t xml:space="preserve">, פד"י נז (1), 577; </w:t>
      </w:r>
      <w:hyperlink r:id="rId17" w:history="1">
        <w:r w:rsidR="00AF7F66" w:rsidRPr="00AF7F66">
          <w:rPr>
            <w:rFonts w:ascii="David" w:hAnsi="David"/>
            <w:color w:val="0000FF"/>
            <w:u w:val="single"/>
            <w:rtl/>
          </w:rPr>
          <w:t>ע"פ 3068/10</w:t>
        </w:r>
      </w:hyperlink>
      <w:r>
        <w:rPr>
          <w:rFonts w:ascii="David" w:hAnsi="David"/>
          <w:rtl/>
        </w:rPr>
        <w:t xml:space="preserve"> </w:t>
      </w:r>
      <w:r>
        <w:rPr>
          <w:rFonts w:ascii="Miriam" w:hAnsi="Miriam" w:cs="Miriam"/>
          <w:rtl/>
        </w:rPr>
        <w:t>פלונית נ' מדינת ישראל</w:t>
      </w:r>
      <w:r>
        <w:rPr>
          <w:rFonts w:ascii="David" w:hAnsi="David"/>
          <w:rtl/>
        </w:rPr>
        <w:t xml:space="preserve"> </w:t>
      </w:r>
      <w:r w:rsidR="000F52ED" w:rsidRPr="000F52ED">
        <w:rPr>
          <w:sz w:val="22"/>
          <w:rtl/>
        </w:rPr>
        <w:t xml:space="preserve">[פורסם בנבו] </w:t>
      </w:r>
      <w:r>
        <w:rPr>
          <w:rFonts w:ascii="David" w:hAnsi="David"/>
          <w:rtl/>
        </w:rPr>
        <w:t xml:space="preserve">(1.11.10); </w:t>
      </w:r>
      <w:hyperlink r:id="rId18" w:history="1">
        <w:r w:rsidR="00AF7F66" w:rsidRPr="00AF7F66">
          <w:rPr>
            <w:rFonts w:ascii="David" w:hAnsi="David"/>
            <w:color w:val="0000FF"/>
            <w:u w:val="single"/>
            <w:rtl/>
          </w:rPr>
          <w:t>ע"פ 5845/14</w:t>
        </w:r>
      </w:hyperlink>
      <w:r>
        <w:rPr>
          <w:rFonts w:ascii="David" w:hAnsi="David"/>
          <w:rtl/>
        </w:rPr>
        <w:t xml:space="preserve"> </w:t>
      </w:r>
      <w:r>
        <w:rPr>
          <w:rFonts w:ascii="Miriam" w:hAnsi="Miriam" w:cs="Miriam"/>
          <w:rtl/>
        </w:rPr>
        <w:t>אסט נ' מדינת ישראל</w:t>
      </w:r>
      <w:r>
        <w:rPr>
          <w:rFonts w:ascii="David" w:hAnsi="David"/>
          <w:rtl/>
        </w:rPr>
        <w:t xml:space="preserve"> </w:t>
      </w:r>
      <w:r w:rsidR="000F52ED" w:rsidRPr="000F52ED">
        <w:rPr>
          <w:sz w:val="22"/>
          <w:rtl/>
        </w:rPr>
        <w:t xml:space="preserve">[פורסם בנבו] </w:t>
      </w:r>
      <w:r>
        <w:rPr>
          <w:rFonts w:ascii="David" w:hAnsi="David"/>
          <w:rtl/>
        </w:rPr>
        <w:t xml:space="preserve">(20.4.16); </w:t>
      </w:r>
      <w:hyperlink r:id="rId19" w:history="1">
        <w:r w:rsidR="00AF7F66" w:rsidRPr="00AF7F66">
          <w:rPr>
            <w:rFonts w:ascii="David" w:hAnsi="David"/>
            <w:color w:val="0000FF"/>
            <w:u w:val="single"/>
            <w:rtl/>
          </w:rPr>
          <w:t>ע"פ 2021/17</w:t>
        </w:r>
      </w:hyperlink>
      <w:r>
        <w:rPr>
          <w:rFonts w:ascii="David" w:hAnsi="David"/>
          <w:rtl/>
        </w:rPr>
        <w:t xml:space="preserve"> </w:t>
      </w:r>
      <w:r>
        <w:rPr>
          <w:rFonts w:ascii="Miriam" w:hAnsi="Miriam" w:cs="Miriam"/>
          <w:rtl/>
        </w:rPr>
        <w:t>מצגר נ' מדינת ישראל</w:t>
      </w:r>
      <w:r>
        <w:rPr>
          <w:rFonts w:ascii="David" w:hAnsi="David"/>
          <w:rtl/>
        </w:rPr>
        <w:t xml:space="preserve"> </w:t>
      </w:r>
      <w:r w:rsidR="000F52ED" w:rsidRPr="000F52ED">
        <w:rPr>
          <w:sz w:val="22"/>
          <w:rtl/>
        </w:rPr>
        <w:t xml:space="preserve">[פורסם בנבו] </w:t>
      </w:r>
      <w:r>
        <w:rPr>
          <w:rFonts w:ascii="David" w:hAnsi="David"/>
          <w:rtl/>
        </w:rPr>
        <w:t xml:space="preserve">(30.4.17)). </w:t>
      </w:r>
    </w:p>
    <w:p w14:paraId="27069C6E" w14:textId="77777777" w:rsidR="00D5563F" w:rsidRDefault="00D5563F" w:rsidP="00D5563F">
      <w:pPr>
        <w:spacing w:line="360" w:lineRule="auto"/>
        <w:jc w:val="both"/>
        <w:rPr>
          <w:rFonts w:ascii="David" w:hAnsi="David"/>
          <w:rtl/>
        </w:rPr>
      </w:pPr>
    </w:p>
    <w:p w14:paraId="43ABFBE1" w14:textId="77777777" w:rsidR="00D5563F" w:rsidRDefault="00D5563F" w:rsidP="00D5563F">
      <w:pPr>
        <w:spacing w:line="360" w:lineRule="auto"/>
        <w:jc w:val="both"/>
        <w:rPr>
          <w:rFonts w:ascii="David" w:hAnsi="David"/>
          <w:rtl/>
        </w:rPr>
      </w:pPr>
      <w:r>
        <w:rPr>
          <w:rFonts w:ascii="David" w:hAnsi="David"/>
          <w:rtl/>
        </w:rPr>
        <w:t>ברוב רובם של המקרים בשלב זה של גזר הדין פונה בית המשפט לחלק האופרטיבי של גזירת הדין, ומסיים את ההליך. כך גם אנו נוהגים לעשות במרבית המקרים, תוך שאנו מפנים לחיסכון בזמן השיפוטי וליתר התועלות הצומחות מהסדרי טיעון שהם כורח בל יגונה במערכת משפט עמוסה עד מאוד. במקרה חריג זה סברנו שלצד האמור לעיל, יש מקום להעיר בנוגע ל</w:t>
      </w:r>
      <w:r>
        <w:rPr>
          <w:rFonts w:ascii="David" w:hAnsi="David"/>
          <w:u w:val="single"/>
          <w:rtl/>
        </w:rPr>
        <w:t>התמשכות המשא ומתן בין הצדדים</w:t>
      </w:r>
      <w:r>
        <w:rPr>
          <w:rFonts w:ascii="David" w:hAnsi="David"/>
          <w:rtl/>
        </w:rPr>
        <w:t xml:space="preserve">. כבר בשלביו המוקדמים של ההליך ועם התבהרות הקשיים שעלו מהמסכת הראייתית, על אף שלא הייתה שלמה, היה ברור למדי כי טוב יעשו שני הצדדים – כל צד מנקודת מבטו – באם יגיעו להסדר טיעון. חרף זאת המשא ומתן בין הצדדים ארך, במקביל לשמיעת הראיות, פרק זמן ארוך ביותר, </w:t>
      </w:r>
      <w:r>
        <w:rPr>
          <w:rFonts w:ascii="David" w:hAnsi="David"/>
          <w:b/>
          <w:bCs/>
          <w:u w:val="single"/>
          <w:rtl/>
        </w:rPr>
        <w:t>ארוך מידי (!)</w:t>
      </w:r>
      <w:r>
        <w:rPr>
          <w:rFonts w:ascii="David" w:hAnsi="David"/>
          <w:rtl/>
        </w:rPr>
        <w:t xml:space="preserve">, </w:t>
      </w:r>
      <w:r>
        <w:rPr>
          <w:rFonts w:ascii="David" w:hAnsi="David"/>
          <w:u w:val="single"/>
          <w:rtl/>
        </w:rPr>
        <w:t>הרבה למעלה משנה</w:t>
      </w:r>
      <w:r>
        <w:rPr>
          <w:rFonts w:ascii="David" w:hAnsi="David"/>
          <w:rtl/>
        </w:rPr>
        <w:t xml:space="preserve">, שבמהלכו נדרשנו לקיים דיונים רבים על פני עשרות רבות של שעות דיון. מטבע הדברים שלא היינו מודעים להצעות שהוחלפו בין הצדדים אך על פני הדברים הובהר כי הפער אינו משמעותי; ונותרנו עם השאלה האם לא ניתן היה להגיע לאותו הסדר, או דומה לו, מוקדם יותר כך שניתן היה לנצל את הזמן לטובת הליכים אחרים המשוועים לתוספת דיונים. </w:t>
      </w:r>
    </w:p>
    <w:p w14:paraId="37EAD15D" w14:textId="77777777" w:rsidR="00D5563F" w:rsidRDefault="00D5563F" w:rsidP="00D5563F">
      <w:pPr>
        <w:spacing w:line="360" w:lineRule="auto"/>
        <w:jc w:val="both"/>
        <w:rPr>
          <w:rFonts w:ascii="David" w:hAnsi="David"/>
          <w:rtl/>
        </w:rPr>
      </w:pPr>
    </w:p>
    <w:p w14:paraId="466EA278" w14:textId="77777777" w:rsidR="00D5563F" w:rsidRDefault="00D5563F" w:rsidP="00D5563F">
      <w:pPr>
        <w:spacing w:line="360" w:lineRule="auto"/>
        <w:jc w:val="both"/>
        <w:rPr>
          <w:rFonts w:ascii="David" w:hAnsi="David"/>
          <w:rtl/>
        </w:rPr>
      </w:pPr>
      <w:r>
        <w:rPr>
          <w:rFonts w:ascii="David" w:hAnsi="David"/>
          <w:rtl/>
        </w:rPr>
        <w:t>סוף דבר, אנו בוחרים לאמץ את ההסדר. לעניין הפיצויים, סברנו שבשים לב לנסיבות האירוע כפי שבאו לידי ביטוי בכתב האישום המתוקן וכפי שצוין לעיל, ונוכח הפיצוי החלקי שהועבר (כנטען על ידי ההגנה), יש לחרוג מהכלל ולפיו בתיקי רצח יש לפסוק את הפיצוי המקסימלי, או קרוב לכך, בעבור כל מנוח. בנוסף, סברנו שניתן לחפוף באופן מסוים בין תקופת המאסר</w:t>
      </w:r>
      <w:r>
        <w:rPr>
          <w:rFonts w:ascii="David" w:hAnsi="David" w:hint="cs"/>
          <w:rtl/>
        </w:rPr>
        <w:t xml:space="preserve"> בתיק זה לבין תקופת המאסר שמרצה הנאשם בימים אלה בתיק אחר (</w:t>
      </w:r>
      <w:hyperlink r:id="rId20" w:history="1">
        <w:r w:rsidR="00AF7F66" w:rsidRPr="00AF7F66">
          <w:rPr>
            <w:rFonts w:ascii="David" w:hAnsi="David"/>
            <w:color w:val="0000FF"/>
            <w:u w:val="single"/>
            <w:rtl/>
          </w:rPr>
          <w:t>ת.פ. (שלום עכו) 11325-05</w:t>
        </w:r>
        <w:r w:rsidR="00AF7F66" w:rsidRPr="00AF7F66">
          <w:rPr>
            <w:rFonts w:ascii="David" w:hAnsi="David"/>
            <w:color w:val="0000FF"/>
            <w:u w:val="single"/>
            <w:rtl/>
          </w:rPr>
          <w:t>-</w:t>
        </w:r>
        <w:r w:rsidR="00AF7F66" w:rsidRPr="00AF7F66">
          <w:rPr>
            <w:rFonts w:ascii="David" w:hAnsi="David"/>
            <w:color w:val="0000FF"/>
            <w:u w:val="single"/>
            <w:rtl/>
          </w:rPr>
          <w:t>20</w:t>
        </w:r>
      </w:hyperlink>
      <w:r>
        <w:rPr>
          <w:rFonts w:ascii="David" w:hAnsi="David" w:hint="cs"/>
          <w:rtl/>
        </w:rPr>
        <w:t xml:space="preserve"> </w:t>
      </w:r>
      <w:r w:rsidR="000F52ED" w:rsidRPr="000F52ED">
        <w:rPr>
          <w:sz w:val="22"/>
          <w:rtl/>
        </w:rPr>
        <w:t xml:space="preserve">[פורסם בנבו] </w:t>
      </w:r>
      <w:r>
        <w:rPr>
          <w:rFonts w:ascii="David" w:hAnsi="David" w:hint="cs"/>
          <w:rtl/>
        </w:rPr>
        <w:t>שניתן ביום 17.1.24)</w:t>
      </w:r>
      <w:r>
        <w:rPr>
          <w:rFonts w:ascii="David" w:hAnsi="David"/>
          <w:rtl/>
        </w:rPr>
        <w:t>. משכך, אנו מורים על השתת רכיבי הענישה הבאים על הנאשם:</w:t>
      </w:r>
    </w:p>
    <w:p w14:paraId="1D5BAC97" w14:textId="77777777" w:rsidR="00D5563F" w:rsidRDefault="00D5563F" w:rsidP="00D5563F">
      <w:pPr>
        <w:spacing w:line="360" w:lineRule="auto"/>
        <w:jc w:val="both"/>
        <w:rPr>
          <w:rFonts w:ascii="David" w:hAnsi="David"/>
          <w:rtl/>
        </w:rPr>
      </w:pPr>
    </w:p>
    <w:p w14:paraId="60F8CBE9" w14:textId="77777777" w:rsidR="00D5563F" w:rsidRDefault="00D5563F" w:rsidP="00D5563F">
      <w:pPr>
        <w:spacing w:line="360" w:lineRule="auto"/>
        <w:ind w:left="720" w:hanging="720"/>
        <w:jc w:val="both"/>
        <w:rPr>
          <w:rFonts w:ascii="David" w:hAnsi="David"/>
          <w:rtl/>
        </w:rPr>
      </w:pPr>
      <w:r>
        <w:rPr>
          <w:rFonts w:ascii="David" w:hAnsi="David"/>
          <w:rtl/>
        </w:rPr>
        <w:t>(-)</w:t>
      </w:r>
      <w:r>
        <w:rPr>
          <w:rFonts w:ascii="David" w:hAnsi="David"/>
          <w:rtl/>
        </w:rPr>
        <w:tab/>
      </w:r>
      <w:r w:rsidRPr="00B55313">
        <w:rPr>
          <w:rFonts w:ascii="David" w:hAnsi="David"/>
          <w:b/>
          <w:bCs/>
          <w:rtl/>
        </w:rPr>
        <w:t>מאסר בפועל לתקופה של 15 שנים</w:t>
      </w:r>
      <w:r>
        <w:rPr>
          <w:rFonts w:ascii="David" w:hAnsi="David"/>
          <w:rtl/>
        </w:rPr>
        <w:t>. תקופת המאסר תחושב מיום 16.11.2019</w:t>
      </w:r>
      <w:r>
        <w:rPr>
          <w:rFonts w:ascii="David" w:hAnsi="David" w:hint="cs"/>
          <w:rtl/>
        </w:rPr>
        <w:t>. בנוגע למאסר שהוטל על הנאשם ב</w:t>
      </w:r>
      <w:hyperlink r:id="rId21" w:history="1">
        <w:r w:rsidR="00AF7F66" w:rsidRPr="00AF7F66">
          <w:rPr>
            <w:rFonts w:ascii="David" w:hAnsi="David"/>
            <w:color w:val="0000FF"/>
            <w:u w:val="single"/>
            <w:rtl/>
          </w:rPr>
          <w:t>ת.פ. (שלום עכו) 11325-05-20</w:t>
        </w:r>
      </w:hyperlink>
      <w:r>
        <w:rPr>
          <w:rFonts w:ascii="David" w:hAnsi="David" w:hint="cs"/>
          <w:rtl/>
        </w:rPr>
        <w:t xml:space="preserve"> </w:t>
      </w:r>
      <w:r w:rsidR="000F52ED" w:rsidRPr="000F52ED">
        <w:rPr>
          <w:sz w:val="22"/>
          <w:rtl/>
        </w:rPr>
        <w:t xml:space="preserve">[פורסם בנבו] </w:t>
      </w:r>
      <w:r>
        <w:rPr>
          <w:rFonts w:ascii="David" w:hAnsi="David" w:hint="cs"/>
          <w:rtl/>
        </w:rPr>
        <w:t xml:space="preserve">ביום 17.1.24 למשך 6 חודשים בפועל החל מאותו מועד </w:t>
      </w:r>
      <w:r>
        <w:rPr>
          <w:rFonts w:ascii="David" w:hAnsi="David"/>
          <w:rtl/>
        </w:rPr>
        <w:t>–</w:t>
      </w:r>
      <w:r>
        <w:rPr>
          <w:rFonts w:ascii="David" w:hAnsi="David" w:hint="cs"/>
          <w:rtl/>
        </w:rPr>
        <w:t xml:space="preserve"> אנו מורים כי 3 חודשים מתקופה זו (6 חודשי המאסר)</w:t>
      </w:r>
      <w:r>
        <w:rPr>
          <w:rFonts w:ascii="David" w:hAnsi="David"/>
          <w:rtl/>
        </w:rPr>
        <w:t xml:space="preserve"> </w:t>
      </w:r>
      <w:r>
        <w:rPr>
          <w:rFonts w:ascii="David" w:hAnsi="David" w:hint="cs"/>
          <w:rtl/>
        </w:rPr>
        <w:t>ירוצו בחופף לעונש המאסר לעיל (15 שנות המאסר) ו 3 חודשים ירוצו במצטבר</w:t>
      </w:r>
      <w:r>
        <w:rPr>
          <w:rFonts w:ascii="David" w:hAnsi="David"/>
          <w:rtl/>
        </w:rPr>
        <w:t xml:space="preserve">; </w:t>
      </w:r>
    </w:p>
    <w:p w14:paraId="43B3862E" w14:textId="77777777" w:rsidR="00D5563F" w:rsidRDefault="00D5563F" w:rsidP="00D5563F">
      <w:pPr>
        <w:spacing w:line="360" w:lineRule="auto"/>
        <w:ind w:left="720" w:hanging="720"/>
        <w:jc w:val="both"/>
        <w:rPr>
          <w:rFonts w:ascii="David" w:hAnsi="David"/>
        </w:rPr>
      </w:pPr>
      <w:r>
        <w:rPr>
          <w:rFonts w:ascii="David" w:hAnsi="David"/>
          <w:rtl/>
        </w:rPr>
        <w:t>(-)</w:t>
      </w:r>
      <w:r>
        <w:rPr>
          <w:rFonts w:ascii="David" w:hAnsi="David"/>
          <w:rtl/>
        </w:rPr>
        <w:tab/>
        <w:t xml:space="preserve">מאסר לתקופה של 12 חודשים, </w:t>
      </w:r>
      <w:r w:rsidRPr="00B55313">
        <w:rPr>
          <w:rFonts w:ascii="David" w:hAnsi="David"/>
          <w:u w:val="single"/>
          <w:rtl/>
        </w:rPr>
        <w:t>על תנאי</w:t>
      </w:r>
      <w:r>
        <w:rPr>
          <w:rFonts w:ascii="David" w:hAnsi="David"/>
          <w:rtl/>
        </w:rPr>
        <w:t xml:space="preserve"> למשך שלוש שנים מיום שחרורו והתנאי הוא כי לא יעבור כל עבירת נשק או אלימות מסוג פשע;</w:t>
      </w:r>
    </w:p>
    <w:p w14:paraId="592F7910" w14:textId="77777777" w:rsidR="00D5563F" w:rsidRDefault="00D5563F" w:rsidP="00D5563F">
      <w:pPr>
        <w:spacing w:line="360" w:lineRule="auto"/>
        <w:ind w:left="720" w:hanging="720"/>
        <w:jc w:val="both"/>
        <w:rPr>
          <w:rFonts w:ascii="David" w:hAnsi="David"/>
        </w:rPr>
      </w:pPr>
      <w:r>
        <w:rPr>
          <w:rFonts w:ascii="David" w:hAnsi="David"/>
          <w:rtl/>
        </w:rPr>
        <w:t>(-)</w:t>
      </w:r>
      <w:r>
        <w:rPr>
          <w:rFonts w:ascii="David" w:hAnsi="David"/>
          <w:rtl/>
        </w:rPr>
        <w:tab/>
        <w:t xml:space="preserve">מאסר לתקופה של 8 חודשים, </w:t>
      </w:r>
      <w:r w:rsidRPr="00B55313">
        <w:rPr>
          <w:rFonts w:ascii="David" w:hAnsi="David"/>
          <w:u w:val="single"/>
          <w:rtl/>
        </w:rPr>
        <w:t>על תנאי</w:t>
      </w:r>
      <w:r>
        <w:rPr>
          <w:rFonts w:ascii="David" w:hAnsi="David"/>
          <w:rtl/>
        </w:rPr>
        <w:t xml:space="preserve"> למשך שלוש שנים מיום שחרורו, והתנאי הוא כי הנאשם לא יעבור עבירת אלימות או נשק מסוג עוון;</w:t>
      </w:r>
    </w:p>
    <w:p w14:paraId="0D44394D" w14:textId="77777777" w:rsidR="00D5563F" w:rsidRDefault="00D5563F" w:rsidP="00D5563F">
      <w:pPr>
        <w:spacing w:line="360" w:lineRule="auto"/>
        <w:ind w:left="720" w:hanging="720"/>
        <w:jc w:val="both"/>
        <w:rPr>
          <w:rFonts w:ascii="David" w:hAnsi="David"/>
        </w:rPr>
      </w:pPr>
      <w:r>
        <w:rPr>
          <w:rFonts w:ascii="David" w:hAnsi="David"/>
          <w:rtl/>
        </w:rPr>
        <w:t>(-)</w:t>
      </w:r>
      <w:r>
        <w:rPr>
          <w:rFonts w:ascii="David" w:hAnsi="David"/>
          <w:rtl/>
        </w:rPr>
        <w:tab/>
      </w:r>
      <w:r w:rsidRPr="00B55313">
        <w:rPr>
          <w:rFonts w:ascii="David" w:hAnsi="David"/>
          <w:u w:val="single"/>
          <w:rtl/>
        </w:rPr>
        <w:t>פיצוי</w:t>
      </w:r>
      <w:r>
        <w:rPr>
          <w:rFonts w:ascii="David" w:hAnsi="David"/>
          <w:rtl/>
        </w:rPr>
        <w:t xml:space="preserve"> לאלמנתו של המנוח אחמד בסכום של 100,000 ₪; וכן </w:t>
      </w:r>
      <w:r w:rsidRPr="00B55313">
        <w:rPr>
          <w:rFonts w:ascii="David" w:hAnsi="David"/>
          <w:u w:val="single"/>
          <w:rtl/>
        </w:rPr>
        <w:t>פיצוי</w:t>
      </w:r>
      <w:r>
        <w:rPr>
          <w:rFonts w:ascii="David" w:hAnsi="David"/>
          <w:rtl/>
        </w:rPr>
        <w:t xml:space="preserve"> בסכום של 100,000 ₪ לטובת אמם של המנוחים. הסכומים ישולמו ב 12 תשלומים שווים ורצופים כאשר הראשון בהם יהיה ב 1.6.24 ויתרת התשלומים בתחילת כל חודש עוקב. </w:t>
      </w:r>
      <w:r>
        <w:rPr>
          <w:rFonts w:ascii="David" w:hAnsi="David"/>
          <w:b/>
          <w:bCs/>
          <w:rtl/>
        </w:rPr>
        <w:t>התשלומים יבוצעו אך ורק באמצעות מזכירות בית המשפט או המרכז לגביית קנסות הוצאות ואגרות</w:t>
      </w:r>
      <w:r>
        <w:rPr>
          <w:rFonts w:ascii="David" w:hAnsi="David"/>
          <w:rtl/>
        </w:rPr>
        <w:t xml:space="preserve">. אי תשלום של אחד מהתשלומים, מעבר ל 3 ימי עיכוב בתשלום, יעמיד את החוב במלואו לפירעון מיידי. </w:t>
      </w:r>
      <w:r>
        <w:rPr>
          <w:rFonts w:ascii="David" w:hAnsi="David"/>
          <w:b/>
          <w:bCs/>
          <w:rtl/>
        </w:rPr>
        <w:t>נאסר על הנאשם או מי  מטעמו ליצור קשר, במישרין או עקיפין, עם משפחת קורבנות העבירה בנוגע לתשלום הפיצויים</w:t>
      </w:r>
      <w:r>
        <w:rPr>
          <w:rFonts w:ascii="David" w:hAnsi="David"/>
          <w:rtl/>
        </w:rPr>
        <w:t xml:space="preserve">. המאשימה תעביר את פרטי קורבנות העבירה לעיל למזכירות תוך 14 יום מהיום. </w:t>
      </w:r>
    </w:p>
    <w:p w14:paraId="0D56F453" w14:textId="77777777" w:rsidR="00D5563F" w:rsidRDefault="00D5563F" w:rsidP="00D5563F">
      <w:pPr>
        <w:pStyle w:val="ListParagraph"/>
        <w:spacing w:after="0" w:line="360" w:lineRule="auto"/>
        <w:ind w:left="0"/>
        <w:rPr>
          <w:rFonts w:ascii="David" w:hAnsi="David" w:cs="David"/>
          <w:sz w:val="24"/>
          <w:szCs w:val="24"/>
        </w:rPr>
      </w:pPr>
    </w:p>
    <w:p w14:paraId="5BE7D437" w14:textId="77777777" w:rsidR="00D5563F" w:rsidRDefault="00D5563F" w:rsidP="00D5563F">
      <w:pPr>
        <w:spacing w:line="360" w:lineRule="auto"/>
        <w:ind w:firstLine="720"/>
        <w:jc w:val="both"/>
        <w:rPr>
          <w:rFonts w:ascii="David" w:hAnsi="David"/>
          <w:b/>
          <w:bCs/>
          <w:rtl/>
        </w:rPr>
      </w:pPr>
      <w:r>
        <w:rPr>
          <w:rFonts w:ascii="David" w:hAnsi="David"/>
          <w:b/>
          <w:bCs/>
          <w:rtl/>
        </w:rPr>
        <w:t xml:space="preserve">זכות ערעור תוך 45 יום לביהמ"ש העליון. </w:t>
      </w:r>
    </w:p>
    <w:p w14:paraId="67C5276E" w14:textId="77777777" w:rsidR="00D5563F" w:rsidRDefault="00D5563F" w:rsidP="00D5563F">
      <w:pPr>
        <w:spacing w:line="360" w:lineRule="auto"/>
        <w:jc w:val="both"/>
        <w:rPr>
          <w:rFonts w:ascii="David" w:hAnsi="David"/>
          <w:rtl/>
        </w:rPr>
      </w:pPr>
    </w:p>
    <w:p w14:paraId="1186A4EB" w14:textId="77777777" w:rsidR="00D5563F" w:rsidRPr="000F2247" w:rsidRDefault="00AF7F66" w:rsidP="00D5563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 אדר ב' תשפ"ד, 20 מרץ 2024, בנוכחות הצדדים. </w:t>
      </w:r>
      <w:bookmarkEnd w:id="7"/>
      <w:r w:rsidR="00D5563F">
        <w:rPr>
          <w:rFonts w:ascii="Arial" w:hAnsi="Arial"/>
          <w:b/>
          <w:bCs/>
          <w:sz w:val="26"/>
          <w:szCs w:val="26"/>
          <w:rtl/>
        </w:rPr>
        <w:tab/>
      </w:r>
      <w:r w:rsidR="00D5563F">
        <w:rPr>
          <w:rFonts w:ascii="Arial" w:hAnsi="Arial"/>
          <w:b/>
          <w:bCs/>
          <w:sz w:val="26"/>
          <w:szCs w:val="26"/>
          <w:rtl/>
        </w:rPr>
        <w:tab/>
      </w:r>
      <w:r w:rsidR="00D5563F">
        <w:rPr>
          <w:rFonts w:ascii="Arial" w:hAnsi="Arial"/>
          <w:b/>
          <w:bCs/>
          <w:sz w:val="26"/>
          <w:szCs w:val="26"/>
          <w:rtl/>
        </w:rPr>
        <w:tab/>
      </w:r>
      <w:r w:rsidR="00D5563F">
        <w:rPr>
          <w:rFonts w:ascii="Arial" w:hAnsi="Arial"/>
          <w:b/>
          <w:bCs/>
          <w:sz w:val="26"/>
          <w:szCs w:val="26"/>
          <w:rtl/>
        </w:rPr>
        <w:tab/>
      </w:r>
      <w:r w:rsidR="00D5563F">
        <w:rPr>
          <w:rFonts w:ascii="Arial" w:hAnsi="Arial"/>
          <w:b/>
          <w:bCs/>
          <w:sz w:val="26"/>
          <w:szCs w:val="26"/>
          <w:rtl/>
        </w:rPr>
        <w:tab/>
      </w:r>
      <w:r w:rsidR="00D5563F">
        <w:rPr>
          <w:rFonts w:ascii="Arial" w:hAnsi="Arial"/>
          <w:b/>
          <w:bCs/>
          <w:sz w:val="26"/>
          <w:szCs w:val="26"/>
          <w:rtl/>
        </w:rPr>
        <w:tab/>
      </w:r>
      <w:r w:rsidR="00D5563F">
        <w:rPr>
          <w:rFonts w:ascii="Arial" w:hAnsi="Arial"/>
          <w:b/>
          <w:bCs/>
          <w:sz w:val="26"/>
          <w:szCs w:val="26"/>
          <w:rtl/>
        </w:rPr>
        <w:tab/>
      </w:r>
      <w:r w:rsidR="00D5563F">
        <w:rPr>
          <w:rFonts w:ascii="Arial" w:hAnsi="Arial" w:hint="cs"/>
          <w:b/>
          <w:bCs/>
          <w:sz w:val="26"/>
          <w:szCs w:val="26"/>
          <w:rtl/>
        </w:rPr>
        <w:t xml:space="preserve">         </w:t>
      </w:r>
    </w:p>
    <w:tbl>
      <w:tblPr>
        <w:bidiVisual/>
        <w:tblW w:w="0" w:type="auto"/>
        <w:tblLook w:val="01E0" w:firstRow="1" w:lastRow="1" w:firstColumn="1" w:lastColumn="1" w:noHBand="0" w:noVBand="0"/>
      </w:tblPr>
      <w:tblGrid>
        <w:gridCol w:w="2834"/>
        <w:gridCol w:w="360"/>
        <w:gridCol w:w="2406"/>
        <w:gridCol w:w="346"/>
        <w:gridCol w:w="2576"/>
      </w:tblGrid>
      <w:tr w:rsidR="00D5563F" w14:paraId="317B46EB" w14:textId="77777777" w:rsidTr="00D5563F">
        <w:tc>
          <w:tcPr>
            <w:tcW w:w="2834" w:type="dxa"/>
            <w:tcBorders>
              <w:top w:val="nil"/>
              <w:left w:val="nil"/>
              <w:bottom w:val="single" w:sz="4" w:space="0" w:color="auto"/>
              <w:right w:val="nil"/>
            </w:tcBorders>
            <w:shd w:val="clear" w:color="auto" w:fill="auto"/>
            <w:vAlign w:val="bottom"/>
          </w:tcPr>
          <w:p w14:paraId="75718BCE" w14:textId="77777777" w:rsidR="00D5563F" w:rsidRPr="00D5563F" w:rsidRDefault="00D5563F" w:rsidP="00D5563F">
            <w:pPr>
              <w:jc w:val="center"/>
              <w:rPr>
                <w:rFonts w:ascii="Courier New" w:hAnsi="Courier New"/>
                <w:b/>
                <w:bCs/>
                <w:rtl/>
              </w:rPr>
            </w:pPr>
          </w:p>
        </w:tc>
        <w:tc>
          <w:tcPr>
            <w:tcW w:w="360" w:type="dxa"/>
            <w:shd w:val="clear" w:color="auto" w:fill="auto"/>
            <w:vAlign w:val="bottom"/>
          </w:tcPr>
          <w:p w14:paraId="200D6622" w14:textId="77777777" w:rsidR="00D5563F" w:rsidRPr="00D5563F" w:rsidRDefault="00D5563F" w:rsidP="00D5563F">
            <w:pPr>
              <w:jc w:val="center"/>
              <w:rPr>
                <w:rFonts w:ascii="Courier New" w:hAnsi="Courier New"/>
                <w:b/>
                <w:bCs/>
              </w:rPr>
            </w:pPr>
          </w:p>
        </w:tc>
        <w:tc>
          <w:tcPr>
            <w:tcW w:w="2406" w:type="dxa"/>
            <w:tcBorders>
              <w:top w:val="nil"/>
              <w:left w:val="nil"/>
              <w:bottom w:val="single" w:sz="4" w:space="0" w:color="auto"/>
              <w:right w:val="nil"/>
            </w:tcBorders>
            <w:shd w:val="clear" w:color="auto" w:fill="auto"/>
            <w:vAlign w:val="bottom"/>
          </w:tcPr>
          <w:p w14:paraId="3D13E96A" w14:textId="77777777" w:rsidR="00D5563F" w:rsidRPr="00D5563F" w:rsidRDefault="00D5563F" w:rsidP="00D5563F">
            <w:pPr>
              <w:jc w:val="center"/>
              <w:rPr>
                <w:rFonts w:ascii="Courier New" w:hAnsi="Courier New"/>
                <w:b/>
                <w:bCs/>
              </w:rPr>
            </w:pPr>
          </w:p>
        </w:tc>
        <w:tc>
          <w:tcPr>
            <w:tcW w:w="346" w:type="dxa"/>
            <w:shd w:val="clear" w:color="auto" w:fill="auto"/>
            <w:vAlign w:val="bottom"/>
          </w:tcPr>
          <w:p w14:paraId="3FEE50CA" w14:textId="77777777" w:rsidR="00D5563F" w:rsidRPr="00D5563F" w:rsidRDefault="00D5563F" w:rsidP="00D5563F">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bottom"/>
          </w:tcPr>
          <w:p w14:paraId="349E2196" w14:textId="77777777" w:rsidR="00D5563F" w:rsidRPr="00D5563F" w:rsidRDefault="00D5563F" w:rsidP="00D5563F">
            <w:pPr>
              <w:jc w:val="center"/>
              <w:rPr>
                <w:rFonts w:ascii="Courier New" w:hAnsi="Courier New"/>
                <w:b/>
                <w:bCs/>
              </w:rPr>
            </w:pPr>
          </w:p>
        </w:tc>
      </w:tr>
      <w:tr w:rsidR="00D5563F" w14:paraId="02AE7D1A" w14:textId="77777777" w:rsidTr="00D5563F">
        <w:tc>
          <w:tcPr>
            <w:tcW w:w="2834" w:type="dxa"/>
            <w:tcBorders>
              <w:top w:val="single" w:sz="4" w:space="0" w:color="auto"/>
              <w:left w:val="nil"/>
              <w:bottom w:val="nil"/>
              <w:right w:val="nil"/>
            </w:tcBorders>
            <w:shd w:val="clear" w:color="auto" w:fill="auto"/>
          </w:tcPr>
          <w:p w14:paraId="615C6D86" w14:textId="77777777" w:rsidR="00D5563F" w:rsidRPr="00D5563F" w:rsidRDefault="00D5563F" w:rsidP="00D5563F">
            <w:pPr>
              <w:spacing w:line="360" w:lineRule="auto"/>
              <w:jc w:val="center"/>
              <w:rPr>
                <w:b/>
                <w:bCs/>
                <w:rtl/>
              </w:rPr>
            </w:pPr>
            <w:r w:rsidRPr="00D5563F">
              <w:rPr>
                <w:rFonts w:hint="cs"/>
                <w:b/>
                <w:bCs/>
                <w:rtl/>
              </w:rPr>
              <w:t xml:space="preserve">י. ליפשיץ , שופט </w:t>
            </w:r>
          </w:p>
          <w:p w14:paraId="31E2AAD0" w14:textId="77777777" w:rsidR="00D5563F" w:rsidRPr="00D5563F" w:rsidRDefault="00D5563F" w:rsidP="00D5563F">
            <w:pPr>
              <w:spacing w:line="360" w:lineRule="auto"/>
              <w:jc w:val="center"/>
              <w:rPr>
                <w:b/>
                <w:bCs/>
              </w:rPr>
            </w:pPr>
            <w:r w:rsidRPr="00D5563F">
              <w:rPr>
                <w:rFonts w:hint="cs"/>
                <w:b/>
                <w:bCs/>
                <w:rtl/>
              </w:rPr>
              <w:t>[אב"ד]</w:t>
            </w:r>
          </w:p>
        </w:tc>
        <w:tc>
          <w:tcPr>
            <w:tcW w:w="360" w:type="dxa"/>
            <w:shd w:val="clear" w:color="auto" w:fill="auto"/>
          </w:tcPr>
          <w:p w14:paraId="5FBFAE13" w14:textId="77777777" w:rsidR="00D5563F" w:rsidRPr="00D5563F" w:rsidRDefault="00D5563F" w:rsidP="00D5563F">
            <w:pPr>
              <w:spacing w:line="360" w:lineRule="auto"/>
              <w:rPr>
                <w:b/>
                <w:bCs/>
                <w:color w:val="FF0000"/>
              </w:rPr>
            </w:pPr>
          </w:p>
        </w:tc>
        <w:tc>
          <w:tcPr>
            <w:tcW w:w="2406" w:type="dxa"/>
            <w:tcBorders>
              <w:top w:val="single" w:sz="4" w:space="0" w:color="auto"/>
              <w:left w:val="nil"/>
              <w:bottom w:val="nil"/>
              <w:right w:val="nil"/>
            </w:tcBorders>
            <w:shd w:val="clear" w:color="auto" w:fill="auto"/>
          </w:tcPr>
          <w:p w14:paraId="5785F7CD" w14:textId="77777777" w:rsidR="00D5563F" w:rsidRPr="00D5563F" w:rsidRDefault="00D5563F" w:rsidP="00D5563F">
            <w:pPr>
              <w:spacing w:line="360" w:lineRule="auto"/>
              <w:jc w:val="center"/>
              <w:rPr>
                <w:b/>
                <w:bCs/>
                <w:rtl/>
              </w:rPr>
            </w:pPr>
            <w:r w:rsidRPr="00D5563F">
              <w:rPr>
                <w:rFonts w:hint="cs"/>
                <w:b/>
                <w:bCs/>
                <w:rtl/>
              </w:rPr>
              <w:t>ג. ציגלר , שופטת</w:t>
            </w:r>
          </w:p>
        </w:tc>
        <w:tc>
          <w:tcPr>
            <w:tcW w:w="346" w:type="dxa"/>
            <w:shd w:val="clear" w:color="auto" w:fill="auto"/>
          </w:tcPr>
          <w:p w14:paraId="498058B3" w14:textId="77777777" w:rsidR="00D5563F" w:rsidRPr="00D5563F" w:rsidRDefault="00D5563F" w:rsidP="00D5563F">
            <w:pPr>
              <w:spacing w:line="360" w:lineRule="auto"/>
              <w:rPr>
                <w:b/>
                <w:bCs/>
                <w:color w:val="FF0000"/>
              </w:rPr>
            </w:pPr>
          </w:p>
        </w:tc>
        <w:tc>
          <w:tcPr>
            <w:tcW w:w="2576" w:type="dxa"/>
            <w:tcBorders>
              <w:top w:val="single" w:sz="4" w:space="0" w:color="auto"/>
              <w:left w:val="nil"/>
              <w:bottom w:val="nil"/>
              <w:right w:val="nil"/>
            </w:tcBorders>
            <w:shd w:val="clear" w:color="auto" w:fill="auto"/>
          </w:tcPr>
          <w:p w14:paraId="5BD7B413" w14:textId="77777777" w:rsidR="00D5563F" w:rsidRPr="00D5563F" w:rsidRDefault="00D5563F" w:rsidP="00D5563F">
            <w:pPr>
              <w:spacing w:line="360" w:lineRule="auto"/>
              <w:rPr>
                <w:b/>
                <w:bCs/>
              </w:rPr>
            </w:pPr>
            <w:r w:rsidRPr="00D5563F">
              <w:rPr>
                <w:rFonts w:hint="cs"/>
                <w:b/>
                <w:bCs/>
                <w:rtl/>
              </w:rPr>
              <w:t xml:space="preserve">         </w:t>
            </w:r>
            <w:r w:rsidRPr="00D5563F">
              <w:rPr>
                <w:rFonts w:ascii="Courier New" w:hAnsi="Courier New" w:hint="cs"/>
                <w:b/>
                <w:bCs/>
                <w:rtl/>
              </w:rPr>
              <w:t>ש. מנדלבום, שופט</w:t>
            </w:r>
          </w:p>
          <w:p w14:paraId="7D243010" w14:textId="77777777" w:rsidR="00AF7F66" w:rsidRDefault="00AF7F66" w:rsidP="00D5563F">
            <w:pPr>
              <w:spacing w:line="360" w:lineRule="auto"/>
              <w:jc w:val="center"/>
              <w:rPr>
                <w:b/>
                <w:bCs/>
                <w:rtl/>
              </w:rPr>
            </w:pPr>
          </w:p>
          <w:p w14:paraId="7054DCFB" w14:textId="77777777" w:rsidR="00D5563F" w:rsidRPr="00D5563F" w:rsidRDefault="00D5563F" w:rsidP="00D5563F">
            <w:pPr>
              <w:spacing w:line="360" w:lineRule="auto"/>
              <w:jc w:val="center"/>
              <w:rPr>
                <w:b/>
                <w:bCs/>
                <w:rtl/>
              </w:rPr>
            </w:pPr>
          </w:p>
        </w:tc>
      </w:tr>
    </w:tbl>
    <w:p w14:paraId="7B0201EB" w14:textId="77777777" w:rsidR="00D5563F" w:rsidRPr="00AF7F66" w:rsidRDefault="00AF7F66" w:rsidP="00D5563F">
      <w:pPr>
        <w:rPr>
          <w:color w:val="FFFFFF"/>
          <w:sz w:val="2"/>
          <w:szCs w:val="2"/>
          <w:rtl/>
        </w:rPr>
      </w:pPr>
      <w:r w:rsidRPr="00AF7F66">
        <w:rPr>
          <w:color w:val="FFFFFF"/>
          <w:sz w:val="2"/>
          <w:szCs w:val="2"/>
          <w:rtl/>
        </w:rPr>
        <w:t>5129371</w:t>
      </w:r>
    </w:p>
    <w:p w14:paraId="17108C69" w14:textId="77777777" w:rsidR="00D5563F" w:rsidRPr="00AF7F66" w:rsidRDefault="00AF7F66" w:rsidP="00D5563F">
      <w:pPr>
        <w:rPr>
          <w:color w:val="FFFFFF"/>
          <w:sz w:val="2"/>
          <w:szCs w:val="2"/>
          <w:rtl/>
        </w:rPr>
      </w:pPr>
      <w:r w:rsidRPr="00AF7F66">
        <w:rPr>
          <w:color w:val="FFFFFF"/>
          <w:sz w:val="2"/>
          <w:szCs w:val="2"/>
          <w:rtl/>
        </w:rPr>
        <w:t>54678313</w:t>
      </w:r>
    </w:p>
    <w:p w14:paraId="70E7623F" w14:textId="77777777" w:rsidR="00D5563F" w:rsidRDefault="00D5563F" w:rsidP="00D5563F"/>
    <w:p w14:paraId="77B0FD60" w14:textId="77777777" w:rsidR="00D5563F" w:rsidRPr="000F2247" w:rsidRDefault="00D5563F" w:rsidP="00D5563F">
      <w:pPr>
        <w:spacing w:line="360" w:lineRule="auto"/>
        <w:jc w:val="both"/>
        <w:rPr>
          <w:rFonts w:ascii="Arial" w:hAnsi="Arial"/>
          <w:b/>
          <w:bCs/>
          <w:sz w:val="26"/>
          <w:szCs w:val="26"/>
          <w:rtl/>
        </w:rPr>
      </w:pPr>
    </w:p>
    <w:p w14:paraId="5BF53AB1" w14:textId="77777777" w:rsidR="00D5563F" w:rsidRPr="003B7570" w:rsidRDefault="003B7570" w:rsidP="00D5563F">
      <w:pPr>
        <w:jc w:val="center"/>
        <w:rPr>
          <w:rFonts w:ascii="Arial" w:hAnsi="Arial"/>
          <w:b/>
          <w:bCs/>
          <w:color w:val="FFFFFF"/>
          <w:sz w:val="2"/>
          <w:szCs w:val="2"/>
          <w:rtl/>
        </w:rPr>
      </w:pPr>
      <w:r w:rsidRPr="003B7570">
        <w:rPr>
          <w:rFonts w:ascii="Arial" w:hAnsi="Arial"/>
          <w:b/>
          <w:bCs/>
          <w:color w:val="FFFFFF"/>
          <w:sz w:val="2"/>
          <w:szCs w:val="2"/>
          <w:rtl/>
        </w:rPr>
        <w:t>5129371</w:t>
      </w:r>
      <w:r w:rsidR="00D5563F" w:rsidRPr="003B7570">
        <w:rPr>
          <w:rFonts w:ascii="Arial" w:hAnsi="Arial"/>
          <w:b/>
          <w:bCs/>
          <w:color w:val="FFFFFF"/>
          <w:sz w:val="2"/>
          <w:szCs w:val="2"/>
          <w:rtl/>
        </w:rPr>
        <w:t xml:space="preserve">   </w:t>
      </w:r>
      <w:r w:rsidR="00D5563F" w:rsidRPr="003B7570">
        <w:rPr>
          <w:rFonts w:ascii="Arial" w:hAnsi="Arial"/>
          <w:b/>
          <w:bCs/>
          <w:color w:val="FFFFFF"/>
          <w:sz w:val="2"/>
          <w:szCs w:val="2"/>
          <w:rtl/>
        </w:rPr>
        <w:tab/>
      </w:r>
      <w:r w:rsidR="00D5563F" w:rsidRPr="003B7570">
        <w:rPr>
          <w:rFonts w:ascii="Arial" w:hAnsi="Arial"/>
          <w:b/>
          <w:bCs/>
          <w:color w:val="FFFFFF"/>
          <w:sz w:val="2"/>
          <w:szCs w:val="2"/>
          <w:rtl/>
        </w:rPr>
        <w:tab/>
      </w:r>
      <w:r w:rsidR="00D5563F" w:rsidRPr="003B7570">
        <w:rPr>
          <w:rFonts w:ascii="Arial" w:hAnsi="Arial"/>
          <w:b/>
          <w:bCs/>
          <w:color w:val="FFFFFF"/>
          <w:sz w:val="2"/>
          <w:szCs w:val="2"/>
          <w:rtl/>
        </w:rPr>
        <w:tab/>
      </w:r>
      <w:r w:rsidR="00D5563F" w:rsidRPr="003B7570">
        <w:rPr>
          <w:rFonts w:ascii="Arial" w:hAnsi="Arial"/>
          <w:b/>
          <w:bCs/>
          <w:color w:val="FFFFFF"/>
          <w:sz w:val="2"/>
          <w:szCs w:val="2"/>
          <w:rtl/>
        </w:rPr>
        <w:tab/>
      </w:r>
    </w:p>
    <w:p w14:paraId="69D98B04" w14:textId="77777777" w:rsidR="003E6434" w:rsidRPr="003B7570" w:rsidRDefault="003B7570" w:rsidP="00AF7F66">
      <w:pPr>
        <w:keepNext/>
        <w:rPr>
          <w:rFonts w:ascii="David" w:hAnsi="David"/>
          <w:color w:val="FFFFFF"/>
          <w:sz w:val="2"/>
          <w:szCs w:val="2"/>
          <w:rtl/>
        </w:rPr>
      </w:pPr>
      <w:r w:rsidRPr="003B7570">
        <w:rPr>
          <w:rFonts w:ascii="David" w:hAnsi="David"/>
          <w:color w:val="FFFFFF"/>
          <w:sz w:val="2"/>
          <w:szCs w:val="2"/>
          <w:rtl/>
        </w:rPr>
        <w:t>54678313</w:t>
      </w:r>
    </w:p>
    <w:p w14:paraId="59B6F5D0" w14:textId="77777777" w:rsidR="00AF7F66" w:rsidRDefault="00AF7F66" w:rsidP="00AF7F66">
      <w:pPr>
        <w:rPr>
          <w:rtl/>
        </w:rPr>
      </w:pPr>
    </w:p>
    <w:p w14:paraId="5B0112D7" w14:textId="77777777" w:rsidR="00AF7F66" w:rsidRDefault="00AF7F66" w:rsidP="00AF7F66">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33C999F" w14:textId="77777777" w:rsidR="003B7570" w:rsidRPr="003B7570" w:rsidRDefault="003B7570" w:rsidP="003B7570">
      <w:pPr>
        <w:keepNext/>
        <w:rPr>
          <w:rFonts w:ascii="David" w:hAnsi="David"/>
          <w:color w:val="000000"/>
          <w:sz w:val="22"/>
          <w:szCs w:val="22"/>
          <w:rtl/>
        </w:rPr>
      </w:pPr>
    </w:p>
    <w:p w14:paraId="56DE4898" w14:textId="77777777" w:rsidR="003B7570" w:rsidRPr="003B7570" w:rsidRDefault="003B7570" w:rsidP="003B7570">
      <w:pPr>
        <w:keepNext/>
        <w:rPr>
          <w:rFonts w:ascii="David" w:hAnsi="David"/>
          <w:color w:val="000000"/>
          <w:sz w:val="22"/>
          <w:szCs w:val="22"/>
          <w:rtl/>
        </w:rPr>
      </w:pPr>
      <w:r w:rsidRPr="003B7570">
        <w:rPr>
          <w:rFonts w:ascii="David" w:hAnsi="David"/>
          <w:color w:val="000000"/>
          <w:sz w:val="22"/>
          <w:szCs w:val="22"/>
          <w:rtl/>
        </w:rPr>
        <w:t xml:space="preserve"> יחיאל ליפשיץ 54678313-/</w:t>
      </w:r>
    </w:p>
    <w:p w14:paraId="2893D546" w14:textId="77777777" w:rsidR="00AF7F66" w:rsidRPr="00AF7F66" w:rsidRDefault="003B7570" w:rsidP="003B7570">
      <w:pPr>
        <w:rPr>
          <w:color w:val="0000FF"/>
          <w:u w:val="single"/>
        </w:rPr>
      </w:pPr>
      <w:r w:rsidRPr="003B7570">
        <w:rPr>
          <w:color w:val="000000"/>
          <w:u w:val="single"/>
          <w:rtl/>
        </w:rPr>
        <w:t>נוסח מסמך זה כפוף לשינויי ניסוח ועריכה</w:t>
      </w:r>
    </w:p>
    <w:sectPr w:rsidR="00AF7F66" w:rsidRPr="00AF7F66" w:rsidSect="003B7570">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F33E2" w14:textId="77777777" w:rsidR="006C6FD4" w:rsidRDefault="006C6FD4" w:rsidP="00050020">
      <w:r>
        <w:separator/>
      </w:r>
    </w:p>
  </w:endnote>
  <w:endnote w:type="continuationSeparator" w:id="0">
    <w:p w14:paraId="60B73E28" w14:textId="77777777" w:rsidR="006C6FD4" w:rsidRDefault="006C6FD4" w:rsidP="0005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D1CCF" w14:textId="77777777" w:rsidR="003B7570" w:rsidRDefault="003B7570" w:rsidP="003B75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872F15" w14:textId="77777777" w:rsidR="00904DB4" w:rsidRPr="003B7570" w:rsidRDefault="003B7570" w:rsidP="003B7570">
    <w:pPr>
      <w:pStyle w:val="a5"/>
      <w:pBdr>
        <w:top w:val="single" w:sz="4" w:space="1" w:color="auto"/>
        <w:between w:val="single" w:sz="4" w:space="0" w:color="auto"/>
      </w:pBdr>
      <w:spacing w:after="60"/>
      <w:jc w:val="center"/>
      <w:rPr>
        <w:rFonts w:ascii="FrankRuehl" w:hAnsi="FrankRuehl" w:cs="FrankRuehl"/>
        <w:color w:val="000000"/>
      </w:rPr>
    </w:pPr>
    <w:r w:rsidRPr="003B75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8F23" w14:textId="77777777" w:rsidR="003B7570" w:rsidRDefault="003B7570" w:rsidP="003B75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2DAD">
      <w:rPr>
        <w:rFonts w:ascii="FrankRuehl" w:hAnsi="FrankRuehl" w:cs="FrankRuehl"/>
        <w:noProof/>
        <w:rtl/>
      </w:rPr>
      <w:t>1</w:t>
    </w:r>
    <w:r>
      <w:rPr>
        <w:rFonts w:ascii="FrankRuehl" w:hAnsi="FrankRuehl" w:cs="FrankRuehl"/>
        <w:rtl/>
      </w:rPr>
      <w:fldChar w:fldCharType="end"/>
    </w:r>
  </w:p>
  <w:p w14:paraId="5410F453" w14:textId="77777777" w:rsidR="00904DB4" w:rsidRPr="003B7570" w:rsidRDefault="003B7570" w:rsidP="003B7570">
    <w:pPr>
      <w:pStyle w:val="a5"/>
      <w:pBdr>
        <w:top w:val="single" w:sz="4" w:space="1" w:color="auto"/>
        <w:between w:val="single" w:sz="4" w:space="0" w:color="auto"/>
      </w:pBdr>
      <w:spacing w:after="60"/>
      <w:jc w:val="center"/>
      <w:rPr>
        <w:rFonts w:ascii="FrankRuehl" w:hAnsi="FrankRuehl" w:cs="FrankRuehl"/>
        <w:color w:val="000000"/>
      </w:rPr>
    </w:pPr>
    <w:r w:rsidRPr="003B7570">
      <w:rPr>
        <w:rFonts w:ascii="FrankRuehl" w:hAnsi="FrankRuehl" w:cs="FrankRuehl"/>
        <w:color w:val="000000"/>
      </w:rPr>
      <w:pict w14:anchorId="7B2A4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3E8D4" w14:textId="77777777" w:rsidR="006C6FD4" w:rsidRDefault="006C6FD4" w:rsidP="00050020">
      <w:r>
        <w:separator/>
      </w:r>
    </w:p>
  </w:footnote>
  <w:footnote w:type="continuationSeparator" w:id="0">
    <w:p w14:paraId="00A99E18" w14:textId="77777777" w:rsidR="006C6FD4" w:rsidRDefault="006C6FD4" w:rsidP="00050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D7F16" w14:textId="77777777" w:rsidR="00AF7F66" w:rsidRPr="003B7570" w:rsidRDefault="003B7570" w:rsidP="003B75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48783-12-19</w:t>
    </w:r>
    <w:r>
      <w:rPr>
        <w:rFonts w:ascii="David" w:hAnsi="David"/>
        <w:color w:val="000000"/>
        <w:sz w:val="22"/>
        <w:szCs w:val="22"/>
        <w:rtl/>
      </w:rPr>
      <w:tab/>
      <w:t xml:space="preserve"> מדינת ישראל נ' טארק ח'לאילי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BDCC5" w14:textId="77777777" w:rsidR="00AF7F66" w:rsidRPr="003B7570" w:rsidRDefault="003B7570" w:rsidP="003B75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48783-12-19</w:t>
    </w:r>
    <w:r>
      <w:rPr>
        <w:rFonts w:ascii="David" w:hAnsi="David"/>
        <w:color w:val="000000"/>
        <w:sz w:val="22"/>
        <w:szCs w:val="22"/>
        <w:rtl/>
      </w:rPr>
      <w:tab/>
      <w:t xml:space="preserve"> מדינת ישראל נ' טארק ח'לאילי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563F"/>
    <w:rsid w:val="00047CD0"/>
    <w:rsid w:val="00050020"/>
    <w:rsid w:val="00083807"/>
    <w:rsid w:val="000F52ED"/>
    <w:rsid w:val="001B5A3B"/>
    <w:rsid w:val="00372F41"/>
    <w:rsid w:val="003B7570"/>
    <w:rsid w:val="003E6434"/>
    <w:rsid w:val="006C6FD4"/>
    <w:rsid w:val="00720EAC"/>
    <w:rsid w:val="007D2DAD"/>
    <w:rsid w:val="00904DB4"/>
    <w:rsid w:val="00AF7F66"/>
    <w:rsid w:val="00B81942"/>
    <w:rsid w:val="00BD01AD"/>
    <w:rsid w:val="00D5563F"/>
    <w:rsid w:val="00E60A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4EEA8B"/>
  <w15:chartTrackingRefBased/>
  <w15:docId w15:val="{B3079FAA-3635-480C-B1C3-E90AC68C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56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63F"/>
    <w:pPr>
      <w:tabs>
        <w:tab w:val="center" w:pos="4153"/>
        <w:tab w:val="right" w:pos="8306"/>
      </w:tabs>
    </w:pPr>
  </w:style>
  <w:style w:type="character" w:customStyle="1" w:styleId="a4">
    <w:name w:val="כותרת עליונה תו"/>
    <w:link w:val="a3"/>
    <w:rsid w:val="00D5563F"/>
    <w:rPr>
      <w:rFonts w:ascii="Times New Roman" w:eastAsia="Times New Roman" w:hAnsi="Times New Roman" w:cs="David"/>
      <w:sz w:val="24"/>
      <w:szCs w:val="24"/>
    </w:rPr>
  </w:style>
  <w:style w:type="paragraph" w:styleId="a5">
    <w:name w:val="footer"/>
    <w:basedOn w:val="a"/>
    <w:link w:val="a6"/>
    <w:rsid w:val="00D5563F"/>
    <w:pPr>
      <w:tabs>
        <w:tab w:val="center" w:pos="4153"/>
        <w:tab w:val="right" w:pos="8306"/>
      </w:tabs>
    </w:pPr>
  </w:style>
  <w:style w:type="character" w:customStyle="1" w:styleId="a6">
    <w:name w:val="כותרת תחתונה תו"/>
    <w:link w:val="a5"/>
    <w:rsid w:val="00D5563F"/>
    <w:rPr>
      <w:rFonts w:ascii="Times New Roman" w:eastAsia="Times New Roman" w:hAnsi="Times New Roman" w:cs="David"/>
      <w:sz w:val="24"/>
      <w:szCs w:val="24"/>
    </w:rPr>
  </w:style>
  <w:style w:type="table" w:styleId="a7">
    <w:name w:val="Table Grid"/>
    <w:basedOn w:val="a1"/>
    <w:rsid w:val="00D556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563F"/>
  </w:style>
  <w:style w:type="character" w:customStyle="1" w:styleId="TimesNewRomanTimesNewRoman">
    <w:name w:val="סגנון (לטיני) Times New Roman (עברית ושפות אחרות) Times New Roman..."/>
    <w:rsid w:val="00D5563F"/>
    <w:rPr>
      <w:rFonts w:ascii="Times New Roman" w:hAnsi="Times New Roman" w:cs="David" w:hint="default"/>
      <w:b/>
      <w:bCs/>
      <w:sz w:val="26"/>
      <w:szCs w:val="26"/>
    </w:rPr>
  </w:style>
  <w:style w:type="character" w:customStyle="1" w:styleId="ListParagraphChar">
    <w:name w:val="List Paragraph Char"/>
    <w:link w:val="ListParagraph"/>
    <w:locked/>
    <w:rsid w:val="00D5563F"/>
  </w:style>
  <w:style w:type="paragraph" w:customStyle="1" w:styleId="ListParagraph">
    <w:name w:val="List Paragraph"/>
    <w:basedOn w:val="a"/>
    <w:link w:val="ListParagraphChar"/>
    <w:qFormat/>
    <w:rsid w:val="00D5563F"/>
    <w:pPr>
      <w:spacing w:after="160" w:line="256" w:lineRule="auto"/>
      <w:ind w:left="720"/>
      <w:contextualSpacing/>
    </w:pPr>
    <w:rPr>
      <w:rFonts w:ascii="Calibri" w:eastAsia="Calibri" w:hAnsi="Calibri" w:cs="Arial"/>
      <w:sz w:val="22"/>
      <w:szCs w:val="22"/>
    </w:rPr>
  </w:style>
  <w:style w:type="character" w:styleId="Hyperlink">
    <w:name w:val="Hyperlink"/>
    <w:rsid w:val="00D55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00.a" TargetMode="External"/><Relationship Id="rId13" Type="http://schemas.openxmlformats.org/officeDocument/2006/relationships/hyperlink" Target="http://www.nevo.co.il/law/70301/333;335" TargetMode="External"/><Relationship Id="rId18" Type="http://schemas.openxmlformats.org/officeDocument/2006/relationships/hyperlink" Target="http://www.nevo.co.il/case/17948120"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6646625"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244684"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61892" TargetMode="External"/><Relationship Id="rId20" Type="http://schemas.openxmlformats.org/officeDocument/2006/relationships/hyperlink" Target="http://www.nevo.co.il/case/2664662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00.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61280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35" TargetMode="External"/><Relationship Id="rId19" Type="http://schemas.openxmlformats.org/officeDocument/2006/relationships/hyperlink" Target="http://www.nevo.co.il/case/22294063" TargetMode="External"/><Relationship Id="rId4" Type="http://schemas.openxmlformats.org/officeDocument/2006/relationships/footnotes" Target="footnotes.xml"/><Relationship Id="rId9" Type="http://schemas.openxmlformats.org/officeDocument/2006/relationships/hyperlink" Target="http://www.nevo.co.il/law/70301/333"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2471</Words>
  <Characters>12357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14799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3145840</vt:i4>
      </vt:variant>
      <vt:variant>
        <vt:i4>45</vt:i4>
      </vt:variant>
      <vt:variant>
        <vt:i4>0</vt:i4>
      </vt:variant>
      <vt:variant>
        <vt:i4>5</vt:i4>
      </vt:variant>
      <vt:variant>
        <vt:lpwstr>http://www.nevo.co.il/case/26646625</vt:lpwstr>
      </vt:variant>
      <vt:variant>
        <vt:lpwstr/>
      </vt:variant>
      <vt:variant>
        <vt:i4>3145840</vt:i4>
      </vt:variant>
      <vt:variant>
        <vt:i4>42</vt:i4>
      </vt:variant>
      <vt:variant>
        <vt:i4>0</vt:i4>
      </vt:variant>
      <vt:variant>
        <vt:i4>5</vt:i4>
      </vt:variant>
      <vt:variant>
        <vt:lpwstr>http://www.nevo.co.il/case/26646625</vt:lpwstr>
      </vt:variant>
      <vt:variant>
        <vt:lpwstr/>
      </vt:variant>
      <vt:variant>
        <vt:i4>3276927</vt:i4>
      </vt:variant>
      <vt:variant>
        <vt:i4>39</vt:i4>
      </vt:variant>
      <vt:variant>
        <vt:i4>0</vt:i4>
      </vt:variant>
      <vt:variant>
        <vt:i4>5</vt:i4>
      </vt:variant>
      <vt:variant>
        <vt:lpwstr>http://www.nevo.co.il/case/22294063</vt:lpwstr>
      </vt:variant>
      <vt:variant>
        <vt:lpwstr/>
      </vt:variant>
      <vt:variant>
        <vt:i4>3276918</vt:i4>
      </vt:variant>
      <vt:variant>
        <vt:i4>36</vt:i4>
      </vt:variant>
      <vt:variant>
        <vt:i4>0</vt:i4>
      </vt:variant>
      <vt:variant>
        <vt:i4>5</vt:i4>
      </vt:variant>
      <vt:variant>
        <vt:lpwstr>http://www.nevo.co.il/case/17948120</vt:lpwstr>
      </vt:variant>
      <vt:variant>
        <vt:lpwstr/>
      </vt:variant>
      <vt:variant>
        <vt:i4>3145850</vt:i4>
      </vt:variant>
      <vt:variant>
        <vt:i4>33</vt:i4>
      </vt:variant>
      <vt:variant>
        <vt:i4>0</vt:i4>
      </vt:variant>
      <vt:variant>
        <vt:i4>5</vt:i4>
      </vt:variant>
      <vt:variant>
        <vt:lpwstr>http://www.nevo.co.il/case/6244684</vt:lpwstr>
      </vt:variant>
      <vt:variant>
        <vt:lpwstr/>
      </vt:variant>
      <vt:variant>
        <vt:i4>589898</vt:i4>
      </vt:variant>
      <vt:variant>
        <vt:i4>30</vt:i4>
      </vt:variant>
      <vt:variant>
        <vt:i4>0</vt:i4>
      </vt:variant>
      <vt:variant>
        <vt:i4>5</vt:i4>
      </vt:variant>
      <vt:variant>
        <vt:lpwstr>http://www.nevo.co.il/case/161892</vt:lpwstr>
      </vt:variant>
      <vt:variant>
        <vt:lpwstr/>
      </vt:variant>
      <vt:variant>
        <vt:i4>4063344</vt:i4>
      </vt:variant>
      <vt:variant>
        <vt:i4>27</vt:i4>
      </vt:variant>
      <vt:variant>
        <vt:i4>0</vt:i4>
      </vt:variant>
      <vt:variant>
        <vt:i4>5</vt:i4>
      </vt:variant>
      <vt:variant>
        <vt:lpwstr>http://www.nevo.co.il/case/5612802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7209062</vt:i4>
      </vt:variant>
      <vt:variant>
        <vt:i4>21</vt:i4>
      </vt:variant>
      <vt:variant>
        <vt:i4>0</vt:i4>
      </vt:variant>
      <vt:variant>
        <vt:i4>5</vt:i4>
      </vt:variant>
      <vt:variant>
        <vt:lpwstr>http://www.nevo.co.il/law/70301/333;335</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4915286</vt:i4>
      </vt:variant>
      <vt:variant>
        <vt:i4>15</vt:i4>
      </vt:variant>
      <vt:variant>
        <vt:i4>0</vt:i4>
      </vt:variant>
      <vt:variant>
        <vt:i4>5</vt:i4>
      </vt:variant>
      <vt:variant>
        <vt:lpwstr>http://www.nevo.co.il/law/70301/300.a</vt:lpwstr>
      </vt:variant>
      <vt:variant>
        <vt:lpwstr/>
      </vt:variant>
      <vt:variant>
        <vt:i4>6684774</vt:i4>
      </vt:variant>
      <vt:variant>
        <vt:i4>12</vt:i4>
      </vt:variant>
      <vt:variant>
        <vt:i4>0</vt:i4>
      </vt:variant>
      <vt:variant>
        <vt:i4>5</vt:i4>
      </vt:variant>
      <vt:variant>
        <vt:lpwstr>http://www.nevo.co.il/law/70301/335</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4915286</vt:i4>
      </vt:variant>
      <vt:variant>
        <vt:i4>6</vt:i4>
      </vt:variant>
      <vt:variant>
        <vt:i4>0</vt:i4>
      </vt:variant>
      <vt:variant>
        <vt:i4>5</vt:i4>
      </vt:variant>
      <vt:variant>
        <vt:lpwstr>http://www.nevo.co.il/law/70301/300.a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48783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טארק ח'לאילי  </vt:lpwstr>
  </property>
  <property fmtid="{D5CDD505-2E9C-101B-9397-08002B2CF9AE}" pid="10" name="JUDGE">
    <vt:lpwstr> יחיאל ליפשיץ;גלית ציגלר;שמואל מנדלבום</vt:lpwstr>
  </property>
  <property fmtid="{D5CDD505-2E9C-101B-9397-08002B2CF9AE}" pid="11" name="CITY">
    <vt:lpwstr>חי'</vt:lpwstr>
  </property>
  <property fmtid="{D5CDD505-2E9C-101B-9397-08002B2CF9AE}" pid="12" name="DATE">
    <vt:lpwstr>20240320</vt:lpwstr>
  </property>
  <property fmtid="{D5CDD505-2E9C-101B-9397-08002B2CF9AE}" pid="13" name="TYPE_N_DATE">
    <vt:lpwstr>39020240320</vt:lpwstr>
  </property>
  <property fmtid="{D5CDD505-2E9C-101B-9397-08002B2CF9AE}" pid="14" name="WORDNUMPAGES">
    <vt:lpwstr>8</vt:lpwstr>
  </property>
  <property fmtid="{D5CDD505-2E9C-101B-9397-08002B2CF9AE}" pid="15" name="TYPE_ABS_DATE">
    <vt:lpwstr>390020240320</vt:lpwstr>
  </property>
  <property fmtid="{D5CDD505-2E9C-101B-9397-08002B2CF9AE}" pid="16" name="ISABSTRACT">
    <vt:lpwstr>Y</vt:lpwstr>
  </property>
  <property fmtid="{D5CDD505-2E9C-101B-9397-08002B2CF9AE}" pid="17" name="LAWYER">
    <vt:lpwstr>משה שרמן;חיים רוט</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5612802;161892;6244684;17948120;22294063;26646625:2</vt:lpwstr>
  </property>
  <property fmtid="{D5CDD505-2E9C-101B-9397-08002B2CF9AE}" pid="36" name="LAWLISTTMP1">
    <vt:lpwstr>70301/300.a;333;335;144.b</vt:lpwstr>
  </property>
  <property fmtid="{D5CDD505-2E9C-101B-9397-08002B2CF9AE}" pid="37" name="METAKZER">
    <vt:lpwstr>הרץ קרן</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14615;15822</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עבירת רצח</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הסדר טיעון</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20240327</vt:lpwstr>
  </property>
</Properties>
</file>