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733"/>
        <w:gridCol w:w="2988"/>
      </w:tblGrid>
      <w:tr w:rsidR="005457B5" w:rsidRPr="002E4C8D" w14:paraId="1495F67F" w14:textId="77777777" w:rsidTr="0012165C">
        <w:trPr>
          <w:trHeight w:hRule="exact" w:val="418"/>
          <w:jc w:val="center"/>
        </w:trPr>
        <w:tc>
          <w:tcPr>
            <w:tcW w:w="8721" w:type="dxa"/>
            <w:gridSpan w:val="2"/>
          </w:tcPr>
          <w:p w14:paraId="279B86FA" w14:textId="77777777" w:rsidR="005457B5" w:rsidRPr="002E4C8D" w:rsidRDefault="005457B5" w:rsidP="004A77D5">
            <w:pPr>
              <w:pStyle w:val="a3"/>
              <w:jc w:val="center"/>
              <w:rPr>
                <w:rFonts w:ascii="Tahoma" w:hAnsi="Tahoma" w:cs="Tahoma"/>
                <w:color w:val="000080"/>
                <w:rtl/>
              </w:rPr>
            </w:pPr>
            <w:bookmarkStart w:id="0" w:name="LastJudge"/>
            <w:r w:rsidRPr="002E4C8D">
              <w:rPr>
                <w:rFonts w:ascii="Tahoma" w:hAnsi="Tahoma" w:cs="Tahoma"/>
                <w:b/>
                <w:bCs/>
                <w:color w:val="000080"/>
                <w:rtl/>
              </w:rPr>
              <w:t>בית המשפט המחוזי בחיפה</w:t>
            </w:r>
          </w:p>
        </w:tc>
      </w:tr>
      <w:tr w:rsidR="005457B5" w:rsidRPr="00AA78D6" w14:paraId="55DC16CC" w14:textId="77777777" w:rsidTr="00AA78D6">
        <w:trPr>
          <w:trHeight w:val="337"/>
          <w:jc w:val="center"/>
        </w:trPr>
        <w:tc>
          <w:tcPr>
            <w:tcW w:w="5733" w:type="dxa"/>
          </w:tcPr>
          <w:p w14:paraId="581E1929" w14:textId="77777777" w:rsidR="005457B5" w:rsidRPr="00AA78D6" w:rsidRDefault="005457B5" w:rsidP="00AA78D6">
            <w:pPr>
              <w:spacing w:before="120" w:after="120" w:line="240" w:lineRule="exact"/>
              <w:rPr>
                <w:rFonts w:ascii="David" w:hAnsi="David" w:hint="cs"/>
                <w:b/>
                <w:bCs/>
                <w:sz w:val="26"/>
                <w:szCs w:val="26"/>
                <w:rtl/>
              </w:rPr>
            </w:pPr>
            <w:r w:rsidRPr="00AA78D6">
              <w:rPr>
                <w:b/>
                <w:bCs/>
                <w:sz w:val="26"/>
                <w:szCs w:val="26"/>
                <w:rtl/>
              </w:rPr>
              <w:t>ת"פ 61299-12-19 מדינת ישראל נ' זרבאילוב(עצור/אסיר בפיקוח)</w:t>
            </w:r>
          </w:p>
        </w:tc>
        <w:tc>
          <w:tcPr>
            <w:tcW w:w="2988" w:type="dxa"/>
          </w:tcPr>
          <w:p w14:paraId="15B82E7C" w14:textId="77777777" w:rsidR="005457B5" w:rsidRPr="00AA78D6" w:rsidRDefault="005457B5" w:rsidP="00AA78D6">
            <w:pPr>
              <w:pStyle w:val="a3"/>
              <w:spacing w:before="120" w:after="120" w:line="240" w:lineRule="exact"/>
              <w:jc w:val="right"/>
              <w:rPr>
                <w:rFonts w:ascii="David" w:hAnsi="David"/>
                <w:b/>
                <w:bCs/>
                <w:sz w:val="26"/>
                <w:szCs w:val="26"/>
                <w:rtl/>
              </w:rPr>
            </w:pPr>
          </w:p>
        </w:tc>
      </w:tr>
    </w:tbl>
    <w:p w14:paraId="77638272" w14:textId="77777777" w:rsidR="005457B5" w:rsidRPr="00AA78D6" w:rsidRDefault="005457B5" w:rsidP="00AA78D6">
      <w:pPr>
        <w:pStyle w:val="a3"/>
        <w:spacing w:before="120" w:after="120" w:line="240" w:lineRule="exact"/>
        <w:rPr>
          <w:rFonts w:ascii="David" w:hAnsi="David"/>
          <w:sz w:val="26"/>
          <w:szCs w:val="26"/>
          <w:rtl/>
        </w:rPr>
      </w:pPr>
      <w:r w:rsidRPr="00AA78D6">
        <w:rPr>
          <w:rtl/>
        </w:rPr>
        <w:t xml:space="preserve"> </w:t>
      </w:r>
    </w:p>
    <w:p w14:paraId="3F9056A9" w14:textId="77777777" w:rsidR="005457B5" w:rsidRPr="00AA78D6" w:rsidRDefault="005457B5" w:rsidP="00AA78D6">
      <w:pPr>
        <w:spacing w:before="120" w:after="120" w:line="240" w:lineRule="exact"/>
        <w:rPr>
          <w:rFonts w:ascii="David" w:hAnsi="David"/>
          <w:b/>
          <w:bCs/>
          <w:sz w:val="26"/>
          <w:szCs w:val="26"/>
          <w:rtl/>
        </w:rPr>
      </w:pPr>
      <w:r w:rsidRPr="00AA78D6">
        <w:rPr>
          <w:rFonts w:ascii="David" w:hAnsi="David"/>
          <w:b/>
          <w:bCs/>
          <w:sz w:val="26"/>
          <w:szCs w:val="26"/>
          <w:rtl/>
        </w:rPr>
        <w:t>בפני כבוד השופט סארי ג'יוסי</w:t>
      </w:r>
    </w:p>
    <w:p w14:paraId="1F5965FE" w14:textId="77777777" w:rsidR="005457B5" w:rsidRPr="00AA78D6" w:rsidRDefault="005457B5" w:rsidP="00AA78D6">
      <w:pPr>
        <w:spacing w:before="120" w:after="120" w:line="240" w:lineRule="exact"/>
        <w:rPr>
          <w:rFonts w:ascii="David" w:hAnsi="David"/>
          <w:b/>
          <w:bCs/>
          <w:sz w:val="26"/>
          <w:szCs w:val="26"/>
          <w:rtl/>
        </w:rPr>
      </w:pPr>
    </w:p>
    <w:p w14:paraId="43AA7786" w14:textId="77777777" w:rsidR="005457B5" w:rsidRPr="00AA78D6" w:rsidRDefault="005457B5" w:rsidP="00AA78D6">
      <w:pPr>
        <w:spacing w:before="120" w:after="120" w:line="240" w:lineRule="exact"/>
        <w:rPr>
          <w:rFonts w:ascii="David" w:hAnsi="David"/>
          <w:b/>
          <w:bCs/>
          <w:sz w:val="26"/>
          <w:szCs w:val="26"/>
          <w:rtl/>
        </w:rPr>
      </w:pPr>
      <w:r w:rsidRPr="00AA78D6">
        <w:rPr>
          <w:rFonts w:ascii="David" w:hAnsi="David"/>
          <w:b/>
          <w:bCs/>
          <w:sz w:val="26"/>
          <w:szCs w:val="26"/>
          <w:rtl/>
        </w:rPr>
        <w:t>ה</w:t>
      </w:r>
      <w:bookmarkStart w:id="1" w:name="FirstAppellant"/>
      <w:r w:rsidRPr="00AA78D6">
        <w:rPr>
          <w:rFonts w:ascii="David" w:hAnsi="David"/>
          <w:b/>
          <w:bCs/>
          <w:sz w:val="26"/>
          <w:szCs w:val="26"/>
          <w:rtl/>
        </w:rPr>
        <w:t>מאשימ</w:t>
      </w:r>
      <w:bookmarkEnd w:id="1"/>
      <w:r w:rsidRPr="00AA78D6">
        <w:rPr>
          <w:rFonts w:ascii="David" w:hAnsi="David"/>
          <w:b/>
          <w:bCs/>
          <w:sz w:val="26"/>
          <w:szCs w:val="26"/>
          <w:rtl/>
        </w:rPr>
        <w:t>ה                                    מדינת ישראל</w:t>
      </w:r>
    </w:p>
    <w:p w14:paraId="7DB816A2" w14:textId="77777777" w:rsidR="005457B5" w:rsidRPr="00AA78D6" w:rsidRDefault="005457B5" w:rsidP="00AA78D6">
      <w:pPr>
        <w:spacing w:before="120" w:after="120" w:line="240" w:lineRule="exact"/>
        <w:rPr>
          <w:rFonts w:ascii="David" w:hAnsi="David"/>
          <w:b/>
          <w:bCs/>
          <w:sz w:val="26"/>
          <w:szCs w:val="26"/>
          <w:rtl/>
        </w:rPr>
      </w:pPr>
    </w:p>
    <w:p w14:paraId="1A494595" w14:textId="77777777" w:rsidR="005457B5" w:rsidRPr="00AA78D6" w:rsidRDefault="005457B5" w:rsidP="00AA78D6">
      <w:pPr>
        <w:spacing w:before="120" w:after="120" w:line="240" w:lineRule="exact"/>
        <w:jc w:val="center"/>
        <w:rPr>
          <w:rFonts w:ascii="David" w:hAnsi="David"/>
          <w:b/>
          <w:bCs/>
          <w:sz w:val="26"/>
          <w:szCs w:val="26"/>
          <w:rtl/>
        </w:rPr>
      </w:pPr>
      <w:r w:rsidRPr="00AA78D6">
        <w:rPr>
          <w:rFonts w:ascii="David" w:hAnsi="David"/>
          <w:b/>
          <w:bCs/>
          <w:sz w:val="26"/>
          <w:szCs w:val="26"/>
          <w:rtl/>
        </w:rPr>
        <w:t>נגד</w:t>
      </w:r>
    </w:p>
    <w:p w14:paraId="07FF1B02" w14:textId="77777777" w:rsidR="00AA78D6" w:rsidRDefault="00AA78D6" w:rsidP="00AA78D6">
      <w:pPr>
        <w:spacing w:before="120" w:after="120" w:line="240" w:lineRule="exact"/>
        <w:rPr>
          <w:rFonts w:ascii="David" w:hAnsi="David" w:hint="cs"/>
          <w:b/>
          <w:bCs/>
          <w:sz w:val="26"/>
          <w:szCs w:val="26"/>
          <w:rtl/>
        </w:rPr>
      </w:pPr>
    </w:p>
    <w:p w14:paraId="60BBBFD7" w14:textId="77777777" w:rsidR="0012165C" w:rsidRPr="00AA78D6" w:rsidRDefault="005457B5" w:rsidP="00AA78D6">
      <w:pPr>
        <w:spacing w:before="120" w:after="120" w:line="240" w:lineRule="exact"/>
        <w:rPr>
          <w:rFonts w:ascii="David" w:hAnsi="David"/>
          <w:b/>
          <w:bCs/>
          <w:sz w:val="26"/>
          <w:szCs w:val="26"/>
        </w:rPr>
      </w:pPr>
      <w:r w:rsidRPr="00AA78D6">
        <w:rPr>
          <w:rFonts w:ascii="David" w:hAnsi="David"/>
          <w:b/>
          <w:bCs/>
          <w:sz w:val="26"/>
          <w:szCs w:val="26"/>
          <w:rtl/>
        </w:rPr>
        <w:t xml:space="preserve">הנאשם                          </w:t>
      </w:r>
      <w:r w:rsidR="00D73435">
        <w:rPr>
          <w:rFonts w:ascii="David" w:hAnsi="David" w:hint="cs"/>
          <w:b/>
          <w:bCs/>
          <w:sz w:val="26"/>
          <w:szCs w:val="26"/>
          <w:rtl/>
        </w:rPr>
        <w:tab/>
      </w:r>
      <w:r w:rsidRPr="00AA78D6">
        <w:rPr>
          <w:rFonts w:ascii="David" w:hAnsi="David"/>
          <w:b/>
          <w:bCs/>
          <w:sz w:val="26"/>
          <w:szCs w:val="26"/>
          <w:rtl/>
        </w:rPr>
        <w:t xml:space="preserve">עזריה זרבאילוב, ת"ז </w:t>
      </w:r>
      <w:r w:rsidR="002E4C8D" w:rsidRPr="00AA78D6">
        <w:rPr>
          <w:rFonts w:ascii="David" w:hAnsi="David"/>
          <w:b/>
          <w:bCs/>
          <w:sz w:val="26"/>
          <w:szCs w:val="26"/>
        </w:rPr>
        <w:t>xxxxxxxxx</w:t>
      </w:r>
    </w:p>
    <w:p w14:paraId="1DBB8A14" w14:textId="77777777" w:rsidR="0012165C" w:rsidRPr="00AA78D6" w:rsidRDefault="0012165C" w:rsidP="0012165C">
      <w:pPr>
        <w:spacing w:after="120" w:line="240" w:lineRule="exact"/>
        <w:ind w:left="283" w:hanging="283"/>
        <w:jc w:val="both"/>
        <w:rPr>
          <w:rFonts w:ascii="FrankRuehl" w:hAnsi="FrankRuehl" w:cs="FrankRuehl"/>
        </w:rPr>
      </w:pPr>
    </w:p>
    <w:p w14:paraId="3EACD51E" w14:textId="77777777" w:rsidR="0012165C" w:rsidRPr="0012165C" w:rsidRDefault="0012165C" w:rsidP="0012165C">
      <w:pPr>
        <w:spacing w:after="120" w:line="240" w:lineRule="exact"/>
        <w:ind w:left="283" w:hanging="283"/>
        <w:jc w:val="both"/>
        <w:rPr>
          <w:rFonts w:ascii="FrankRuehl" w:hAnsi="FrankRuehl" w:cs="FrankRuehl"/>
          <w:rtl/>
        </w:rPr>
      </w:pPr>
    </w:p>
    <w:p w14:paraId="0778AE0D" w14:textId="77777777" w:rsidR="0010775A" w:rsidRPr="0010775A" w:rsidRDefault="0010775A" w:rsidP="0010775A">
      <w:pPr>
        <w:spacing w:before="120" w:after="120" w:line="240" w:lineRule="exact"/>
        <w:ind w:left="283" w:hanging="283"/>
        <w:jc w:val="both"/>
        <w:rPr>
          <w:rFonts w:ascii="FrankRuehl" w:hAnsi="FrankRuehl" w:cs="FrankRuehl"/>
          <w:rtl/>
        </w:rPr>
      </w:pPr>
      <w:r w:rsidRPr="0010775A">
        <w:rPr>
          <w:rFonts w:ascii="FrankRuehl" w:hAnsi="FrankRuehl" w:cs="FrankRuehl"/>
          <w:rtl/>
        </w:rPr>
        <w:t xml:space="preserve">חקיקה שאוזכרה: </w:t>
      </w:r>
    </w:p>
    <w:p w14:paraId="3BB9ED82" w14:textId="77777777" w:rsidR="0010775A" w:rsidRPr="0010775A" w:rsidRDefault="0010775A" w:rsidP="0010775A">
      <w:pPr>
        <w:spacing w:before="120" w:after="120" w:line="240" w:lineRule="exact"/>
        <w:ind w:left="283" w:hanging="283"/>
        <w:jc w:val="both"/>
        <w:rPr>
          <w:rFonts w:ascii="FrankRuehl" w:hAnsi="FrankRuehl" w:cs="FrankRuehl"/>
          <w:color w:val="0000FF"/>
          <w:rtl/>
        </w:rPr>
      </w:pPr>
      <w:hyperlink r:id="rId7" w:history="1">
        <w:r w:rsidRPr="0010775A">
          <w:rPr>
            <w:rStyle w:val="Hyperlink"/>
            <w:rFonts w:ascii="FrankRuehl" w:hAnsi="FrankRuehl" w:cs="FrankRuehl"/>
            <w:u w:val="none"/>
            <w:rtl/>
          </w:rPr>
          <w:t>חוק העונשין, תשל"ז-1977</w:t>
        </w:r>
      </w:hyperlink>
      <w:r w:rsidRPr="0010775A">
        <w:rPr>
          <w:rFonts w:ascii="FrankRuehl" w:hAnsi="FrankRuehl" w:cs="FrankRuehl"/>
          <w:color w:val="0000FF"/>
          <w:rtl/>
        </w:rPr>
        <w:t xml:space="preserve">: סע'  </w:t>
      </w:r>
      <w:hyperlink r:id="rId8" w:history="1">
        <w:r w:rsidRPr="0010775A">
          <w:rPr>
            <w:rStyle w:val="Hyperlink"/>
            <w:rFonts w:ascii="FrankRuehl" w:hAnsi="FrankRuehl" w:cs="FrankRuehl"/>
            <w:u w:val="none"/>
          </w:rPr>
          <w:t>144</w:t>
        </w:r>
      </w:hyperlink>
      <w:r w:rsidRPr="0010775A">
        <w:rPr>
          <w:rFonts w:ascii="FrankRuehl" w:hAnsi="FrankRuehl" w:cs="FrankRuehl"/>
          <w:color w:val="0000FF"/>
          <w:rtl/>
        </w:rPr>
        <w:t>(ב)</w:t>
      </w:r>
    </w:p>
    <w:p w14:paraId="66D96453" w14:textId="77777777" w:rsidR="0010775A" w:rsidRPr="0010775A" w:rsidRDefault="0010775A" w:rsidP="0010775A">
      <w:pPr>
        <w:spacing w:before="120" w:after="120" w:line="240" w:lineRule="exact"/>
        <w:ind w:left="283" w:hanging="283"/>
        <w:jc w:val="both"/>
        <w:rPr>
          <w:rFonts w:ascii="FrankRuehl" w:hAnsi="FrankRuehl" w:cs="FrankRuehl"/>
          <w:color w:val="0000FF"/>
          <w:rtl/>
        </w:rPr>
      </w:pPr>
      <w:hyperlink r:id="rId9" w:history="1">
        <w:r w:rsidRPr="0010775A">
          <w:rPr>
            <w:rStyle w:val="Hyperlink"/>
            <w:rFonts w:ascii="FrankRuehl" w:hAnsi="FrankRuehl" w:cs="FrankRuehl"/>
            <w:u w:val="none"/>
            <w:rtl/>
          </w:rPr>
          <w:t>פקודת סדר הדין הפלילי (מעצר וחיפוש) [נוסח חדש], תשכ"ט-1969</w:t>
        </w:r>
      </w:hyperlink>
      <w:r w:rsidRPr="0010775A">
        <w:rPr>
          <w:rFonts w:ascii="FrankRuehl" w:hAnsi="FrankRuehl" w:cs="FrankRuehl"/>
          <w:color w:val="0000FF"/>
          <w:rtl/>
        </w:rPr>
        <w:t xml:space="preserve">: סע'  </w:t>
      </w:r>
      <w:hyperlink r:id="rId10" w:history="1">
        <w:r w:rsidRPr="0010775A">
          <w:rPr>
            <w:rStyle w:val="Hyperlink"/>
            <w:rFonts w:ascii="FrankRuehl" w:hAnsi="FrankRuehl" w:cs="FrankRuehl"/>
            <w:u w:val="none"/>
          </w:rPr>
          <w:t xml:space="preserve">32 </w:t>
        </w:r>
      </w:hyperlink>
      <w:r w:rsidRPr="0010775A">
        <w:rPr>
          <w:rFonts w:ascii="FrankRuehl" w:hAnsi="FrankRuehl" w:cs="FrankRuehl"/>
          <w:color w:val="0000FF"/>
          <w:rtl/>
        </w:rPr>
        <w:t xml:space="preserve">(א), </w:t>
      </w:r>
      <w:hyperlink r:id="rId11" w:history="1">
        <w:r w:rsidRPr="0010775A">
          <w:rPr>
            <w:rStyle w:val="Hyperlink"/>
            <w:rFonts w:ascii="FrankRuehl" w:hAnsi="FrankRuehl" w:cs="FrankRuehl"/>
            <w:u w:val="none"/>
          </w:rPr>
          <w:t>39</w:t>
        </w:r>
      </w:hyperlink>
      <w:r w:rsidRPr="0010775A">
        <w:rPr>
          <w:rFonts w:ascii="FrankRuehl" w:hAnsi="FrankRuehl" w:cs="FrankRuehl"/>
          <w:color w:val="0000FF"/>
          <w:rtl/>
        </w:rPr>
        <w:t xml:space="preserve">, </w:t>
      </w:r>
      <w:hyperlink r:id="rId12" w:history="1">
        <w:r w:rsidRPr="0010775A">
          <w:rPr>
            <w:rStyle w:val="Hyperlink"/>
            <w:rFonts w:ascii="FrankRuehl" w:hAnsi="FrankRuehl" w:cs="FrankRuehl"/>
            <w:u w:val="none"/>
          </w:rPr>
          <w:t xml:space="preserve">39 </w:t>
        </w:r>
      </w:hyperlink>
      <w:r w:rsidRPr="0010775A">
        <w:rPr>
          <w:rFonts w:ascii="FrankRuehl" w:hAnsi="FrankRuehl" w:cs="FrankRuehl"/>
          <w:color w:val="0000FF"/>
          <w:rtl/>
        </w:rPr>
        <w:t>(א)</w:t>
      </w:r>
    </w:p>
    <w:p w14:paraId="3CEAA4A9" w14:textId="77777777" w:rsidR="005457B5" w:rsidRDefault="005457B5" w:rsidP="0010775A">
      <w:pPr>
        <w:rPr>
          <w:rFonts w:hint="cs"/>
          <w:sz w:val="32"/>
          <w:szCs w:val="32"/>
          <w:rtl/>
        </w:rPr>
      </w:pPr>
      <w:bookmarkStart w:id="2" w:name="LawTable_End"/>
      <w:bookmarkEnd w:id="2"/>
    </w:p>
    <w:p w14:paraId="10BBBF70" w14:textId="77777777" w:rsidR="00D73435" w:rsidRDefault="00D73435" w:rsidP="00D73435">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0DABEF93" w14:textId="77777777" w:rsidR="00D73435" w:rsidRPr="00D73435" w:rsidRDefault="00D73435" w:rsidP="00D7343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D73435">
        <w:rPr>
          <w:rFonts w:cs="FrankRuehl" w:hint="cs"/>
          <w:szCs w:val="26"/>
          <w:rtl/>
        </w:rPr>
        <w:t xml:space="preserve">בית המשפט גזר את דינו של נאשם שהורשע בעבירות נשק, והשית עליו </w:t>
      </w:r>
      <w:r w:rsidRPr="00D73435">
        <w:rPr>
          <w:rFonts w:cs="FrankRuehl"/>
          <w:szCs w:val="26"/>
          <w:rtl/>
        </w:rPr>
        <w:t>18 חודשי מאסר בפועל ומאסר על תנאי לתקופה של 10 חודשים.</w:t>
      </w:r>
    </w:p>
    <w:p w14:paraId="1812A39C" w14:textId="77777777" w:rsidR="00D73435" w:rsidRDefault="00D73435" w:rsidP="00D7343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1E1B5CE8" w14:textId="77777777" w:rsidR="00D73435" w:rsidRDefault="00D73435" w:rsidP="00D7343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AC803D4" w14:textId="77777777" w:rsidR="00D73435" w:rsidRPr="00D73435" w:rsidRDefault="00D73435" w:rsidP="00D73435">
      <w:pPr>
        <w:pBdr>
          <w:top w:val="single" w:sz="4" w:space="1" w:color="auto"/>
          <w:bottom w:val="single" w:sz="4" w:space="1" w:color="auto"/>
        </w:pBdr>
        <w:spacing w:after="120" w:line="320" w:lineRule="exact"/>
        <w:jc w:val="both"/>
        <w:rPr>
          <w:rFonts w:cs="FrankRuehl"/>
          <w:szCs w:val="26"/>
          <w:rtl/>
        </w:rPr>
      </w:pPr>
      <w:r w:rsidRPr="00D73435">
        <w:rPr>
          <w:rFonts w:cs="FrankRuehl"/>
          <w:szCs w:val="26"/>
          <w:rtl/>
        </w:rPr>
        <w:t>הנאשם הורשע במסגרת הסדר-דיוני אליו הגיעו הצדדים,</w:t>
      </w:r>
      <w:r w:rsidRPr="00D73435">
        <w:rPr>
          <w:rFonts w:cs="FrankRuehl"/>
          <w:szCs w:val="26"/>
        </w:rPr>
        <w:t xml:space="preserve"> </w:t>
      </w:r>
      <w:r w:rsidRPr="00D73435">
        <w:rPr>
          <w:rFonts w:cs="FrankRuehl"/>
          <w:szCs w:val="26"/>
          <w:rtl/>
        </w:rPr>
        <w:t>בעבירות בנשק (נשיאה והובלה)</w:t>
      </w:r>
      <w:r w:rsidRPr="00D73435">
        <w:rPr>
          <w:rFonts w:cs="FrankRuehl" w:hint="cs"/>
          <w:szCs w:val="26"/>
          <w:rtl/>
        </w:rPr>
        <w:t>.</w:t>
      </w:r>
    </w:p>
    <w:p w14:paraId="0647A3CD" w14:textId="77777777" w:rsidR="00D73435" w:rsidRDefault="00D73435" w:rsidP="00D7343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563A367" w14:textId="77777777" w:rsidR="00D73435" w:rsidRPr="00D73435" w:rsidRDefault="00D73435" w:rsidP="00D73435">
      <w:pPr>
        <w:pBdr>
          <w:top w:val="single" w:sz="4" w:space="1" w:color="auto"/>
          <w:bottom w:val="single" w:sz="4" w:space="1" w:color="auto"/>
        </w:pBdr>
        <w:spacing w:after="120" w:line="320" w:lineRule="exact"/>
        <w:jc w:val="both"/>
        <w:rPr>
          <w:rFonts w:cs="FrankRuehl"/>
          <w:szCs w:val="26"/>
          <w:rtl/>
        </w:rPr>
      </w:pPr>
      <w:r w:rsidRPr="00D73435">
        <w:rPr>
          <w:rFonts w:cs="FrankRuehl"/>
          <w:szCs w:val="26"/>
          <w:rtl/>
        </w:rPr>
        <w:t>בית המשפט המחוזי גזר את הדין כדלהלן:</w:t>
      </w:r>
    </w:p>
    <w:p w14:paraId="5A80552C" w14:textId="77777777" w:rsidR="00D73435" w:rsidRPr="00D73435" w:rsidRDefault="00D73435" w:rsidP="00D73435">
      <w:pPr>
        <w:pBdr>
          <w:top w:val="single" w:sz="4" w:space="1" w:color="auto"/>
          <w:bottom w:val="single" w:sz="4" w:space="1" w:color="auto"/>
        </w:pBdr>
        <w:spacing w:after="120" w:line="320" w:lineRule="exact"/>
        <w:jc w:val="both"/>
        <w:rPr>
          <w:rFonts w:cs="FrankRuehl"/>
          <w:szCs w:val="26"/>
          <w:rtl/>
        </w:rPr>
      </w:pPr>
      <w:r w:rsidRPr="00D73435">
        <w:rPr>
          <w:rFonts w:cs="FrankRuehl"/>
          <w:szCs w:val="26"/>
          <w:rtl/>
        </w:rPr>
        <w:t>פסיקה עקבית של בית המשפט העליון קבעה, כי יש ליתן חומרה יתרה לעבירות הנשק, על סוגיהן השונים, נוכח הסכנה הגבוהה הנשקפת מהן, וזאת אף בשים-לב לגישת המחוקק, אשר קבע לצידן של עבירות אלו ענישה מחמירה. קיים מנעד רחב ביותר של פסיקה באשר לענישה בעבירה האמורה. מחד-גיסא, קיימת פסיקה שבה הסתפקו בתי המשפט בהטלת עונש מאסר לריצוי בעבודות שירות, ומאידך גיסא, קיימת פסיקה, שבה עמדו בתי המשפט על-כך שלא ניתן להימנע בעבירה מסוג זה מלהטיל על הנאשם עונש של מאסר בפועל לריצוי מאחורי סורג ובריח. מקריאה מעמיקה של פסיקת בית המשפט העליון, עולה כי שופטיו התוו מימים ימימה את מדיניות הענישה הראויה בעבירות נשק, וברי, כי במציאות הנכוחה של ימינו, מילותיהם מקבלות משנה תוקף.</w:t>
      </w:r>
    </w:p>
    <w:p w14:paraId="08506004" w14:textId="77777777" w:rsidR="00D73435" w:rsidRPr="00D73435" w:rsidRDefault="00D73435" w:rsidP="00D73435">
      <w:pPr>
        <w:pBdr>
          <w:top w:val="single" w:sz="4" w:space="1" w:color="auto"/>
          <w:bottom w:val="single" w:sz="4" w:space="1" w:color="auto"/>
        </w:pBdr>
        <w:spacing w:after="120" w:line="320" w:lineRule="exact"/>
        <w:jc w:val="both"/>
        <w:rPr>
          <w:rFonts w:cs="FrankRuehl"/>
          <w:szCs w:val="26"/>
          <w:rtl/>
        </w:rPr>
      </w:pPr>
      <w:r w:rsidRPr="00D73435">
        <w:rPr>
          <w:rFonts w:cs="FrankRuehl"/>
          <w:szCs w:val="26"/>
          <w:rtl/>
        </w:rPr>
        <w:lastRenderedPageBreak/>
        <w:t>בהתחשב במכלול השיקולים, מתחם הענישה הראוי בנסיבות המקרה דנן, הוא מאסר בפועל לתקופה שנעה בין 16-36 חודשי מאסר בפועל, זאת לצד עונשים נלווים. בשקלול הנסיבות והנתונים השונים, העונש הראוי בנסיבות הוא עונש של 18 חודשי מאסר בפועל ומאסר על תנאי לתקופה של 10 חודשים.</w:t>
      </w:r>
    </w:p>
    <w:p w14:paraId="0E802391" w14:textId="77777777" w:rsidR="00D73435" w:rsidRDefault="00D73435" w:rsidP="0010775A">
      <w:pPr>
        <w:rPr>
          <w:rFonts w:hint="cs"/>
          <w:sz w:val="32"/>
          <w:szCs w:val="32"/>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457B5" w14:paraId="55AEE2E7" w14:textId="77777777" w:rsidTr="005457B5">
        <w:trPr>
          <w:trHeight w:val="355"/>
          <w:jc w:val="center"/>
        </w:trPr>
        <w:tc>
          <w:tcPr>
            <w:tcW w:w="8820" w:type="dxa"/>
            <w:tcBorders>
              <w:top w:val="nil"/>
              <w:left w:val="nil"/>
              <w:bottom w:val="nil"/>
              <w:right w:val="nil"/>
            </w:tcBorders>
            <w:shd w:val="clear" w:color="auto" w:fill="auto"/>
          </w:tcPr>
          <w:p w14:paraId="64E1284C" w14:textId="77777777" w:rsidR="002E4C8D" w:rsidRPr="002E4C8D" w:rsidRDefault="002E4C8D" w:rsidP="002E4C8D">
            <w:pPr>
              <w:jc w:val="center"/>
              <w:rPr>
                <w:rFonts w:ascii="David" w:hAnsi="David"/>
                <w:b/>
                <w:bCs/>
                <w:sz w:val="32"/>
                <w:szCs w:val="32"/>
                <w:u w:val="single"/>
                <w:rtl/>
              </w:rPr>
            </w:pPr>
            <w:bookmarkStart w:id="5" w:name="PsakDin" w:colFirst="0" w:colLast="0"/>
            <w:bookmarkEnd w:id="0"/>
            <w:r w:rsidRPr="002E4C8D">
              <w:rPr>
                <w:rFonts w:ascii="David" w:hAnsi="David"/>
                <w:b/>
                <w:bCs/>
                <w:sz w:val="32"/>
                <w:szCs w:val="32"/>
                <w:u w:val="single"/>
                <w:rtl/>
              </w:rPr>
              <w:t>גזר דין</w:t>
            </w:r>
          </w:p>
          <w:p w14:paraId="2CD3D569" w14:textId="77777777" w:rsidR="005457B5" w:rsidRPr="002E4C8D" w:rsidRDefault="005457B5" w:rsidP="002E4C8D">
            <w:pPr>
              <w:jc w:val="center"/>
              <w:rPr>
                <w:rFonts w:ascii="David" w:hAnsi="David"/>
                <w:bCs/>
                <w:sz w:val="32"/>
                <w:szCs w:val="32"/>
                <w:u w:val="single"/>
                <w:rtl/>
              </w:rPr>
            </w:pPr>
          </w:p>
        </w:tc>
      </w:tr>
      <w:bookmarkEnd w:id="5"/>
    </w:tbl>
    <w:p w14:paraId="314395E1" w14:textId="77777777" w:rsidR="005457B5" w:rsidRDefault="005457B5" w:rsidP="005457B5">
      <w:pPr>
        <w:rPr>
          <w:rFonts w:ascii="David" w:hAnsi="David"/>
          <w:b/>
          <w:bCs/>
          <w:u w:val="single"/>
          <w:rtl/>
        </w:rPr>
      </w:pPr>
    </w:p>
    <w:p w14:paraId="08D9AA0A" w14:textId="77777777" w:rsidR="005457B5" w:rsidRDefault="005457B5" w:rsidP="005457B5">
      <w:pPr>
        <w:spacing w:line="360" w:lineRule="auto"/>
        <w:ind w:left="360" w:firstLine="720"/>
        <w:jc w:val="both"/>
        <w:rPr>
          <w:rFonts w:ascii="David" w:hAnsi="David"/>
          <w:rtl/>
        </w:rPr>
      </w:pPr>
      <w:r>
        <w:rPr>
          <w:rFonts w:ascii="David" w:hAnsi="David"/>
          <w:rtl/>
        </w:rPr>
        <w:t>הנסיבות הצריכות לעניין הן בתמצית אלה</w:t>
      </w:r>
      <w:r>
        <w:rPr>
          <w:rFonts w:ascii="David" w:hAnsi="David"/>
        </w:rPr>
        <w:t>:</w:t>
      </w:r>
    </w:p>
    <w:p w14:paraId="215CF82F" w14:textId="77777777" w:rsidR="005457B5" w:rsidRDefault="005457B5" w:rsidP="005457B5">
      <w:pPr>
        <w:spacing w:line="360" w:lineRule="auto"/>
        <w:ind w:firstLine="720"/>
        <w:jc w:val="both"/>
        <w:rPr>
          <w:rFonts w:ascii="David" w:hAnsi="David"/>
          <w:rtl/>
        </w:rPr>
      </w:pPr>
    </w:p>
    <w:p w14:paraId="06A9DF8C" w14:textId="77777777" w:rsidR="005457B5" w:rsidRDefault="005457B5" w:rsidP="005457B5">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הנאשם, יליד 26.11.1981, הורשע ביום 22.09.2020 על-סמך הודאתו בעובדות כתב-האישום המתוקן, במסגרת הסדר-דיוני אליו הגיעו הצדדים,</w:t>
      </w:r>
      <w:r>
        <w:rPr>
          <w:rFonts w:ascii="David" w:hAnsi="David" w:cs="David"/>
          <w:sz w:val="24"/>
          <w:szCs w:val="24"/>
        </w:rPr>
        <w:t xml:space="preserve"> </w:t>
      </w:r>
      <w:r>
        <w:rPr>
          <w:rFonts w:ascii="David" w:hAnsi="David" w:cs="David"/>
          <w:sz w:val="24"/>
          <w:szCs w:val="24"/>
          <w:rtl/>
        </w:rPr>
        <w:t xml:space="preserve">בעבירות בנשק (נשיאה והובלה), לפי </w:t>
      </w:r>
      <w:hyperlink r:id="rId13" w:history="1">
        <w:r w:rsidR="0012165C" w:rsidRPr="0012165C">
          <w:rPr>
            <w:rStyle w:val="Hyperlink"/>
            <w:rFonts w:ascii="David" w:hAnsi="David" w:cs="David"/>
            <w:sz w:val="24"/>
            <w:szCs w:val="24"/>
            <w:rtl/>
          </w:rPr>
          <w:t>סעיף 144(ב)</w:t>
        </w:r>
      </w:hyperlink>
      <w:r>
        <w:rPr>
          <w:rFonts w:ascii="David" w:hAnsi="David" w:cs="David"/>
          <w:sz w:val="24"/>
          <w:szCs w:val="24"/>
          <w:rtl/>
        </w:rPr>
        <w:t xml:space="preserve"> רישא וסיפא ל</w:t>
      </w:r>
      <w:hyperlink r:id="rId14" w:history="1">
        <w:r w:rsidR="002E4C8D" w:rsidRPr="002E4C8D">
          <w:rPr>
            <w:rFonts w:ascii="David" w:hAnsi="David" w:cs="David"/>
            <w:color w:val="0000FF"/>
            <w:sz w:val="24"/>
            <w:szCs w:val="24"/>
            <w:u w:val="single"/>
            <w:rtl/>
          </w:rPr>
          <w:t>חוק העונשין</w:t>
        </w:r>
      </w:hyperlink>
      <w:r>
        <w:rPr>
          <w:rFonts w:ascii="David" w:hAnsi="David" w:cs="David"/>
          <w:sz w:val="24"/>
          <w:szCs w:val="24"/>
          <w:rtl/>
        </w:rPr>
        <w:t>, התשל"ז – 1977 (להלן: "</w:t>
      </w:r>
      <w:r>
        <w:rPr>
          <w:rFonts w:ascii="David" w:hAnsi="David" w:cs="David"/>
          <w:b/>
          <w:bCs/>
          <w:sz w:val="24"/>
          <w:szCs w:val="24"/>
          <w:rtl/>
        </w:rPr>
        <w:t>חוק העונשין</w:t>
      </w:r>
      <w:r>
        <w:rPr>
          <w:rFonts w:ascii="David" w:hAnsi="David" w:cs="David"/>
          <w:sz w:val="24"/>
          <w:szCs w:val="24"/>
          <w:rtl/>
        </w:rPr>
        <w:t>").</w:t>
      </w:r>
    </w:p>
    <w:p w14:paraId="3DF1A160" w14:textId="77777777" w:rsidR="005457B5" w:rsidRDefault="005457B5" w:rsidP="005457B5">
      <w:pPr>
        <w:pStyle w:val="ListParagraph"/>
        <w:spacing w:line="360" w:lineRule="auto"/>
        <w:ind w:left="1080"/>
        <w:jc w:val="both"/>
        <w:rPr>
          <w:rFonts w:ascii="David" w:hAnsi="David" w:cs="David"/>
          <w:sz w:val="24"/>
          <w:szCs w:val="24"/>
        </w:rPr>
      </w:pPr>
    </w:p>
    <w:p w14:paraId="79C8BD75" w14:textId="77777777" w:rsidR="005457B5" w:rsidRDefault="005457B5" w:rsidP="005457B5">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על-פי עובדות כתב-האישום המתוקן, בתאריך 17.12.2019, בשעה 20:00 או בסמוך לכך, נסע הנאשם ברכב מסוג טויוטה, מספר רישוי 06159452 המצוי בבעלותו ובשימושו (להלן: "</w:t>
      </w:r>
      <w:r>
        <w:rPr>
          <w:rFonts w:ascii="David" w:hAnsi="David" w:cs="David"/>
          <w:b/>
          <w:bCs/>
          <w:sz w:val="24"/>
          <w:szCs w:val="24"/>
          <w:rtl/>
        </w:rPr>
        <w:t>הרכב</w:t>
      </w:r>
      <w:r>
        <w:rPr>
          <w:rFonts w:ascii="David" w:hAnsi="David" w:cs="David"/>
          <w:sz w:val="24"/>
          <w:szCs w:val="24"/>
          <w:rtl/>
        </w:rPr>
        <w:t>"), על כביש 6353 לכיוון חריש, עת נוהג הנאשם ברכב.</w:t>
      </w:r>
    </w:p>
    <w:p w14:paraId="25192CB0" w14:textId="77777777" w:rsidR="005457B5" w:rsidRDefault="005457B5" w:rsidP="005457B5">
      <w:pPr>
        <w:pStyle w:val="ListParagraph"/>
        <w:rPr>
          <w:rFonts w:ascii="David" w:hAnsi="David" w:cs="David"/>
          <w:sz w:val="24"/>
          <w:szCs w:val="24"/>
        </w:rPr>
      </w:pPr>
    </w:p>
    <w:p w14:paraId="51D42717" w14:textId="77777777" w:rsidR="005457B5" w:rsidRDefault="005457B5" w:rsidP="005457B5">
      <w:pPr>
        <w:pStyle w:val="ListParagraph"/>
        <w:spacing w:line="360" w:lineRule="auto"/>
        <w:ind w:left="1080"/>
        <w:jc w:val="both"/>
        <w:rPr>
          <w:rFonts w:ascii="David" w:hAnsi="David" w:cs="David"/>
          <w:sz w:val="24"/>
          <w:szCs w:val="24"/>
          <w:rtl/>
        </w:rPr>
      </w:pPr>
      <w:r>
        <w:rPr>
          <w:rFonts w:ascii="David" w:hAnsi="David" w:cs="David"/>
          <w:sz w:val="24"/>
          <w:szCs w:val="24"/>
          <w:rtl/>
        </w:rPr>
        <w:t>באותה עת, נשא והוביל הנאשם ברכב, בתא-המטען שני אקדחים (להלן: "</w:t>
      </w:r>
      <w:r>
        <w:rPr>
          <w:rFonts w:ascii="David" w:hAnsi="David" w:cs="David"/>
          <w:b/>
          <w:bCs/>
          <w:sz w:val="24"/>
          <w:szCs w:val="24"/>
          <w:rtl/>
        </w:rPr>
        <w:t>האקדחים</w:t>
      </w:r>
      <w:r>
        <w:rPr>
          <w:rFonts w:ascii="David" w:hAnsi="David" w:cs="David"/>
          <w:sz w:val="24"/>
          <w:szCs w:val="24"/>
          <w:rtl/>
        </w:rPr>
        <w:t>"), כל אחד מהם טעון במחסנית, ובתוכה חמישה כדורים בקוטר 9 מ"מ, וכן נשא והוביל שני כדורים נוספים בקוטר 9 מ"מ.</w:t>
      </w:r>
    </w:p>
    <w:p w14:paraId="52EC7E50" w14:textId="77777777" w:rsidR="005457B5" w:rsidRDefault="005457B5" w:rsidP="005457B5">
      <w:pPr>
        <w:pStyle w:val="ListParagraph"/>
        <w:spacing w:line="360" w:lineRule="auto"/>
        <w:ind w:left="1080"/>
        <w:jc w:val="both"/>
        <w:rPr>
          <w:rFonts w:ascii="David" w:hAnsi="David" w:cs="David"/>
          <w:sz w:val="24"/>
          <w:szCs w:val="24"/>
          <w:rtl/>
        </w:rPr>
      </w:pPr>
    </w:p>
    <w:p w14:paraId="55B69E8D" w14:textId="77777777" w:rsidR="005457B5" w:rsidRDefault="005457B5" w:rsidP="005457B5">
      <w:pPr>
        <w:pStyle w:val="ListParagraph"/>
        <w:spacing w:line="360" w:lineRule="auto"/>
        <w:ind w:left="1080"/>
        <w:jc w:val="both"/>
        <w:rPr>
          <w:rFonts w:ascii="David" w:hAnsi="David" w:cs="David"/>
          <w:sz w:val="24"/>
          <w:szCs w:val="24"/>
          <w:rtl/>
        </w:rPr>
      </w:pPr>
      <w:r>
        <w:rPr>
          <w:rFonts w:ascii="David" w:hAnsi="David" w:cs="David"/>
          <w:sz w:val="24"/>
          <w:szCs w:val="24"/>
          <w:rtl/>
        </w:rPr>
        <w:t>האקדחים הם כלי-נשק שסוגלו לירות כדור או קליע, אשר בכוחם להמית אדם. המחסניות והכדורים הם אביזרים ותחמושת לנשק, והנאשם נשאם והובילם בלא רשות על-פי דין.</w:t>
      </w:r>
    </w:p>
    <w:p w14:paraId="59ED58BE" w14:textId="77777777" w:rsidR="005457B5" w:rsidRDefault="005457B5" w:rsidP="005457B5">
      <w:pPr>
        <w:pStyle w:val="ListParagraph"/>
        <w:spacing w:line="360" w:lineRule="auto"/>
        <w:ind w:left="1080"/>
        <w:jc w:val="both"/>
        <w:rPr>
          <w:rFonts w:ascii="David" w:hAnsi="David" w:cs="David"/>
          <w:sz w:val="24"/>
          <w:szCs w:val="24"/>
          <w:rtl/>
        </w:rPr>
      </w:pPr>
    </w:p>
    <w:p w14:paraId="017262D8" w14:textId="77777777" w:rsidR="005457B5" w:rsidRDefault="005457B5" w:rsidP="005457B5">
      <w:pPr>
        <w:pStyle w:val="ListParagraph"/>
        <w:spacing w:line="360" w:lineRule="auto"/>
        <w:ind w:left="1080"/>
        <w:jc w:val="both"/>
        <w:rPr>
          <w:rFonts w:ascii="David" w:hAnsi="David" w:cs="David"/>
          <w:sz w:val="24"/>
          <w:szCs w:val="24"/>
          <w:rtl/>
        </w:rPr>
      </w:pPr>
      <w:r>
        <w:rPr>
          <w:rFonts w:ascii="David" w:hAnsi="David" w:cs="David"/>
          <w:sz w:val="24"/>
          <w:szCs w:val="24"/>
          <w:rtl/>
        </w:rPr>
        <w:t>בסמוך לשעה 20:13, בכביש 6353, במהלך הנסיעה לכיוון חריש, נעצר הרכב על-ידי המשטרה, ובחיפוש שנערך בו נתפסו האקדחים והמחסניות.</w:t>
      </w:r>
    </w:p>
    <w:p w14:paraId="1C46A893" w14:textId="77777777" w:rsidR="005457B5" w:rsidRDefault="005457B5" w:rsidP="005457B5">
      <w:pPr>
        <w:pStyle w:val="ListParagraph"/>
        <w:spacing w:line="360" w:lineRule="auto"/>
        <w:ind w:left="1080"/>
        <w:jc w:val="both"/>
        <w:rPr>
          <w:rFonts w:ascii="David" w:hAnsi="David" w:cs="David"/>
          <w:sz w:val="24"/>
          <w:szCs w:val="24"/>
          <w:rtl/>
        </w:rPr>
      </w:pPr>
    </w:p>
    <w:p w14:paraId="5DBDDA68" w14:textId="77777777" w:rsidR="005457B5" w:rsidRDefault="005457B5" w:rsidP="005457B5">
      <w:pPr>
        <w:pStyle w:val="ListParagraph"/>
        <w:spacing w:line="360" w:lineRule="auto"/>
        <w:ind w:left="1080"/>
        <w:jc w:val="both"/>
        <w:rPr>
          <w:rFonts w:ascii="David" w:hAnsi="David" w:cs="David"/>
          <w:sz w:val="24"/>
          <w:szCs w:val="24"/>
          <w:rtl/>
        </w:rPr>
      </w:pPr>
      <w:r>
        <w:rPr>
          <w:rFonts w:ascii="David" w:hAnsi="David" w:cs="David"/>
          <w:sz w:val="24"/>
          <w:szCs w:val="24"/>
          <w:rtl/>
        </w:rPr>
        <w:t>הנאשם נעצר, הובל לתחנת משטרת עירון, ושם, בחיפוש נוסף, נתפסו ברכב שני הכדורים הנוספים.</w:t>
      </w:r>
    </w:p>
    <w:p w14:paraId="5770A64D" w14:textId="77777777" w:rsidR="005457B5" w:rsidRDefault="005457B5" w:rsidP="005457B5">
      <w:pPr>
        <w:pStyle w:val="ListParagraph"/>
        <w:spacing w:line="360" w:lineRule="auto"/>
        <w:ind w:left="1080"/>
        <w:jc w:val="both"/>
        <w:rPr>
          <w:rFonts w:ascii="David" w:hAnsi="David" w:cs="David"/>
          <w:sz w:val="24"/>
          <w:szCs w:val="24"/>
          <w:rtl/>
        </w:rPr>
      </w:pPr>
    </w:p>
    <w:p w14:paraId="17A8CA51" w14:textId="77777777" w:rsidR="005457B5" w:rsidRDefault="005457B5" w:rsidP="005457B5">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כאמור כבר לעיל, הגיעו הצדדים להסדר-דיוני, ולפיו הנאשם חזר בו מכפירתו, הודה בעובדות כתב-האישום המתוקן, ולא נקבע כל הסדר לעניין העונש. </w:t>
      </w:r>
    </w:p>
    <w:p w14:paraId="41663FF2" w14:textId="77777777" w:rsidR="005457B5" w:rsidRDefault="005457B5" w:rsidP="005457B5">
      <w:pPr>
        <w:spacing w:line="360" w:lineRule="auto"/>
        <w:ind w:left="1080"/>
        <w:jc w:val="both"/>
        <w:rPr>
          <w:rFonts w:ascii="David" w:hAnsi="David"/>
          <w:rtl/>
        </w:rPr>
      </w:pPr>
      <w:r>
        <w:rPr>
          <w:rFonts w:ascii="David" w:hAnsi="David"/>
          <w:rtl/>
        </w:rPr>
        <w:t>במועד ההרשעה הוריתי על קבלת תסקיר משירות המבחן בנוגע לנאשם.</w:t>
      </w:r>
    </w:p>
    <w:p w14:paraId="0AAFFB70" w14:textId="77777777" w:rsidR="005457B5" w:rsidRDefault="005457B5" w:rsidP="005457B5">
      <w:pPr>
        <w:spacing w:line="360" w:lineRule="auto"/>
        <w:ind w:left="1080"/>
        <w:jc w:val="both"/>
        <w:rPr>
          <w:rFonts w:ascii="David" w:hAnsi="David"/>
          <w:rtl/>
        </w:rPr>
      </w:pPr>
    </w:p>
    <w:p w14:paraId="1C4DA6F8" w14:textId="77777777" w:rsidR="005457B5" w:rsidRDefault="005457B5" w:rsidP="005457B5">
      <w:pPr>
        <w:spacing w:line="360" w:lineRule="auto"/>
        <w:ind w:left="1080"/>
        <w:jc w:val="both"/>
        <w:rPr>
          <w:rFonts w:ascii="David" w:hAnsi="David"/>
          <w:rtl/>
        </w:rPr>
      </w:pPr>
      <w:r>
        <w:rPr>
          <w:rFonts w:ascii="David" w:hAnsi="David"/>
          <w:rtl/>
        </w:rPr>
        <w:lastRenderedPageBreak/>
        <w:t>מן התסקיר מיום 15.02.2021 עולה, כי הנאשם, נשוי ואב לתינוק כבן שמונה חודשים. הנאשם, כך צוין, עלה בגיל 9 מקווקז, ותיאר הליך קליטה רצוף קשיים כלכליים משמעותיים, אולם בסופו של יום תיאר הנאשם, כי הוא הסתגל לחיים בארץ והשתלב היטב מן הבחינה החברתית. משפחת מוצאו מונה 5 ילדים, אב שנפטר לפני מספר חודשים ואם, עת תואר, כי כל בני משפחתו מנהלים אורח חיים נורמטיבי, ללא מעורבות פלילית.</w:t>
      </w:r>
    </w:p>
    <w:p w14:paraId="6A0B432B" w14:textId="77777777" w:rsidR="005457B5" w:rsidRDefault="005457B5" w:rsidP="005457B5">
      <w:pPr>
        <w:spacing w:line="360" w:lineRule="auto"/>
        <w:ind w:left="1080"/>
        <w:jc w:val="both"/>
        <w:rPr>
          <w:rFonts w:ascii="David" w:hAnsi="David"/>
          <w:rtl/>
        </w:rPr>
      </w:pPr>
      <w:r>
        <w:rPr>
          <w:rFonts w:ascii="David" w:hAnsi="David"/>
          <w:rtl/>
        </w:rPr>
        <w:t>הנאשם, כך נכתב, השלים 12 שנות לימוד בבית-הספר לקציני-ים בעכו, הגיע להישגים לימודיים גבוהים, ולא שרת בצבא. עוד ובנוסף ציין הנאשם במסגרת תסקיר זה, כי הוא החל להמר בגיל צעיר, וכי העבירה מושא כתב-האישום המתוקן שבפנינו בוצעה בשל הפסדים בהימורים.</w:t>
      </w:r>
    </w:p>
    <w:p w14:paraId="4D1CC8F9" w14:textId="77777777" w:rsidR="005457B5" w:rsidRDefault="005457B5" w:rsidP="005457B5">
      <w:pPr>
        <w:spacing w:line="360" w:lineRule="auto"/>
        <w:ind w:left="1080"/>
        <w:jc w:val="both"/>
        <w:rPr>
          <w:rFonts w:ascii="David" w:hAnsi="David"/>
          <w:rtl/>
        </w:rPr>
      </w:pPr>
    </w:p>
    <w:p w14:paraId="6456D810" w14:textId="77777777" w:rsidR="005457B5" w:rsidRDefault="005457B5" w:rsidP="005457B5">
      <w:pPr>
        <w:spacing w:line="360" w:lineRule="auto"/>
        <w:ind w:left="1080"/>
        <w:jc w:val="both"/>
        <w:rPr>
          <w:rFonts w:ascii="David" w:hAnsi="David"/>
          <w:rtl/>
        </w:rPr>
      </w:pPr>
      <w:r>
        <w:rPr>
          <w:rFonts w:ascii="David" w:hAnsi="David"/>
          <w:rtl/>
        </w:rPr>
        <w:t>עוד עולה מן התסקיר, כי בעברו של הנאשם הרשעה קודמת אחת, בעבירת רכוש, בגינה נדון למאסר שרוצה בעבודות שירות. באשר לעבירה מושא כתב-האישום המתוקן שבפנינו, טען הנאשם, כי מספר חודשים לפני ביצועהּ, הוא פוטר מעבודתו, אולם המשיך לנהל אורח-חיים רגיל על-מנת שזוגתו לא תגלה אודות פיטוריו. כשמצבו הכלכלי החמיר, כך אליבא דנאשם, פנה להימורים לא חוקיים והפסיד סכומי כסף משמעותיים, ובעקבות זאת נקלע ללחצים מגורמים עבריינים, ונדרש לבצע עבורם פעילויות שונות, לרבות לשאת ולהעביר נשק.</w:t>
      </w:r>
    </w:p>
    <w:p w14:paraId="72ABD552" w14:textId="77777777" w:rsidR="005457B5" w:rsidRDefault="005457B5" w:rsidP="005457B5">
      <w:pPr>
        <w:spacing w:line="360" w:lineRule="auto"/>
        <w:ind w:left="1080"/>
        <w:jc w:val="both"/>
        <w:rPr>
          <w:rFonts w:ascii="David" w:hAnsi="David"/>
          <w:rtl/>
        </w:rPr>
      </w:pPr>
    </w:p>
    <w:p w14:paraId="4523A020" w14:textId="77777777" w:rsidR="005457B5" w:rsidRDefault="005457B5" w:rsidP="005457B5">
      <w:pPr>
        <w:spacing w:line="360" w:lineRule="auto"/>
        <w:ind w:left="1080"/>
        <w:jc w:val="both"/>
        <w:rPr>
          <w:rFonts w:ascii="David" w:hAnsi="David"/>
          <w:rtl/>
        </w:rPr>
      </w:pPr>
      <w:r>
        <w:rPr>
          <w:rFonts w:ascii="David" w:hAnsi="David"/>
          <w:rtl/>
        </w:rPr>
        <w:t>הנאשם, כך עולה מן התסקיר, ביצע שלוש הפרות של הפיקוח האלקטרוני בו מצוי החל מינואר 2020.</w:t>
      </w:r>
    </w:p>
    <w:p w14:paraId="02C2D6DA" w14:textId="77777777" w:rsidR="005457B5" w:rsidRDefault="005457B5" w:rsidP="005457B5">
      <w:pPr>
        <w:spacing w:line="360" w:lineRule="auto"/>
        <w:ind w:left="1080"/>
        <w:jc w:val="both"/>
        <w:rPr>
          <w:rFonts w:ascii="David" w:hAnsi="David"/>
          <w:rtl/>
        </w:rPr>
      </w:pPr>
    </w:p>
    <w:p w14:paraId="07B919E7" w14:textId="77777777" w:rsidR="005457B5" w:rsidRDefault="005457B5" w:rsidP="005457B5">
      <w:pPr>
        <w:spacing w:line="360" w:lineRule="auto"/>
        <w:ind w:left="1080"/>
        <w:jc w:val="both"/>
        <w:rPr>
          <w:rFonts w:ascii="David" w:hAnsi="David"/>
          <w:rtl/>
        </w:rPr>
      </w:pPr>
      <w:r>
        <w:rPr>
          <w:rFonts w:ascii="David" w:hAnsi="David"/>
          <w:rtl/>
        </w:rPr>
        <w:t>שירות המבחן התרשם, כי נוכח גדילתו של הנאשם בתנאי חסך רגשי, אשר נותר לא מעובד, קיימים אצלו קשיים בוויסות הרגשי, ופנייה למציאת שייכות ומענה לצרכיו הרגשיים בסביבה בעייתית. לצד זו התקשתה קצינת המבחן להעריך באופן מלא את חומרת הבעייתיות בתחום ההתמכרותי של הנאשם, והאם נדרשת התערבות טיפולית ייעודית בסוגיה זו.</w:t>
      </w:r>
    </w:p>
    <w:p w14:paraId="632368F1" w14:textId="77777777" w:rsidR="005457B5" w:rsidRDefault="005457B5" w:rsidP="005457B5">
      <w:pPr>
        <w:spacing w:line="360" w:lineRule="auto"/>
        <w:ind w:left="1080"/>
        <w:jc w:val="both"/>
        <w:rPr>
          <w:rFonts w:ascii="David" w:hAnsi="David"/>
          <w:rtl/>
        </w:rPr>
      </w:pPr>
      <w:r>
        <w:rPr>
          <w:rFonts w:ascii="David" w:hAnsi="David"/>
          <w:rtl/>
        </w:rPr>
        <w:t>נוכח האמור לעיל, התקשה שירות המבחן ליתן המלצה טיפולית שיקומית בעניינו של הנאשם, וזאת אף בשים-לב להתרשמות, כי למוטיבציה שביטא הנאשם להשתלבות בטיפול קיים קשר לחששו מתוצאות ההליך המשפטי בעניינו.</w:t>
      </w:r>
    </w:p>
    <w:p w14:paraId="607DD4F5" w14:textId="77777777" w:rsidR="005457B5" w:rsidRDefault="005457B5" w:rsidP="005457B5">
      <w:pPr>
        <w:spacing w:line="360" w:lineRule="auto"/>
        <w:ind w:left="1080"/>
        <w:jc w:val="both"/>
        <w:rPr>
          <w:rFonts w:ascii="David" w:hAnsi="David"/>
          <w:rtl/>
        </w:rPr>
      </w:pPr>
    </w:p>
    <w:p w14:paraId="565FAFBE" w14:textId="77777777" w:rsidR="005457B5" w:rsidRDefault="005457B5" w:rsidP="005457B5">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ביום 18.02.2021 נעתרתי לבקשת ב"כ הנאשם להורות לשירות המבחן להגיש תסקיר משלים בעניינו, וקבעתי כך:</w:t>
      </w:r>
    </w:p>
    <w:p w14:paraId="2FE5E5B7" w14:textId="77777777" w:rsidR="005457B5" w:rsidRDefault="005457B5" w:rsidP="005457B5">
      <w:pPr>
        <w:pStyle w:val="David"/>
        <w:ind w:left="1440"/>
        <w:rPr>
          <w:rFonts w:ascii="David" w:hAnsi="David"/>
        </w:rPr>
      </w:pPr>
      <w:r>
        <w:rPr>
          <w:rFonts w:ascii="David" w:hAnsi="David"/>
          <w:rtl/>
        </w:rPr>
        <w:t>"</w:t>
      </w:r>
      <w:r>
        <w:rPr>
          <w:rFonts w:ascii="David" w:hAnsi="David"/>
          <w:b/>
          <w:bCs/>
          <w:rtl/>
        </w:rPr>
        <w:t>לאחר שקלתי את טענות הצדדים והגם ששירות המבחן ממילא עמוס לעייפה במיוחד בתקופה זו, וספק בעיני אם הגשת תסקיר משלים  נחוצה בנסיבות העניין, אולם על מנת שתנוח גם דעתו של הנאשם, ורק על מנת להבהיר עניין אחד שעלה במסגרת התסקיר בעמ' 5 שם נכתב "התקשינו באופן מלא להעריך מדבריו מצבו בתחום ההתמכרותי... שכן תוכן זה הובא לראשונה בפנינו באבחון הנוכחי...", מבוקש ששירות המבחן יגיש תסקיר משלים, שיתייחס לנקודה זו בלבד, והאם יש מקום להעריך באופן מעמיק יותר את מצבו של הנאשם בתחום ההתמכרותי ואפשרויות הטיפול בו</w:t>
      </w:r>
      <w:r>
        <w:rPr>
          <w:rFonts w:ascii="David" w:hAnsi="David"/>
          <w:rtl/>
        </w:rPr>
        <w:t>".</w:t>
      </w:r>
    </w:p>
    <w:p w14:paraId="21AA6138" w14:textId="77777777" w:rsidR="005457B5" w:rsidRDefault="005457B5" w:rsidP="005457B5">
      <w:pPr>
        <w:pStyle w:val="David"/>
        <w:rPr>
          <w:rFonts w:ascii="David" w:hAnsi="David"/>
          <w:rtl/>
        </w:rPr>
      </w:pPr>
    </w:p>
    <w:p w14:paraId="20605C9D" w14:textId="77777777" w:rsidR="005457B5" w:rsidRDefault="005457B5" w:rsidP="005457B5">
      <w:pPr>
        <w:pStyle w:val="David"/>
        <w:ind w:left="1076"/>
        <w:rPr>
          <w:rFonts w:ascii="David" w:hAnsi="David"/>
          <w:rtl/>
        </w:rPr>
      </w:pPr>
      <w:r>
        <w:rPr>
          <w:rFonts w:ascii="David" w:hAnsi="David"/>
          <w:rtl/>
        </w:rPr>
        <w:t>ביום 06.04.2020 הוגש תסקיר משלים בעניינו של הנאשם, ממנו עולה, כי הלה הפר פעם נוספת את תנאי הפיקוח, וכי כתוצאה מכך, נערך לנאשם שימוע, במסגרתו הוחלט להותירו בתכנית הפיקוח האלקטרוני.</w:t>
      </w:r>
    </w:p>
    <w:p w14:paraId="2BCDC083" w14:textId="77777777" w:rsidR="005457B5" w:rsidRDefault="005457B5" w:rsidP="005457B5">
      <w:pPr>
        <w:pStyle w:val="David"/>
        <w:ind w:left="1076"/>
        <w:rPr>
          <w:rFonts w:ascii="David" w:hAnsi="David"/>
          <w:rtl/>
        </w:rPr>
      </w:pPr>
    </w:p>
    <w:p w14:paraId="0F5F3464" w14:textId="77777777" w:rsidR="005457B5" w:rsidRDefault="005457B5" w:rsidP="005457B5">
      <w:pPr>
        <w:pStyle w:val="David"/>
        <w:ind w:left="1076"/>
        <w:rPr>
          <w:rFonts w:ascii="David" w:hAnsi="David"/>
          <w:rtl/>
        </w:rPr>
      </w:pPr>
      <w:r>
        <w:rPr>
          <w:rFonts w:ascii="David" w:hAnsi="David"/>
          <w:rtl/>
        </w:rPr>
        <w:t>עוד עלה מן התסקיר, כי הנאשם פנה ביוזמתו לגורמי הטיפול ביחידה לטיפול בהתמכרויות בנתניה, "בית חוסן", וכי גורמי הטיפול לא מצאו את הנאשם מתאים לטיפול במסגרתם, הואיל ולא התרשמו, כי הוא סובל מבעיה התמכרותית הדורשת טיפול ייעודי בתחום.</w:t>
      </w:r>
    </w:p>
    <w:p w14:paraId="526988CA" w14:textId="77777777" w:rsidR="005457B5" w:rsidRDefault="005457B5" w:rsidP="005457B5">
      <w:pPr>
        <w:pStyle w:val="David"/>
        <w:ind w:left="1076"/>
        <w:rPr>
          <w:rFonts w:ascii="David" w:hAnsi="David"/>
          <w:rtl/>
        </w:rPr>
      </w:pPr>
    </w:p>
    <w:p w14:paraId="35B18A85" w14:textId="77777777" w:rsidR="005457B5" w:rsidRDefault="005457B5" w:rsidP="005457B5">
      <w:pPr>
        <w:pStyle w:val="David"/>
        <w:ind w:left="1076"/>
        <w:rPr>
          <w:rFonts w:ascii="David" w:hAnsi="David"/>
          <w:rtl/>
        </w:rPr>
      </w:pPr>
      <w:r>
        <w:rPr>
          <w:rFonts w:ascii="David" w:hAnsi="David"/>
          <w:rtl/>
        </w:rPr>
        <w:t>עוד ובנוסף התרשמה קצינת המבחן, כי פנייתו של הנאשם ליחידה להתמכרויות כמו גם בקשתו להשתלב בטיפול במסגרת שירות המבחן מונעת ממוטיבציה חיצונית בלבד, ומרצונו של הנאשם לקדם את ההליך המשפטי בעניינו, ולא מתוך רצון כנה לבחון את מצבו.</w:t>
      </w:r>
    </w:p>
    <w:p w14:paraId="771BE1AF" w14:textId="77777777" w:rsidR="005457B5" w:rsidRDefault="005457B5" w:rsidP="005457B5">
      <w:pPr>
        <w:pStyle w:val="David"/>
        <w:ind w:left="1076"/>
        <w:rPr>
          <w:rFonts w:ascii="David" w:hAnsi="David"/>
          <w:rtl/>
        </w:rPr>
      </w:pPr>
    </w:p>
    <w:p w14:paraId="03AE00D2" w14:textId="77777777" w:rsidR="005457B5" w:rsidRDefault="005457B5" w:rsidP="005457B5">
      <w:pPr>
        <w:pStyle w:val="David"/>
        <w:ind w:left="1076"/>
        <w:rPr>
          <w:rFonts w:ascii="David" w:hAnsi="David"/>
          <w:rtl/>
        </w:rPr>
      </w:pPr>
      <w:r>
        <w:rPr>
          <w:rFonts w:ascii="David" w:hAnsi="David"/>
          <w:rtl/>
        </w:rPr>
        <w:t>נוכח האמור לעיל, גם במסגרת תסקיר זה, לא מצא שירות המבחן מקום למעורבות בעניינו של הנאשם, ונמנע גם במסגרת תסקיר זה מהמלצה טיפולית בעניינו.</w:t>
      </w:r>
    </w:p>
    <w:p w14:paraId="456230B6" w14:textId="77777777" w:rsidR="005457B5" w:rsidRDefault="005457B5" w:rsidP="005457B5">
      <w:pPr>
        <w:pStyle w:val="David"/>
        <w:rPr>
          <w:rFonts w:ascii="David" w:hAnsi="David"/>
          <w:rtl/>
        </w:rPr>
      </w:pPr>
    </w:p>
    <w:p w14:paraId="62F38756" w14:textId="77777777" w:rsidR="005457B5" w:rsidRDefault="005457B5" w:rsidP="005457B5">
      <w:pPr>
        <w:pStyle w:val="David"/>
        <w:numPr>
          <w:ilvl w:val="0"/>
          <w:numId w:val="1"/>
        </w:numPr>
        <w:rPr>
          <w:rFonts w:ascii="David" w:hAnsi="David"/>
          <w:rtl/>
        </w:rPr>
      </w:pPr>
      <w:r>
        <w:rPr>
          <w:rFonts w:ascii="David" w:hAnsi="David"/>
          <w:rtl/>
        </w:rPr>
        <w:t>ביום 13.04.2021 נשמעו טיעוני הצדדים לעונש, וכן נשמעו עדויות מטעמו של הנאשם.</w:t>
      </w:r>
    </w:p>
    <w:p w14:paraId="339BEA8D" w14:textId="77777777" w:rsidR="005457B5" w:rsidRDefault="005457B5" w:rsidP="005457B5">
      <w:pPr>
        <w:pStyle w:val="David"/>
        <w:ind w:left="720"/>
        <w:rPr>
          <w:rFonts w:ascii="David" w:hAnsi="David"/>
        </w:rPr>
      </w:pPr>
    </w:p>
    <w:p w14:paraId="7F81E3CF" w14:textId="77777777" w:rsidR="005457B5" w:rsidRDefault="005457B5" w:rsidP="005457B5">
      <w:pPr>
        <w:pStyle w:val="David"/>
        <w:ind w:left="1080"/>
        <w:rPr>
          <w:rFonts w:ascii="David" w:hAnsi="David"/>
          <w:rtl/>
        </w:rPr>
      </w:pPr>
      <w:r>
        <w:rPr>
          <w:rFonts w:ascii="David" w:hAnsi="David"/>
          <w:rtl/>
        </w:rPr>
        <w:t>מעדותו של מר יצחק גרשומוב, עלה, כי יחד עם הנאשם הם פתחו בית-מדרש לנוער בסיכון, וכי הנאשם עזר ותמך בנוער שהגיע לבית-המדרש. עוד עלה מן העדות, כי הנאשם אף סייע כספית לבית-המדרש ובזכותו גדל מספר בני-הנוער שהגיעו לבית-המדרש.</w:t>
      </w:r>
    </w:p>
    <w:p w14:paraId="350D6C11" w14:textId="77777777" w:rsidR="005457B5" w:rsidRDefault="005457B5" w:rsidP="005457B5">
      <w:pPr>
        <w:spacing w:line="360" w:lineRule="auto"/>
        <w:ind w:left="1080"/>
        <w:jc w:val="both"/>
        <w:rPr>
          <w:rFonts w:ascii="David" w:hAnsi="David"/>
          <w:rtl/>
        </w:rPr>
      </w:pPr>
    </w:p>
    <w:p w14:paraId="5EF7A95B" w14:textId="77777777" w:rsidR="005457B5" w:rsidRDefault="005457B5" w:rsidP="005457B5">
      <w:pPr>
        <w:spacing w:line="360" w:lineRule="auto"/>
        <w:ind w:left="1080"/>
        <w:jc w:val="both"/>
        <w:rPr>
          <w:rFonts w:ascii="David" w:hAnsi="David"/>
          <w:rtl/>
        </w:rPr>
      </w:pPr>
      <w:r>
        <w:rPr>
          <w:rFonts w:ascii="David" w:hAnsi="David"/>
          <w:rtl/>
        </w:rPr>
        <w:t>מעדותו של מר משה טולדנו, משגיח כשרות באולם בחדרה, עלה, כי הנאשם נהג להפריש מעשר משכרו למשפחות קשות-יום. הואיל ותרומתו של הנאשם ניתנה בסתר, כך צוין, אין כל רישום לתרומות אלו.</w:t>
      </w:r>
    </w:p>
    <w:p w14:paraId="5E28F873" w14:textId="77777777" w:rsidR="005457B5" w:rsidRDefault="005457B5" w:rsidP="005457B5">
      <w:pPr>
        <w:spacing w:line="360" w:lineRule="auto"/>
        <w:ind w:left="1080"/>
        <w:jc w:val="both"/>
        <w:rPr>
          <w:rFonts w:ascii="David" w:hAnsi="David"/>
          <w:rtl/>
        </w:rPr>
      </w:pPr>
    </w:p>
    <w:p w14:paraId="64D03F4C" w14:textId="77777777" w:rsidR="005457B5" w:rsidRDefault="005457B5" w:rsidP="005457B5">
      <w:pPr>
        <w:spacing w:line="360" w:lineRule="auto"/>
        <w:ind w:left="1080"/>
        <w:jc w:val="both"/>
        <w:rPr>
          <w:rFonts w:ascii="David" w:hAnsi="David"/>
          <w:rtl/>
        </w:rPr>
      </w:pPr>
      <w:r>
        <w:rPr>
          <w:rFonts w:ascii="David" w:hAnsi="David"/>
          <w:rtl/>
        </w:rPr>
        <w:t xml:space="preserve">מעדותה של גב' אגרונוב רחל חיה, עלה, כי היא אם חד-הורית לחמישה ילדים, וכי במהלך השנים נזקקה לסיוע כספי, אותו קיבלה מן הנאשם. במשך השנים, כך צוין, לא ידעה מי תורם לה את הכספים שקיבלה, אולם כעת, התבקשה על-ידי הרב אוחנה להעיד עבור הנאשם, שכעת מתברר לה, שהיה זה, אשר תרם לה את הכספים.  </w:t>
      </w:r>
    </w:p>
    <w:p w14:paraId="2419398D" w14:textId="77777777" w:rsidR="005457B5" w:rsidRDefault="005457B5" w:rsidP="005457B5">
      <w:pPr>
        <w:spacing w:line="360" w:lineRule="auto"/>
        <w:ind w:left="1080"/>
        <w:jc w:val="both"/>
        <w:rPr>
          <w:rFonts w:ascii="David" w:hAnsi="David"/>
          <w:rtl/>
        </w:rPr>
      </w:pPr>
    </w:p>
    <w:p w14:paraId="76C1A21F" w14:textId="77777777" w:rsidR="005457B5" w:rsidRDefault="005457B5" w:rsidP="005457B5">
      <w:pPr>
        <w:spacing w:line="360" w:lineRule="auto"/>
        <w:ind w:left="1080"/>
        <w:jc w:val="both"/>
        <w:rPr>
          <w:rFonts w:ascii="David" w:hAnsi="David"/>
          <w:rtl/>
        </w:rPr>
      </w:pPr>
      <w:r>
        <w:rPr>
          <w:rFonts w:ascii="David" w:hAnsi="David"/>
          <w:rtl/>
        </w:rPr>
        <w:t>מר שלמה בן אבי העיד, כי הוא מכיר את הנאשם מזה כ-12 שנים, וכי מדובר באדם אחראי, ובעל יכולות נתינה גבוהות. מר יהודה נחמיה נקי העיד אף הוא על אופיו הטוב של הנאשם, לרבות יכולות הנתינה והעזרה שלו.</w:t>
      </w:r>
    </w:p>
    <w:p w14:paraId="7D757F89" w14:textId="77777777" w:rsidR="005457B5" w:rsidRDefault="005457B5" w:rsidP="005457B5">
      <w:pPr>
        <w:pStyle w:val="David"/>
        <w:ind w:left="1080"/>
        <w:rPr>
          <w:rFonts w:ascii="David" w:hAnsi="David"/>
        </w:rPr>
      </w:pPr>
    </w:p>
    <w:p w14:paraId="1FAAA9C6" w14:textId="77777777" w:rsidR="005457B5" w:rsidRDefault="005457B5" w:rsidP="005457B5">
      <w:pPr>
        <w:pStyle w:val="David"/>
        <w:numPr>
          <w:ilvl w:val="0"/>
          <w:numId w:val="1"/>
        </w:numPr>
        <w:rPr>
          <w:rFonts w:ascii="David" w:hAnsi="David"/>
          <w:rtl/>
        </w:rPr>
      </w:pPr>
      <w:r>
        <w:rPr>
          <w:rFonts w:ascii="David" w:hAnsi="David"/>
          <w:rtl/>
        </w:rPr>
        <w:t>ב"כ המאשימה הגישה טיעונים לעונש בכתב, תדפיס מידע פלילי, וכן תמונות של האקדחים והתחמושת שנתפסו.</w:t>
      </w:r>
    </w:p>
    <w:p w14:paraId="713FE645" w14:textId="77777777" w:rsidR="005457B5" w:rsidRDefault="005457B5" w:rsidP="005457B5">
      <w:pPr>
        <w:pStyle w:val="David"/>
        <w:ind w:left="1080"/>
        <w:rPr>
          <w:rFonts w:ascii="David" w:hAnsi="David"/>
          <w:rtl/>
        </w:rPr>
      </w:pPr>
    </w:p>
    <w:p w14:paraId="3B71E100" w14:textId="77777777" w:rsidR="005457B5" w:rsidRDefault="005457B5" w:rsidP="005457B5">
      <w:pPr>
        <w:spacing w:line="360" w:lineRule="auto"/>
        <w:ind w:left="1080"/>
        <w:jc w:val="both"/>
        <w:rPr>
          <w:rFonts w:ascii="David" w:hAnsi="David"/>
          <w:rtl/>
        </w:rPr>
      </w:pPr>
      <w:r>
        <w:rPr>
          <w:rFonts w:ascii="David" w:hAnsi="David"/>
          <w:rtl/>
        </w:rPr>
        <w:t>ב"כ המאשימה התייחסה לעדים שהובאו על-ידי הנאשם וטענה, כי  אין לשאלה האם עוסק הנאשם בגמילות-חסדים כל נפקות לענייננו הואיל ובסופו של יום הודה הנאשם בעובדות כתב-האישום המתוקן, והורשע בעבירה של נשיאה והובלה של שני אקדחים טעונים במחסניות בתא המטען של רכבו. מעשיו של הנאשם, כך נטען, הופסקו רק בעטיה של פעילות משטרת ישראל.</w:t>
      </w:r>
    </w:p>
    <w:p w14:paraId="1AD18143" w14:textId="77777777" w:rsidR="005457B5" w:rsidRDefault="005457B5" w:rsidP="005457B5">
      <w:pPr>
        <w:spacing w:line="360" w:lineRule="auto"/>
        <w:ind w:left="1080"/>
        <w:jc w:val="both"/>
        <w:rPr>
          <w:rFonts w:ascii="David" w:hAnsi="David"/>
          <w:rtl/>
        </w:rPr>
      </w:pPr>
    </w:p>
    <w:p w14:paraId="7258AD05" w14:textId="77777777" w:rsidR="005457B5" w:rsidRDefault="005457B5" w:rsidP="005457B5">
      <w:pPr>
        <w:spacing w:line="360" w:lineRule="auto"/>
        <w:ind w:left="1080"/>
        <w:jc w:val="both"/>
        <w:rPr>
          <w:rFonts w:ascii="David" w:hAnsi="David"/>
          <w:rtl/>
        </w:rPr>
      </w:pPr>
      <w:r>
        <w:rPr>
          <w:rFonts w:ascii="David" w:hAnsi="David"/>
          <w:rtl/>
        </w:rPr>
        <w:t>ב"כ המאשימה הדגישה, כי על בית המשפט הנכבד להילחם בעבירות נשק, בשל המחיר הכבד שמשלם הציבור על עבירות אלו. בפרט, כך נטען, עת מדובר בהחזקה, נשיאה והובלה, של שני אקדחים טעונים. עוד נטען, כי על בית משפט ליתן את דעתו גם  לתכנון שקדם לביצוע העבירה, לעובדה, כי הנאשם הוא המעורב היחיד, לנזק הפוטנציאלי בנשיאת נשק, וכן לעובדה, כי הסיבות שהובילו את הנאשם לביצוע העבירה הן עמומות.</w:t>
      </w:r>
    </w:p>
    <w:p w14:paraId="4EF2962C" w14:textId="77777777" w:rsidR="005457B5" w:rsidRDefault="005457B5" w:rsidP="005457B5">
      <w:pPr>
        <w:spacing w:line="360" w:lineRule="auto"/>
        <w:ind w:left="1080"/>
        <w:jc w:val="both"/>
        <w:rPr>
          <w:rFonts w:ascii="David" w:hAnsi="David"/>
          <w:rtl/>
        </w:rPr>
      </w:pPr>
      <w:r>
        <w:rPr>
          <w:rFonts w:ascii="David" w:hAnsi="David"/>
          <w:rtl/>
        </w:rPr>
        <w:t>באשר למדיניות הענישה הנוהגת, טענה ב"כ המאשימה, כי על מתחם הענישה בענייננו לנוע בין 3-6 שנות מאסר. נוכח העובדה, כי לנאשם הרשעה אחת משנת 2010 ובשים-לב להודאתו של הנאשם בעבירה מושא כתב-האישום המתוקן, עתרה ב"כ המאשימה לקבוע את העונש ברף התחתון של מתחם הענישה, להשית על הנאשם ענישה על תנאי, וכן להורות על חילוט הרכב, באמצעותו בוצעה העבירה.</w:t>
      </w:r>
    </w:p>
    <w:p w14:paraId="4B77EB7A" w14:textId="77777777" w:rsidR="005457B5" w:rsidRDefault="005457B5" w:rsidP="005457B5">
      <w:pPr>
        <w:spacing w:line="360" w:lineRule="auto"/>
        <w:ind w:left="1080"/>
        <w:jc w:val="both"/>
        <w:rPr>
          <w:rFonts w:ascii="David" w:hAnsi="David"/>
          <w:rtl/>
        </w:rPr>
      </w:pPr>
      <w:r>
        <w:rPr>
          <w:rFonts w:ascii="David" w:hAnsi="David"/>
          <w:rtl/>
        </w:rPr>
        <w:t xml:space="preserve">  </w:t>
      </w:r>
    </w:p>
    <w:p w14:paraId="52918AD3" w14:textId="77777777" w:rsidR="005457B5" w:rsidRDefault="005457B5" w:rsidP="005457B5">
      <w:pPr>
        <w:spacing w:line="360" w:lineRule="auto"/>
        <w:ind w:left="1080"/>
        <w:jc w:val="both"/>
        <w:rPr>
          <w:rFonts w:ascii="David" w:hAnsi="David"/>
          <w:rtl/>
        </w:rPr>
      </w:pPr>
      <w:r>
        <w:rPr>
          <w:rFonts w:ascii="David" w:hAnsi="David"/>
          <w:rtl/>
        </w:rPr>
        <w:t>בנוגע לתסקירי שירות המבחן, נטען, כי קצינת המבחן לא נתנה המלצה טיפולית שיקומית בעניינו, ולפיכך אין לחרוג מן המתחם. יש ליתן את הדעת, כך אליבא דב"כ המאשימה, כי מן התסקיר הראשון עולים קשיים בהערכת חומרת העבירה, במיקוד הנסיבות שהובילו לביצוע העבירה, וכן מפורטים גורמי הסיכון, ביניהם קושי בלקיחת אחריות מלאה, ודגש על כך שהמוטיבציה של הנאשם לקבל טיפול נובעת מחשש לתוצאות ההליך הפלילי.</w:t>
      </w:r>
    </w:p>
    <w:p w14:paraId="3487A2E2" w14:textId="77777777" w:rsidR="005457B5" w:rsidRDefault="005457B5" w:rsidP="005457B5">
      <w:pPr>
        <w:spacing w:line="360" w:lineRule="auto"/>
        <w:ind w:left="1080"/>
        <w:jc w:val="both"/>
        <w:rPr>
          <w:rFonts w:ascii="David" w:hAnsi="David"/>
          <w:rtl/>
        </w:rPr>
      </w:pPr>
    </w:p>
    <w:p w14:paraId="528096F6" w14:textId="77777777" w:rsidR="005457B5" w:rsidRDefault="005457B5" w:rsidP="005457B5">
      <w:pPr>
        <w:spacing w:line="360" w:lineRule="auto"/>
        <w:ind w:left="1080"/>
        <w:jc w:val="both"/>
        <w:rPr>
          <w:rFonts w:ascii="David" w:hAnsi="David"/>
          <w:rtl/>
        </w:rPr>
      </w:pPr>
      <w:r>
        <w:rPr>
          <w:rFonts w:ascii="David" w:hAnsi="David"/>
          <w:rtl/>
        </w:rPr>
        <w:t xml:space="preserve">מן התסקיר השני, כך נטען, עולה, כי הנאשם הפר את תנאי האיזוק, עת  מחד-גיסא עולים דפוסים של התמכרות להימורים, ומאידך-גיסא, צוין, כי פנייתו של הנאשם לטיפול נובעת ממוטיבציה חיצונית ולא מתוך  עמדה כנה. </w:t>
      </w:r>
    </w:p>
    <w:p w14:paraId="2A2C338F" w14:textId="77777777" w:rsidR="005457B5" w:rsidRDefault="005457B5" w:rsidP="005457B5">
      <w:pPr>
        <w:spacing w:line="360" w:lineRule="auto"/>
        <w:ind w:left="1080"/>
        <w:jc w:val="both"/>
        <w:rPr>
          <w:rFonts w:ascii="David" w:hAnsi="David"/>
          <w:rtl/>
        </w:rPr>
      </w:pPr>
    </w:p>
    <w:p w14:paraId="7CC2C6C4" w14:textId="77777777" w:rsidR="005457B5" w:rsidRDefault="005457B5" w:rsidP="005457B5">
      <w:pPr>
        <w:tabs>
          <w:tab w:val="left" w:pos="651"/>
        </w:tabs>
        <w:spacing w:line="360" w:lineRule="auto"/>
        <w:ind w:left="1080" w:hanging="712"/>
        <w:jc w:val="both"/>
        <w:rPr>
          <w:rFonts w:ascii="David" w:hAnsi="David"/>
          <w:rtl/>
        </w:rPr>
      </w:pPr>
      <w:r>
        <w:rPr>
          <w:rFonts w:ascii="David" w:hAnsi="David"/>
          <w:rtl/>
        </w:rPr>
        <w:t>7.</w:t>
      </w:r>
      <w:r>
        <w:rPr>
          <w:rFonts w:ascii="David" w:hAnsi="David"/>
          <w:rtl/>
        </w:rPr>
        <w:tab/>
      </w:r>
      <w:r>
        <w:rPr>
          <w:rFonts w:ascii="David" w:hAnsi="David"/>
          <w:rtl/>
        </w:rPr>
        <w:tab/>
        <w:t>מנגד, טען ב"כ הנאשם, כי בכתב-האישום המתוקן, צוין, כי האקדחים היו בתא-המטען של הרכב, עובדה אשר מצביעה על כך שלא הייתה לנאשם כוונה להשתמש בהם. בענייננו, כך נטען, אף מדובר באקדחים מאולתרים, וכלשונו של הסניגור "</w:t>
      </w:r>
      <w:r>
        <w:rPr>
          <w:rFonts w:ascii="David" w:hAnsi="David"/>
          <w:b/>
          <w:bCs/>
          <w:rtl/>
        </w:rPr>
        <w:t>לא אקדח בעל יכולות גבוהות</w:t>
      </w:r>
      <w:r>
        <w:rPr>
          <w:rFonts w:ascii="David" w:hAnsi="David"/>
          <w:rtl/>
        </w:rPr>
        <w:t>".</w:t>
      </w:r>
    </w:p>
    <w:p w14:paraId="57505AE4" w14:textId="77777777" w:rsidR="005457B5" w:rsidRDefault="005457B5" w:rsidP="005457B5">
      <w:pPr>
        <w:tabs>
          <w:tab w:val="left" w:pos="651"/>
        </w:tabs>
        <w:spacing w:line="360" w:lineRule="auto"/>
        <w:ind w:left="1080" w:hanging="712"/>
        <w:jc w:val="both"/>
        <w:rPr>
          <w:rFonts w:ascii="David" w:hAnsi="David"/>
          <w:rtl/>
        </w:rPr>
      </w:pPr>
    </w:p>
    <w:p w14:paraId="40BBC940" w14:textId="77777777" w:rsidR="005457B5" w:rsidRDefault="005457B5" w:rsidP="005457B5">
      <w:pPr>
        <w:spacing w:line="360" w:lineRule="auto"/>
        <w:ind w:left="1080"/>
        <w:jc w:val="both"/>
        <w:rPr>
          <w:rFonts w:ascii="David" w:hAnsi="David"/>
          <w:rtl/>
        </w:rPr>
      </w:pPr>
      <w:r>
        <w:rPr>
          <w:rFonts w:ascii="David" w:hAnsi="David"/>
          <w:rtl/>
        </w:rPr>
        <w:t>לטענת ב"כ הנאשם, הגם ששירות המבחן לא המליץ על תכנית טיפולית שיקומית בעניינו של הנאשם, יש ליתן את הדעת, אף לכך שלא צוין בתסקיר, כי מסוכנותו של הנאשם גבוהה, וכי קיים סיכוי גדול להישנות התנהגותו. עוד הדגיש בא-כוח הנאשם, כי הפערים שקיימים במידע שמסר הנאשם לשירות המבחן במסגרת תסקיר המעצר והמידע שמסר במסגרת זו, לרבות סוגית ההתמכרות, נובעים  מן השוני הקיים במהות התסקירים השונים.</w:t>
      </w:r>
    </w:p>
    <w:p w14:paraId="7F246FB7" w14:textId="77777777" w:rsidR="005457B5" w:rsidRDefault="005457B5" w:rsidP="005457B5">
      <w:pPr>
        <w:spacing w:line="360" w:lineRule="auto"/>
        <w:ind w:left="1080"/>
        <w:jc w:val="both"/>
        <w:rPr>
          <w:rFonts w:ascii="David" w:hAnsi="David"/>
          <w:rtl/>
        </w:rPr>
      </w:pPr>
    </w:p>
    <w:p w14:paraId="33DECD05" w14:textId="77777777" w:rsidR="005457B5" w:rsidRDefault="005457B5" w:rsidP="005457B5">
      <w:pPr>
        <w:spacing w:line="360" w:lineRule="auto"/>
        <w:ind w:left="1080"/>
        <w:jc w:val="both"/>
        <w:rPr>
          <w:rFonts w:ascii="David" w:hAnsi="David"/>
          <w:rtl/>
        </w:rPr>
      </w:pPr>
      <w:r>
        <w:rPr>
          <w:rFonts w:ascii="David" w:hAnsi="David"/>
          <w:rtl/>
        </w:rPr>
        <w:t>עוד נטען, כי הנאשם קיבל על עצמו אחריות מלאה לביצוע העבירה כבר מן הרגע בו נעצר על-ידי משטרת ישראל, וכי הוא שיתף פעולה עם משטרת ישראל באופן מלא. עוד ובנוסף נטען, כי המאשימה לא הניחה תשתית ראייתית לכך שהנאשם רצה לעשות שימוש בנשק או לסחור בו, ולפיכך אין לפסול את דבריו של הנאשם לשירות המבחן, לפיהם הוא ביצע את העבירה בעטיים של החובות אותם צבר מן ההימורים.</w:t>
      </w:r>
    </w:p>
    <w:p w14:paraId="056C174E" w14:textId="77777777" w:rsidR="005457B5" w:rsidRDefault="005457B5" w:rsidP="005457B5">
      <w:pPr>
        <w:spacing w:line="360" w:lineRule="auto"/>
        <w:ind w:left="1080"/>
        <w:jc w:val="both"/>
        <w:rPr>
          <w:rFonts w:ascii="David" w:hAnsi="David"/>
          <w:rtl/>
        </w:rPr>
      </w:pPr>
    </w:p>
    <w:p w14:paraId="1EC6C0B0" w14:textId="77777777" w:rsidR="005457B5" w:rsidRDefault="005457B5" w:rsidP="005457B5">
      <w:pPr>
        <w:spacing w:line="360" w:lineRule="auto"/>
        <w:ind w:left="1080"/>
        <w:jc w:val="both"/>
        <w:rPr>
          <w:rFonts w:ascii="David" w:hAnsi="David"/>
          <w:rtl/>
        </w:rPr>
      </w:pPr>
      <w:r>
        <w:rPr>
          <w:rFonts w:ascii="David" w:hAnsi="David"/>
          <w:rtl/>
        </w:rPr>
        <w:t xml:space="preserve">ב"כ הנאשם הדגיש, כי אין לנאשם עבר פלילי הקשור בעבירות נשק, וכי העבירה היחידה בה הורשע הייתה לפני יותר מעשור, בגין עבירת רכוש. מאז אותה עבירה, כך נטען, חי הנאשם חיים נורמטיביים, עובד למחייתו, ואף מסייע לזולת. כעולה מן העדויות, כך אליבא דב"כ הנאשם, מדובר באדם חיובי, אשר שגה ומעד מעידה חד-פעמית. </w:t>
      </w:r>
    </w:p>
    <w:p w14:paraId="49DAE000" w14:textId="77777777" w:rsidR="005457B5" w:rsidRDefault="005457B5" w:rsidP="005457B5">
      <w:pPr>
        <w:spacing w:line="360" w:lineRule="auto"/>
        <w:ind w:left="1080"/>
        <w:jc w:val="both"/>
        <w:rPr>
          <w:rFonts w:ascii="David" w:hAnsi="David"/>
          <w:rtl/>
        </w:rPr>
      </w:pPr>
    </w:p>
    <w:p w14:paraId="6CD04573" w14:textId="77777777" w:rsidR="005457B5" w:rsidRDefault="005457B5" w:rsidP="005457B5">
      <w:pPr>
        <w:spacing w:line="360" w:lineRule="auto"/>
        <w:ind w:left="1080"/>
        <w:jc w:val="both"/>
        <w:rPr>
          <w:rFonts w:ascii="David" w:hAnsi="David"/>
          <w:rtl/>
        </w:rPr>
      </w:pPr>
      <w:r>
        <w:rPr>
          <w:rFonts w:ascii="David" w:hAnsi="David"/>
          <w:rtl/>
        </w:rPr>
        <w:t>עוד נטען, כי הנאשם היה עצור כחודשיים, בין התאריכים 17.12.2019-27.01.2020, מאחורי סורג ובריח, ובהמשך, מזה כ- 15 מצוי באיזוק אלקטרוני. על בית המשפט ליתן את הדעת לכך, אליבא דב"כ הנאשם, הואיל ובמהלך 17 חודשים אלו, נולד לנאשם ילד, הוא לא עבד בתקופה זו, וגם אשתו, עולה חדשה, אינה יכולה לעבוד, מכיוון שהיא מפקחת עליו. עוד יש להתחשב, כך נטען, בכך שאביו של הנאשם נפטר במהלך תקופה זו, ועובר לפטירתו, בשל תנאי האיזוק האלקטרוני, לא יכול היה הנאשם להיפרד מאביו כדבעי.</w:t>
      </w:r>
    </w:p>
    <w:p w14:paraId="0D054ABC" w14:textId="77777777" w:rsidR="005457B5" w:rsidRDefault="005457B5" w:rsidP="005457B5">
      <w:pPr>
        <w:spacing w:line="360" w:lineRule="auto"/>
        <w:ind w:left="1080"/>
        <w:jc w:val="both"/>
        <w:rPr>
          <w:rFonts w:ascii="David" w:hAnsi="David"/>
          <w:rtl/>
        </w:rPr>
      </w:pPr>
    </w:p>
    <w:p w14:paraId="1F10CED0" w14:textId="77777777" w:rsidR="005457B5" w:rsidRDefault="005457B5" w:rsidP="005457B5">
      <w:pPr>
        <w:spacing w:line="360" w:lineRule="auto"/>
        <w:ind w:left="1080"/>
        <w:jc w:val="both"/>
        <w:rPr>
          <w:rFonts w:ascii="David" w:hAnsi="David"/>
          <w:rtl/>
        </w:rPr>
      </w:pPr>
      <w:r>
        <w:rPr>
          <w:rFonts w:ascii="David" w:hAnsi="David"/>
          <w:rtl/>
        </w:rPr>
        <w:t>עוד ובנוסף נטען, כי העבירה בענייננו היא אירוע נקודתי, ולפיכך יש להעדיף את חלופת השיקום, וזאת אף בשים-לב לכך שמאסר מאחורי סורג ובריח בהכרח יגרמו להידרדרות במצבו של הנאשם, הן מן הבחינה הכלכלית, והן מן הבחינה האישית. לפיכך סבר הסנגור, כי יש להשית על הנאשם מאסר, אשר ירוצה בדרך של עבודות שירות.</w:t>
      </w:r>
    </w:p>
    <w:p w14:paraId="62DAC419" w14:textId="77777777" w:rsidR="005457B5" w:rsidRDefault="005457B5" w:rsidP="005457B5">
      <w:pPr>
        <w:spacing w:line="360" w:lineRule="auto"/>
        <w:ind w:left="1080"/>
        <w:jc w:val="both"/>
        <w:rPr>
          <w:rFonts w:ascii="David" w:hAnsi="David"/>
          <w:rtl/>
        </w:rPr>
      </w:pPr>
    </w:p>
    <w:p w14:paraId="7DA1D84F" w14:textId="77777777" w:rsidR="005457B5" w:rsidRDefault="005457B5" w:rsidP="005457B5">
      <w:pPr>
        <w:spacing w:line="360" w:lineRule="auto"/>
        <w:ind w:left="1080"/>
        <w:jc w:val="both"/>
        <w:rPr>
          <w:rFonts w:ascii="David" w:hAnsi="David"/>
          <w:rtl/>
        </w:rPr>
      </w:pPr>
      <w:r>
        <w:rPr>
          <w:rFonts w:ascii="David" w:hAnsi="David"/>
          <w:rtl/>
        </w:rPr>
        <w:t xml:space="preserve">ב"כ הנאשם הגיש אסופת פסיקה לבית המשפט, והפנה דבריו ל </w:t>
      </w:r>
      <w:hyperlink r:id="rId15" w:history="1">
        <w:r w:rsidR="002E4C8D" w:rsidRPr="002E4C8D">
          <w:rPr>
            <w:rFonts w:ascii="David" w:hAnsi="David"/>
            <w:color w:val="0000FF"/>
            <w:u w:val="single"/>
            <w:rtl/>
          </w:rPr>
          <w:t>ת"פ 21873-06-16</w:t>
        </w:r>
      </w:hyperlink>
      <w:r>
        <w:rPr>
          <w:rFonts w:ascii="David" w:hAnsi="David"/>
          <w:rtl/>
        </w:rPr>
        <w:t xml:space="preserve"> </w:t>
      </w:r>
      <w:r>
        <w:rPr>
          <w:rFonts w:ascii="David" w:hAnsi="David"/>
          <w:b/>
          <w:bCs/>
          <w:rtl/>
        </w:rPr>
        <w:t>מדינת ישראל נ' צברי ואח'</w:t>
      </w:r>
      <w:r>
        <w:rPr>
          <w:rFonts w:ascii="David" w:hAnsi="David"/>
          <w:rtl/>
        </w:rPr>
        <w:t xml:space="preserve"> </w:t>
      </w:r>
      <w:r w:rsidR="00AA78D6" w:rsidRPr="00AA78D6">
        <w:rPr>
          <w:sz w:val="22"/>
          <w:rtl/>
        </w:rPr>
        <w:t xml:space="preserve">[פורסם בנבו] </w:t>
      </w:r>
      <w:r>
        <w:rPr>
          <w:rFonts w:ascii="David" w:hAnsi="David"/>
          <w:rtl/>
        </w:rPr>
        <w:t>(04.02.2019), שם נגזר על הנאשם בעבירות נשק מאסר בפועל לתקופה של 6 חודשים, לריצוי בעבודות שירות.</w:t>
      </w:r>
    </w:p>
    <w:p w14:paraId="44F437C0" w14:textId="77777777" w:rsidR="005457B5" w:rsidRDefault="005457B5" w:rsidP="005457B5">
      <w:pPr>
        <w:spacing w:line="360" w:lineRule="auto"/>
        <w:ind w:left="1080"/>
        <w:jc w:val="both"/>
        <w:rPr>
          <w:rFonts w:ascii="David" w:hAnsi="David"/>
          <w:rtl/>
        </w:rPr>
      </w:pPr>
    </w:p>
    <w:p w14:paraId="680B8DB3" w14:textId="77777777" w:rsidR="005457B5" w:rsidRDefault="005457B5" w:rsidP="005457B5">
      <w:pPr>
        <w:spacing w:line="360" w:lineRule="auto"/>
        <w:ind w:left="1080"/>
        <w:jc w:val="both"/>
        <w:rPr>
          <w:rFonts w:ascii="David" w:hAnsi="David"/>
          <w:rtl/>
        </w:rPr>
      </w:pPr>
      <w:r>
        <w:rPr>
          <w:rFonts w:ascii="David" w:hAnsi="David"/>
          <w:rtl/>
        </w:rPr>
        <w:t xml:space="preserve">ב- </w:t>
      </w:r>
      <w:hyperlink r:id="rId16" w:history="1">
        <w:r w:rsidR="002E4C8D" w:rsidRPr="002E4C8D">
          <w:rPr>
            <w:rFonts w:ascii="David" w:hAnsi="David"/>
            <w:color w:val="0000FF"/>
            <w:u w:val="single"/>
            <w:rtl/>
          </w:rPr>
          <w:t>ת"פ 52497-02-11</w:t>
        </w:r>
      </w:hyperlink>
      <w:r>
        <w:rPr>
          <w:rFonts w:ascii="David" w:hAnsi="David"/>
          <w:rtl/>
        </w:rPr>
        <w:t xml:space="preserve"> </w:t>
      </w:r>
      <w:r>
        <w:rPr>
          <w:rFonts w:ascii="David" w:hAnsi="David"/>
          <w:b/>
          <w:bCs/>
          <w:rtl/>
        </w:rPr>
        <w:t>מדינת ישראל נ' חמזי מטר</w:t>
      </w:r>
      <w:r>
        <w:rPr>
          <w:rFonts w:ascii="David" w:hAnsi="David"/>
          <w:rtl/>
        </w:rPr>
        <w:t xml:space="preserve"> </w:t>
      </w:r>
      <w:r w:rsidR="00AA78D6" w:rsidRPr="00AA78D6">
        <w:rPr>
          <w:sz w:val="22"/>
          <w:rtl/>
        </w:rPr>
        <w:t xml:space="preserve">[פורסם בנבו] </w:t>
      </w:r>
      <w:r>
        <w:rPr>
          <w:rFonts w:ascii="David" w:hAnsi="David"/>
          <w:rtl/>
        </w:rPr>
        <w:t xml:space="preserve">(05.03.2012) נגזרו על נאשם בעבירות נשק, 6 חודשי מאסר בפועל לריצוי בדרך של עבודות שירות, וב- </w:t>
      </w:r>
      <w:hyperlink r:id="rId17" w:history="1">
        <w:r w:rsidR="0010775A" w:rsidRPr="0010775A">
          <w:rPr>
            <w:rStyle w:val="Hyperlink"/>
            <w:rFonts w:ascii="David" w:hAnsi="David"/>
            <w:rtl/>
          </w:rPr>
          <w:t>ע"פ 1505/15</w:t>
        </w:r>
      </w:hyperlink>
      <w:r>
        <w:rPr>
          <w:rFonts w:ascii="David" w:hAnsi="David"/>
          <w:rtl/>
        </w:rPr>
        <w:t xml:space="preserve"> </w:t>
      </w:r>
      <w:r>
        <w:rPr>
          <w:rFonts w:ascii="David" w:hAnsi="David"/>
          <w:b/>
          <w:bCs/>
          <w:rtl/>
        </w:rPr>
        <w:t>אחמד לידאוי נ' מדינת ישראל</w:t>
      </w:r>
      <w:r>
        <w:rPr>
          <w:rFonts w:ascii="David" w:hAnsi="David"/>
          <w:rtl/>
        </w:rPr>
        <w:t xml:space="preserve"> </w:t>
      </w:r>
      <w:r w:rsidR="0010775A" w:rsidRPr="0010775A">
        <w:rPr>
          <w:sz w:val="22"/>
          <w:rtl/>
        </w:rPr>
        <w:t xml:space="preserve">[פורסם בנבו] </w:t>
      </w:r>
      <w:r>
        <w:rPr>
          <w:rFonts w:ascii="David" w:hAnsi="David"/>
          <w:rtl/>
        </w:rPr>
        <w:t>(04.11.2014), גזר בית המשפט המחוזי על נאשם בעבירות של נשיאה והובלת נשק 8 חודשים. בית המשפט העליון קיבל את הערעור, וגזר עליו 6 חודשי מאסר לריצוי בעבודות שירות, על אף שלא ניתנה המלצה של שירות המבחן.</w:t>
      </w:r>
    </w:p>
    <w:p w14:paraId="1E47FAC6" w14:textId="77777777" w:rsidR="005457B5" w:rsidRDefault="005457B5" w:rsidP="005457B5">
      <w:pPr>
        <w:spacing w:line="360" w:lineRule="auto"/>
        <w:ind w:left="1080"/>
        <w:jc w:val="both"/>
        <w:rPr>
          <w:rFonts w:ascii="David" w:hAnsi="David"/>
          <w:rtl/>
        </w:rPr>
      </w:pPr>
    </w:p>
    <w:p w14:paraId="4A6C433D" w14:textId="77777777" w:rsidR="005457B5" w:rsidRDefault="005457B5" w:rsidP="005457B5">
      <w:pPr>
        <w:spacing w:line="360" w:lineRule="auto"/>
        <w:ind w:left="1080"/>
        <w:jc w:val="both"/>
        <w:rPr>
          <w:rFonts w:ascii="David" w:hAnsi="David"/>
          <w:rtl/>
        </w:rPr>
      </w:pPr>
      <w:r>
        <w:rPr>
          <w:rFonts w:ascii="David" w:hAnsi="David"/>
          <w:rtl/>
        </w:rPr>
        <w:t>ב</w:t>
      </w:r>
      <w:hyperlink r:id="rId18" w:history="1">
        <w:r w:rsidR="002E4C8D" w:rsidRPr="002E4C8D">
          <w:rPr>
            <w:rFonts w:ascii="David" w:hAnsi="David"/>
            <w:color w:val="0000FF"/>
            <w:u w:val="single"/>
            <w:rtl/>
          </w:rPr>
          <w:t>ת"פ 46365-11-19</w:t>
        </w:r>
      </w:hyperlink>
      <w:r>
        <w:rPr>
          <w:rFonts w:ascii="David" w:hAnsi="David"/>
          <w:rtl/>
        </w:rPr>
        <w:t xml:space="preserve"> </w:t>
      </w:r>
      <w:r>
        <w:rPr>
          <w:rFonts w:ascii="David" w:hAnsi="David"/>
          <w:b/>
          <w:bCs/>
          <w:rtl/>
        </w:rPr>
        <w:t>מדינת ישראל נ' מוחמד ארפאעיה</w:t>
      </w:r>
      <w:r>
        <w:rPr>
          <w:rFonts w:ascii="David" w:hAnsi="David"/>
          <w:rtl/>
        </w:rPr>
        <w:t xml:space="preserve"> </w:t>
      </w:r>
      <w:r w:rsidR="0010775A" w:rsidRPr="0010775A">
        <w:rPr>
          <w:sz w:val="22"/>
          <w:rtl/>
        </w:rPr>
        <w:t xml:space="preserve">[פורסם בנבו] </w:t>
      </w:r>
      <w:r>
        <w:rPr>
          <w:rFonts w:ascii="David" w:hAnsi="David"/>
          <w:rtl/>
        </w:rPr>
        <w:t xml:space="preserve">(02.11.2020), נגזרו על נאשם בעבירות נשק, 9 חודשי מאסר לריצוי בדרך של עבודות שירות. </w:t>
      </w:r>
    </w:p>
    <w:p w14:paraId="365C55AD" w14:textId="77777777" w:rsidR="005457B5" w:rsidRDefault="005457B5" w:rsidP="005457B5">
      <w:pPr>
        <w:spacing w:line="360" w:lineRule="auto"/>
        <w:ind w:left="1080"/>
        <w:jc w:val="both"/>
        <w:rPr>
          <w:rFonts w:ascii="David" w:hAnsi="David"/>
          <w:rtl/>
        </w:rPr>
      </w:pPr>
      <w:r>
        <w:rPr>
          <w:rFonts w:ascii="David" w:hAnsi="David"/>
          <w:rtl/>
        </w:rPr>
        <w:t>ב-</w:t>
      </w:r>
      <w:hyperlink r:id="rId19" w:history="1">
        <w:r w:rsidR="002E4C8D" w:rsidRPr="002E4C8D">
          <w:rPr>
            <w:rFonts w:ascii="David" w:hAnsi="David"/>
            <w:color w:val="0000FF"/>
            <w:u w:val="single"/>
            <w:rtl/>
          </w:rPr>
          <w:t>ת"פ 17376-05-20</w:t>
        </w:r>
      </w:hyperlink>
      <w:r>
        <w:rPr>
          <w:rFonts w:ascii="David" w:hAnsi="David"/>
          <w:rtl/>
        </w:rPr>
        <w:t xml:space="preserve"> </w:t>
      </w:r>
      <w:r>
        <w:rPr>
          <w:rFonts w:ascii="David" w:hAnsi="David"/>
          <w:b/>
          <w:bCs/>
          <w:rtl/>
        </w:rPr>
        <w:t>מדינת ישראל נ' ג'מיל חליל ואח'</w:t>
      </w:r>
      <w:r>
        <w:rPr>
          <w:rFonts w:ascii="David" w:hAnsi="David"/>
          <w:rtl/>
        </w:rPr>
        <w:t xml:space="preserve"> </w:t>
      </w:r>
      <w:r w:rsidR="0010775A" w:rsidRPr="0010775A">
        <w:rPr>
          <w:sz w:val="22"/>
          <w:rtl/>
        </w:rPr>
        <w:t xml:space="preserve">[פורסם בנבו] </w:t>
      </w:r>
      <w:r>
        <w:rPr>
          <w:rFonts w:ascii="David" w:hAnsi="David"/>
          <w:rtl/>
        </w:rPr>
        <w:t>(10.03.2021), נגזרו על נאשם שנשא והוביל שני תתי-מקלע מאולתרים מסוג קרל גוסטב 23 כדורים, ללא עבר פלילי, ללא המלצה שח שירות המבחן, 12 חודשי מעצר בפועל ועונשים נלווים.</w:t>
      </w:r>
    </w:p>
    <w:p w14:paraId="0F4F9183" w14:textId="77777777" w:rsidR="005457B5" w:rsidRDefault="005457B5" w:rsidP="005457B5">
      <w:pPr>
        <w:spacing w:line="360" w:lineRule="auto"/>
        <w:ind w:left="1080"/>
        <w:jc w:val="both"/>
        <w:rPr>
          <w:rFonts w:ascii="David" w:hAnsi="David"/>
          <w:rtl/>
        </w:rPr>
      </w:pPr>
    </w:p>
    <w:p w14:paraId="7A8E02E3" w14:textId="77777777" w:rsidR="005457B5" w:rsidRDefault="005457B5" w:rsidP="005457B5">
      <w:pPr>
        <w:spacing w:line="360" w:lineRule="auto"/>
        <w:ind w:left="1080"/>
        <w:jc w:val="both"/>
        <w:rPr>
          <w:rFonts w:ascii="David" w:hAnsi="David"/>
          <w:rtl/>
        </w:rPr>
      </w:pPr>
      <w:r>
        <w:rPr>
          <w:rFonts w:ascii="David" w:hAnsi="David"/>
          <w:rtl/>
        </w:rPr>
        <w:t>עוד הפנה ב"כ הנאשם ל-</w:t>
      </w:r>
      <w:hyperlink r:id="rId20" w:history="1">
        <w:r w:rsidR="002E4C8D" w:rsidRPr="002E4C8D">
          <w:rPr>
            <w:rFonts w:ascii="David" w:hAnsi="David"/>
            <w:color w:val="0000FF"/>
            <w:u w:val="single"/>
            <w:rtl/>
          </w:rPr>
          <w:t>ת"פ 520-07-17</w:t>
        </w:r>
      </w:hyperlink>
      <w:r>
        <w:rPr>
          <w:rFonts w:ascii="David" w:hAnsi="David"/>
          <w:rtl/>
        </w:rPr>
        <w:t xml:space="preserve"> </w:t>
      </w:r>
      <w:r>
        <w:rPr>
          <w:rFonts w:ascii="David" w:hAnsi="David"/>
          <w:b/>
          <w:bCs/>
          <w:rtl/>
        </w:rPr>
        <w:t>מדינת ישראל נ' עמרם אסבן</w:t>
      </w:r>
      <w:r>
        <w:rPr>
          <w:rFonts w:ascii="David" w:hAnsi="David"/>
          <w:rtl/>
        </w:rPr>
        <w:t xml:space="preserve"> </w:t>
      </w:r>
      <w:r w:rsidR="0010775A" w:rsidRPr="0010775A">
        <w:rPr>
          <w:sz w:val="22"/>
          <w:rtl/>
        </w:rPr>
        <w:t xml:space="preserve">[פורסם בנבו] </w:t>
      </w:r>
      <w:r>
        <w:rPr>
          <w:rFonts w:ascii="David" w:hAnsi="David"/>
          <w:rtl/>
        </w:rPr>
        <w:t>(23.01.2018), שם הורשע הנאשם בעבירה של החזקה, נשיאה והובלה של נשק, ונגזרו עליו 12 חודשי מאסר בפועל.</w:t>
      </w:r>
    </w:p>
    <w:p w14:paraId="3511B66D" w14:textId="77777777" w:rsidR="005457B5" w:rsidRDefault="005457B5" w:rsidP="005457B5">
      <w:pPr>
        <w:spacing w:line="360" w:lineRule="auto"/>
        <w:ind w:left="1080"/>
        <w:jc w:val="both"/>
        <w:rPr>
          <w:rFonts w:ascii="David" w:hAnsi="David"/>
          <w:rtl/>
        </w:rPr>
      </w:pPr>
    </w:p>
    <w:p w14:paraId="03904619" w14:textId="77777777" w:rsidR="005457B5" w:rsidRDefault="005457B5" w:rsidP="005457B5">
      <w:pPr>
        <w:spacing w:line="360" w:lineRule="auto"/>
        <w:ind w:left="1080"/>
        <w:jc w:val="both"/>
        <w:rPr>
          <w:rFonts w:ascii="David" w:hAnsi="David"/>
          <w:rtl/>
        </w:rPr>
      </w:pPr>
      <w:r>
        <w:rPr>
          <w:rFonts w:ascii="David" w:hAnsi="David"/>
          <w:rtl/>
        </w:rPr>
        <w:t>לטענת ב"כ הנאשם, עולה מן הפסיקה, כי מרכיב מרכזי בקביעת העונש נטוע במספר חודשים בהם היה נתון הנאשם באיזוק אלקטרוני. עוד נטען, כי הגם שמגמת בית המשפט העליון היא החמרה בכל הנוגע לעבירות נשק, יש להתחשב בנסיבותיו של הנאשם שבפנינו, כפי שעלו במהלך ההליך, לרבות מעדויות-האופי שנשמעו בפני בית המשפט.</w:t>
      </w:r>
    </w:p>
    <w:p w14:paraId="50DDE008" w14:textId="77777777" w:rsidR="005457B5" w:rsidRDefault="005457B5" w:rsidP="005457B5">
      <w:pPr>
        <w:spacing w:line="360" w:lineRule="auto"/>
        <w:ind w:left="1080"/>
        <w:jc w:val="both"/>
        <w:rPr>
          <w:rFonts w:ascii="David" w:hAnsi="David"/>
          <w:rtl/>
        </w:rPr>
      </w:pPr>
    </w:p>
    <w:p w14:paraId="6AE88086" w14:textId="77777777" w:rsidR="005457B5" w:rsidRDefault="005457B5" w:rsidP="005457B5">
      <w:pPr>
        <w:pStyle w:val="ListParagraph"/>
        <w:numPr>
          <w:ilvl w:val="0"/>
          <w:numId w:val="2"/>
        </w:numPr>
        <w:spacing w:line="360" w:lineRule="auto"/>
        <w:ind w:hanging="429"/>
        <w:jc w:val="both"/>
        <w:rPr>
          <w:rFonts w:ascii="David" w:hAnsi="David" w:cs="David"/>
          <w:sz w:val="24"/>
          <w:szCs w:val="24"/>
          <w:rtl/>
        </w:rPr>
      </w:pPr>
      <w:r>
        <w:rPr>
          <w:rFonts w:ascii="David" w:hAnsi="David" w:cs="David"/>
          <w:sz w:val="24"/>
          <w:szCs w:val="24"/>
          <w:rtl/>
        </w:rPr>
        <w:t>הנאשם עצמו העיד וטען, כי במשך חייו הוא סייע רבות לזולת. ביצוע העבירה מושא כתב-האישום המתוקן, כך לדבריו של הנאשם, הייתה שגיאה, ובדיעבד הוא סבור, כי היה עליו לנהוג אחרת, ולפנות לעזרה מרשויות אכיפת החוק.</w:t>
      </w:r>
    </w:p>
    <w:p w14:paraId="74978AEA" w14:textId="77777777" w:rsidR="005457B5" w:rsidRDefault="005457B5" w:rsidP="005457B5">
      <w:pPr>
        <w:pStyle w:val="ListParagraph"/>
        <w:spacing w:line="360" w:lineRule="auto"/>
        <w:ind w:left="1080"/>
        <w:jc w:val="both"/>
        <w:rPr>
          <w:rFonts w:ascii="David" w:hAnsi="David" w:cs="David"/>
          <w:sz w:val="24"/>
          <w:szCs w:val="24"/>
        </w:rPr>
      </w:pPr>
    </w:p>
    <w:p w14:paraId="74B9251F" w14:textId="77777777" w:rsidR="005457B5" w:rsidRDefault="005457B5" w:rsidP="005457B5">
      <w:pPr>
        <w:pStyle w:val="ListParagraph"/>
        <w:spacing w:line="360" w:lineRule="auto"/>
        <w:ind w:left="1080"/>
        <w:jc w:val="both"/>
        <w:rPr>
          <w:rFonts w:ascii="David" w:hAnsi="David" w:cs="David"/>
          <w:sz w:val="24"/>
          <w:szCs w:val="24"/>
        </w:rPr>
      </w:pPr>
      <w:r>
        <w:rPr>
          <w:rFonts w:ascii="David" w:hAnsi="David" w:cs="David"/>
          <w:sz w:val="24"/>
          <w:szCs w:val="24"/>
          <w:rtl/>
        </w:rPr>
        <w:t xml:space="preserve">עוד טען הנאשם, כי הגם שהוא מצר מאוד על מעשיו, יש בתנאי הפיקוח בהם שהה במהלך תקופה ארוכה, מן העונש, וזאת בשים-לב למצבו המשפחתי הייחודי, עת התחתן עם בת-זוג, שזה לא מכבר עלתה לארץ, וכי בנו נולד במהלך תקופה זו. עוד טען הנאשם, כי בתקופה זו חלה אביו, וכי הוא לא נפרד ממנו כדבעי, נוכח היותו בתנאי פיקוח. </w:t>
      </w:r>
    </w:p>
    <w:p w14:paraId="7DD208AC" w14:textId="77777777" w:rsidR="005457B5" w:rsidRDefault="005457B5" w:rsidP="005457B5">
      <w:pPr>
        <w:pStyle w:val="ListParagraph"/>
        <w:spacing w:line="360" w:lineRule="auto"/>
        <w:ind w:left="1080"/>
        <w:jc w:val="both"/>
        <w:rPr>
          <w:rFonts w:ascii="David" w:hAnsi="David" w:cs="David"/>
          <w:sz w:val="24"/>
          <w:szCs w:val="24"/>
          <w:rtl/>
        </w:rPr>
      </w:pPr>
    </w:p>
    <w:p w14:paraId="7DA3BCC5" w14:textId="77777777" w:rsidR="005457B5" w:rsidRDefault="005457B5" w:rsidP="005457B5">
      <w:pPr>
        <w:pStyle w:val="ListParagraph"/>
        <w:numPr>
          <w:ilvl w:val="0"/>
          <w:numId w:val="2"/>
        </w:numPr>
        <w:spacing w:line="360" w:lineRule="auto"/>
        <w:ind w:hanging="429"/>
        <w:jc w:val="both"/>
        <w:rPr>
          <w:rFonts w:ascii="David" w:hAnsi="David" w:cs="David"/>
          <w:sz w:val="24"/>
          <w:szCs w:val="24"/>
        </w:rPr>
      </w:pPr>
      <w:r>
        <w:rPr>
          <w:rFonts w:ascii="David" w:hAnsi="David" w:cs="David"/>
          <w:sz w:val="24"/>
          <w:szCs w:val="24"/>
          <w:rtl/>
        </w:rPr>
        <w:t>כאמור כבר לעיל, המאשימה אף הגישה טיעונים לעונש בכתב, ובהם נטען, כי הנאשם היה עצור בין התאריכים 17.12.2019-27.01.2020. ביום 27.01.2020, כך צוין, נעצר הנאשם בפיקוח אלקטרוני, ונקבע, כי הוא ישהה במעצר-בית מלא בבית הוריו, ללא חלונות התאווררות. בהמשך, ביום 10.06.2020 הקל בית המשפט בתנאי המעצר, והתיר לו לצאת לחלונות התאווררות למשך שעתיים, וביום 27.10.2020 הרחיב בית המשפט את חלונות ההתאווררות למשך 4.5 שעות בכל יום. עוד צוין, כי הנאשם שוהה בתנאים אלה נכון למועד זה.</w:t>
      </w:r>
    </w:p>
    <w:p w14:paraId="0D8DCF60" w14:textId="77777777" w:rsidR="005457B5" w:rsidRDefault="005457B5" w:rsidP="005457B5">
      <w:pPr>
        <w:pStyle w:val="ListParagraph"/>
        <w:spacing w:line="360" w:lineRule="auto"/>
        <w:ind w:left="1080"/>
        <w:jc w:val="both"/>
        <w:rPr>
          <w:rFonts w:ascii="David" w:hAnsi="David" w:cs="David"/>
          <w:sz w:val="24"/>
          <w:szCs w:val="24"/>
        </w:rPr>
      </w:pPr>
    </w:p>
    <w:p w14:paraId="14594874" w14:textId="77777777" w:rsidR="005457B5" w:rsidRDefault="005457B5" w:rsidP="005457B5">
      <w:pPr>
        <w:pStyle w:val="ListParagraph"/>
        <w:spacing w:line="360" w:lineRule="auto"/>
        <w:ind w:left="1080"/>
        <w:jc w:val="both"/>
        <w:rPr>
          <w:rFonts w:ascii="David" w:hAnsi="David" w:cs="David"/>
          <w:sz w:val="24"/>
          <w:szCs w:val="24"/>
          <w:rtl/>
        </w:rPr>
      </w:pPr>
      <w:r>
        <w:rPr>
          <w:rFonts w:ascii="David" w:hAnsi="David" w:cs="David"/>
          <w:sz w:val="24"/>
          <w:szCs w:val="24"/>
          <w:rtl/>
        </w:rPr>
        <w:t>לטענת המאשימה, לא היו מבוצעות אלימות באמצעות נשק, אלמלא הייתה קיימת תופעה של החזקה בלתי חוקית בנשק. תופעת החזקת נשק בלתי חוקי, כך נטען, הפכה למכת מדינה, ועל בית המשפט מוטלת חובה להילחם בתופעה זו, באמצעות ענישה מחמירה.</w:t>
      </w:r>
    </w:p>
    <w:p w14:paraId="403D54EB" w14:textId="77777777" w:rsidR="005457B5" w:rsidRDefault="005457B5" w:rsidP="005457B5">
      <w:pPr>
        <w:pStyle w:val="ListParagraph"/>
        <w:spacing w:line="360" w:lineRule="auto"/>
        <w:ind w:left="1080"/>
        <w:jc w:val="both"/>
        <w:rPr>
          <w:rFonts w:ascii="David" w:hAnsi="David" w:cs="David"/>
          <w:sz w:val="24"/>
          <w:szCs w:val="24"/>
          <w:rtl/>
        </w:rPr>
      </w:pPr>
    </w:p>
    <w:p w14:paraId="0BEF9FDA" w14:textId="77777777" w:rsidR="005457B5" w:rsidRDefault="005457B5" w:rsidP="005457B5">
      <w:pPr>
        <w:pStyle w:val="ListParagraph"/>
        <w:spacing w:line="360" w:lineRule="auto"/>
        <w:ind w:left="1080"/>
        <w:jc w:val="both"/>
        <w:rPr>
          <w:rFonts w:ascii="David" w:hAnsi="David" w:cs="David"/>
          <w:sz w:val="24"/>
          <w:szCs w:val="24"/>
          <w:rtl/>
        </w:rPr>
      </w:pPr>
      <w:r>
        <w:rPr>
          <w:rFonts w:ascii="David" w:hAnsi="David" w:cs="David"/>
          <w:sz w:val="24"/>
          <w:szCs w:val="24"/>
          <w:rtl/>
        </w:rPr>
        <w:t>באשר לנסיבות הקשורות לביצוע העבירה, נטען, כי כל הנסיבות אודות האופן בו הוא השיג את הנשק נותרו בערפל, אולם ברי, כך אליבא דמאשימה, כי אין מדובר במעשה ספונטני, אשר התרחש במקרה, כי אם במעשה מתוכנן היטב. הנאשם, כך לטענת המאשימה, הוא המעורב היחיד ומכאן שחלקו בביצוע העבירה מוחלט.</w:t>
      </w:r>
    </w:p>
    <w:p w14:paraId="02D437EE" w14:textId="77777777" w:rsidR="005457B5" w:rsidRDefault="005457B5" w:rsidP="005457B5">
      <w:pPr>
        <w:pStyle w:val="ListParagraph"/>
        <w:spacing w:line="360" w:lineRule="auto"/>
        <w:ind w:left="1080"/>
        <w:jc w:val="both"/>
        <w:rPr>
          <w:rFonts w:ascii="David" w:hAnsi="David" w:cs="David"/>
          <w:sz w:val="24"/>
          <w:szCs w:val="24"/>
          <w:rtl/>
        </w:rPr>
      </w:pPr>
    </w:p>
    <w:p w14:paraId="22724EC0" w14:textId="77777777" w:rsidR="005457B5" w:rsidRDefault="005457B5" w:rsidP="005457B5">
      <w:pPr>
        <w:pStyle w:val="ListParagraph"/>
        <w:spacing w:line="360" w:lineRule="auto"/>
        <w:ind w:left="1080"/>
        <w:jc w:val="both"/>
        <w:rPr>
          <w:rFonts w:ascii="David" w:hAnsi="David" w:cs="David"/>
          <w:sz w:val="24"/>
          <w:szCs w:val="24"/>
          <w:rtl/>
        </w:rPr>
      </w:pPr>
      <w:r>
        <w:rPr>
          <w:rFonts w:ascii="David" w:hAnsi="David" w:cs="David"/>
          <w:sz w:val="24"/>
          <w:szCs w:val="24"/>
          <w:rtl/>
        </w:rPr>
        <w:t>עוד נטען, כי אמנם לא נעשה שימוש בנשק, אולם הנזק שצפוי היה להיגרם לו היה עושה הנאשם שימוש בו הוא גבוה. ניתן רק לשער, כך נטען, מהן הסיבות אשר הובילו את הנאשם לבצע את העבירה המיוחסת לו. אולם לטענת המאשימה, בין אם היה זה רצון לעשות בו שימוש או בין אם רצון לסחור בו, יש להשית על הנאשם ענישה מחמירה.</w:t>
      </w:r>
    </w:p>
    <w:p w14:paraId="1643D274" w14:textId="77777777" w:rsidR="005457B5" w:rsidRDefault="005457B5" w:rsidP="005457B5">
      <w:pPr>
        <w:pStyle w:val="ListParagraph"/>
        <w:spacing w:line="360" w:lineRule="auto"/>
        <w:ind w:left="1080"/>
        <w:jc w:val="both"/>
        <w:rPr>
          <w:rFonts w:ascii="David" w:hAnsi="David" w:cs="David"/>
          <w:sz w:val="24"/>
          <w:szCs w:val="24"/>
          <w:rtl/>
        </w:rPr>
      </w:pPr>
    </w:p>
    <w:p w14:paraId="42ED672F" w14:textId="77777777" w:rsidR="005457B5" w:rsidRDefault="005457B5" w:rsidP="005457B5">
      <w:pPr>
        <w:pStyle w:val="ListParagraph"/>
        <w:spacing w:line="360" w:lineRule="auto"/>
        <w:ind w:left="1080"/>
        <w:jc w:val="both"/>
        <w:rPr>
          <w:rFonts w:ascii="David" w:hAnsi="David" w:cs="David"/>
          <w:sz w:val="24"/>
          <w:szCs w:val="24"/>
          <w:rtl/>
        </w:rPr>
      </w:pPr>
      <w:r>
        <w:rPr>
          <w:rFonts w:ascii="David" w:hAnsi="David" w:cs="David"/>
          <w:sz w:val="24"/>
          <w:szCs w:val="24"/>
          <w:rtl/>
        </w:rPr>
        <w:t>בנוגע למדיניות הענישה הנוהגת, הפנתה המאשימה למספר פסקי דין:</w:t>
      </w:r>
    </w:p>
    <w:p w14:paraId="289C5503" w14:textId="77777777" w:rsidR="005457B5" w:rsidRDefault="005457B5" w:rsidP="005457B5">
      <w:pPr>
        <w:pStyle w:val="ListParagraph"/>
        <w:spacing w:line="360" w:lineRule="auto"/>
        <w:ind w:left="1080"/>
        <w:jc w:val="both"/>
        <w:rPr>
          <w:rFonts w:ascii="David" w:hAnsi="David" w:cs="David"/>
          <w:sz w:val="24"/>
          <w:szCs w:val="24"/>
          <w:rtl/>
        </w:rPr>
      </w:pPr>
    </w:p>
    <w:p w14:paraId="10760CE4" w14:textId="77777777" w:rsidR="005457B5" w:rsidRDefault="005457B5" w:rsidP="005457B5">
      <w:pPr>
        <w:pStyle w:val="ListParagraph"/>
        <w:spacing w:line="360" w:lineRule="auto"/>
        <w:ind w:left="1080"/>
        <w:jc w:val="both"/>
        <w:rPr>
          <w:rFonts w:ascii="David" w:hAnsi="David" w:cs="David"/>
          <w:sz w:val="24"/>
          <w:szCs w:val="24"/>
          <w:rtl/>
        </w:rPr>
      </w:pPr>
      <w:r>
        <w:rPr>
          <w:rFonts w:ascii="David" w:hAnsi="David" w:cs="David"/>
          <w:sz w:val="24"/>
          <w:szCs w:val="24"/>
          <w:rtl/>
        </w:rPr>
        <w:t>ב-</w:t>
      </w:r>
      <w:hyperlink r:id="rId21" w:history="1">
        <w:r w:rsidR="002E4C8D" w:rsidRPr="002E4C8D">
          <w:rPr>
            <w:rFonts w:ascii="David" w:hAnsi="David" w:cs="David"/>
            <w:color w:val="0000FF"/>
            <w:sz w:val="24"/>
            <w:szCs w:val="24"/>
            <w:u w:val="single"/>
            <w:rtl/>
          </w:rPr>
          <w:t>ת"פ 15423-12-19</w:t>
        </w:r>
      </w:hyperlink>
      <w:r>
        <w:rPr>
          <w:rFonts w:ascii="David" w:hAnsi="David" w:cs="David"/>
          <w:sz w:val="24"/>
          <w:szCs w:val="24"/>
          <w:rtl/>
        </w:rPr>
        <w:t xml:space="preserve"> </w:t>
      </w:r>
      <w:r>
        <w:rPr>
          <w:rFonts w:ascii="David" w:hAnsi="David" w:cs="David"/>
          <w:b/>
          <w:bCs/>
          <w:sz w:val="24"/>
          <w:szCs w:val="24"/>
          <w:rtl/>
        </w:rPr>
        <w:t>מדינת ישראל נ' רוש</w:t>
      </w:r>
      <w:r>
        <w:rPr>
          <w:rFonts w:ascii="David" w:hAnsi="David" w:cs="David"/>
          <w:sz w:val="24"/>
          <w:szCs w:val="24"/>
          <w:rtl/>
        </w:rPr>
        <w:t xml:space="preserve"> </w:t>
      </w:r>
      <w:r w:rsidR="0010775A" w:rsidRPr="0010775A">
        <w:rPr>
          <w:rFonts w:ascii="Times New Roman" w:hAnsi="Times New Roman" w:cs="David"/>
          <w:szCs w:val="24"/>
          <w:rtl/>
        </w:rPr>
        <w:t xml:space="preserve">[פורסם בנבו] </w:t>
      </w:r>
      <w:r>
        <w:rPr>
          <w:rFonts w:ascii="David" w:hAnsi="David" w:cs="David"/>
          <w:sz w:val="24"/>
          <w:szCs w:val="24"/>
          <w:rtl/>
        </w:rPr>
        <w:t>(11.08.2020), נתפס נאשם עת נשא הוא אקדח חצי אוטומטי ובתוכו מחסנית, עם כדור אחד ומשתיק קול. הנאשם ניסה לברוח משוטרי משטרת ישראל, אשר הורו לו לעצור. בית המשפט קבע מתחם ענישה, אשר נע בין 2-4.5 שנות מאסר בפועל לצד עונש מאסר על תנאי, וכן קנס משמעותי.</w:t>
      </w:r>
    </w:p>
    <w:p w14:paraId="1BD92E2B" w14:textId="77777777" w:rsidR="005457B5" w:rsidRDefault="005457B5" w:rsidP="005457B5">
      <w:pPr>
        <w:pStyle w:val="ListParagraph"/>
        <w:spacing w:line="360" w:lineRule="auto"/>
        <w:ind w:left="1080"/>
        <w:jc w:val="both"/>
        <w:rPr>
          <w:rFonts w:ascii="David" w:hAnsi="David" w:cs="David"/>
          <w:sz w:val="24"/>
          <w:szCs w:val="24"/>
          <w:rtl/>
        </w:rPr>
      </w:pPr>
    </w:p>
    <w:p w14:paraId="75CCE8F5" w14:textId="77777777" w:rsidR="005457B5" w:rsidRDefault="005457B5" w:rsidP="005457B5">
      <w:pPr>
        <w:spacing w:line="360" w:lineRule="auto"/>
        <w:ind w:left="1080"/>
        <w:jc w:val="both"/>
        <w:rPr>
          <w:rFonts w:ascii="David" w:hAnsi="David"/>
          <w:rtl/>
        </w:rPr>
      </w:pPr>
      <w:r>
        <w:rPr>
          <w:rFonts w:ascii="David" w:hAnsi="David"/>
          <w:rtl/>
        </w:rPr>
        <w:t>ב-</w:t>
      </w:r>
      <w:hyperlink r:id="rId22" w:history="1">
        <w:r w:rsidR="002E4C8D" w:rsidRPr="002E4C8D">
          <w:rPr>
            <w:rFonts w:ascii="David" w:hAnsi="David"/>
            <w:color w:val="0000FF"/>
            <w:u w:val="single"/>
            <w:rtl/>
          </w:rPr>
          <w:t>ע"פ 3877/16</w:t>
        </w:r>
      </w:hyperlink>
      <w:r>
        <w:rPr>
          <w:rFonts w:ascii="David" w:hAnsi="David"/>
          <w:rtl/>
        </w:rPr>
        <w:t xml:space="preserve"> </w:t>
      </w:r>
      <w:r>
        <w:rPr>
          <w:rFonts w:ascii="David" w:hAnsi="David"/>
          <w:b/>
          <w:bCs/>
          <w:rtl/>
        </w:rPr>
        <w:t>פאדי ג'באלי נ' מדינת ישראל</w:t>
      </w:r>
      <w:r>
        <w:rPr>
          <w:rFonts w:ascii="David" w:hAnsi="David"/>
          <w:rtl/>
        </w:rPr>
        <w:t xml:space="preserve"> </w:t>
      </w:r>
      <w:r w:rsidR="0010775A" w:rsidRPr="0010775A">
        <w:rPr>
          <w:sz w:val="22"/>
          <w:rtl/>
        </w:rPr>
        <w:t xml:space="preserve">[פורסם בנבו] </w:t>
      </w:r>
      <w:r>
        <w:rPr>
          <w:rFonts w:ascii="David" w:hAnsi="David"/>
          <w:rtl/>
        </w:rPr>
        <w:t>(17.11.2016) (להלן: "</w:t>
      </w:r>
      <w:r>
        <w:rPr>
          <w:rFonts w:ascii="David" w:hAnsi="David"/>
          <w:b/>
          <w:bCs/>
          <w:rtl/>
        </w:rPr>
        <w:t>עניין ג'באלי</w:t>
      </w:r>
      <w:r>
        <w:rPr>
          <w:rFonts w:ascii="David" w:hAnsi="David"/>
          <w:rtl/>
        </w:rPr>
        <w:t>"), דחה בית המשפט העליון את ערעורו של המערער, בעל עבר פלילי מכביד ביותר, אשר הורשע בעבירה של נשיאת אקדח טעון במחסנית וכדורים, ונגזרו עליו 34 חודשי מאסר בפועל, עת מתחם הענישה נקבע בין 24-48 חודשי מאסר בפועל.</w:t>
      </w:r>
    </w:p>
    <w:p w14:paraId="5111E7D4" w14:textId="77777777" w:rsidR="005457B5" w:rsidRDefault="005457B5" w:rsidP="005457B5">
      <w:pPr>
        <w:spacing w:line="360" w:lineRule="auto"/>
        <w:ind w:left="1080"/>
        <w:jc w:val="both"/>
        <w:rPr>
          <w:rFonts w:ascii="David" w:hAnsi="David"/>
          <w:rtl/>
        </w:rPr>
      </w:pPr>
    </w:p>
    <w:p w14:paraId="36F78E5A" w14:textId="77777777" w:rsidR="005457B5" w:rsidRDefault="005457B5" w:rsidP="005457B5">
      <w:pPr>
        <w:spacing w:line="360" w:lineRule="auto"/>
        <w:ind w:left="1080"/>
        <w:jc w:val="both"/>
        <w:rPr>
          <w:rFonts w:ascii="David" w:hAnsi="David"/>
          <w:rtl/>
        </w:rPr>
      </w:pPr>
      <w:r>
        <w:rPr>
          <w:rFonts w:ascii="David" w:hAnsi="David"/>
          <w:rtl/>
        </w:rPr>
        <w:t>ב-</w:t>
      </w:r>
      <w:hyperlink r:id="rId23" w:history="1">
        <w:r w:rsidR="002E4C8D" w:rsidRPr="002E4C8D">
          <w:rPr>
            <w:rFonts w:ascii="David" w:hAnsi="David"/>
            <w:color w:val="0000FF"/>
            <w:u w:val="single"/>
            <w:rtl/>
          </w:rPr>
          <w:t>ת"פ (מרכז) 47284-06-18</w:t>
        </w:r>
      </w:hyperlink>
      <w:r>
        <w:rPr>
          <w:rFonts w:ascii="David" w:hAnsi="David"/>
          <w:rtl/>
        </w:rPr>
        <w:t xml:space="preserve"> </w:t>
      </w:r>
      <w:r>
        <w:rPr>
          <w:rFonts w:ascii="David" w:hAnsi="David"/>
          <w:b/>
          <w:bCs/>
          <w:rtl/>
        </w:rPr>
        <w:t>מדינת ישראל נ' אמסאלם חסונה</w:t>
      </w:r>
      <w:r>
        <w:rPr>
          <w:rFonts w:ascii="David" w:hAnsi="David"/>
          <w:rtl/>
        </w:rPr>
        <w:t xml:space="preserve"> </w:t>
      </w:r>
      <w:r w:rsidR="0010775A" w:rsidRPr="0010775A">
        <w:rPr>
          <w:sz w:val="22"/>
          <w:rtl/>
        </w:rPr>
        <w:t xml:space="preserve">[פורסם בנבו] </w:t>
      </w:r>
      <w:r>
        <w:rPr>
          <w:rFonts w:ascii="David" w:hAnsi="David"/>
          <w:rtl/>
        </w:rPr>
        <w:t>(03.04.2019), הורשע נאשם על-פי הודאתו בעבירה של נשיאת נשק ותחמושת. בית המשפט קבע מתחם ענישה, אשר נע בין 21-48 חודשי מאסר בפועל. הנאשם, ללא עבר פלילי, נדון ל-22 חודשי מאסר בפועל, לצד ענישה נלווית.</w:t>
      </w:r>
    </w:p>
    <w:p w14:paraId="521CE078" w14:textId="77777777" w:rsidR="005457B5" w:rsidRDefault="005457B5" w:rsidP="005457B5">
      <w:pPr>
        <w:spacing w:line="360" w:lineRule="auto"/>
        <w:ind w:left="1080"/>
        <w:jc w:val="both"/>
        <w:rPr>
          <w:rFonts w:ascii="David" w:hAnsi="David"/>
          <w:rtl/>
        </w:rPr>
      </w:pPr>
    </w:p>
    <w:p w14:paraId="38DC4A43" w14:textId="77777777" w:rsidR="005457B5" w:rsidRDefault="005457B5" w:rsidP="005457B5">
      <w:pPr>
        <w:spacing w:line="360" w:lineRule="auto"/>
        <w:ind w:left="1080"/>
        <w:jc w:val="both"/>
        <w:rPr>
          <w:rFonts w:ascii="David" w:hAnsi="David"/>
          <w:rtl/>
        </w:rPr>
      </w:pPr>
      <w:r>
        <w:rPr>
          <w:rFonts w:ascii="David" w:hAnsi="David"/>
          <w:rtl/>
        </w:rPr>
        <w:t>ב-</w:t>
      </w:r>
      <w:hyperlink r:id="rId24" w:history="1">
        <w:r w:rsidR="002E4C8D" w:rsidRPr="002E4C8D">
          <w:rPr>
            <w:rFonts w:ascii="David" w:hAnsi="David"/>
            <w:color w:val="0000FF"/>
            <w:u w:val="single"/>
            <w:rtl/>
          </w:rPr>
          <w:t>ע"פ 9373/10</w:t>
        </w:r>
      </w:hyperlink>
      <w:r>
        <w:rPr>
          <w:rFonts w:ascii="David" w:hAnsi="David"/>
          <w:rtl/>
        </w:rPr>
        <w:t xml:space="preserve"> </w:t>
      </w:r>
      <w:r>
        <w:rPr>
          <w:rFonts w:ascii="David" w:hAnsi="David"/>
          <w:b/>
          <w:bCs/>
          <w:rtl/>
        </w:rPr>
        <w:t>חמד ותד נ' מדינת ישראל</w:t>
      </w:r>
      <w:r>
        <w:rPr>
          <w:rFonts w:ascii="David" w:hAnsi="David"/>
          <w:rtl/>
        </w:rPr>
        <w:t xml:space="preserve"> </w:t>
      </w:r>
      <w:r w:rsidR="0010775A" w:rsidRPr="0010775A">
        <w:rPr>
          <w:sz w:val="22"/>
          <w:rtl/>
        </w:rPr>
        <w:t xml:space="preserve">[פורסם בנבו] </w:t>
      </w:r>
      <w:r>
        <w:rPr>
          <w:rFonts w:ascii="David" w:hAnsi="David"/>
          <w:rtl/>
        </w:rPr>
        <w:t>(14.09.2011), הורשע נאשם בעבירה של נשיאה והחזקה של נשק, עת החזיק בביתו, אקדח ובו מחסנית, בה היו תשעה כדורים, ובחצרו נתפסו 63 כדורים נוספים. לנאשם היו שלוש הרשעות קודמות, לא בעבירות נשק. בית המשפט גזר על הנאשם 50 חודשי מאסר בפועל, ובית המשפט העליון קבע, כי יש להחמיר בעונשם של אלו המבצעים עבירות נשק, אולם יש לעשות כן בהדרגה, והפחית את עונשו של הנאשם ל-30 חודשי מאסר בפועל.</w:t>
      </w:r>
    </w:p>
    <w:p w14:paraId="7619D10A" w14:textId="77777777" w:rsidR="005457B5" w:rsidRDefault="005457B5" w:rsidP="005457B5">
      <w:pPr>
        <w:spacing w:line="360" w:lineRule="auto"/>
        <w:ind w:left="1080"/>
        <w:jc w:val="both"/>
        <w:rPr>
          <w:rFonts w:ascii="David" w:hAnsi="David"/>
          <w:rtl/>
        </w:rPr>
      </w:pPr>
    </w:p>
    <w:p w14:paraId="577571A1" w14:textId="77777777" w:rsidR="005457B5" w:rsidRDefault="005457B5" w:rsidP="005457B5">
      <w:pPr>
        <w:spacing w:line="360" w:lineRule="auto"/>
        <w:ind w:left="1080"/>
        <w:jc w:val="both"/>
        <w:rPr>
          <w:rFonts w:ascii="David" w:hAnsi="David"/>
          <w:rtl/>
        </w:rPr>
      </w:pPr>
      <w:r>
        <w:rPr>
          <w:rFonts w:ascii="David" w:hAnsi="David"/>
          <w:rtl/>
        </w:rPr>
        <w:t>ב-</w:t>
      </w:r>
      <w:hyperlink r:id="rId25" w:history="1">
        <w:r w:rsidR="002E4C8D" w:rsidRPr="002E4C8D">
          <w:rPr>
            <w:rFonts w:ascii="David" w:hAnsi="David"/>
            <w:color w:val="0000FF"/>
            <w:u w:val="single"/>
            <w:rtl/>
          </w:rPr>
          <w:t>ע"פ 135/17</w:t>
        </w:r>
      </w:hyperlink>
      <w:r>
        <w:rPr>
          <w:rFonts w:ascii="David" w:hAnsi="David"/>
          <w:rtl/>
        </w:rPr>
        <w:t xml:space="preserve"> </w:t>
      </w:r>
      <w:r>
        <w:rPr>
          <w:rFonts w:ascii="David" w:hAnsi="David"/>
          <w:b/>
          <w:bCs/>
          <w:rtl/>
        </w:rPr>
        <w:t>מדינת ישראל נ' סמיר בסל</w:t>
      </w:r>
      <w:r>
        <w:rPr>
          <w:rFonts w:ascii="David" w:hAnsi="David"/>
          <w:rtl/>
        </w:rPr>
        <w:t xml:space="preserve"> </w:t>
      </w:r>
      <w:r w:rsidR="0010775A" w:rsidRPr="0010775A">
        <w:rPr>
          <w:sz w:val="22"/>
          <w:rtl/>
        </w:rPr>
        <w:t xml:space="preserve">[פורסם בנבו] </w:t>
      </w:r>
      <w:r>
        <w:rPr>
          <w:rFonts w:ascii="David" w:hAnsi="David"/>
          <w:rtl/>
        </w:rPr>
        <w:t>(08.03.2017),  קיבל בית המשפט העליון את ערעורה של המדינה על קולת העונש שהושת על המשיב, צעיר בן 20, בגין הרשעתו בעבירה של החזקת ונשיאת נשק. בית המשפט העליון קבע, שעונשו של המשיב יעמוד על 18 חודשי מאסר בפועל חלף 12 חודשי המאסר שנגזרו עליו בבית המשפט המחוזי.</w:t>
      </w:r>
    </w:p>
    <w:p w14:paraId="4F951736" w14:textId="77777777" w:rsidR="005457B5" w:rsidRDefault="005457B5" w:rsidP="005457B5">
      <w:pPr>
        <w:spacing w:line="360" w:lineRule="auto"/>
        <w:ind w:left="1080"/>
        <w:jc w:val="both"/>
        <w:rPr>
          <w:rFonts w:ascii="David" w:hAnsi="David"/>
          <w:rtl/>
        </w:rPr>
      </w:pPr>
    </w:p>
    <w:p w14:paraId="25A857C6" w14:textId="77777777" w:rsidR="005457B5" w:rsidRDefault="005457B5" w:rsidP="005457B5">
      <w:pPr>
        <w:spacing w:line="360" w:lineRule="auto"/>
        <w:ind w:left="1080"/>
        <w:jc w:val="both"/>
        <w:rPr>
          <w:rFonts w:ascii="David" w:hAnsi="David"/>
          <w:rtl/>
        </w:rPr>
      </w:pPr>
      <w:r>
        <w:rPr>
          <w:rFonts w:ascii="David" w:hAnsi="David"/>
          <w:rtl/>
        </w:rPr>
        <w:t>באשר לנסיבות, שאינן קשורות לביצוע העבירה, נטען, כי יש להתחשב בכך שהנאשם הודה בה, וחסך זמן שיפוטי יקר. מצד שני, כך נטען, הנאשם הבין את מעשיו ואת השלכותיהם, הוא אינו קטין, אינו קרוב לכל סייג לאחריות פלילית, ואף לא היה במצוקה נפשית.</w:t>
      </w:r>
    </w:p>
    <w:p w14:paraId="463C02A6" w14:textId="77777777" w:rsidR="005457B5" w:rsidRDefault="005457B5" w:rsidP="005457B5">
      <w:pPr>
        <w:spacing w:line="360" w:lineRule="auto"/>
        <w:ind w:left="1080"/>
        <w:jc w:val="both"/>
        <w:rPr>
          <w:rFonts w:ascii="David" w:hAnsi="David"/>
          <w:rtl/>
        </w:rPr>
      </w:pPr>
    </w:p>
    <w:p w14:paraId="073E6B3B" w14:textId="77777777" w:rsidR="005457B5" w:rsidRDefault="005457B5" w:rsidP="005457B5">
      <w:pPr>
        <w:spacing w:line="360" w:lineRule="auto"/>
        <w:ind w:left="1080"/>
        <w:jc w:val="both"/>
        <w:rPr>
          <w:rFonts w:ascii="David" w:hAnsi="David"/>
          <w:rtl/>
        </w:rPr>
      </w:pPr>
      <w:r>
        <w:rPr>
          <w:rFonts w:ascii="David" w:hAnsi="David"/>
          <w:rtl/>
        </w:rPr>
        <w:t>המאשימה הדגישה, כי אין לטעמה מקום לסטות ממתחם הענישה, שייקבע בשל שיקולי שיקום.</w:t>
      </w:r>
    </w:p>
    <w:p w14:paraId="00A47082" w14:textId="77777777" w:rsidR="005457B5" w:rsidRDefault="005457B5" w:rsidP="005457B5">
      <w:pPr>
        <w:spacing w:line="360" w:lineRule="auto"/>
        <w:ind w:left="1080"/>
        <w:jc w:val="both"/>
        <w:rPr>
          <w:rFonts w:ascii="David" w:hAnsi="David"/>
          <w:rtl/>
        </w:rPr>
      </w:pPr>
    </w:p>
    <w:p w14:paraId="3F7CD5F0" w14:textId="77777777" w:rsidR="005457B5" w:rsidRDefault="005457B5" w:rsidP="005457B5">
      <w:pPr>
        <w:spacing w:line="360" w:lineRule="auto"/>
        <w:ind w:left="1080"/>
        <w:jc w:val="both"/>
        <w:rPr>
          <w:rFonts w:ascii="David" w:hAnsi="David"/>
          <w:rtl/>
        </w:rPr>
      </w:pPr>
      <w:r>
        <w:rPr>
          <w:rFonts w:ascii="David" w:hAnsi="David"/>
          <w:rtl/>
        </w:rPr>
        <w:t>נוכח האמור לעיל, סברה המאשימה, כי מתחם הענישה ההולם בעניינו של הנאשם, נע בין 3-6 שנות מאסר בפועל. נוכח העובדה, כי הנאשם אינו בעל עבר פלילי מכביד, כך נטען, נטל אחריות על מעשיו, ושהה במעצר בפיקוח אלקטרוני, יש למקם את עונשו של הנאשם בחלקו התחתון של המתחם.</w:t>
      </w:r>
    </w:p>
    <w:p w14:paraId="33282032" w14:textId="77777777" w:rsidR="005457B5" w:rsidRDefault="005457B5" w:rsidP="005457B5">
      <w:pPr>
        <w:spacing w:line="360" w:lineRule="auto"/>
        <w:ind w:left="1080"/>
        <w:jc w:val="both"/>
        <w:rPr>
          <w:rFonts w:ascii="David" w:hAnsi="David"/>
          <w:rtl/>
        </w:rPr>
      </w:pPr>
    </w:p>
    <w:p w14:paraId="2567F276" w14:textId="77777777" w:rsidR="005457B5" w:rsidRDefault="005457B5" w:rsidP="005457B5">
      <w:pPr>
        <w:spacing w:line="360" w:lineRule="auto"/>
        <w:ind w:left="1080"/>
        <w:jc w:val="both"/>
        <w:rPr>
          <w:rFonts w:ascii="David" w:hAnsi="David"/>
          <w:rtl/>
        </w:rPr>
      </w:pPr>
      <w:r>
        <w:rPr>
          <w:rFonts w:ascii="David" w:hAnsi="David"/>
          <w:rtl/>
        </w:rPr>
        <w:t xml:space="preserve">כמו-כן עתרה המאשימה להשית על הנאשם מאסר מותנה ארוך ומשמעותי, קנס כספי, וכן לחלט את הרכב, בהתאם לסעיף </w:t>
      </w:r>
      <w:hyperlink r:id="rId26" w:history="1">
        <w:r w:rsidR="0012165C" w:rsidRPr="0012165C">
          <w:rPr>
            <w:rStyle w:val="Hyperlink"/>
            <w:rFonts w:ascii="David" w:hAnsi="David"/>
            <w:rtl/>
          </w:rPr>
          <w:t>39 (א)</w:t>
        </w:r>
      </w:hyperlink>
      <w:r>
        <w:rPr>
          <w:rFonts w:ascii="David" w:hAnsi="David"/>
          <w:rtl/>
        </w:rPr>
        <w:t xml:space="preserve"> לפקודת סדר הדין הפלילי, התשכ"ט – 1969, עת בוצעה העבירה באמצעות הרכב.</w:t>
      </w:r>
    </w:p>
    <w:p w14:paraId="1FCD599C" w14:textId="77777777" w:rsidR="005457B5" w:rsidRDefault="005457B5" w:rsidP="005457B5">
      <w:pPr>
        <w:spacing w:line="360" w:lineRule="auto"/>
        <w:ind w:left="1080"/>
        <w:jc w:val="both"/>
        <w:rPr>
          <w:rFonts w:ascii="David" w:hAnsi="David"/>
          <w:rtl/>
        </w:rPr>
      </w:pPr>
    </w:p>
    <w:p w14:paraId="23F366C0" w14:textId="77777777" w:rsidR="005457B5" w:rsidRDefault="005457B5" w:rsidP="005457B5">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פסיקה עקבית של בית המשפט העליון קבעה, כי יש ליתן חומרה יתרה לעבירות הנשק, על סוגיהן השונים, נוכח הסכנה הגבוהה הנשקפת מהן, וזאת אף בשים-לב לגישת </w:t>
      </w:r>
      <w:r>
        <w:rPr>
          <w:rFonts w:ascii="David" w:hAnsi="David" w:cs="David"/>
          <w:spacing w:val="10"/>
          <w:sz w:val="24"/>
          <w:szCs w:val="24"/>
          <w:rtl/>
        </w:rPr>
        <w:t>המחוקק, אשר קבע לצידן של עבירות אלו ענישה מחמירה.</w:t>
      </w:r>
    </w:p>
    <w:p w14:paraId="4BB9AC9D" w14:textId="77777777" w:rsidR="005457B5" w:rsidRDefault="005457B5" w:rsidP="005457B5">
      <w:pPr>
        <w:pStyle w:val="Ruller50"/>
        <w:spacing w:line="360" w:lineRule="auto"/>
        <w:ind w:left="1080" w:right="0"/>
        <w:rPr>
          <w:rFonts w:ascii="David" w:hAnsi="David" w:cs="David"/>
          <w:sz w:val="24"/>
          <w:szCs w:val="24"/>
        </w:rPr>
      </w:pPr>
      <w:r>
        <w:rPr>
          <w:rFonts w:ascii="David" w:hAnsi="David" w:cs="David"/>
          <w:sz w:val="24"/>
          <w:szCs w:val="24"/>
          <w:rtl/>
        </w:rPr>
        <w:t>אפנה לדבריו של כב' השופט י. אלרון ב-</w:t>
      </w:r>
      <w:hyperlink r:id="rId27" w:history="1">
        <w:r w:rsidR="002E4C8D" w:rsidRPr="002E4C8D">
          <w:rPr>
            <w:rFonts w:ascii="David" w:hAnsi="David" w:cs="David"/>
            <w:color w:val="0000FF"/>
            <w:sz w:val="24"/>
            <w:szCs w:val="24"/>
            <w:u w:val="single"/>
            <w:rtl/>
          </w:rPr>
          <w:t>ע"פ 4406/19</w:t>
        </w:r>
      </w:hyperlink>
      <w:r>
        <w:rPr>
          <w:rFonts w:ascii="David" w:hAnsi="David" w:cs="David"/>
          <w:b/>
          <w:bCs/>
          <w:sz w:val="24"/>
          <w:szCs w:val="24"/>
          <w:rtl/>
        </w:rPr>
        <w:t xml:space="preserve"> </w:t>
      </w:r>
      <w:r>
        <w:rPr>
          <w:rFonts w:ascii="David" w:hAnsi="David" w:cs="David"/>
          <w:b/>
          <w:bCs/>
          <w:spacing w:val="0"/>
          <w:sz w:val="24"/>
          <w:szCs w:val="24"/>
          <w:rtl/>
        </w:rPr>
        <w:t xml:space="preserve">סובח נ' מדינת ישראל </w:t>
      </w:r>
      <w:r w:rsidR="0010775A" w:rsidRPr="0010775A">
        <w:rPr>
          <w:rFonts w:ascii="Times New Roman" w:hAnsi="Times New Roman" w:cs="David"/>
          <w:spacing w:val="0"/>
          <w:szCs w:val="24"/>
          <w:rtl/>
        </w:rPr>
        <w:t xml:space="preserve">[פורסם בנבו] </w:t>
      </w:r>
      <w:r>
        <w:rPr>
          <w:rFonts w:ascii="David" w:hAnsi="David" w:cs="David"/>
          <w:sz w:val="24"/>
          <w:szCs w:val="24"/>
          <w:rtl/>
        </w:rPr>
        <w:t>(05.11.2019), בפסקה 16:</w:t>
      </w:r>
    </w:p>
    <w:p w14:paraId="2D1FED36" w14:textId="77777777" w:rsidR="005457B5" w:rsidRDefault="005457B5" w:rsidP="005457B5">
      <w:pPr>
        <w:pStyle w:val="Ruller50"/>
        <w:spacing w:line="360" w:lineRule="auto"/>
        <w:ind w:left="793" w:right="0"/>
        <w:rPr>
          <w:rFonts w:ascii="David" w:hAnsi="David" w:cs="David"/>
          <w:sz w:val="24"/>
          <w:szCs w:val="24"/>
          <w:rtl/>
        </w:rPr>
      </w:pPr>
    </w:p>
    <w:p w14:paraId="3CDBF2DB" w14:textId="77777777" w:rsidR="005457B5" w:rsidRDefault="005457B5" w:rsidP="005457B5">
      <w:pPr>
        <w:pStyle w:val="Ruller41"/>
        <w:tabs>
          <w:tab w:val="left" w:pos="800"/>
        </w:tabs>
        <w:adjustRightInd w:val="0"/>
        <w:spacing w:after="420"/>
        <w:ind w:left="1440"/>
        <w:textAlignment w:val="baseline"/>
        <w:rPr>
          <w:rFonts w:ascii="David" w:hAnsi="David" w:cs="David"/>
          <w:b/>
          <w:bCs/>
          <w:rtl/>
        </w:rPr>
      </w:pPr>
      <w:r>
        <w:rPr>
          <w:rFonts w:ascii="David" w:hAnsi="David" w:cs="David"/>
          <w:b/>
          <w:bCs/>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Pr>
          <w:rFonts w:ascii="David" w:hAnsi="David" w:cs="David"/>
          <w:b/>
          <w:bCs/>
          <w:spacing w:val="0"/>
          <w:rtl/>
        </w:rPr>
        <w:t>התמודדות משטרת ישראל עם החזקת אמצעי לחימה לא חוקיים ואירועי ירי ביישובי החברה הערבית וביישובים מעורבים</w:t>
      </w:r>
      <w:r>
        <w:rPr>
          <w:rFonts w:ascii="David" w:hAnsi="David" w:cs="David"/>
          <w:b/>
          <w:bCs/>
          <w:rtl/>
        </w:rPr>
        <w:t xml:space="preserve"> 28 (2018)). </w:t>
      </w:r>
    </w:p>
    <w:p w14:paraId="5D0084E9" w14:textId="77777777" w:rsidR="005457B5" w:rsidRDefault="005457B5" w:rsidP="005457B5">
      <w:pPr>
        <w:pStyle w:val="Ruller40"/>
        <w:ind w:left="1440"/>
        <w:rPr>
          <w:rFonts w:ascii="David" w:hAnsi="David" w:cs="David"/>
          <w:b/>
          <w:bCs/>
          <w:sz w:val="24"/>
          <w:szCs w:val="24"/>
          <w:rtl/>
        </w:rPr>
      </w:pPr>
      <w:r>
        <w:rPr>
          <w:rFonts w:ascii="David" w:hAnsi="David" w:cs="David"/>
          <w:b/>
          <w:bCs/>
          <w:sz w:val="24"/>
          <w:szCs w:val="24"/>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77F7D82D" w14:textId="77777777" w:rsidR="005457B5" w:rsidRDefault="005457B5" w:rsidP="005457B5">
      <w:pPr>
        <w:pStyle w:val="Ruller40"/>
        <w:rPr>
          <w:rFonts w:ascii="David" w:hAnsi="David" w:cs="David"/>
          <w:b/>
          <w:bCs/>
          <w:sz w:val="24"/>
          <w:szCs w:val="24"/>
          <w:rtl/>
        </w:rPr>
      </w:pPr>
    </w:p>
    <w:p w14:paraId="7A2D2803" w14:textId="77777777" w:rsidR="005457B5" w:rsidRDefault="005457B5" w:rsidP="005457B5">
      <w:pPr>
        <w:pStyle w:val="Ruller40"/>
        <w:ind w:left="1440"/>
        <w:rPr>
          <w:rFonts w:ascii="David" w:hAnsi="David" w:cs="David"/>
          <w:b/>
          <w:bCs/>
          <w:sz w:val="24"/>
          <w:szCs w:val="24"/>
          <w:rtl/>
        </w:rPr>
      </w:pPr>
      <w:r>
        <w:rPr>
          <w:rFonts w:ascii="David" w:hAnsi="David" w:cs="David"/>
          <w:b/>
          <w:bCs/>
          <w:sz w:val="24"/>
          <w:szCs w:val="24"/>
          <w:rtl/>
        </w:rPr>
        <w:t xml:space="preserve">דברים אלו אף באו לידי ביטוי לאחרונה בדברי הנשיאה </w:t>
      </w:r>
      <w:r>
        <w:rPr>
          <w:rFonts w:ascii="David" w:hAnsi="David" w:cs="David"/>
          <w:b/>
          <w:bCs/>
          <w:spacing w:val="0"/>
          <w:sz w:val="24"/>
          <w:szCs w:val="24"/>
          <w:rtl/>
        </w:rPr>
        <w:t>א' חיות</w:t>
      </w:r>
      <w:r>
        <w:rPr>
          <w:rFonts w:ascii="David" w:hAnsi="David" w:cs="David"/>
          <w:b/>
          <w:bCs/>
          <w:sz w:val="24"/>
          <w:szCs w:val="24"/>
          <w:rtl/>
        </w:rPr>
        <w:t xml:space="preserve"> בטקס פתיחת שנת המשפט הנוכחית של לשכת עורכי הדין בנצרת:</w:t>
      </w:r>
    </w:p>
    <w:p w14:paraId="3164EA0F" w14:textId="77777777" w:rsidR="005457B5" w:rsidRDefault="005457B5" w:rsidP="005457B5">
      <w:pPr>
        <w:pStyle w:val="Ruller50"/>
        <w:spacing w:line="360" w:lineRule="auto"/>
        <w:rPr>
          <w:rFonts w:ascii="David" w:hAnsi="David" w:cs="David"/>
          <w:b/>
          <w:bCs/>
          <w:sz w:val="24"/>
          <w:szCs w:val="24"/>
          <w:rtl/>
        </w:rPr>
      </w:pPr>
    </w:p>
    <w:p w14:paraId="07741BBE" w14:textId="77777777" w:rsidR="005457B5" w:rsidRDefault="005457B5" w:rsidP="005457B5">
      <w:pPr>
        <w:pStyle w:val="Ruller50"/>
        <w:spacing w:line="360" w:lineRule="auto"/>
        <w:ind w:left="2160"/>
        <w:rPr>
          <w:rFonts w:ascii="David" w:hAnsi="David" w:cs="David"/>
          <w:b/>
          <w:bCs/>
          <w:sz w:val="24"/>
          <w:szCs w:val="24"/>
          <w:rtl/>
        </w:rPr>
      </w:pPr>
      <w:r>
        <w:rPr>
          <w:rFonts w:ascii="David" w:hAnsi="David" w:cs="David"/>
          <w:b/>
          <w:bCs/>
          <w:sz w:val="24"/>
          <w:szCs w:val="24"/>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0C58F6C8" w14:textId="77777777" w:rsidR="005457B5" w:rsidRDefault="005457B5" w:rsidP="005457B5">
      <w:pPr>
        <w:pStyle w:val="Ruller40"/>
        <w:rPr>
          <w:rFonts w:ascii="David" w:hAnsi="David" w:cs="David"/>
          <w:b/>
          <w:bCs/>
          <w:sz w:val="24"/>
          <w:szCs w:val="24"/>
          <w:rtl/>
        </w:rPr>
      </w:pPr>
    </w:p>
    <w:p w14:paraId="4C001752" w14:textId="77777777" w:rsidR="005457B5" w:rsidRDefault="005457B5" w:rsidP="005457B5">
      <w:pPr>
        <w:pStyle w:val="Ruller40"/>
        <w:ind w:left="1440"/>
        <w:rPr>
          <w:rFonts w:ascii="David" w:hAnsi="David" w:cs="David"/>
          <w:b/>
          <w:bCs/>
          <w:sz w:val="24"/>
          <w:szCs w:val="24"/>
          <w:rtl/>
        </w:rPr>
      </w:pPr>
      <w:r>
        <w:rPr>
          <w:rFonts w:ascii="David" w:hAnsi="David" w:cs="David"/>
          <w:b/>
          <w:bCs/>
          <w:sz w:val="24"/>
          <w:szCs w:val="24"/>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3A8B7543" w14:textId="77777777" w:rsidR="005457B5" w:rsidRDefault="005457B5" w:rsidP="005457B5">
      <w:pPr>
        <w:pStyle w:val="Ruller40"/>
        <w:rPr>
          <w:rFonts w:ascii="David" w:hAnsi="David" w:cs="David"/>
          <w:b/>
          <w:bCs/>
          <w:sz w:val="24"/>
          <w:szCs w:val="24"/>
          <w:rtl/>
        </w:rPr>
      </w:pPr>
    </w:p>
    <w:p w14:paraId="131E6854" w14:textId="77777777" w:rsidR="005457B5" w:rsidRDefault="005457B5" w:rsidP="005457B5">
      <w:pPr>
        <w:pStyle w:val="Ruller40"/>
        <w:ind w:left="1440"/>
        <w:rPr>
          <w:rFonts w:ascii="David" w:hAnsi="David" w:cs="David"/>
          <w:b/>
          <w:bCs/>
          <w:sz w:val="24"/>
          <w:szCs w:val="24"/>
          <w:rtl/>
        </w:rPr>
      </w:pPr>
      <w:r>
        <w:rPr>
          <w:rFonts w:ascii="David" w:hAnsi="David" w:cs="David"/>
          <w:b/>
          <w:bCs/>
          <w:sz w:val="24"/>
          <w:szCs w:val="24"/>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p>
    <w:p w14:paraId="109521F4" w14:textId="77777777" w:rsidR="005457B5" w:rsidRDefault="005457B5" w:rsidP="005457B5">
      <w:pPr>
        <w:pStyle w:val="Ruller40"/>
        <w:ind w:left="1440"/>
        <w:rPr>
          <w:rFonts w:ascii="David" w:hAnsi="David" w:cs="David"/>
          <w:b/>
          <w:bCs/>
          <w:sz w:val="24"/>
          <w:szCs w:val="24"/>
          <w:rtl/>
        </w:rPr>
      </w:pPr>
    </w:p>
    <w:p w14:paraId="44445366" w14:textId="77777777" w:rsidR="005457B5" w:rsidRDefault="005457B5" w:rsidP="005457B5">
      <w:pPr>
        <w:pStyle w:val="Ruller40"/>
        <w:ind w:left="1440"/>
        <w:rPr>
          <w:rtl/>
        </w:rPr>
      </w:pPr>
      <w:r>
        <w:rPr>
          <w:rFonts w:ascii="David" w:hAnsi="David" w:cs="David"/>
          <w:b/>
          <w:bCs/>
          <w:sz w:val="24"/>
          <w:szCs w:val="24"/>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0C404E05" w14:textId="77777777" w:rsidR="005457B5" w:rsidRDefault="005457B5" w:rsidP="005457B5">
      <w:pPr>
        <w:pStyle w:val="Ruller40"/>
        <w:ind w:left="1440"/>
        <w:rPr>
          <w:rtl/>
        </w:rPr>
      </w:pPr>
    </w:p>
    <w:p w14:paraId="19FDC0C1" w14:textId="77777777" w:rsidR="005457B5" w:rsidRDefault="005457B5" w:rsidP="005457B5">
      <w:pPr>
        <w:pStyle w:val="Ruller50"/>
        <w:spacing w:line="360" w:lineRule="auto"/>
        <w:ind w:left="1076" w:right="0"/>
        <w:rPr>
          <w:rFonts w:ascii="David" w:hAnsi="David" w:cs="David"/>
          <w:sz w:val="24"/>
          <w:szCs w:val="24"/>
          <w:rtl/>
        </w:rPr>
      </w:pPr>
      <w:r>
        <w:rPr>
          <w:rFonts w:ascii="David" w:hAnsi="David" w:cs="David"/>
          <w:sz w:val="24"/>
          <w:szCs w:val="24"/>
          <w:rtl/>
        </w:rPr>
        <w:t>וכן לדבריו של כב' השופט מ. מזוז:</w:t>
      </w:r>
    </w:p>
    <w:p w14:paraId="36D862A9" w14:textId="77777777" w:rsidR="005457B5" w:rsidRDefault="005457B5" w:rsidP="005457B5">
      <w:pPr>
        <w:spacing w:line="360" w:lineRule="auto"/>
        <w:jc w:val="both"/>
        <w:rPr>
          <w:rFonts w:ascii="David" w:hAnsi="David"/>
          <w:b/>
          <w:bCs/>
          <w:rtl/>
        </w:rPr>
      </w:pPr>
    </w:p>
    <w:p w14:paraId="264DD03A" w14:textId="77777777" w:rsidR="005457B5" w:rsidRDefault="005457B5" w:rsidP="005457B5">
      <w:pPr>
        <w:spacing w:line="360" w:lineRule="auto"/>
        <w:ind w:left="1440"/>
        <w:jc w:val="both"/>
        <w:rPr>
          <w:rFonts w:ascii="David" w:hAnsi="David"/>
          <w:b/>
          <w:bCs/>
          <w:rtl/>
        </w:rPr>
      </w:pPr>
      <w:r>
        <w:rPr>
          <w:rFonts w:ascii="David" w:hAnsi="David"/>
          <w:b/>
          <w:bCs/>
          <w:rtl/>
        </w:rPr>
        <w:t>"התופעה של החזקת נשק שלא כדין על ידי אזרחים מהווה איום על שלום הציבור ועל הסדר הציבורי. היא התשתית ו'הגורם בלעדו איין' (</w:t>
      </w:r>
      <w:r>
        <w:rPr>
          <w:rFonts w:ascii="David" w:hAnsi="David"/>
          <w:b/>
          <w:bCs/>
        </w:rPr>
        <w:t>causa sine qua non</w:t>
      </w:r>
      <w:r>
        <w:rPr>
          <w:rFonts w:ascii="David" w:hAnsi="David"/>
          <w:b/>
          <w:bCs/>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w:t>
      </w:r>
    </w:p>
    <w:p w14:paraId="123A0AF4" w14:textId="77777777" w:rsidR="005457B5" w:rsidRDefault="005457B5" w:rsidP="005457B5">
      <w:pPr>
        <w:spacing w:line="360" w:lineRule="auto"/>
        <w:ind w:left="1440"/>
        <w:jc w:val="both"/>
        <w:rPr>
          <w:rFonts w:ascii="David" w:hAnsi="David"/>
          <w:b/>
          <w:bCs/>
          <w:rtl/>
        </w:rPr>
      </w:pPr>
    </w:p>
    <w:p w14:paraId="57C2E9DD" w14:textId="77777777" w:rsidR="005457B5" w:rsidRDefault="005457B5" w:rsidP="005457B5">
      <w:pPr>
        <w:spacing w:line="360" w:lineRule="auto"/>
        <w:ind w:left="720" w:hanging="720"/>
        <w:jc w:val="both"/>
        <w:rPr>
          <w:rFonts w:ascii="David" w:hAnsi="David"/>
          <w:rtl/>
        </w:rPr>
      </w:pPr>
      <w:r>
        <w:rPr>
          <w:rFonts w:ascii="David" w:hAnsi="David"/>
          <w:rtl/>
        </w:rPr>
        <w:t>11.</w:t>
      </w:r>
      <w:r>
        <w:rPr>
          <w:rFonts w:ascii="David" w:hAnsi="David"/>
          <w:rtl/>
        </w:rPr>
        <w:tab/>
        <w:t>במעשיו פגע הנאשם בביטחון הפרט והציבור, ובשלומו.</w:t>
      </w:r>
    </w:p>
    <w:p w14:paraId="6B92981A" w14:textId="77777777" w:rsidR="005457B5" w:rsidRDefault="005457B5" w:rsidP="005457B5">
      <w:pPr>
        <w:spacing w:line="360" w:lineRule="auto"/>
        <w:ind w:left="720" w:hanging="720"/>
        <w:jc w:val="both"/>
        <w:rPr>
          <w:rFonts w:ascii="David" w:hAnsi="David"/>
          <w:rtl/>
        </w:rPr>
      </w:pPr>
      <w:r>
        <w:rPr>
          <w:rFonts w:ascii="David" w:hAnsi="David"/>
          <w:rtl/>
        </w:rPr>
        <w:t xml:space="preserve"> </w:t>
      </w:r>
    </w:p>
    <w:p w14:paraId="71E20EF5" w14:textId="77777777" w:rsidR="005457B5" w:rsidRDefault="005457B5" w:rsidP="005457B5">
      <w:pPr>
        <w:spacing w:line="360" w:lineRule="auto"/>
        <w:ind w:left="720"/>
        <w:jc w:val="both"/>
        <w:rPr>
          <w:rFonts w:ascii="David" w:hAnsi="David"/>
          <w:rtl/>
        </w:rPr>
      </w:pPr>
      <w:r>
        <w:rPr>
          <w:rFonts w:ascii="David" w:hAnsi="David"/>
          <w:rtl/>
        </w:rPr>
        <w:t xml:space="preserve">ודוק, על-פי עובדות כתב-האישום המתוקן, נהג הנאשם על רכב, בכביש 6353 לכיוון חריש, עת, נשא והוביל בתא-המטען </w:t>
      </w:r>
      <w:r>
        <w:rPr>
          <w:rFonts w:ascii="David" w:hAnsi="David"/>
          <w:b/>
          <w:bCs/>
          <w:u w:val="single"/>
          <w:rtl/>
        </w:rPr>
        <w:t>שני אקדחים, כל אחד מהם טעון במחסנית</w:t>
      </w:r>
      <w:r>
        <w:rPr>
          <w:rFonts w:ascii="David" w:hAnsi="David"/>
          <w:rtl/>
        </w:rPr>
        <w:t xml:space="preserve">, </w:t>
      </w:r>
      <w:r>
        <w:rPr>
          <w:rFonts w:ascii="David" w:hAnsi="David"/>
          <w:b/>
          <w:bCs/>
          <w:u w:val="single"/>
          <w:rtl/>
        </w:rPr>
        <w:t>ובתוכה חמישה כדורים בקוטר 9 מ"מ, וכן נשא והוביל שני כדורים נוספים בקוטר 9 מ"מ</w:t>
      </w:r>
      <w:r>
        <w:rPr>
          <w:rFonts w:ascii="David" w:hAnsi="David"/>
          <w:rtl/>
        </w:rPr>
        <w:t>.</w:t>
      </w:r>
    </w:p>
    <w:p w14:paraId="0864D467" w14:textId="77777777" w:rsidR="005457B5" w:rsidRDefault="005457B5" w:rsidP="005457B5">
      <w:pPr>
        <w:spacing w:line="360" w:lineRule="auto"/>
        <w:ind w:left="720"/>
        <w:jc w:val="both"/>
        <w:rPr>
          <w:rFonts w:ascii="David" w:hAnsi="David"/>
          <w:rtl/>
        </w:rPr>
      </w:pPr>
    </w:p>
    <w:p w14:paraId="1F352F96" w14:textId="77777777" w:rsidR="005457B5" w:rsidRDefault="005457B5" w:rsidP="005457B5">
      <w:pPr>
        <w:spacing w:line="360" w:lineRule="auto"/>
        <w:ind w:left="720"/>
        <w:jc w:val="both"/>
        <w:rPr>
          <w:rFonts w:ascii="David" w:hAnsi="David"/>
          <w:rtl/>
        </w:rPr>
      </w:pPr>
      <w:r>
        <w:rPr>
          <w:rFonts w:ascii="David" w:hAnsi="David"/>
          <w:rtl/>
        </w:rPr>
        <w:t xml:space="preserve">עוד עולה מעובדות כתב-האישום המתוקן, שהנאשם נעצר על-ידי משטרת ישראל, הובל לתחנת משטרת עירון, ושם, </w:t>
      </w:r>
      <w:r>
        <w:rPr>
          <w:rFonts w:ascii="David" w:hAnsi="David"/>
          <w:b/>
          <w:bCs/>
          <w:u w:val="single"/>
          <w:rtl/>
        </w:rPr>
        <w:t>בחיפוש נוסף, נתפסו ברכב שני הכדורים הנוספים</w:t>
      </w:r>
      <w:r>
        <w:rPr>
          <w:rFonts w:ascii="David" w:hAnsi="David"/>
          <w:rtl/>
        </w:rPr>
        <w:t>.</w:t>
      </w:r>
    </w:p>
    <w:p w14:paraId="566F61DC" w14:textId="77777777" w:rsidR="005457B5" w:rsidRDefault="005457B5" w:rsidP="005457B5">
      <w:pPr>
        <w:spacing w:line="360" w:lineRule="auto"/>
        <w:ind w:left="720"/>
        <w:jc w:val="both"/>
        <w:rPr>
          <w:rFonts w:ascii="David" w:hAnsi="David"/>
          <w:rtl/>
        </w:rPr>
      </w:pPr>
    </w:p>
    <w:p w14:paraId="0A0A22FF" w14:textId="77777777" w:rsidR="005457B5" w:rsidRDefault="005457B5" w:rsidP="005457B5">
      <w:pPr>
        <w:spacing w:line="360" w:lineRule="auto"/>
        <w:ind w:left="720"/>
        <w:jc w:val="both"/>
        <w:rPr>
          <w:rFonts w:ascii="David" w:hAnsi="David"/>
          <w:rtl/>
        </w:rPr>
      </w:pPr>
      <w:r>
        <w:rPr>
          <w:rFonts w:ascii="David" w:hAnsi="David"/>
          <w:rtl/>
        </w:rPr>
        <w:t xml:space="preserve">אדגיש, אין מדובר במי שהוביל כלי-נשק ותחמושת לצידם, כי אם בנאשם שהוביל, כאמור לעיל, שני אקדחים </w:t>
      </w:r>
      <w:r>
        <w:rPr>
          <w:rFonts w:ascii="David" w:hAnsi="David"/>
          <w:u w:val="single"/>
          <w:rtl/>
        </w:rPr>
        <w:t>טעונים</w:t>
      </w:r>
      <w:r>
        <w:rPr>
          <w:rFonts w:ascii="David" w:hAnsi="David"/>
          <w:rtl/>
        </w:rPr>
        <w:t xml:space="preserve"> במחסנית, ובכל אחד מהם חמישה כדורים, ודומני, כי אין צורך להכביר מילים על המשמעויות וההשלכות של שוני זה.</w:t>
      </w:r>
    </w:p>
    <w:p w14:paraId="41ED3D98" w14:textId="77777777" w:rsidR="005457B5" w:rsidRDefault="005457B5" w:rsidP="005457B5">
      <w:pPr>
        <w:spacing w:line="360" w:lineRule="auto"/>
        <w:ind w:left="720"/>
        <w:jc w:val="both"/>
        <w:rPr>
          <w:rFonts w:ascii="David" w:hAnsi="David"/>
          <w:rtl/>
        </w:rPr>
      </w:pPr>
      <w:r>
        <w:rPr>
          <w:rFonts w:ascii="David" w:hAnsi="David"/>
          <w:rtl/>
        </w:rPr>
        <w:tab/>
      </w:r>
    </w:p>
    <w:p w14:paraId="4560C975" w14:textId="77777777" w:rsidR="005457B5" w:rsidRDefault="005457B5" w:rsidP="005457B5">
      <w:pPr>
        <w:pStyle w:val="Ruller40"/>
        <w:ind w:left="720" w:hanging="720"/>
        <w:rPr>
          <w:rFonts w:ascii="David" w:hAnsi="David" w:cs="David"/>
          <w:sz w:val="24"/>
          <w:szCs w:val="24"/>
          <w:rtl/>
        </w:rPr>
      </w:pPr>
      <w:r>
        <w:rPr>
          <w:rFonts w:ascii="David" w:hAnsi="David" w:cs="David"/>
          <w:sz w:val="24"/>
          <w:szCs w:val="24"/>
          <w:rtl/>
        </w:rPr>
        <w:t>12.</w:t>
      </w:r>
      <w:r>
        <w:rPr>
          <w:rFonts w:ascii="David" w:hAnsi="David" w:cs="David"/>
          <w:sz w:val="24"/>
          <w:szCs w:val="24"/>
          <w:rtl/>
        </w:rPr>
        <w:tab/>
        <w:t>באשר למדיניות הענישה הנוהגת, הפנו באי-כוח הצדדים לפסיקה רלוונטית, וב"כ הנאשם אף הגיש לעיוני אסופת פסיקה, הן של בית המשפט העליון, והן של בתי המשפט המחוזיים.</w:t>
      </w:r>
    </w:p>
    <w:p w14:paraId="2D1D7428" w14:textId="77777777" w:rsidR="005457B5" w:rsidRDefault="005457B5" w:rsidP="005457B5">
      <w:pPr>
        <w:pStyle w:val="Ruller40"/>
        <w:rPr>
          <w:rFonts w:ascii="David" w:hAnsi="David" w:cs="David"/>
          <w:sz w:val="24"/>
          <w:szCs w:val="24"/>
          <w:rtl/>
        </w:rPr>
      </w:pPr>
    </w:p>
    <w:p w14:paraId="5DFDF686" w14:textId="77777777" w:rsidR="005457B5" w:rsidRDefault="005457B5" w:rsidP="005457B5">
      <w:pPr>
        <w:spacing w:line="360" w:lineRule="auto"/>
        <w:ind w:left="720"/>
        <w:jc w:val="both"/>
        <w:rPr>
          <w:rFonts w:ascii="David" w:hAnsi="David"/>
          <w:rtl/>
        </w:rPr>
      </w:pPr>
      <w:r>
        <w:rPr>
          <w:rFonts w:ascii="David" w:hAnsi="David"/>
          <w:rtl/>
        </w:rPr>
        <w:t>מן החומר האמור, עולה, כי קיים מנעד רחב ביותר של פסיקה באשר לענישה בעבירה האמורה. מחד-גיסא, קיימת פסיקה שבה הסתפקו בתי המשפט בהטלת עונש מאסר לריצוי בעבודות שירות, ומאידך גיסא, קיימת פסיקה, שבה עמדו בתי המשפט על-כך שלא ניתן להימנע בעבירה מסוג זה מלהטיל על הנאשם עונש של מאסר בפועל לריצוי מאחורי סורג ובריח.</w:t>
      </w:r>
    </w:p>
    <w:p w14:paraId="72E76445" w14:textId="77777777" w:rsidR="005457B5" w:rsidRDefault="005457B5" w:rsidP="005457B5">
      <w:pPr>
        <w:spacing w:line="360" w:lineRule="auto"/>
        <w:ind w:left="720"/>
        <w:jc w:val="both"/>
        <w:rPr>
          <w:rFonts w:ascii="David" w:hAnsi="David"/>
          <w:rtl/>
        </w:rPr>
      </w:pPr>
    </w:p>
    <w:p w14:paraId="31FE92FE" w14:textId="77777777" w:rsidR="005457B5" w:rsidRDefault="005457B5" w:rsidP="005457B5">
      <w:pPr>
        <w:spacing w:line="360" w:lineRule="auto"/>
        <w:ind w:left="720" w:hanging="720"/>
        <w:jc w:val="both"/>
        <w:rPr>
          <w:rFonts w:ascii="David" w:hAnsi="David"/>
          <w:rtl/>
        </w:rPr>
      </w:pPr>
      <w:r>
        <w:rPr>
          <w:rFonts w:ascii="David" w:hAnsi="David"/>
          <w:rtl/>
        </w:rPr>
        <w:tab/>
        <w:t>קראתי את הפסיקה אליה הפנו הצדדים, עת מן הפסיקה אליה הפנתה המאשימה עולות נסיבות חמורות מן הנסיבות אשר מתוארות בכתב-האישום בענייננו, לרבות ריבוי עבירות, נאשמים בעלי עבר פלילי מכביד, ועוד.</w:t>
      </w:r>
    </w:p>
    <w:p w14:paraId="0E59F1B8" w14:textId="77777777" w:rsidR="005457B5" w:rsidRDefault="005457B5" w:rsidP="005457B5">
      <w:pPr>
        <w:spacing w:line="360" w:lineRule="auto"/>
        <w:ind w:left="720" w:hanging="720"/>
        <w:jc w:val="both"/>
        <w:rPr>
          <w:rFonts w:ascii="David" w:hAnsi="David"/>
          <w:rtl/>
        </w:rPr>
      </w:pPr>
    </w:p>
    <w:p w14:paraId="2B9AD259" w14:textId="77777777" w:rsidR="005457B5" w:rsidRDefault="005457B5" w:rsidP="005457B5">
      <w:pPr>
        <w:spacing w:line="360" w:lineRule="auto"/>
        <w:ind w:left="720"/>
        <w:jc w:val="both"/>
        <w:rPr>
          <w:rFonts w:ascii="David" w:hAnsi="David"/>
          <w:rtl/>
        </w:rPr>
      </w:pPr>
      <w:r>
        <w:rPr>
          <w:rFonts w:ascii="David" w:hAnsi="David"/>
          <w:rtl/>
        </w:rPr>
        <w:t>מנגד, מן  הפסיקה אליה הפנה ב"כ הנאשם עולה, כי גם בהן הנסיבות שונות בתכלית מאלו שבעניינו של הנאשם שבפניי, לרבות נאשמים בעלי מצב בריאותי קשה ביותר, וכן העובדה, כי חלקן נדונו בערכאות הערעור השונות, וכי ערכאת הערעור אינה נוטה למצות את חומרת הדין עם הנאשמים.</w:t>
      </w:r>
    </w:p>
    <w:p w14:paraId="6D846424" w14:textId="77777777" w:rsidR="005457B5" w:rsidRDefault="005457B5" w:rsidP="005457B5">
      <w:pPr>
        <w:spacing w:line="360" w:lineRule="auto"/>
        <w:ind w:left="720"/>
        <w:jc w:val="both"/>
        <w:rPr>
          <w:rFonts w:ascii="David" w:hAnsi="David"/>
          <w:rtl/>
        </w:rPr>
      </w:pPr>
    </w:p>
    <w:p w14:paraId="0B02A1AE" w14:textId="77777777" w:rsidR="005457B5" w:rsidRDefault="005457B5" w:rsidP="005457B5">
      <w:pPr>
        <w:spacing w:line="360" w:lineRule="auto"/>
        <w:ind w:left="720"/>
        <w:jc w:val="both"/>
        <w:rPr>
          <w:rFonts w:ascii="David" w:hAnsi="David"/>
          <w:rtl/>
        </w:rPr>
      </w:pPr>
      <w:r>
        <w:rPr>
          <w:rFonts w:ascii="David" w:hAnsi="David"/>
          <w:rtl/>
        </w:rPr>
        <w:t>מקריאה מעמיקה של פסיקת בית המשפט העליון, עולה, כי שופטיו התוו מימים ימימה את מדיניות הענישה הראויה בעבירות נשק, וברי, כי במציאות הנכוחה של ימינו, מילותיהם מקבלות משנה תוקף.</w:t>
      </w:r>
    </w:p>
    <w:p w14:paraId="7F015990" w14:textId="77777777" w:rsidR="005457B5" w:rsidRDefault="005457B5" w:rsidP="005457B5">
      <w:pPr>
        <w:spacing w:line="360" w:lineRule="auto"/>
        <w:ind w:left="720"/>
        <w:jc w:val="both"/>
        <w:rPr>
          <w:rFonts w:ascii="David" w:hAnsi="David"/>
          <w:rtl/>
        </w:rPr>
      </w:pPr>
    </w:p>
    <w:p w14:paraId="71D5E2D8" w14:textId="77777777" w:rsidR="005457B5" w:rsidRDefault="005457B5" w:rsidP="005457B5">
      <w:pPr>
        <w:spacing w:line="360" w:lineRule="auto"/>
        <w:ind w:left="720" w:hanging="720"/>
        <w:jc w:val="both"/>
        <w:rPr>
          <w:rFonts w:ascii="David" w:hAnsi="David"/>
          <w:rtl/>
        </w:rPr>
      </w:pPr>
      <w:r>
        <w:rPr>
          <w:rFonts w:ascii="David" w:hAnsi="David"/>
          <w:rtl/>
        </w:rPr>
        <w:tab/>
        <w:t>אפנה לדבריה של כב' הנשיאה, השופטת א. חיות בעניין ג'באלי:</w:t>
      </w:r>
    </w:p>
    <w:p w14:paraId="356C6A49" w14:textId="77777777" w:rsidR="005457B5" w:rsidRDefault="005457B5" w:rsidP="005457B5">
      <w:pPr>
        <w:pStyle w:val="Ruller41"/>
        <w:ind w:left="1440"/>
        <w:rPr>
          <w:rFonts w:ascii="David" w:hAnsi="David" w:cs="David"/>
          <w:b/>
          <w:bCs/>
          <w:spacing w:val="0"/>
          <w:rtl/>
        </w:rPr>
      </w:pPr>
    </w:p>
    <w:p w14:paraId="1B364910" w14:textId="77777777" w:rsidR="005457B5" w:rsidRDefault="005457B5" w:rsidP="005457B5">
      <w:pPr>
        <w:pStyle w:val="Ruller41"/>
        <w:ind w:left="1440"/>
        <w:rPr>
          <w:rFonts w:ascii="David" w:hAnsi="David" w:cs="David"/>
          <w:rtl/>
        </w:rPr>
      </w:pPr>
      <w:r>
        <w:rPr>
          <w:rFonts w:ascii="David" w:hAnsi="David" w:cs="David"/>
          <w:b/>
          <w:bCs/>
          <w:spacing w:val="0"/>
          <w:rtl/>
        </w:rPr>
        <w:t xml:space="preserve">"בית משפט זה עמד פעמים רבות על </w:t>
      </w:r>
      <w:r>
        <w:rPr>
          <w:rFonts w:ascii="David" w:hAnsi="David" w:cs="David"/>
          <w:b/>
          <w:bCs/>
          <w:rtl/>
        </w:rPr>
        <w:t xml:space="preserve">החומרה היתרה הגלומה בביצוע עבירות בנשק ובכללן העבירה של החזקת נשק או נשיאתו שלא כדין. </w:t>
      </w:r>
      <w:r>
        <w:rPr>
          <w:rFonts w:ascii="David" w:hAnsi="David" w:cs="David"/>
          <w:b/>
          <w:bCs/>
          <w:u w:val="single"/>
          <w:rtl/>
        </w:rPr>
        <w:t>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w:t>
      </w:r>
      <w:r>
        <w:rPr>
          <w:rFonts w:ascii="David" w:hAnsi="David" w:cs="David"/>
          <w:b/>
          <w:bCs/>
          <w:rtl/>
        </w:rPr>
        <w:t>" (</w:t>
      </w:r>
      <w:hyperlink r:id="rId28" w:history="1">
        <w:r w:rsidR="002E4C8D" w:rsidRPr="002E4C8D">
          <w:rPr>
            <w:rFonts w:ascii="David" w:hAnsi="David" w:cs="David"/>
            <w:b/>
            <w:bCs/>
            <w:color w:val="0000FF"/>
            <w:u w:val="single"/>
            <w:rtl/>
          </w:rPr>
          <w:t>ע"פ 5120/11</w:t>
        </w:r>
      </w:hyperlink>
      <w:r>
        <w:rPr>
          <w:rFonts w:ascii="David" w:hAnsi="David" w:cs="David"/>
          <w:b/>
          <w:bCs/>
          <w:spacing w:val="0"/>
          <w:rtl/>
        </w:rPr>
        <w:t xml:space="preserve"> שתיווי נ' מדינת ישראל, [פורסם בנבו] בפסקה 5 </w:t>
      </w:r>
      <w:r>
        <w:rPr>
          <w:rFonts w:ascii="David" w:hAnsi="David" w:cs="David"/>
          <w:b/>
          <w:bCs/>
          <w:rtl/>
        </w:rPr>
        <w:t xml:space="preserve">(18.12.2011); </w:t>
      </w:r>
      <w:hyperlink r:id="rId29" w:history="1">
        <w:r w:rsidR="002E4C8D" w:rsidRPr="002E4C8D">
          <w:rPr>
            <w:rFonts w:ascii="David" w:hAnsi="David" w:cs="David"/>
            <w:b/>
            <w:bCs/>
            <w:color w:val="0000FF"/>
            <w:u w:val="single"/>
            <w:rtl/>
          </w:rPr>
          <w:t>ע"פ 4329/10</w:t>
        </w:r>
      </w:hyperlink>
      <w:r>
        <w:rPr>
          <w:rFonts w:ascii="David" w:hAnsi="David" w:cs="David"/>
          <w:b/>
          <w:bCs/>
          <w:rtl/>
        </w:rPr>
        <w:t xml:space="preserve"> </w:t>
      </w:r>
      <w:r>
        <w:rPr>
          <w:rFonts w:ascii="David" w:hAnsi="David" w:cs="David"/>
          <w:b/>
          <w:bCs/>
          <w:spacing w:val="0"/>
          <w:rtl/>
        </w:rPr>
        <w:t>פלוני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(25.10.2010)). עוד נפסק כי חומרתן של העבירות בנשק אינה מסתכמת רק בנזק שאירע בפועל, כי אם</w:t>
      </w:r>
      <w:r>
        <w:rPr>
          <w:rFonts w:ascii="David" w:hAnsi="David" w:cs="David"/>
          <w:b/>
          <w:bCs/>
          <w:spacing w:val="0"/>
          <w:rtl/>
        </w:rPr>
        <w:t xml:space="preserve"> בפוטנציאל </w:t>
      </w:r>
      <w:r>
        <w:rPr>
          <w:rFonts w:ascii="David" w:hAnsi="David" w:cs="David"/>
          <w:b/>
          <w:bCs/>
          <w:rtl/>
        </w:rPr>
        <w:t>הנזק הנובע מאותן עבירות (</w:t>
      </w:r>
      <w:hyperlink r:id="rId30" w:history="1">
        <w:r w:rsidR="002E4C8D" w:rsidRPr="002E4C8D">
          <w:rPr>
            <w:rFonts w:ascii="David" w:hAnsi="David" w:cs="David"/>
            <w:b/>
            <w:bCs/>
            <w:color w:val="0000FF"/>
            <w:u w:val="single"/>
            <w:rtl/>
          </w:rPr>
          <w:t>ע"פ 116/13</w:t>
        </w:r>
      </w:hyperlink>
      <w:r>
        <w:rPr>
          <w:rFonts w:ascii="David" w:hAnsi="David" w:cs="David"/>
          <w:b/>
          <w:bCs/>
          <w:spacing w:val="0"/>
          <w:rtl/>
        </w:rPr>
        <w:t xml:space="preserve"> וקנין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בפסקה 7 (31.7.2013))" </w:t>
      </w:r>
      <w:r>
        <w:rPr>
          <w:rFonts w:ascii="David" w:hAnsi="David" w:cs="David"/>
          <w:rtl/>
        </w:rPr>
        <w:t>(ההדגשה אינה במקור).</w:t>
      </w:r>
    </w:p>
    <w:p w14:paraId="0C9DBCCA" w14:textId="77777777" w:rsidR="005457B5" w:rsidRDefault="005457B5" w:rsidP="005457B5">
      <w:pPr>
        <w:pStyle w:val="Ruller40"/>
        <w:ind w:left="720"/>
        <w:rPr>
          <w:rFonts w:ascii="David" w:hAnsi="David" w:cs="David"/>
          <w:sz w:val="24"/>
          <w:szCs w:val="24"/>
          <w:rtl/>
        </w:rPr>
      </w:pPr>
    </w:p>
    <w:p w14:paraId="1A6039EC" w14:textId="77777777" w:rsidR="005457B5" w:rsidRDefault="005457B5" w:rsidP="005457B5">
      <w:pPr>
        <w:pStyle w:val="Ruller40"/>
        <w:ind w:left="720"/>
        <w:rPr>
          <w:rFonts w:ascii="David" w:hAnsi="David" w:cs="David"/>
          <w:sz w:val="24"/>
          <w:szCs w:val="24"/>
          <w:rtl/>
        </w:rPr>
      </w:pPr>
      <w:r>
        <w:rPr>
          <w:rFonts w:ascii="David" w:hAnsi="David" w:cs="David"/>
          <w:sz w:val="24"/>
          <w:szCs w:val="24"/>
          <w:rtl/>
        </w:rPr>
        <w:t>עוד אפנה לפסק-דינו של כב' השופט ע. פוגלמן מן העת האחרונה, ממנו אף עולה, כי קיימת מגמה של החמרה בענישה בעבירות הנשק:</w:t>
      </w:r>
    </w:p>
    <w:p w14:paraId="789AD079" w14:textId="77777777" w:rsidR="005457B5" w:rsidRDefault="005457B5" w:rsidP="005457B5">
      <w:pPr>
        <w:pStyle w:val="Ruller40"/>
        <w:ind w:left="720"/>
        <w:rPr>
          <w:rFonts w:ascii="David" w:hAnsi="David" w:cs="David"/>
          <w:sz w:val="24"/>
          <w:szCs w:val="24"/>
          <w:rtl/>
        </w:rPr>
      </w:pPr>
    </w:p>
    <w:p w14:paraId="663CA592" w14:textId="77777777" w:rsidR="005457B5" w:rsidRDefault="005457B5" w:rsidP="005457B5">
      <w:pPr>
        <w:pStyle w:val="Ruller40"/>
        <w:ind w:left="720"/>
        <w:rPr>
          <w:rFonts w:ascii="David" w:hAnsi="David" w:cs="David"/>
          <w:sz w:val="24"/>
          <w:szCs w:val="24"/>
          <w:rtl/>
        </w:rPr>
      </w:pPr>
      <w:r>
        <w:rPr>
          <w:rFonts w:ascii="David" w:hAnsi="David" w:cs="David"/>
          <w:sz w:val="24"/>
          <w:szCs w:val="24"/>
          <w:rtl/>
        </w:rPr>
        <w:t xml:space="preserve"> ר' </w:t>
      </w:r>
      <w:hyperlink r:id="rId31" w:history="1">
        <w:r w:rsidR="002E4C8D" w:rsidRPr="002E4C8D">
          <w:rPr>
            <w:rFonts w:ascii="David" w:hAnsi="David" w:cs="David"/>
            <w:color w:val="0000FF"/>
            <w:sz w:val="24"/>
            <w:szCs w:val="24"/>
            <w:u w:val="single"/>
            <w:rtl/>
          </w:rPr>
          <w:t>ע"פ 8017/20</w:t>
        </w:r>
      </w:hyperlink>
      <w:r>
        <w:rPr>
          <w:rFonts w:ascii="David" w:hAnsi="David" w:cs="David"/>
          <w:sz w:val="24"/>
          <w:szCs w:val="24"/>
          <w:rtl/>
        </w:rPr>
        <w:t xml:space="preserve"> </w:t>
      </w:r>
      <w:r>
        <w:rPr>
          <w:rFonts w:ascii="David" w:hAnsi="David" w:cs="David"/>
          <w:b/>
          <w:bCs/>
          <w:sz w:val="24"/>
          <w:szCs w:val="24"/>
          <w:rtl/>
        </w:rPr>
        <w:t>מדינת ישראל נ' פאדי גריפאת</w:t>
      </w:r>
      <w:r>
        <w:rPr>
          <w:rFonts w:ascii="David" w:hAnsi="David" w:cs="David"/>
          <w:sz w:val="24"/>
          <w:szCs w:val="24"/>
          <w:rtl/>
        </w:rPr>
        <w:t xml:space="preserve"> </w:t>
      </w:r>
      <w:r w:rsidR="0010775A" w:rsidRPr="0010775A">
        <w:rPr>
          <w:rFonts w:ascii="Times New Roman" w:hAnsi="Times New Roman" w:cs="David"/>
          <w:spacing w:val="0"/>
          <w:szCs w:val="24"/>
          <w:rtl/>
        </w:rPr>
        <w:t xml:space="preserve">[פורסם בנבו] </w:t>
      </w:r>
      <w:r>
        <w:rPr>
          <w:rFonts w:ascii="David" w:hAnsi="David" w:cs="David"/>
          <w:sz w:val="24"/>
          <w:szCs w:val="24"/>
          <w:rtl/>
        </w:rPr>
        <w:t>(22.12.2020):</w:t>
      </w:r>
    </w:p>
    <w:p w14:paraId="3FA8B65E" w14:textId="77777777" w:rsidR="005457B5" w:rsidRDefault="005457B5" w:rsidP="005457B5">
      <w:pPr>
        <w:pStyle w:val="Ruller40"/>
        <w:rPr>
          <w:rFonts w:ascii="David" w:hAnsi="David" w:cs="David"/>
          <w:sz w:val="24"/>
          <w:szCs w:val="24"/>
          <w:rtl/>
        </w:rPr>
      </w:pPr>
      <w:r>
        <w:rPr>
          <w:rFonts w:ascii="David" w:hAnsi="David" w:cs="David"/>
          <w:sz w:val="24"/>
          <w:szCs w:val="24"/>
          <w:rtl/>
        </w:rPr>
        <w:t xml:space="preserve"> </w:t>
      </w:r>
      <w:r>
        <w:rPr>
          <w:rFonts w:ascii="David" w:hAnsi="David" w:cs="David"/>
          <w:sz w:val="24"/>
          <w:szCs w:val="24"/>
          <w:rtl/>
        </w:rPr>
        <w:tab/>
      </w:r>
    </w:p>
    <w:p w14:paraId="4669164E" w14:textId="77777777" w:rsidR="005457B5" w:rsidRDefault="005457B5" w:rsidP="005457B5">
      <w:pPr>
        <w:spacing w:line="360" w:lineRule="auto"/>
        <w:ind w:left="1440" w:hanging="720"/>
        <w:jc w:val="both"/>
        <w:rPr>
          <w:rFonts w:ascii="David" w:hAnsi="David"/>
          <w:rtl/>
        </w:rPr>
      </w:pPr>
      <w:r>
        <w:rPr>
          <w:rFonts w:ascii="David" w:hAnsi="David"/>
          <w:rtl/>
        </w:rPr>
        <w:tab/>
      </w:r>
      <w:r>
        <w:rPr>
          <w:rFonts w:ascii="David" w:hAnsi="David"/>
          <w:b/>
          <w:bCs/>
          <w:rtl/>
        </w:rPr>
        <w:t xml:space="preserve">"בית משפט זה עמד בשורה ארוכה של פסקי דין על החומרה היתרה של עבירות הנשק ועל הסכנה הגבוהה שנשקפת מהן לשלום הציבור ולביטחונו (ראו, מיני רבים, </w:t>
      </w:r>
      <w:hyperlink r:id="rId32" w:history="1">
        <w:r w:rsidR="002E4C8D" w:rsidRPr="002E4C8D">
          <w:rPr>
            <w:rFonts w:ascii="David" w:hAnsi="David"/>
            <w:b/>
            <w:bCs/>
            <w:color w:val="0000FF"/>
            <w:u w:val="single"/>
            <w:rtl/>
          </w:rPr>
          <w:t>ע"פ 1944/20</w:t>
        </w:r>
      </w:hyperlink>
      <w:r>
        <w:rPr>
          <w:rFonts w:ascii="David" w:hAnsi="David"/>
          <w:b/>
          <w:bCs/>
          <w:rtl/>
        </w:rPr>
        <w:t xml:space="preserve"> מדינת ישראל נ' אמארה, [פורסם בנבו] פסקה 10 (2.9.2020) (להלן: עניין אמארה); עניין געביס, פסקה 8). חומרתן של עבירות אלו נובעת, בין היתר, גם מהחשש כי הנשק יועבר למי שמתכוון לעשות בו שימוש לפעילות עבריינית או לפעילות טרור (</w:t>
      </w:r>
      <w:hyperlink r:id="rId33" w:history="1">
        <w:r w:rsidR="002E4C8D" w:rsidRPr="002E4C8D">
          <w:rPr>
            <w:rFonts w:ascii="David" w:hAnsi="David"/>
            <w:b/>
            <w:bCs/>
            <w:color w:val="0000FF"/>
            <w:u w:val="single"/>
            <w:rtl/>
          </w:rPr>
          <w:t>ע"פ 4945/13</w:t>
        </w:r>
      </w:hyperlink>
      <w:r>
        <w:rPr>
          <w:rFonts w:ascii="David" w:hAnsi="David"/>
          <w:b/>
          <w:bCs/>
          <w:rtl/>
        </w:rPr>
        <w:t xml:space="preserve"> מדינת ישראל נ' סלימאן [פורסם בנבו] (19.1.2014); </w:t>
      </w:r>
      <w:hyperlink r:id="rId34" w:history="1">
        <w:r w:rsidR="002E4C8D" w:rsidRPr="002E4C8D">
          <w:rPr>
            <w:rFonts w:ascii="David" w:hAnsi="David"/>
            <w:b/>
            <w:bCs/>
            <w:color w:val="0000FF"/>
            <w:u w:val="single"/>
            <w:rtl/>
          </w:rPr>
          <w:t>ע"פ 2251/11</w:t>
        </w:r>
      </w:hyperlink>
      <w:r>
        <w:rPr>
          <w:rFonts w:ascii="David" w:hAnsi="David"/>
          <w:b/>
          <w:bCs/>
          <w:rtl/>
        </w:rPr>
        <w:t xml:space="preserve"> נפאע נ' מדינת ישראל, [פורסם בנבו] פסקה 5 (4.12.2011) (להלן: עניין נפאע)). </w:t>
      </w:r>
      <w:r>
        <w:rPr>
          <w:rFonts w:ascii="David" w:hAnsi="David"/>
          <w:b/>
          <w:bCs/>
          <w:u w:val="single"/>
          <w:rtl/>
        </w:rPr>
        <w:t>נוכח האמור, חזר וציין בית משפט זה כי קיימת מגמה של החמרה בענישה בעבירות אלו וזאת על מנת להרתיע מפני ביצוען</w:t>
      </w:r>
      <w:r>
        <w:rPr>
          <w:rFonts w:ascii="David" w:hAnsi="David"/>
          <w:b/>
          <w:bCs/>
          <w:rtl/>
        </w:rPr>
        <w:t xml:space="preserve"> (ע"פ עניין אמארה, פסקה 10; </w:t>
      </w:r>
      <w:hyperlink r:id="rId35" w:history="1">
        <w:r w:rsidR="002E4C8D" w:rsidRPr="002E4C8D">
          <w:rPr>
            <w:rFonts w:ascii="David" w:hAnsi="David"/>
            <w:b/>
            <w:bCs/>
            <w:color w:val="0000FF"/>
            <w:u w:val="single"/>
            <w:rtl/>
          </w:rPr>
          <w:t>ע"פ 8045/17</w:t>
        </w:r>
      </w:hyperlink>
      <w:r>
        <w:rPr>
          <w:rFonts w:ascii="David" w:hAnsi="David"/>
          <w:b/>
          <w:bCs/>
          <w:rtl/>
        </w:rPr>
        <w:t xml:space="preserve"> בראנסי נ' מדינת ישראל, [פורסם בנבו] פסקאות 11, 100 (16.8.2018) (להלן: עניין בראנסי); עניין נפאע, פסקה 5)". </w:t>
      </w:r>
      <w:r>
        <w:rPr>
          <w:rFonts w:ascii="David" w:hAnsi="David"/>
          <w:rtl/>
        </w:rPr>
        <w:t>(ההדגשה אינה במקור).</w:t>
      </w:r>
    </w:p>
    <w:p w14:paraId="4889863A" w14:textId="77777777" w:rsidR="005457B5" w:rsidRDefault="005457B5" w:rsidP="005457B5">
      <w:pPr>
        <w:spacing w:line="360" w:lineRule="auto"/>
        <w:ind w:left="1440" w:hanging="720"/>
        <w:jc w:val="both"/>
        <w:rPr>
          <w:rFonts w:ascii="David" w:hAnsi="David"/>
          <w:rtl/>
        </w:rPr>
      </w:pPr>
    </w:p>
    <w:p w14:paraId="5EEF3B61" w14:textId="77777777" w:rsidR="005457B5" w:rsidRDefault="005457B5" w:rsidP="005457B5">
      <w:pPr>
        <w:spacing w:line="360" w:lineRule="auto"/>
        <w:ind w:left="793"/>
        <w:jc w:val="both"/>
        <w:rPr>
          <w:rFonts w:ascii="David" w:hAnsi="David"/>
          <w:rtl/>
        </w:rPr>
      </w:pPr>
      <w:r>
        <w:rPr>
          <w:rFonts w:ascii="David" w:hAnsi="David"/>
          <w:rtl/>
        </w:rPr>
        <w:t>עוד ובנוסף אפנה לפסק-דינו העכשווי של כב' השופט א. שטיין ב-</w:t>
      </w:r>
      <w:hyperlink r:id="rId36" w:history="1">
        <w:r w:rsidR="002E4C8D" w:rsidRPr="002E4C8D">
          <w:rPr>
            <w:rFonts w:ascii="David" w:hAnsi="David"/>
            <w:color w:val="0000FF"/>
            <w:u w:val="single"/>
            <w:rtl/>
          </w:rPr>
          <w:t>ע"פ 9306/20</w:t>
        </w:r>
      </w:hyperlink>
      <w:r>
        <w:rPr>
          <w:rFonts w:ascii="David" w:hAnsi="David"/>
          <w:rtl/>
        </w:rPr>
        <w:t xml:space="preserve"> </w:t>
      </w:r>
      <w:r>
        <w:rPr>
          <w:rFonts w:ascii="David" w:hAnsi="David"/>
          <w:b/>
          <w:bCs/>
          <w:rtl/>
        </w:rPr>
        <w:t>מארון ברגות נ' מדינת ישראל</w:t>
      </w:r>
      <w:r>
        <w:rPr>
          <w:rFonts w:ascii="David" w:hAnsi="David"/>
          <w:rtl/>
        </w:rPr>
        <w:t xml:space="preserve"> </w:t>
      </w:r>
      <w:r w:rsidR="0010775A" w:rsidRPr="0010775A">
        <w:rPr>
          <w:sz w:val="22"/>
          <w:rtl/>
        </w:rPr>
        <w:t xml:space="preserve">[פורסם בנבו] </w:t>
      </w:r>
      <w:r>
        <w:rPr>
          <w:rFonts w:ascii="David" w:hAnsi="David"/>
          <w:u w:val="single"/>
          <w:rtl/>
        </w:rPr>
        <w:t>(29.04.2021)</w:t>
      </w:r>
      <w:r>
        <w:rPr>
          <w:rFonts w:ascii="David" w:hAnsi="David"/>
          <w:rtl/>
        </w:rPr>
        <w:t>, פסקה 20:</w:t>
      </w:r>
    </w:p>
    <w:p w14:paraId="1AC5F00D" w14:textId="77777777" w:rsidR="005457B5" w:rsidRDefault="005457B5" w:rsidP="005457B5">
      <w:pPr>
        <w:spacing w:line="360" w:lineRule="auto"/>
        <w:ind w:left="1440" w:hanging="720"/>
        <w:jc w:val="both"/>
        <w:rPr>
          <w:rFonts w:ascii="David" w:hAnsi="David"/>
          <w:rtl/>
        </w:rPr>
      </w:pPr>
    </w:p>
    <w:p w14:paraId="3696E735" w14:textId="77777777" w:rsidR="005457B5" w:rsidRDefault="005457B5" w:rsidP="005457B5">
      <w:pPr>
        <w:pStyle w:val="Ruller41"/>
        <w:tabs>
          <w:tab w:val="left" w:pos="800"/>
        </w:tabs>
        <w:adjustRightInd w:val="0"/>
        <w:ind w:left="1440"/>
        <w:textAlignment w:val="baseline"/>
        <w:rPr>
          <w:rFonts w:ascii="David" w:hAnsi="David" w:cs="David"/>
          <w:rtl/>
        </w:rPr>
      </w:pPr>
      <w:r>
        <w:rPr>
          <w:rFonts w:ascii="David" w:hAnsi="David" w:cs="David"/>
          <w:b/>
          <w:bCs/>
          <w:rtl/>
        </w:rPr>
        <w:t xml:space="preserve">"באחרונה הזדמן לי להדגיש ולהבהיר, בהסכמת חברותיי, הנשיאה </w:t>
      </w:r>
      <w:r>
        <w:rPr>
          <w:rFonts w:ascii="David" w:hAnsi="David" w:cs="David"/>
          <w:b/>
          <w:bCs/>
          <w:spacing w:val="0"/>
          <w:rtl/>
        </w:rPr>
        <w:t>א' חיות</w:t>
      </w:r>
      <w:r>
        <w:rPr>
          <w:rFonts w:ascii="David" w:hAnsi="David" w:cs="David"/>
          <w:b/>
          <w:bCs/>
          <w:rtl/>
        </w:rPr>
        <w:t xml:space="preserve"> והשופטת </w:t>
      </w:r>
      <w:r>
        <w:rPr>
          <w:rFonts w:ascii="David" w:hAnsi="David" w:cs="David"/>
          <w:b/>
          <w:bCs/>
          <w:spacing w:val="0"/>
          <w:rtl/>
        </w:rPr>
        <w:t>י' וילנר</w:t>
      </w:r>
      <w:r>
        <w:rPr>
          <w:rFonts w:ascii="David" w:hAnsi="David" w:cs="David"/>
          <w:b/>
          <w:bCs/>
          <w:rtl/>
        </w:rPr>
        <w:t>, כי "</w:t>
      </w:r>
      <w:r>
        <w:rPr>
          <w:rFonts w:ascii="David" w:hAnsi="David" w:cs="David"/>
          <w:b/>
          <w:bCs/>
          <w:u w:val="single"/>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ascii="David" w:hAnsi="David" w:cs="David"/>
          <w:b/>
          <w:bCs/>
          <w:rtl/>
        </w:rPr>
        <w:t xml:space="preserve">" (ראו: </w:t>
      </w:r>
      <w:hyperlink r:id="rId37" w:history="1">
        <w:r w:rsidR="002E4C8D" w:rsidRPr="002E4C8D">
          <w:rPr>
            <w:rFonts w:ascii="David" w:hAnsi="David" w:cs="David"/>
            <w:b/>
            <w:bCs/>
            <w:color w:val="0000FF"/>
            <w:u w:val="single"/>
            <w:rtl/>
          </w:rPr>
          <w:t>ע"פ 147/21</w:t>
        </w:r>
      </w:hyperlink>
      <w:r>
        <w:rPr>
          <w:rFonts w:ascii="David" w:hAnsi="David" w:cs="David"/>
          <w:b/>
          <w:bCs/>
          <w:rtl/>
        </w:rPr>
        <w:t xml:space="preserve"> </w:t>
      </w:r>
      <w:r>
        <w:rPr>
          <w:rFonts w:ascii="David" w:hAnsi="David" w:cs="David"/>
          <w:b/>
          <w:bCs/>
          <w:spacing w:val="0"/>
          <w:rtl/>
        </w:rPr>
        <w:t>מדינת ישראל נ' ביטון</w:t>
      </w:r>
      <w:r>
        <w:rPr>
          <w:rFonts w:ascii="David" w:hAnsi="David" w:cs="David"/>
          <w:b/>
          <w:bCs/>
          <w:rtl/>
        </w:rPr>
        <w:t xml:space="preserve"> </w:t>
      </w:r>
      <w:r w:rsidR="0010775A" w:rsidRPr="0010775A">
        <w:rPr>
          <w:rFonts w:ascii="Times New Roman" w:hAnsi="Times New Roman" w:cs="David"/>
          <w:b/>
          <w:bCs/>
          <w:spacing w:val="0"/>
          <w:sz w:val="22"/>
          <w:rtl/>
        </w:rPr>
        <w:t xml:space="preserve">[פורסם בנבו] </w:t>
      </w:r>
      <w:r>
        <w:rPr>
          <w:rFonts w:ascii="David" w:hAnsi="David" w:cs="David"/>
          <w:b/>
          <w:bCs/>
          <w:rtl/>
        </w:rPr>
        <w:t xml:space="preserve">פס' 10 (14.2.2021)). סבורני, כי נחטא לחובתנו זו אם נקל בעונשו של המערער דכאן אפילו במקצת". </w:t>
      </w:r>
      <w:r>
        <w:rPr>
          <w:rFonts w:ascii="David" w:hAnsi="David" w:cs="David"/>
          <w:rtl/>
        </w:rPr>
        <w:t>(ההדגשה אינה במקור).</w:t>
      </w:r>
    </w:p>
    <w:p w14:paraId="5630B6D7" w14:textId="77777777" w:rsidR="005457B5" w:rsidRDefault="005457B5" w:rsidP="005457B5">
      <w:pPr>
        <w:pStyle w:val="Ruller41"/>
        <w:tabs>
          <w:tab w:val="left" w:pos="800"/>
        </w:tabs>
        <w:adjustRightInd w:val="0"/>
        <w:textAlignment w:val="baseline"/>
        <w:rPr>
          <w:rFonts w:ascii="David" w:hAnsi="David" w:cs="David"/>
          <w:rtl/>
        </w:rPr>
      </w:pPr>
    </w:p>
    <w:p w14:paraId="25E34719" w14:textId="77777777" w:rsidR="005457B5" w:rsidRDefault="005457B5" w:rsidP="005457B5">
      <w:pPr>
        <w:pStyle w:val="Ruller41"/>
        <w:tabs>
          <w:tab w:val="left" w:pos="800"/>
        </w:tabs>
        <w:adjustRightInd w:val="0"/>
        <w:textAlignment w:val="baseline"/>
        <w:rPr>
          <w:rFonts w:ascii="David" w:hAnsi="David" w:cs="David"/>
          <w:rtl/>
        </w:rPr>
      </w:pPr>
      <w:r>
        <w:rPr>
          <w:rFonts w:ascii="David" w:hAnsi="David" w:cs="David"/>
          <w:rtl/>
        </w:rPr>
        <w:tab/>
        <w:t>ודומני, כי אין אמירות ברורות מאלו.</w:t>
      </w:r>
    </w:p>
    <w:p w14:paraId="1B2B60A0" w14:textId="77777777" w:rsidR="005457B5" w:rsidRDefault="005457B5" w:rsidP="005457B5">
      <w:pPr>
        <w:spacing w:line="360" w:lineRule="auto"/>
        <w:ind w:left="1440" w:hanging="720"/>
        <w:jc w:val="both"/>
        <w:rPr>
          <w:rFonts w:ascii="David" w:hAnsi="David"/>
          <w:rtl/>
        </w:rPr>
      </w:pPr>
    </w:p>
    <w:p w14:paraId="6A26AC18" w14:textId="77777777" w:rsidR="005457B5" w:rsidRDefault="005457B5" w:rsidP="005457B5">
      <w:pPr>
        <w:spacing w:line="360" w:lineRule="auto"/>
        <w:ind w:left="720" w:hanging="720"/>
        <w:jc w:val="both"/>
        <w:rPr>
          <w:rFonts w:ascii="David" w:hAnsi="David"/>
          <w:rtl/>
        </w:rPr>
      </w:pPr>
      <w:r>
        <w:rPr>
          <w:rFonts w:ascii="David" w:hAnsi="David"/>
          <w:rtl/>
        </w:rPr>
        <w:t xml:space="preserve">13. </w:t>
      </w:r>
      <w:r>
        <w:rPr>
          <w:rFonts w:ascii="David" w:hAnsi="David"/>
          <w:rtl/>
        </w:rPr>
        <w:tab/>
        <w:t>בד-בבד, אזכיר, כי העיקרון הנוהג בפסיקה קובע, שהענישה היא אינדיבידואלית, הכול לפי נסיבות ביצוע העבירה ונסיבותיו של מבצע העבירה.</w:t>
      </w:r>
    </w:p>
    <w:p w14:paraId="68A509FB" w14:textId="77777777" w:rsidR="005457B5" w:rsidRDefault="005457B5" w:rsidP="005457B5">
      <w:pPr>
        <w:spacing w:line="360" w:lineRule="auto"/>
        <w:ind w:left="720" w:hanging="720"/>
        <w:jc w:val="both"/>
        <w:rPr>
          <w:rFonts w:ascii="David" w:hAnsi="David"/>
          <w:rtl/>
        </w:rPr>
      </w:pPr>
      <w:r>
        <w:rPr>
          <w:rFonts w:ascii="David" w:hAnsi="David"/>
          <w:rtl/>
        </w:rPr>
        <w:tab/>
        <w:t xml:space="preserve">יפים לענייננו, דבריו של המשנה לנשיאה, כב' השופט מ' אלון ז"ל ב- </w:t>
      </w:r>
      <w:hyperlink r:id="rId38" w:history="1">
        <w:r w:rsidR="002E4C8D" w:rsidRPr="002E4C8D">
          <w:rPr>
            <w:rFonts w:ascii="David" w:hAnsi="David"/>
            <w:b/>
            <w:bCs/>
            <w:color w:val="0000FF"/>
            <w:u w:val="single"/>
            <w:rtl/>
          </w:rPr>
          <w:t>ע"פ 433/89</w:t>
        </w:r>
      </w:hyperlink>
      <w:r w:rsidRPr="002E4C8D">
        <w:rPr>
          <w:rFonts w:ascii="David" w:hAnsi="David"/>
          <w:b/>
          <w:bCs/>
          <w:color w:val="000000"/>
          <w:rtl/>
        </w:rPr>
        <w:t xml:space="preserve"> אטיאס נ' מדינת ישראל</w:t>
      </w:r>
      <w:r w:rsidRPr="002E4C8D">
        <w:rPr>
          <w:rFonts w:ascii="David" w:hAnsi="David"/>
          <w:color w:val="000000"/>
          <w:rtl/>
        </w:rPr>
        <w:t xml:space="preserve"> פ"ד מג</w:t>
      </w:r>
      <w:r>
        <w:rPr>
          <w:rFonts w:ascii="David" w:hAnsi="David"/>
          <w:rtl/>
        </w:rPr>
        <w:t>(4) 170:</w:t>
      </w:r>
    </w:p>
    <w:p w14:paraId="1E7CC64A" w14:textId="77777777" w:rsidR="005457B5" w:rsidRDefault="005457B5" w:rsidP="005457B5">
      <w:pPr>
        <w:spacing w:line="360" w:lineRule="auto"/>
        <w:ind w:left="720" w:hanging="720"/>
        <w:jc w:val="both"/>
        <w:rPr>
          <w:rFonts w:ascii="David" w:hAnsi="David"/>
          <w:rtl/>
        </w:rPr>
      </w:pPr>
    </w:p>
    <w:p w14:paraId="33CFD223" w14:textId="77777777" w:rsidR="005457B5" w:rsidRPr="005457B5" w:rsidRDefault="005457B5" w:rsidP="005457B5">
      <w:pPr>
        <w:tabs>
          <w:tab w:val="left" w:pos="288"/>
          <w:tab w:val="left" w:pos="720"/>
          <w:tab w:val="left" w:pos="1296"/>
        </w:tabs>
        <w:autoSpaceDE w:val="0"/>
        <w:autoSpaceDN w:val="0"/>
        <w:adjustRightInd w:val="0"/>
        <w:spacing w:after="80" w:line="360" w:lineRule="auto"/>
        <w:ind w:left="1296"/>
        <w:jc w:val="both"/>
        <w:rPr>
          <w:rFonts w:ascii="David" w:hAnsi="David" w:cs="Arial"/>
          <w:sz w:val="22"/>
          <w:szCs w:val="22"/>
          <w:rtl/>
        </w:rPr>
      </w:pPr>
      <w:r>
        <w:rPr>
          <w:rFonts w:ascii="David" w:hAnsi="David"/>
          <w:b/>
          <w:bCs/>
          <w:rtl/>
        </w:rPr>
        <w:t xml:space="preserve">"כידוע, אחד השיקולים החשובים בשיקולי הענישה הוא מהותה של העבירה וחומרתה; שיקול זה קשור, בדרך כלל, בקשר הדוק עם שיקול ההרתעה, למען ישמעו וייראו. לשני שיקולים אלה מיתוסף שיקול נוסף, והוא - קיום מדיניות אחידה, ככל האפשר, שתשמש כקו מנחה וכמורה דרך בעולמה של ענישה. ושיקול אחרון זה יפה הוא במיוחד לפסיקתו של בית המשפט העליון, שהמחוקק הפקידו על קביעת מדיניות זו. 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w:t>
      </w:r>
      <w:r>
        <w:rPr>
          <w:rFonts w:ascii="David" w:hAnsi="David"/>
          <w:b/>
          <w:bCs/>
          <w:u w:val="single"/>
          <w:rtl/>
        </w:rPr>
        <w:t>"ענישתנו היא ענישה אינדיווידואלית של כל עבריין 'באשר הוא שם'" (</w:t>
      </w:r>
      <w:hyperlink r:id="rId39" w:history="1">
        <w:r w:rsidR="002E4C8D" w:rsidRPr="002E4C8D">
          <w:rPr>
            <w:rFonts w:ascii="David" w:hAnsi="David"/>
            <w:b/>
            <w:bCs/>
            <w:color w:val="0000FF"/>
            <w:u w:val="single"/>
            <w:rtl/>
          </w:rPr>
          <w:t>ע"פ 291/81</w:t>
        </w:r>
      </w:hyperlink>
      <w:r>
        <w:rPr>
          <w:rFonts w:ascii="David" w:hAnsi="David"/>
          <w:b/>
          <w:bCs/>
          <w:u w:val="single"/>
          <w:rtl/>
        </w:rPr>
        <w:t xml:space="preserve"> [1], בעמ' </w:t>
      </w:r>
      <w:r>
        <w:rPr>
          <w:rFonts w:ascii="David" w:hAnsi="David"/>
          <w:b/>
          <w:bCs/>
          <w:u w:val="single"/>
        </w:rPr>
        <w:t>442</w:t>
      </w:r>
      <w:r>
        <w:rPr>
          <w:rFonts w:ascii="David" w:hAnsi="David"/>
          <w:b/>
          <w:bCs/>
          <w:u w:val="single"/>
          <w:rtl/>
        </w:rPr>
        <w:t>). זאת תורת הגישה האינדיווידואלית בתורת הענישה, המקובלת עלינו כקו מנחה בסוגיה קשה וסבוכה זו של</w:t>
      </w:r>
      <w:r>
        <w:rPr>
          <w:rFonts w:ascii="David" w:hAnsi="David"/>
          <w:b/>
          <w:bCs/>
          <w:u w:val="single"/>
        </w:rPr>
        <w:t xml:space="preserve"> </w:t>
      </w:r>
      <w:r>
        <w:rPr>
          <w:rFonts w:ascii="David" w:hAnsi="David"/>
          <w:b/>
          <w:bCs/>
          <w:u w:val="single"/>
          <w:rtl/>
        </w:rPr>
        <w:t>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r>
        <w:rPr>
          <w:rFonts w:ascii="David" w:hAnsi="David"/>
          <w:b/>
          <w:bCs/>
          <w:rtl/>
        </w:rPr>
        <w:t>".</w:t>
      </w:r>
      <w:r>
        <w:rPr>
          <w:rFonts w:ascii="David" w:hAnsi="David"/>
          <w:rtl/>
        </w:rPr>
        <w:t xml:space="preserve"> (ההדגשה אינה במקור).</w:t>
      </w:r>
    </w:p>
    <w:p w14:paraId="46BD469B" w14:textId="77777777" w:rsidR="005457B5" w:rsidRDefault="005457B5" w:rsidP="005457B5">
      <w:pPr>
        <w:tabs>
          <w:tab w:val="left" w:pos="288"/>
          <w:tab w:val="left" w:pos="720"/>
          <w:tab w:val="left" w:pos="1296"/>
        </w:tabs>
        <w:autoSpaceDE w:val="0"/>
        <w:autoSpaceDN w:val="0"/>
        <w:adjustRightInd w:val="0"/>
        <w:spacing w:after="80" w:line="360" w:lineRule="auto"/>
        <w:jc w:val="both"/>
        <w:rPr>
          <w:rFonts w:ascii="David" w:hAnsi="David"/>
          <w:b/>
          <w:bCs/>
          <w:rtl/>
        </w:rPr>
      </w:pPr>
    </w:p>
    <w:p w14:paraId="664A837F" w14:textId="77777777" w:rsidR="005457B5" w:rsidRDefault="005457B5" w:rsidP="005457B5">
      <w:pPr>
        <w:pStyle w:val="David"/>
        <w:ind w:left="720" w:hanging="720"/>
        <w:rPr>
          <w:rFonts w:ascii="David" w:hAnsi="David"/>
          <w:rtl/>
        </w:rPr>
      </w:pPr>
      <w:r>
        <w:rPr>
          <w:rFonts w:ascii="David" w:hAnsi="David"/>
          <w:rtl/>
        </w:rPr>
        <w:tab/>
        <w:t xml:space="preserve">בענייננו, מחד-גיסא, העבירות בהן הורשע הנאשם אינן נמנות עם המקרים החמורים ביותר, הואיל  ועבירת נשיאת הנשק המיוחסת לנאשם בכתב-האישום המתוקן היא לאותו פרק-זמן קצר המתואר בעובדות כתב-האישום המתוקן, ואין טענה לפיה החזיק הנאשם בנשק במועד שונה. </w:t>
      </w:r>
    </w:p>
    <w:p w14:paraId="53A37B26" w14:textId="77777777" w:rsidR="005457B5" w:rsidRDefault="005457B5" w:rsidP="005457B5">
      <w:pPr>
        <w:pStyle w:val="David"/>
        <w:ind w:left="720" w:hanging="720"/>
        <w:rPr>
          <w:rFonts w:ascii="David" w:hAnsi="David"/>
          <w:rtl/>
        </w:rPr>
      </w:pPr>
    </w:p>
    <w:p w14:paraId="41B83CBE" w14:textId="77777777" w:rsidR="005457B5" w:rsidRDefault="005457B5" w:rsidP="005457B5">
      <w:pPr>
        <w:pStyle w:val="David"/>
        <w:ind w:left="720"/>
        <w:rPr>
          <w:rFonts w:ascii="David" w:hAnsi="David"/>
          <w:rtl/>
        </w:rPr>
      </w:pPr>
      <w:r>
        <w:rPr>
          <w:rFonts w:ascii="David" w:hAnsi="David"/>
          <w:rtl/>
        </w:rPr>
        <w:t>בנוסף, אדגיש, כי הגם שאליבא דמאשימה, יש להניח לחובתו של הנאשם, כי הוא נשא והוביל נשק למטרות "לא כשרות", ובלשונה של המאשימה בפסקה 24 לטיעונים לעונש: "</w:t>
      </w:r>
      <w:r>
        <w:rPr>
          <w:rFonts w:ascii="David" w:hAnsi="David"/>
          <w:b/>
          <w:bCs/>
          <w:rtl/>
        </w:rPr>
        <w:t>ניתן רק לשער מה הסיבות אשר הובילו את הנאשם לבצע את העבירה המיוחסת לו. בין אם רצון לעשות שימוש בנשק ובין אם רצון לסחור בו....</w:t>
      </w:r>
      <w:r>
        <w:rPr>
          <w:rFonts w:ascii="David" w:hAnsi="David"/>
          <w:rtl/>
        </w:rPr>
        <w:t>", כתב-האישום אינו מייחס זאת לנאשם.</w:t>
      </w:r>
    </w:p>
    <w:p w14:paraId="53FF19FE" w14:textId="77777777" w:rsidR="005457B5" w:rsidRDefault="005457B5" w:rsidP="005457B5">
      <w:pPr>
        <w:pStyle w:val="David"/>
        <w:ind w:left="720" w:hanging="720"/>
        <w:rPr>
          <w:rFonts w:ascii="David" w:hAnsi="David"/>
          <w:rtl/>
        </w:rPr>
      </w:pPr>
      <w:r>
        <w:rPr>
          <w:rFonts w:ascii="David" w:hAnsi="David"/>
          <w:rtl/>
        </w:rPr>
        <w:t xml:space="preserve"> </w:t>
      </w:r>
    </w:p>
    <w:p w14:paraId="7C94FE5C" w14:textId="77777777" w:rsidR="005457B5" w:rsidRDefault="005457B5" w:rsidP="005457B5">
      <w:pPr>
        <w:spacing w:line="360" w:lineRule="auto"/>
        <w:ind w:left="720"/>
        <w:jc w:val="both"/>
        <w:rPr>
          <w:rFonts w:ascii="David" w:hAnsi="David"/>
          <w:rtl/>
        </w:rPr>
      </w:pPr>
      <w:r>
        <w:rPr>
          <w:rFonts w:ascii="David" w:hAnsi="David"/>
          <w:rtl/>
        </w:rPr>
        <w:t>מאידך גיסא, יש ליתן משקל לכך שהנאשם נשא והוביל את שני האקדחים, עת הם טעונים, והלכה למעשה מוכנים לירי, וברי, כי אין מדובר באירוע ספונטני, אשר התרחש במקרה. עוד יש להתחשב בכך שהנאשם הוא המעורב היחיד בעבירה, וכי כפי שהדגשתי, פוטנציאל הנזק מעבירה זו הוא עצום.</w:t>
      </w:r>
    </w:p>
    <w:p w14:paraId="7AEF0E7F" w14:textId="77777777" w:rsidR="005457B5" w:rsidRDefault="005457B5" w:rsidP="005457B5">
      <w:pPr>
        <w:pStyle w:val="ListParagraph"/>
        <w:spacing w:line="360" w:lineRule="auto"/>
        <w:ind w:left="793"/>
        <w:jc w:val="both"/>
        <w:rPr>
          <w:rFonts w:ascii="David" w:hAnsi="David" w:cs="David"/>
          <w:sz w:val="24"/>
          <w:szCs w:val="24"/>
          <w:rtl/>
        </w:rPr>
      </w:pPr>
      <w:r>
        <w:rPr>
          <w:rFonts w:ascii="David" w:hAnsi="David" w:cs="David"/>
          <w:sz w:val="24"/>
          <w:szCs w:val="24"/>
          <w:rtl/>
        </w:rPr>
        <w:t>אין בידי לקבל את טענת ב"כ הנאשם, לפיה הגם שהנאשם נשא והוביל אקדחים טעונים, מדובר באקדחים מאולתרים, אשר הנזק היכול להיגרם מהם נמוך יותר. ברי, מן העולה מסעיף מס' 3 לכתב-האישום המתוקן, בו, יש לזכור, הודה הנאשם, כי "</w:t>
      </w:r>
      <w:r>
        <w:rPr>
          <w:rFonts w:ascii="David" w:hAnsi="David" w:cs="David"/>
          <w:b/>
          <w:bCs/>
          <w:sz w:val="24"/>
          <w:szCs w:val="24"/>
          <w:rtl/>
        </w:rPr>
        <w:t>האקדחים הם כלי-נשק שסוגלו לירות כדור או קליע, אשר בכוחם להמית אדם. המחסניות והכדורים הם אביזרים ותחמושת לנשק, והנאשם נשא והוביל אותם בלא רשות על פי דין לנשיאתם והובלתם</w:t>
      </w:r>
      <w:r>
        <w:rPr>
          <w:rFonts w:ascii="David" w:hAnsi="David" w:cs="David"/>
          <w:sz w:val="24"/>
          <w:szCs w:val="24"/>
          <w:rtl/>
        </w:rPr>
        <w:t>", ואידך זיל גמור.</w:t>
      </w:r>
    </w:p>
    <w:p w14:paraId="400C20BD" w14:textId="77777777" w:rsidR="005457B5" w:rsidRDefault="005457B5" w:rsidP="005457B5">
      <w:pPr>
        <w:pStyle w:val="ListParagraph"/>
        <w:spacing w:line="360" w:lineRule="auto"/>
        <w:ind w:left="1080"/>
        <w:jc w:val="both"/>
        <w:rPr>
          <w:rFonts w:ascii="David" w:hAnsi="David" w:cs="David"/>
          <w:sz w:val="24"/>
          <w:szCs w:val="24"/>
          <w:rtl/>
        </w:rPr>
      </w:pPr>
    </w:p>
    <w:p w14:paraId="2C50BD37" w14:textId="77777777" w:rsidR="005457B5" w:rsidRDefault="005457B5" w:rsidP="005457B5">
      <w:pPr>
        <w:pStyle w:val="ListParagraph"/>
        <w:numPr>
          <w:ilvl w:val="0"/>
          <w:numId w:val="3"/>
        </w:numPr>
        <w:spacing w:line="360" w:lineRule="auto"/>
        <w:ind w:hanging="494"/>
        <w:jc w:val="both"/>
        <w:rPr>
          <w:rFonts w:ascii="David" w:hAnsi="David" w:cs="David"/>
          <w:sz w:val="24"/>
          <w:szCs w:val="24"/>
          <w:rtl/>
        </w:rPr>
      </w:pPr>
      <w:r>
        <w:rPr>
          <w:rFonts w:ascii="David" w:hAnsi="David" w:cs="David"/>
          <w:sz w:val="24"/>
          <w:szCs w:val="24"/>
          <w:rtl/>
        </w:rPr>
        <w:t>בהתחשב במכלול הנסיבות שמניתי לעיל הקשורות לביצוע העבירה, חומרת העבירה, והערכים החברתיים שנפגעו כתוצאה מביצועה ולאחר שעמדתי על מדיניות הענישה הנהוגה בנסיבות דומות, אני קובע, כי מתחם הענישה הראוי, בנסיבות המקרה דנן, הוא מאסר בפועל לתקופה שנעה בין 16-36 חודשי מאסר בפועל, זאת לצד עונשים נלווים.</w:t>
      </w:r>
    </w:p>
    <w:p w14:paraId="3077B68E" w14:textId="77777777" w:rsidR="005457B5" w:rsidRDefault="005457B5" w:rsidP="005457B5">
      <w:pPr>
        <w:pStyle w:val="ListParagraph"/>
        <w:spacing w:line="360" w:lineRule="auto"/>
        <w:jc w:val="both"/>
        <w:rPr>
          <w:rFonts w:ascii="David" w:hAnsi="David" w:cs="David"/>
          <w:sz w:val="24"/>
          <w:szCs w:val="24"/>
        </w:rPr>
      </w:pPr>
    </w:p>
    <w:p w14:paraId="7BA33BAD" w14:textId="77777777" w:rsidR="005457B5" w:rsidRDefault="005457B5" w:rsidP="005457B5">
      <w:pPr>
        <w:pStyle w:val="ListParagraph"/>
        <w:numPr>
          <w:ilvl w:val="0"/>
          <w:numId w:val="3"/>
        </w:numPr>
        <w:spacing w:line="360" w:lineRule="auto"/>
        <w:ind w:hanging="494"/>
        <w:jc w:val="both"/>
        <w:rPr>
          <w:rFonts w:ascii="David" w:hAnsi="David" w:cs="David"/>
          <w:sz w:val="24"/>
          <w:szCs w:val="24"/>
        </w:rPr>
      </w:pPr>
      <w:r>
        <w:rPr>
          <w:rFonts w:ascii="David" w:hAnsi="David" w:cs="David"/>
          <w:sz w:val="24"/>
          <w:szCs w:val="24"/>
          <w:rtl/>
        </w:rPr>
        <w:t xml:space="preserve">בית המשפט רשאי לחרוג ממתחם העונש ההולם או לקולא, בשל שיקולי שיקום וטיפול של הנאשם, או לחומרא בשל הגנה על שלום הציבור. </w:t>
      </w:r>
    </w:p>
    <w:p w14:paraId="403550BC" w14:textId="77777777" w:rsidR="005457B5" w:rsidRDefault="005457B5" w:rsidP="005457B5">
      <w:pPr>
        <w:pStyle w:val="ListParagraph"/>
        <w:rPr>
          <w:rFonts w:ascii="David" w:hAnsi="David" w:cs="David"/>
          <w:sz w:val="24"/>
          <w:szCs w:val="24"/>
        </w:rPr>
      </w:pPr>
    </w:p>
    <w:p w14:paraId="586723EC" w14:textId="77777777" w:rsidR="005457B5" w:rsidRDefault="005457B5" w:rsidP="005457B5">
      <w:pPr>
        <w:pStyle w:val="David"/>
        <w:ind w:left="793"/>
        <w:rPr>
          <w:rFonts w:ascii="David" w:hAnsi="David"/>
          <w:rtl/>
        </w:rPr>
      </w:pPr>
      <w:r>
        <w:rPr>
          <w:rFonts w:ascii="David" w:hAnsi="David"/>
          <w:rtl/>
        </w:rPr>
        <w:t>בענייננו, לא המליץ שירות המבחן על מתווה טיפולי ושיקומי בעניינו של הנאשם לא בתסקיר מיום 15.02.2021, ולא בתסקיר המשלים מיום 06.04.2021. כמפורט בפסקאות 3-4 לעיל, התרשמה קצינת המבחן, כי פנייתו של הנאשם ליחידה להתמכרויות כמו גם בקשתו להשתלב בטיפול במסגרת שירות המבחן מונעת ממוטיבציה חיצונית בלבד, ומרצונו של הנאשם לקדם את ההליך המשפטי בעניינו, ולא מתוך רצון כנה לבחון את מצבו, ולפיכך איני מוצא, כי יש מקום לסטייה לקולא ממתחם הענישה האמור.</w:t>
      </w:r>
    </w:p>
    <w:p w14:paraId="07D9F698" w14:textId="77777777" w:rsidR="005457B5" w:rsidRDefault="005457B5" w:rsidP="005457B5">
      <w:pPr>
        <w:pStyle w:val="ListParagraph"/>
        <w:spacing w:line="360" w:lineRule="auto"/>
        <w:jc w:val="both"/>
        <w:rPr>
          <w:rFonts w:ascii="David" w:hAnsi="David" w:cs="David"/>
          <w:sz w:val="24"/>
          <w:szCs w:val="24"/>
          <w:rtl/>
        </w:rPr>
      </w:pPr>
    </w:p>
    <w:p w14:paraId="4FD5E13C" w14:textId="77777777" w:rsidR="005457B5" w:rsidRDefault="005457B5" w:rsidP="005457B5">
      <w:pPr>
        <w:pStyle w:val="ListParagraph"/>
        <w:spacing w:line="360" w:lineRule="auto"/>
        <w:jc w:val="both"/>
        <w:rPr>
          <w:rFonts w:ascii="David" w:hAnsi="David" w:cs="David"/>
          <w:sz w:val="24"/>
          <w:szCs w:val="24"/>
          <w:rtl/>
        </w:rPr>
      </w:pPr>
      <w:r>
        <w:rPr>
          <w:rFonts w:ascii="David" w:hAnsi="David" w:cs="David"/>
          <w:sz w:val="24"/>
          <w:szCs w:val="24"/>
          <w:rtl/>
        </w:rPr>
        <w:t>מנגד סבורני, כי בנסיבות העניין אף לא מתקיימים התנאים לסטייה לחומרא ממתחם העונש האמור, ולפיכך, קובע אני, כי עונשו של הנאשם יקבע במתחם האמור.</w:t>
      </w:r>
    </w:p>
    <w:p w14:paraId="5B2EA797" w14:textId="77777777" w:rsidR="005457B5" w:rsidRDefault="005457B5" w:rsidP="005457B5">
      <w:pPr>
        <w:pStyle w:val="ListParagraph"/>
        <w:spacing w:line="360" w:lineRule="auto"/>
        <w:jc w:val="both"/>
        <w:rPr>
          <w:rFonts w:ascii="David" w:hAnsi="David" w:cs="David"/>
          <w:sz w:val="24"/>
          <w:szCs w:val="24"/>
          <w:rtl/>
        </w:rPr>
      </w:pPr>
    </w:p>
    <w:p w14:paraId="27E0422B" w14:textId="77777777" w:rsidR="005457B5" w:rsidRDefault="005457B5" w:rsidP="005457B5">
      <w:pPr>
        <w:pStyle w:val="ListParagraph"/>
        <w:numPr>
          <w:ilvl w:val="0"/>
          <w:numId w:val="3"/>
        </w:numPr>
        <w:spacing w:line="360" w:lineRule="auto"/>
        <w:ind w:hanging="494"/>
        <w:jc w:val="both"/>
        <w:rPr>
          <w:rFonts w:ascii="David" w:hAnsi="David" w:cs="David"/>
          <w:sz w:val="24"/>
          <w:szCs w:val="24"/>
          <w:rtl/>
        </w:rPr>
      </w:pPr>
      <w:r>
        <w:rPr>
          <w:rFonts w:ascii="David" w:hAnsi="David" w:cs="David"/>
          <w:sz w:val="24"/>
          <w:szCs w:val="24"/>
          <w:rtl/>
        </w:rPr>
        <w:t>בגזירת העונש המתאים לנאשם יש להתחשב בנסיבות שאינן קשורות לביצוע העבירה, ובענייננו יש להביא בחשבון כשיקול לקולא את הודאתו של הנאשם במיוחס לו בכתב- האישום המתוקן, ובתקופה בה שהה בפיקוח אלקטרוני.</w:t>
      </w:r>
    </w:p>
    <w:p w14:paraId="61573E31" w14:textId="77777777" w:rsidR="005457B5" w:rsidRDefault="005457B5" w:rsidP="005457B5">
      <w:pPr>
        <w:spacing w:line="360" w:lineRule="auto"/>
        <w:ind w:left="720"/>
        <w:jc w:val="both"/>
        <w:rPr>
          <w:rFonts w:ascii="David" w:hAnsi="David"/>
        </w:rPr>
      </w:pPr>
      <w:r>
        <w:rPr>
          <w:rFonts w:ascii="David" w:hAnsi="David"/>
          <w:rtl/>
        </w:rPr>
        <w:t>עוד ובנוסף אציין, כי לחובתו של הנאשם הרשעה אחת משנת 2010 בגין עבירה של גניבת רכב, אשר בעטיה נגזרו עליו 4 חודשי מאסר לריצוי בדרך של עבודות שירות. לפיכך, מדובר במאסרו הראשון של הנאשם מאחורי סורג ובריח, וברי, כי גם לכך, יש ליתן משקל.</w:t>
      </w:r>
    </w:p>
    <w:p w14:paraId="6AF9BE15" w14:textId="77777777" w:rsidR="005457B5" w:rsidRDefault="005457B5" w:rsidP="005457B5">
      <w:pPr>
        <w:spacing w:line="360" w:lineRule="auto"/>
        <w:ind w:left="720"/>
        <w:jc w:val="both"/>
        <w:rPr>
          <w:rFonts w:ascii="David" w:hAnsi="David"/>
        </w:rPr>
      </w:pPr>
      <w:r>
        <w:rPr>
          <w:rFonts w:ascii="David" w:hAnsi="David"/>
          <w:rtl/>
        </w:rPr>
        <w:t>אפנה לדבריו של כב' המשנה לנשיאה (בדימוס), השופט ס. ג'ובראן ב-</w:t>
      </w:r>
      <w:hyperlink r:id="rId40" w:history="1">
        <w:r w:rsidR="002E4C8D" w:rsidRPr="002E4C8D">
          <w:rPr>
            <w:rFonts w:ascii="David" w:hAnsi="David"/>
            <w:color w:val="0000FF"/>
            <w:u w:val="single"/>
            <w:rtl/>
          </w:rPr>
          <w:t>ע"פ 7781/12</w:t>
        </w:r>
      </w:hyperlink>
      <w:r>
        <w:rPr>
          <w:rFonts w:ascii="David" w:hAnsi="David"/>
          <w:rtl/>
        </w:rPr>
        <w:t xml:space="preserve"> </w:t>
      </w:r>
      <w:r>
        <w:rPr>
          <w:rFonts w:ascii="David" w:hAnsi="David"/>
          <w:b/>
          <w:bCs/>
          <w:rtl/>
        </w:rPr>
        <w:t xml:space="preserve">פלוני נ' מדינת ישראל </w:t>
      </w:r>
      <w:r w:rsidR="0010775A" w:rsidRPr="0010775A">
        <w:rPr>
          <w:sz w:val="22"/>
          <w:rtl/>
        </w:rPr>
        <w:t xml:space="preserve">[פורסם בנבו] </w:t>
      </w:r>
      <w:r>
        <w:rPr>
          <w:rFonts w:ascii="David" w:hAnsi="David"/>
          <w:rtl/>
        </w:rPr>
        <w:t>(25.06.2013):</w:t>
      </w:r>
    </w:p>
    <w:p w14:paraId="09FE1522" w14:textId="77777777" w:rsidR="005457B5" w:rsidRDefault="005457B5" w:rsidP="005457B5">
      <w:pPr>
        <w:spacing w:line="360" w:lineRule="auto"/>
        <w:ind w:left="720"/>
        <w:jc w:val="both"/>
        <w:rPr>
          <w:rFonts w:ascii="David" w:hAnsi="David"/>
          <w:rtl/>
        </w:rPr>
      </w:pPr>
    </w:p>
    <w:p w14:paraId="737D633C" w14:textId="77777777" w:rsidR="005457B5" w:rsidRDefault="005457B5" w:rsidP="005457B5">
      <w:pPr>
        <w:tabs>
          <w:tab w:val="left" w:pos="800"/>
        </w:tabs>
        <w:overflowPunct w:val="0"/>
        <w:autoSpaceDE w:val="0"/>
        <w:autoSpaceDN w:val="0"/>
        <w:adjustRightInd w:val="0"/>
        <w:spacing w:line="360" w:lineRule="auto"/>
        <w:ind w:left="1440"/>
        <w:jc w:val="both"/>
        <w:rPr>
          <w:rFonts w:ascii="David" w:hAnsi="David"/>
          <w:spacing w:val="10"/>
          <w:rtl/>
        </w:rPr>
      </w:pPr>
      <w:r>
        <w:rPr>
          <w:rFonts w:ascii="Arial TUR" w:hAnsi="Arial TUR" w:cs="FrankRuehl"/>
          <w:spacing w:val="10"/>
          <w:szCs w:val="28"/>
          <w:rtl/>
        </w:rPr>
        <w:t>"</w:t>
      </w:r>
      <w:r>
        <w:rPr>
          <w:rFonts w:ascii="David" w:hAnsi="David"/>
          <w:b/>
          <w:bCs/>
          <w:spacing w:val="10"/>
          <w:u w:val="single"/>
          <w:rtl/>
        </w:rPr>
        <w:t>יתר על כך, מחקרים רבים הראו כי קיים קשר סיבתי שלילי, על פיו מאסר ראשון לא רק שאינו מביא להתרעת היחיד, אלא מביא בסבירות גבוהה למאסרים נוספים ורצידיביזם</w:t>
      </w:r>
      <w:r>
        <w:rPr>
          <w:rFonts w:ascii="David" w:hAnsi="David"/>
          <w:b/>
          <w:bCs/>
          <w:spacing w:val="10"/>
          <w:rtl/>
        </w:rPr>
        <w:t xml:space="preserve"> (ראו: חגית לרנאו וישי שרון "שמונה הכרעות ערכיות בחקיקת חוק הבניית שיקול הדעת השיפוטי בענישה" </w:t>
      </w:r>
      <w:r>
        <w:rPr>
          <w:rFonts w:ascii="David" w:hAnsi="David"/>
          <w:b/>
          <w:bCs/>
          <w:rtl/>
        </w:rPr>
        <w:t>הסניגור</w:t>
      </w:r>
      <w:r>
        <w:rPr>
          <w:rFonts w:ascii="David" w:hAnsi="David"/>
          <w:b/>
          <w:bCs/>
          <w:spacing w:val="10"/>
          <w:rtl/>
        </w:rPr>
        <w:t xml:space="preserve"> 183 14, 19; </w:t>
      </w:r>
      <w:r>
        <w:rPr>
          <w:rFonts w:ascii="David" w:hAnsi="David"/>
          <w:b/>
          <w:bCs/>
          <w:spacing w:val="10"/>
        </w:rPr>
        <w:t xml:space="preserve">Francis T. Cullen at el, </w:t>
      </w:r>
      <w:r>
        <w:rPr>
          <w:rFonts w:ascii="David" w:hAnsi="David"/>
          <w:b/>
          <w:bCs/>
          <w:i/>
          <w:iCs/>
          <w:spacing w:val="10"/>
        </w:rPr>
        <w:t>Prisons do not Reduce Recidivism: The High Cost of Ignoring Science</w:t>
      </w:r>
      <w:r>
        <w:rPr>
          <w:rFonts w:ascii="David" w:hAnsi="David"/>
          <w:b/>
          <w:bCs/>
          <w:spacing w:val="10"/>
        </w:rPr>
        <w:t xml:space="preserve">, 91 The </w:t>
      </w:r>
      <w:r>
        <w:rPr>
          <w:rFonts w:ascii="David" w:hAnsi="David"/>
          <w:b/>
          <w:bCs/>
          <w:smallCaps/>
          <w:spacing w:val="10"/>
        </w:rPr>
        <w:t>Prison Journal</w:t>
      </w:r>
      <w:r>
        <w:rPr>
          <w:rFonts w:ascii="David" w:hAnsi="David"/>
          <w:b/>
          <w:bCs/>
          <w:spacing w:val="10"/>
        </w:rPr>
        <w:t xml:space="preserve"> 48 (2011)</w:t>
      </w:r>
      <w:r>
        <w:rPr>
          <w:rFonts w:ascii="David" w:hAnsi="David"/>
          <w:b/>
          <w:bCs/>
          <w:spacing w:val="10"/>
          <w:rtl/>
        </w:rPr>
        <w:t xml:space="preserve">)". </w:t>
      </w:r>
      <w:r>
        <w:rPr>
          <w:rFonts w:ascii="David" w:hAnsi="David"/>
          <w:spacing w:val="10"/>
          <w:rtl/>
        </w:rPr>
        <w:t>(ההדגשה אינה במקור).</w:t>
      </w:r>
    </w:p>
    <w:p w14:paraId="2C54E33E" w14:textId="77777777" w:rsidR="005457B5" w:rsidRDefault="005457B5" w:rsidP="005457B5">
      <w:pPr>
        <w:tabs>
          <w:tab w:val="left" w:pos="800"/>
        </w:tabs>
        <w:overflowPunct w:val="0"/>
        <w:autoSpaceDE w:val="0"/>
        <w:autoSpaceDN w:val="0"/>
        <w:adjustRightInd w:val="0"/>
        <w:spacing w:line="360" w:lineRule="auto"/>
        <w:ind w:left="1440"/>
        <w:jc w:val="both"/>
        <w:rPr>
          <w:rFonts w:ascii="David" w:hAnsi="David"/>
          <w:spacing w:val="10"/>
          <w:rtl/>
        </w:rPr>
      </w:pPr>
    </w:p>
    <w:p w14:paraId="4F9E9179" w14:textId="77777777" w:rsidR="005457B5" w:rsidRDefault="005457B5" w:rsidP="005457B5">
      <w:pPr>
        <w:pStyle w:val="ListParagraph"/>
        <w:spacing w:line="360" w:lineRule="auto"/>
        <w:jc w:val="both"/>
        <w:rPr>
          <w:rFonts w:ascii="David" w:hAnsi="David" w:cs="David"/>
          <w:sz w:val="24"/>
          <w:szCs w:val="24"/>
          <w:rtl/>
        </w:rPr>
      </w:pPr>
      <w:r>
        <w:rPr>
          <w:rFonts w:ascii="David" w:hAnsi="David" w:cs="David"/>
          <w:sz w:val="24"/>
          <w:szCs w:val="24"/>
          <w:rtl/>
        </w:rPr>
        <w:t>עוד אוסיף, כי לא נעלמו מעיני עדויות האופי בעניינו של הנאשם, ולפיהן ברבות השנים סייע הנאשם לזולת, ועסק אף בפעילות של גמילות-חסדים.</w:t>
      </w:r>
    </w:p>
    <w:p w14:paraId="113FA188" w14:textId="77777777" w:rsidR="005457B5" w:rsidRDefault="005457B5" w:rsidP="005457B5">
      <w:pPr>
        <w:pStyle w:val="ListParagraph"/>
        <w:spacing w:line="360" w:lineRule="auto"/>
        <w:jc w:val="both"/>
        <w:rPr>
          <w:rFonts w:ascii="David" w:hAnsi="David" w:cs="David"/>
          <w:sz w:val="24"/>
          <w:szCs w:val="24"/>
          <w:rtl/>
        </w:rPr>
      </w:pPr>
    </w:p>
    <w:p w14:paraId="51249853" w14:textId="77777777" w:rsidR="005457B5" w:rsidRDefault="005457B5" w:rsidP="005457B5">
      <w:pPr>
        <w:pStyle w:val="ListParagraph"/>
        <w:numPr>
          <w:ilvl w:val="0"/>
          <w:numId w:val="3"/>
        </w:numPr>
        <w:spacing w:line="360" w:lineRule="auto"/>
        <w:jc w:val="both"/>
        <w:rPr>
          <w:rFonts w:ascii="David" w:hAnsi="David" w:cs="David"/>
          <w:sz w:val="24"/>
          <w:szCs w:val="24"/>
          <w:rtl/>
        </w:rPr>
      </w:pPr>
      <w:r>
        <w:rPr>
          <w:rFonts w:ascii="David" w:hAnsi="David" w:cs="David"/>
          <w:sz w:val="24"/>
          <w:szCs w:val="24"/>
          <w:rtl/>
        </w:rPr>
        <w:t>מנגד יש להתחשב כשיקול לחומרא בעקרון ההרתעה בעבירות נשק, ובצורך ההולך וגובר למגרן. עת דומה, כי ככל שנוקפים הימים, גואים מעשי האלימות המבוצעים באמצעות כלי-נשק אלו, לכל אורכה ורוחבה של מדינת ישראל.</w:t>
      </w:r>
    </w:p>
    <w:p w14:paraId="03F491A8" w14:textId="77777777" w:rsidR="005457B5" w:rsidRDefault="005457B5" w:rsidP="005457B5">
      <w:pPr>
        <w:spacing w:line="360" w:lineRule="auto"/>
        <w:ind w:left="720"/>
        <w:jc w:val="both"/>
        <w:rPr>
          <w:rFonts w:ascii="David" w:hAnsi="David"/>
          <w:rtl/>
        </w:rPr>
      </w:pPr>
      <w:r>
        <w:rPr>
          <w:rFonts w:ascii="David" w:hAnsi="David"/>
          <w:rtl/>
        </w:rPr>
        <w:t>הזדמן לי לכתוב בעבר, ואדגיש זאת ביתר-שאת כעת, כי גדיעת תופעה זו, בעודה באיבה, עשויה להיות הפסע הראשון במסע הארוך להחזרת ביטחון הציבור ושלומו במרחב הציבורי והפרטי גם יחד.</w:t>
      </w:r>
    </w:p>
    <w:p w14:paraId="588483EA" w14:textId="77777777" w:rsidR="005457B5" w:rsidRDefault="005457B5" w:rsidP="005457B5">
      <w:pPr>
        <w:spacing w:line="360" w:lineRule="auto"/>
        <w:ind w:left="720"/>
        <w:jc w:val="both"/>
        <w:rPr>
          <w:rFonts w:ascii="David" w:hAnsi="David"/>
          <w:rtl/>
        </w:rPr>
      </w:pPr>
    </w:p>
    <w:p w14:paraId="6EC59673" w14:textId="77777777" w:rsidR="005457B5" w:rsidRDefault="005457B5" w:rsidP="005457B5">
      <w:pPr>
        <w:pStyle w:val="ListParagraph"/>
        <w:spacing w:line="360" w:lineRule="auto"/>
        <w:jc w:val="both"/>
        <w:rPr>
          <w:rFonts w:ascii="David" w:hAnsi="David" w:cs="David"/>
          <w:sz w:val="24"/>
          <w:szCs w:val="24"/>
        </w:rPr>
      </w:pPr>
      <w:r>
        <w:rPr>
          <w:rFonts w:ascii="David" w:hAnsi="David" w:cs="David"/>
          <w:sz w:val="24"/>
          <w:szCs w:val="24"/>
          <w:rtl/>
        </w:rPr>
        <w:t>יפים לענייננו דבריו של כב' המשנה לנשיאה (בדימוס), השופט א. רובינשטיין, ב-</w:t>
      </w:r>
      <w:hyperlink r:id="rId41" w:history="1">
        <w:r w:rsidR="002E4C8D" w:rsidRPr="002E4C8D">
          <w:rPr>
            <w:rFonts w:ascii="David" w:hAnsi="David" w:cs="David"/>
            <w:color w:val="0000FF"/>
            <w:sz w:val="24"/>
            <w:szCs w:val="24"/>
            <w:u w:val="single"/>
            <w:rtl/>
          </w:rPr>
          <w:t>ע"פ 6371/11</w:t>
        </w:r>
      </w:hyperlink>
      <w:r>
        <w:rPr>
          <w:rFonts w:ascii="David" w:hAnsi="David" w:cs="David"/>
          <w:sz w:val="24"/>
          <w:szCs w:val="24"/>
          <w:rtl/>
        </w:rPr>
        <w:t xml:space="preserve"> </w:t>
      </w:r>
      <w:r>
        <w:rPr>
          <w:rFonts w:ascii="David" w:hAnsi="David" w:cs="David"/>
          <w:b/>
          <w:bCs/>
          <w:sz w:val="24"/>
          <w:szCs w:val="24"/>
          <w:rtl/>
        </w:rPr>
        <w:t>מדינת ישראל נ' אנס הייבי</w:t>
      </w:r>
      <w:r>
        <w:rPr>
          <w:rFonts w:ascii="David" w:hAnsi="David" w:cs="David"/>
          <w:sz w:val="24"/>
          <w:szCs w:val="24"/>
          <w:rtl/>
        </w:rPr>
        <w:t xml:space="preserve"> </w:t>
      </w:r>
      <w:r w:rsidR="0010775A" w:rsidRPr="0010775A">
        <w:rPr>
          <w:rFonts w:ascii="Times New Roman" w:hAnsi="Times New Roman" w:cs="David"/>
          <w:szCs w:val="24"/>
          <w:rtl/>
        </w:rPr>
        <w:t xml:space="preserve">[פורסם בנבו] </w:t>
      </w:r>
      <w:r>
        <w:rPr>
          <w:rFonts w:ascii="David" w:hAnsi="David" w:cs="David"/>
          <w:sz w:val="24"/>
          <w:szCs w:val="24"/>
          <w:rtl/>
        </w:rPr>
        <w:t>(18.12.2011), פסקה כ"ג:</w:t>
      </w:r>
    </w:p>
    <w:p w14:paraId="2D29AFF1" w14:textId="77777777" w:rsidR="005457B5" w:rsidRDefault="005457B5" w:rsidP="005457B5">
      <w:pPr>
        <w:spacing w:line="360" w:lineRule="auto"/>
        <w:ind w:left="1440"/>
        <w:jc w:val="both"/>
        <w:rPr>
          <w:rFonts w:ascii="David" w:hAnsi="David"/>
          <w:rtl/>
        </w:rPr>
      </w:pPr>
      <w:r>
        <w:rPr>
          <w:rFonts w:ascii="David" w:hAnsi="David"/>
          <w:b/>
          <w:bCs/>
          <w:spacing w:val="10"/>
          <w:rtl/>
        </w:rPr>
        <w:t xml:space="preserve">"עבירות בנשק חומרתן מכופלת, הן בעצם המעבר על החוק והן ובמוטעם במאטריה הספציפית; נשק שאינו כדין, קרי - ברישיון כדבעי, מועד לפורענות. זכורה האמירה, אם ראית במחזה תיאטרון אקדח במערכה הראשונה, סופו שיירה במערכה השניה או השלישית. הימצאו של נשק בידיים לא נכונות, עלול להביא בסופו של יום אף לקיפוד חיי אדם ר"ל...." </w:t>
      </w:r>
    </w:p>
    <w:p w14:paraId="334F7543" w14:textId="77777777" w:rsidR="005457B5" w:rsidRDefault="005457B5" w:rsidP="005457B5">
      <w:pPr>
        <w:spacing w:line="360" w:lineRule="auto"/>
        <w:ind w:left="1440"/>
        <w:jc w:val="both"/>
        <w:rPr>
          <w:rFonts w:ascii="David" w:hAnsi="David"/>
          <w:rtl/>
        </w:rPr>
      </w:pPr>
    </w:p>
    <w:p w14:paraId="0A525479" w14:textId="77777777" w:rsidR="005457B5" w:rsidRDefault="005457B5" w:rsidP="005457B5">
      <w:pPr>
        <w:pStyle w:val="ListParagraph"/>
        <w:numPr>
          <w:ilvl w:val="0"/>
          <w:numId w:val="3"/>
        </w:numPr>
        <w:spacing w:line="360" w:lineRule="auto"/>
        <w:jc w:val="both"/>
        <w:rPr>
          <w:rFonts w:ascii="David" w:hAnsi="David" w:cs="David"/>
          <w:sz w:val="24"/>
          <w:szCs w:val="24"/>
          <w:rtl/>
        </w:rPr>
      </w:pPr>
      <w:r>
        <w:rPr>
          <w:rFonts w:ascii="David" w:hAnsi="David" w:cs="David"/>
          <w:sz w:val="24"/>
          <w:szCs w:val="24"/>
          <w:rtl/>
        </w:rPr>
        <w:t>בנוסף לכך, עתרה המאשימה לחילוט רכב מסוג טויוטה, מספר-רישוי 6159452, בה בוצעה העבירה מושא כתב-האישום המתוקן.</w:t>
      </w:r>
    </w:p>
    <w:p w14:paraId="137F643A" w14:textId="77777777" w:rsidR="005457B5" w:rsidRDefault="005457B5" w:rsidP="005457B5">
      <w:pPr>
        <w:spacing w:line="360" w:lineRule="auto"/>
        <w:ind w:left="226" w:hanging="851"/>
        <w:jc w:val="both"/>
        <w:rPr>
          <w:rFonts w:ascii="David" w:hAnsi="David"/>
          <w:rtl/>
        </w:rPr>
      </w:pPr>
      <w:r>
        <w:rPr>
          <w:rFonts w:ascii="David" w:hAnsi="David"/>
          <w:rtl/>
        </w:rPr>
        <w:tab/>
      </w:r>
      <w:r>
        <w:rPr>
          <w:rFonts w:ascii="David" w:hAnsi="David"/>
          <w:rtl/>
        </w:rPr>
        <w:tab/>
        <w:t xml:space="preserve">סעיף </w:t>
      </w:r>
      <w:hyperlink r:id="rId42" w:history="1">
        <w:r w:rsidR="0012165C" w:rsidRPr="0012165C">
          <w:rPr>
            <w:rStyle w:val="Hyperlink"/>
            <w:rFonts w:ascii="David" w:hAnsi="David"/>
            <w:rtl/>
          </w:rPr>
          <w:t>32 (א)</w:t>
        </w:r>
      </w:hyperlink>
      <w:r>
        <w:rPr>
          <w:rFonts w:ascii="David" w:hAnsi="David"/>
          <w:rtl/>
        </w:rPr>
        <w:t xml:space="preserve"> ל</w:t>
      </w:r>
      <w:hyperlink r:id="rId43" w:history="1">
        <w:r w:rsidR="002E4C8D" w:rsidRPr="002E4C8D">
          <w:rPr>
            <w:rFonts w:ascii="David" w:hAnsi="David"/>
            <w:color w:val="0000FF"/>
            <w:u w:val="single"/>
            <w:rtl/>
          </w:rPr>
          <w:t>פקודת סדר הדין הפלילי (מעצר וחיפוש)</w:t>
        </w:r>
      </w:hyperlink>
      <w:r>
        <w:rPr>
          <w:rFonts w:ascii="David" w:hAnsi="David"/>
          <w:rtl/>
        </w:rPr>
        <w:t xml:space="preserve"> [נוסח חדש], תשכ"ט-1969 מורנו:</w:t>
      </w:r>
    </w:p>
    <w:p w14:paraId="1934B660" w14:textId="77777777" w:rsidR="005457B5" w:rsidRDefault="005457B5" w:rsidP="005457B5">
      <w:pPr>
        <w:spacing w:line="360" w:lineRule="auto"/>
        <w:ind w:left="226" w:hanging="851"/>
        <w:jc w:val="both"/>
        <w:rPr>
          <w:rFonts w:ascii="David" w:hAnsi="David"/>
          <w:rtl/>
        </w:rPr>
      </w:pPr>
    </w:p>
    <w:p w14:paraId="16454849" w14:textId="77777777" w:rsidR="005457B5" w:rsidRDefault="005457B5" w:rsidP="005457B5">
      <w:pPr>
        <w:spacing w:line="360" w:lineRule="auto"/>
        <w:ind w:left="1440"/>
        <w:jc w:val="both"/>
        <w:rPr>
          <w:rFonts w:ascii="David" w:hAnsi="David"/>
          <w:rtl/>
        </w:rPr>
      </w:pPr>
      <w:r>
        <w:rPr>
          <w:rStyle w:val="default"/>
          <w:rFonts w:ascii="David" w:hAnsi="David"/>
          <w:rtl/>
        </w:rPr>
        <w:t>"</w:t>
      </w:r>
      <w:r>
        <w:rPr>
          <w:rStyle w:val="default"/>
          <w:rFonts w:ascii="David" w:hAnsi="David"/>
          <w:b/>
          <w:bCs/>
          <w:rtl/>
        </w:rPr>
        <w:t>רשאי שוטר לתפוס חפץ, אם יש לו יסוד סביר להניח כי באותו חפץ נעברה, או עומדים לעבור, עבירה, או שהוא עשוי לשמש ראיה בהליך משפטי בשל עבירה, או שניתן כשכר בעד ביצוע עבירה או כאמצעי לביצועה</w:t>
      </w:r>
      <w:r>
        <w:rPr>
          <w:rStyle w:val="default"/>
          <w:rFonts w:ascii="David" w:hAnsi="David"/>
          <w:rtl/>
        </w:rPr>
        <w:t>".</w:t>
      </w:r>
    </w:p>
    <w:p w14:paraId="7AF2CFF7" w14:textId="77777777" w:rsidR="005457B5" w:rsidRDefault="005457B5" w:rsidP="005457B5">
      <w:pPr>
        <w:spacing w:line="360" w:lineRule="auto"/>
        <w:ind w:left="720"/>
        <w:jc w:val="both"/>
        <w:rPr>
          <w:rFonts w:ascii="David" w:hAnsi="David"/>
          <w:rtl/>
        </w:rPr>
      </w:pPr>
    </w:p>
    <w:p w14:paraId="50212074" w14:textId="77777777" w:rsidR="005457B5" w:rsidRDefault="005457B5" w:rsidP="005457B5">
      <w:pPr>
        <w:spacing w:line="360" w:lineRule="auto"/>
        <w:ind w:left="84" w:firstLine="636"/>
        <w:jc w:val="both"/>
        <w:rPr>
          <w:rFonts w:ascii="David" w:hAnsi="David"/>
          <w:rtl/>
        </w:rPr>
      </w:pPr>
      <w:r>
        <w:rPr>
          <w:rFonts w:ascii="David" w:hAnsi="David"/>
          <w:rtl/>
        </w:rPr>
        <w:t xml:space="preserve">ובהמשך, סעיף </w:t>
      </w:r>
      <w:hyperlink r:id="rId44" w:history="1">
        <w:r w:rsidR="0012165C" w:rsidRPr="0012165C">
          <w:rPr>
            <w:rStyle w:val="Hyperlink"/>
            <w:rFonts w:ascii="David" w:hAnsi="David"/>
            <w:rtl/>
          </w:rPr>
          <w:t>39</w:t>
        </w:r>
      </w:hyperlink>
      <w:r>
        <w:rPr>
          <w:rFonts w:ascii="David" w:hAnsi="David"/>
          <w:rtl/>
        </w:rPr>
        <w:t>:</w:t>
      </w:r>
    </w:p>
    <w:p w14:paraId="21E6E75F" w14:textId="77777777" w:rsidR="005457B5" w:rsidRDefault="005457B5" w:rsidP="005457B5">
      <w:pPr>
        <w:spacing w:line="360" w:lineRule="auto"/>
        <w:ind w:left="84" w:firstLine="636"/>
        <w:jc w:val="both"/>
        <w:rPr>
          <w:rFonts w:ascii="David" w:hAnsi="David"/>
          <w:rtl/>
        </w:rPr>
      </w:pPr>
    </w:p>
    <w:p w14:paraId="3246EA33" w14:textId="77777777" w:rsidR="005457B5" w:rsidRDefault="005457B5" w:rsidP="005457B5">
      <w:pPr>
        <w:spacing w:line="360" w:lineRule="auto"/>
        <w:ind w:left="1440"/>
        <w:jc w:val="both"/>
        <w:rPr>
          <w:rFonts w:ascii="David" w:hAnsi="David"/>
          <w:b/>
          <w:bCs/>
          <w:rtl/>
        </w:rPr>
      </w:pPr>
      <w:r>
        <w:rPr>
          <w:rStyle w:val="default"/>
          <w:rFonts w:ascii="David" w:hAnsi="David"/>
          <w:b/>
          <w:bCs/>
          <w:rtl/>
        </w:rPr>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65937354" w14:textId="77777777" w:rsidR="005457B5" w:rsidRDefault="005457B5" w:rsidP="005457B5">
      <w:pPr>
        <w:spacing w:line="360" w:lineRule="auto"/>
        <w:ind w:left="720"/>
        <w:jc w:val="both"/>
        <w:rPr>
          <w:rFonts w:ascii="David" w:hAnsi="David"/>
          <w:b/>
          <w:bCs/>
          <w:rtl/>
        </w:rPr>
      </w:pPr>
    </w:p>
    <w:p w14:paraId="64BC3E52" w14:textId="77777777" w:rsidR="005457B5" w:rsidRDefault="005457B5" w:rsidP="005457B5">
      <w:pPr>
        <w:spacing w:line="360" w:lineRule="auto"/>
        <w:ind w:left="720"/>
        <w:jc w:val="both"/>
        <w:rPr>
          <w:rFonts w:ascii="David" w:hAnsi="David"/>
          <w:rtl/>
        </w:rPr>
      </w:pPr>
      <w:r>
        <w:rPr>
          <w:rFonts w:ascii="David" w:hAnsi="David"/>
          <w:rtl/>
        </w:rPr>
        <w:t>הואיל וב"כ הנאשם, לא התייחס לבקשת המאשימה לחלט את הרכב האמור במסגרת הטיעונים לעונש, אפשרתי לו בהחלטתי מיום 28.04.2021 להשלים את טיעוניו בנוגע לסוגיה זו.</w:t>
      </w:r>
    </w:p>
    <w:p w14:paraId="24AFC3B5" w14:textId="77777777" w:rsidR="005457B5" w:rsidRDefault="005457B5" w:rsidP="005457B5">
      <w:pPr>
        <w:spacing w:line="360" w:lineRule="auto"/>
        <w:ind w:left="720"/>
        <w:jc w:val="both"/>
        <w:rPr>
          <w:rFonts w:ascii="David" w:hAnsi="David"/>
          <w:rtl/>
        </w:rPr>
      </w:pPr>
    </w:p>
    <w:p w14:paraId="05F3AA29" w14:textId="77777777" w:rsidR="005457B5" w:rsidRDefault="005457B5" w:rsidP="005457B5">
      <w:pPr>
        <w:spacing w:line="360" w:lineRule="auto"/>
        <w:ind w:left="720"/>
        <w:jc w:val="both"/>
        <w:rPr>
          <w:rFonts w:ascii="David" w:hAnsi="David"/>
          <w:rtl/>
        </w:rPr>
      </w:pPr>
      <w:r>
        <w:rPr>
          <w:rFonts w:ascii="David" w:hAnsi="David"/>
          <w:rtl/>
        </w:rPr>
        <w:t>ביום 29.04.2021 הוגשה תגובת בא-כוחו של הנאשם לסוגית חילוט הרכב, ובה נטען, כי המחוקק הותיר את שיקול-הדעת הבלעדי לבית המשפט, על-מנת שיבחן שיקולים נוספים, אשר אינם קשורים בהכרח למהות העבירה.</w:t>
      </w:r>
    </w:p>
    <w:p w14:paraId="6FD38B3B" w14:textId="77777777" w:rsidR="005457B5" w:rsidRDefault="005457B5" w:rsidP="005457B5">
      <w:pPr>
        <w:spacing w:line="360" w:lineRule="auto"/>
        <w:ind w:left="720"/>
        <w:jc w:val="both"/>
        <w:rPr>
          <w:rFonts w:ascii="David" w:hAnsi="David"/>
          <w:rtl/>
        </w:rPr>
      </w:pPr>
    </w:p>
    <w:p w14:paraId="21915A4F" w14:textId="77777777" w:rsidR="005457B5" w:rsidRDefault="005457B5" w:rsidP="005457B5">
      <w:pPr>
        <w:spacing w:line="360" w:lineRule="auto"/>
        <w:ind w:left="720"/>
        <w:jc w:val="both"/>
        <w:rPr>
          <w:rFonts w:ascii="David" w:hAnsi="David"/>
          <w:rtl/>
        </w:rPr>
      </w:pPr>
      <w:r>
        <w:rPr>
          <w:rFonts w:ascii="David" w:hAnsi="David"/>
          <w:rtl/>
        </w:rPr>
        <w:t>בענייננו, כך נטען, מצבו הכלכלי של הנאשם רע, וזאת גם נוכח היותו בתנאי מעצר בית מלא בפיקוח אלקטרוני, מבלי שיכול היה לצאת ולפרנס את משפחתו. גם לאשתו של הנאשם, כך אליבא דסנגור, לא התאפשר להתפרנס הואיל והיא הייתה המפקחת העיקרית על הנאשם.</w:t>
      </w:r>
    </w:p>
    <w:p w14:paraId="6042568C" w14:textId="77777777" w:rsidR="005457B5" w:rsidRDefault="005457B5" w:rsidP="005457B5">
      <w:pPr>
        <w:spacing w:line="360" w:lineRule="auto"/>
        <w:ind w:left="720"/>
        <w:jc w:val="both"/>
        <w:rPr>
          <w:rFonts w:ascii="David" w:hAnsi="David"/>
          <w:rtl/>
        </w:rPr>
      </w:pPr>
    </w:p>
    <w:p w14:paraId="6BFF2E7F" w14:textId="77777777" w:rsidR="005457B5" w:rsidRDefault="005457B5" w:rsidP="005457B5">
      <w:pPr>
        <w:spacing w:line="360" w:lineRule="auto"/>
        <w:ind w:left="720"/>
        <w:jc w:val="both"/>
        <w:rPr>
          <w:rFonts w:ascii="David" w:hAnsi="David"/>
          <w:rtl/>
        </w:rPr>
      </w:pPr>
      <w:r>
        <w:rPr>
          <w:rFonts w:ascii="David" w:hAnsi="David"/>
          <w:rtl/>
        </w:rPr>
        <w:t>נוכח האמור לעיל, סבר ב"כ הנאשם, כי חילוט הרכב חוטא למטרה, ומהווה עונש כפול, הואיל והרכב הוא נכס בעל ערך רב, אשר יכול לסייע לשיקומו הכלכלי של הנאשם ומשפחתו.</w:t>
      </w:r>
    </w:p>
    <w:p w14:paraId="37A79EB8" w14:textId="77777777" w:rsidR="005457B5" w:rsidRDefault="005457B5" w:rsidP="005457B5">
      <w:pPr>
        <w:spacing w:line="360" w:lineRule="auto"/>
        <w:ind w:left="720"/>
        <w:jc w:val="both"/>
        <w:rPr>
          <w:rFonts w:ascii="David" w:hAnsi="David"/>
          <w:rtl/>
        </w:rPr>
      </w:pPr>
    </w:p>
    <w:p w14:paraId="3480D7EE" w14:textId="77777777" w:rsidR="005457B5" w:rsidRDefault="005457B5" w:rsidP="005457B5">
      <w:pPr>
        <w:spacing w:line="360" w:lineRule="auto"/>
        <w:ind w:left="720"/>
        <w:jc w:val="both"/>
        <w:rPr>
          <w:rFonts w:ascii="David" w:hAnsi="David"/>
          <w:rtl/>
        </w:rPr>
      </w:pPr>
      <w:r>
        <w:rPr>
          <w:rFonts w:ascii="David" w:hAnsi="David"/>
          <w:rtl/>
        </w:rPr>
        <w:t>בענייננו, מחד-גיסא, מתקיימים התנאים המצטברים הנדרשים לחילוט הרכב: ברכב בוצעה העבירה, הנאשם – בעל הרכב הורשע בדין, והרשעתו מתייחסת לעבירה, אשר בוצעה ברכב.</w:t>
      </w:r>
    </w:p>
    <w:p w14:paraId="4DE88C31" w14:textId="77777777" w:rsidR="005457B5" w:rsidRDefault="005457B5" w:rsidP="005457B5">
      <w:pPr>
        <w:spacing w:line="360" w:lineRule="auto"/>
        <w:ind w:left="720"/>
        <w:jc w:val="both"/>
        <w:rPr>
          <w:rFonts w:ascii="David" w:hAnsi="David"/>
          <w:rtl/>
        </w:rPr>
      </w:pPr>
      <w:r>
        <w:rPr>
          <w:rFonts w:ascii="David" w:hAnsi="David"/>
          <w:rtl/>
        </w:rPr>
        <w:t xml:space="preserve">אפנה לדבריו של כב' השופט א. א. לוי ז"ל ב- </w:t>
      </w:r>
      <w:hyperlink r:id="rId45" w:history="1">
        <w:r w:rsidR="002E4C8D" w:rsidRPr="002E4C8D">
          <w:rPr>
            <w:rFonts w:ascii="David" w:hAnsi="David"/>
            <w:color w:val="0000FF"/>
            <w:u w:val="single"/>
            <w:rtl/>
          </w:rPr>
          <w:t>ע"פ 6234/03</w:t>
        </w:r>
      </w:hyperlink>
      <w:r>
        <w:rPr>
          <w:rFonts w:ascii="David" w:hAnsi="David"/>
          <w:rtl/>
        </w:rPr>
        <w:t xml:space="preserve"> </w:t>
      </w:r>
      <w:r>
        <w:rPr>
          <w:rFonts w:ascii="David" w:hAnsi="David"/>
          <w:b/>
          <w:bCs/>
          <w:rtl/>
        </w:rPr>
        <w:t>מדינת ישראל נ' מראד זיתאווי</w:t>
      </w:r>
      <w:r>
        <w:rPr>
          <w:rFonts w:ascii="David" w:hAnsi="David"/>
          <w:rtl/>
        </w:rPr>
        <w:t xml:space="preserve"> </w:t>
      </w:r>
      <w:r w:rsidR="0010775A" w:rsidRPr="0010775A">
        <w:rPr>
          <w:sz w:val="22"/>
          <w:rtl/>
        </w:rPr>
        <w:t xml:space="preserve">[פורסם בנבו] </w:t>
      </w:r>
      <w:r>
        <w:rPr>
          <w:rFonts w:ascii="David" w:hAnsi="David"/>
          <w:rtl/>
        </w:rPr>
        <w:t>(09.03.2005) (להלן: "</w:t>
      </w:r>
      <w:r>
        <w:rPr>
          <w:rFonts w:ascii="David" w:hAnsi="David"/>
          <w:b/>
          <w:bCs/>
          <w:rtl/>
        </w:rPr>
        <w:t>עניין זיתאווי</w:t>
      </w:r>
      <w:r>
        <w:rPr>
          <w:rFonts w:ascii="David" w:hAnsi="David"/>
          <w:rtl/>
        </w:rPr>
        <w:t>"), פסקה 5:</w:t>
      </w:r>
    </w:p>
    <w:p w14:paraId="6D571F9F" w14:textId="77777777" w:rsidR="005457B5" w:rsidRDefault="005457B5" w:rsidP="0010775A">
      <w:pPr>
        <w:pStyle w:val="ruller42"/>
        <w:ind w:left="1440"/>
        <w:rPr>
          <w:rtl/>
        </w:rPr>
      </w:pPr>
      <w:r>
        <w:rPr>
          <w:rFonts w:cs="FrankRuehl"/>
          <w:sz w:val="28"/>
          <w:szCs w:val="28"/>
          <w:rtl/>
        </w:rPr>
        <w:t>"</w:t>
      </w:r>
      <w:r>
        <w:rPr>
          <w:rFonts w:ascii="David" w:hAnsi="David" w:cs="David"/>
          <w:b/>
          <w:bCs/>
          <w:sz w:val="24"/>
          <w:szCs w:val="24"/>
          <w:rtl/>
        </w:rPr>
        <w:t>השילוב שבין הסעיפים מלמד כי הפעלתה של סמכות החילוט מותנית בקיומם של תנאים מצטברים אלה: בחפץ שנתפש בוצעה עבירה או עומדים לבצע עבירה; בעל החפץ הורשע בדינו והרשעתו מתייחסת למעשה שנעשה בחפץ או לגביו. (</w:t>
      </w:r>
      <w:hyperlink r:id="rId46" w:history="1">
        <w:r w:rsidR="002E4C8D" w:rsidRPr="002E4C8D">
          <w:rPr>
            <w:rFonts w:ascii="David" w:hAnsi="David" w:cs="David"/>
            <w:b/>
            <w:bCs/>
            <w:color w:val="0000FF"/>
            <w:sz w:val="24"/>
            <w:szCs w:val="24"/>
            <w:u w:val="single"/>
            <w:rtl/>
          </w:rPr>
          <w:t>ע"פ 623/78</w:t>
        </w:r>
      </w:hyperlink>
      <w:r w:rsidRPr="002E4C8D">
        <w:rPr>
          <w:rFonts w:ascii="David" w:hAnsi="David" w:cs="David"/>
          <w:b/>
          <w:bCs/>
          <w:color w:val="000000"/>
          <w:sz w:val="24"/>
          <w:szCs w:val="24"/>
          <w:rtl/>
        </w:rPr>
        <w:t xml:space="preserve"> סורני נ' מדינת ישראל, פ"ד לג</w:t>
      </w:r>
      <w:r>
        <w:rPr>
          <w:rFonts w:ascii="David" w:hAnsi="David" w:cs="David"/>
          <w:b/>
          <w:bCs/>
          <w:sz w:val="24"/>
          <w:szCs w:val="24"/>
          <w:rtl/>
        </w:rPr>
        <w:t xml:space="preserve">(3), 523; </w:t>
      </w:r>
      <w:hyperlink r:id="rId47" w:history="1">
        <w:r w:rsidR="002E4C8D" w:rsidRPr="002E4C8D">
          <w:rPr>
            <w:rFonts w:ascii="David" w:hAnsi="David" w:cs="David"/>
            <w:b/>
            <w:bCs/>
            <w:color w:val="0000FF"/>
            <w:sz w:val="24"/>
            <w:szCs w:val="24"/>
            <w:u w:val="single"/>
            <w:rtl/>
          </w:rPr>
          <w:t>ע"פ 4148/92</w:t>
        </w:r>
      </w:hyperlink>
      <w:r>
        <w:rPr>
          <w:rFonts w:ascii="David" w:hAnsi="David" w:cs="David"/>
          <w:b/>
          <w:bCs/>
          <w:sz w:val="24"/>
          <w:szCs w:val="24"/>
          <w:rtl/>
        </w:rPr>
        <w:t xml:space="preserve"> </w:t>
      </w:r>
      <w:r>
        <w:rPr>
          <w:rFonts w:ascii="David" w:hAnsi="David" w:cs="David"/>
          <w:b/>
          <w:bCs/>
          <w:spacing w:val="0"/>
          <w:sz w:val="24"/>
          <w:szCs w:val="24"/>
          <w:rtl/>
        </w:rPr>
        <w:t>חוסין מועד נ' מדינת ישראל</w:t>
      </w:r>
      <w:r>
        <w:rPr>
          <w:rFonts w:ascii="David" w:hAnsi="David" w:cs="David"/>
          <w:b/>
          <w:bCs/>
          <w:sz w:val="24"/>
          <w:szCs w:val="24"/>
          <w:rtl/>
        </w:rPr>
        <w:t>, לא פורסם</w:t>
      </w:r>
      <w:r w:rsidR="0010775A">
        <w:rPr>
          <w:rFonts w:ascii="David" w:hAnsi="David" w:cs="David" w:hint="cs"/>
          <w:b/>
          <w:bCs/>
          <w:sz w:val="24"/>
          <w:szCs w:val="24"/>
          <w:rtl/>
        </w:rPr>
        <w:t xml:space="preserve"> </w:t>
      </w:r>
      <w:r w:rsidR="0010775A" w:rsidRPr="0010775A">
        <w:rPr>
          <w:rFonts w:ascii="Times New Roman" w:hAnsi="Times New Roman" w:cs="David"/>
          <w:b/>
          <w:bCs/>
          <w:spacing w:val="0"/>
          <w:szCs w:val="24"/>
          <w:rtl/>
        </w:rPr>
        <w:t>[פורסם בנבו]</w:t>
      </w:r>
      <w:r>
        <w:rPr>
          <w:rFonts w:ascii="David" w:hAnsi="David" w:cs="David"/>
          <w:b/>
          <w:bCs/>
          <w:sz w:val="24"/>
          <w:szCs w:val="24"/>
          <w:rtl/>
        </w:rPr>
        <w:t xml:space="preserve">). </w:t>
      </w:r>
      <w:r w:rsidRPr="002E4C8D">
        <w:rPr>
          <w:rFonts w:ascii="David" w:hAnsi="David" w:cs="David"/>
          <w:b/>
          <w:bCs/>
          <w:color w:val="000000"/>
          <w:sz w:val="24"/>
          <w:szCs w:val="24"/>
          <w:rtl/>
        </w:rPr>
        <w:t>סעיף 39(א)</w:t>
      </w:r>
      <w:r>
        <w:rPr>
          <w:rFonts w:ascii="David" w:hAnsi="David" w:cs="David"/>
          <w:b/>
          <w:bCs/>
          <w:sz w:val="24"/>
          <w:szCs w:val="24"/>
          <w:rtl/>
        </w:rPr>
        <w:t xml:space="preserve"> לפקודה אשר נועד לפגוע בזכות קניינו של העבריין קובע כי דינו של החילוט כדין עונש שהוטל על הנאשם, וככל הוראה עונשית יש להעניק לה פרשנות מצמצמת, הואיל והיא נועדה לפגוע במעורבים במעשה הפלילי עצמו, ולא באלה שאין להם זיקה אליו או שזיקתם רופפת (</w:t>
      </w:r>
      <w:hyperlink r:id="rId48" w:history="1">
        <w:r w:rsidR="002E4C8D" w:rsidRPr="002E4C8D">
          <w:rPr>
            <w:rFonts w:ascii="David" w:hAnsi="David" w:cs="David"/>
            <w:b/>
            <w:bCs/>
            <w:color w:val="0000FF"/>
            <w:sz w:val="24"/>
            <w:szCs w:val="24"/>
            <w:u w:val="single"/>
            <w:rtl/>
          </w:rPr>
          <w:t>ע"פ 1982/93</w:t>
        </w:r>
      </w:hyperlink>
      <w:r w:rsidRPr="002E4C8D">
        <w:rPr>
          <w:rFonts w:ascii="David" w:hAnsi="David" w:cs="David"/>
          <w:b/>
          <w:bCs/>
          <w:color w:val="000000"/>
          <w:sz w:val="24"/>
          <w:szCs w:val="24"/>
          <w:rtl/>
        </w:rPr>
        <w:t xml:space="preserve"> בנק לאומי לישראל בע"מ נ' מדינת ישראל, פ"ד מח</w:t>
      </w:r>
      <w:r>
        <w:rPr>
          <w:rFonts w:ascii="David" w:hAnsi="David" w:cs="David"/>
          <w:b/>
          <w:bCs/>
          <w:sz w:val="24"/>
          <w:szCs w:val="24"/>
          <w:rtl/>
        </w:rPr>
        <w:t>(3), 238)</w:t>
      </w:r>
      <w:r>
        <w:rPr>
          <w:rFonts w:cs="FrankRuehl"/>
          <w:sz w:val="28"/>
          <w:szCs w:val="28"/>
          <w:rtl/>
        </w:rPr>
        <w:t>".</w:t>
      </w:r>
    </w:p>
    <w:p w14:paraId="4264FF36" w14:textId="77777777" w:rsidR="005457B5" w:rsidRDefault="005457B5" w:rsidP="005457B5">
      <w:pPr>
        <w:spacing w:line="360" w:lineRule="auto"/>
        <w:jc w:val="both"/>
        <w:rPr>
          <w:rFonts w:ascii="David" w:hAnsi="David"/>
          <w:rtl/>
        </w:rPr>
      </w:pPr>
      <w:r>
        <w:rPr>
          <w:rFonts w:ascii="David" w:hAnsi="David"/>
          <w:rtl/>
        </w:rPr>
        <w:tab/>
      </w:r>
    </w:p>
    <w:p w14:paraId="379F9C8D" w14:textId="77777777" w:rsidR="005457B5" w:rsidRDefault="005457B5" w:rsidP="005457B5">
      <w:pPr>
        <w:spacing w:line="360" w:lineRule="auto"/>
        <w:ind w:left="720"/>
        <w:jc w:val="both"/>
        <w:rPr>
          <w:rFonts w:ascii="David" w:hAnsi="David"/>
          <w:rtl/>
        </w:rPr>
      </w:pPr>
      <w:r>
        <w:rPr>
          <w:rFonts w:ascii="David" w:hAnsi="David"/>
          <w:rtl/>
        </w:rPr>
        <w:t>מאידך גיסא, פסיקת בית המשפט העליון קבעה, וזאת אף בשים-לב ללשון החוק, כי סמכות החילוט, אשר נתונה לבית המשפט היא סמכות שברשות, וכי יש להביא בחשבון את השלכותיה, ואת אופן השתלבותה בענישה הכוללת של הנאשם.</w:t>
      </w:r>
    </w:p>
    <w:p w14:paraId="01459036" w14:textId="77777777" w:rsidR="005457B5" w:rsidRDefault="005457B5" w:rsidP="005457B5">
      <w:pPr>
        <w:spacing w:line="360" w:lineRule="auto"/>
        <w:ind w:left="720"/>
        <w:jc w:val="both"/>
        <w:rPr>
          <w:rFonts w:ascii="David" w:hAnsi="David"/>
          <w:rtl/>
        </w:rPr>
      </w:pPr>
    </w:p>
    <w:p w14:paraId="64BA29ED" w14:textId="77777777" w:rsidR="005457B5" w:rsidRDefault="005457B5" w:rsidP="005457B5">
      <w:pPr>
        <w:spacing w:line="360" w:lineRule="auto"/>
        <w:ind w:firstLine="720"/>
        <w:jc w:val="both"/>
        <w:rPr>
          <w:rFonts w:ascii="David" w:hAnsi="David"/>
          <w:rtl/>
        </w:rPr>
      </w:pPr>
      <w:r>
        <w:rPr>
          <w:rFonts w:ascii="David" w:hAnsi="David"/>
          <w:rtl/>
        </w:rPr>
        <w:t>אפנה לעניין זיתאווי, פסקה 6:</w:t>
      </w:r>
    </w:p>
    <w:p w14:paraId="54E75FC9" w14:textId="77777777" w:rsidR="005457B5" w:rsidRDefault="005457B5" w:rsidP="005457B5">
      <w:pPr>
        <w:spacing w:line="360" w:lineRule="auto"/>
        <w:ind w:firstLine="720"/>
        <w:jc w:val="both"/>
        <w:rPr>
          <w:rFonts w:ascii="David" w:hAnsi="David"/>
        </w:rPr>
      </w:pPr>
    </w:p>
    <w:p w14:paraId="4B527C88" w14:textId="77777777" w:rsidR="005457B5" w:rsidRDefault="005457B5" w:rsidP="005457B5">
      <w:pPr>
        <w:spacing w:line="360" w:lineRule="auto"/>
        <w:ind w:left="1440"/>
        <w:jc w:val="both"/>
        <w:rPr>
          <w:rFonts w:ascii="David" w:hAnsi="David"/>
          <w:rtl/>
        </w:rPr>
      </w:pPr>
      <w:r>
        <w:rPr>
          <w:rFonts w:ascii="David" w:hAnsi="David"/>
          <w:rtl/>
        </w:rPr>
        <w:t>"</w:t>
      </w:r>
      <w:r>
        <w:rPr>
          <w:rFonts w:ascii="David" w:hAnsi="David"/>
          <w:b/>
          <w:bCs/>
          <w:rtl/>
        </w:rPr>
        <w:t xml:space="preserve">אכן, המכונית שימשה בידי המערער כלי בלעדיו היה מתקשה להפיל את המתלוננת ברשתו ולבצע בה את העבירות בהן הורשע. </w:t>
      </w:r>
      <w:r>
        <w:rPr>
          <w:rFonts w:ascii="David" w:hAnsi="David"/>
          <w:b/>
          <w:bCs/>
          <w:u w:val="single"/>
          <w:rtl/>
        </w:rPr>
        <w:t>אולם, אותה סמכות חילוט היא סמכות שברשות, ובטרם יעשה בה בית המשפט שימוש, הוא מצווה לתת את דעתו גם על השלכותיה, וכיצד היא משתלבת במערך רכיביו האחרים של העונש. אכן, בנסיבות אחרות ראוי גם ראוי היה להורות על חילוט המכונית, אולם משנגזר למערער עונש מאסר, אותו אני מציע להאריך, סבורני כי בית המשפט המחוזי היה רשאי לקבוע כי בחילוט גלומה הכבדה מעבר לנדרש, ועל כן נכון להימנע ממנה</w:t>
      </w:r>
      <w:r>
        <w:rPr>
          <w:rFonts w:ascii="David" w:hAnsi="David"/>
          <w:rtl/>
        </w:rPr>
        <w:t>". (ההדגשה אינה במקור).</w:t>
      </w:r>
    </w:p>
    <w:p w14:paraId="3680576E" w14:textId="77777777" w:rsidR="005457B5" w:rsidRDefault="005457B5" w:rsidP="005457B5">
      <w:pPr>
        <w:spacing w:line="360" w:lineRule="auto"/>
        <w:jc w:val="both"/>
        <w:rPr>
          <w:rFonts w:ascii="David" w:hAnsi="David"/>
          <w:rtl/>
        </w:rPr>
      </w:pPr>
    </w:p>
    <w:p w14:paraId="74A6F19F" w14:textId="77777777" w:rsidR="005457B5" w:rsidRDefault="005457B5" w:rsidP="005457B5">
      <w:pPr>
        <w:spacing w:line="360" w:lineRule="auto"/>
        <w:ind w:left="720"/>
        <w:jc w:val="both"/>
        <w:rPr>
          <w:rFonts w:ascii="David" w:hAnsi="David"/>
          <w:rtl/>
        </w:rPr>
      </w:pPr>
      <w:r>
        <w:rPr>
          <w:rFonts w:ascii="David" w:hAnsi="David"/>
          <w:rtl/>
        </w:rPr>
        <w:t>וכן לדבריו של כב' השופט י. אלרון ב-</w:t>
      </w:r>
      <w:hyperlink r:id="rId49" w:history="1">
        <w:r w:rsidR="002E4C8D" w:rsidRPr="002E4C8D">
          <w:rPr>
            <w:rFonts w:ascii="David" w:hAnsi="David"/>
            <w:color w:val="0000FF"/>
            <w:u w:val="single"/>
            <w:rtl/>
          </w:rPr>
          <w:t>ע"פ 9104-20</w:t>
        </w:r>
      </w:hyperlink>
      <w:r>
        <w:rPr>
          <w:rFonts w:ascii="David" w:hAnsi="David"/>
          <w:rtl/>
        </w:rPr>
        <w:t xml:space="preserve"> </w:t>
      </w:r>
      <w:r>
        <w:rPr>
          <w:rFonts w:ascii="David" w:hAnsi="David"/>
          <w:b/>
          <w:bCs/>
          <w:rtl/>
        </w:rPr>
        <w:t>מדינת ישראל נ' דוד טבצ'ניקוב</w:t>
      </w:r>
      <w:r>
        <w:rPr>
          <w:rFonts w:ascii="David" w:hAnsi="David"/>
          <w:rtl/>
        </w:rPr>
        <w:t xml:space="preserve"> </w:t>
      </w:r>
      <w:r w:rsidR="0010775A" w:rsidRPr="0010775A">
        <w:rPr>
          <w:sz w:val="22"/>
          <w:rtl/>
        </w:rPr>
        <w:t xml:space="preserve">[פורסם בנבו] </w:t>
      </w:r>
      <w:r>
        <w:rPr>
          <w:rFonts w:ascii="David" w:hAnsi="David"/>
          <w:rtl/>
        </w:rPr>
        <w:t>(04.03.2021), פסקה 3:</w:t>
      </w:r>
    </w:p>
    <w:p w14:paraId="439058B9" w14:textId="77777777" w:rsidR="005457B5" w:rsidRDefault="005457B5" w:rsidP="005457B5">
      <w:pPr>
        <w:pStyle w:val="Ruller41"/>
        <w:spacing w:before="240" w:after="240"/>
        <w:ind w:left="1440"/>
        <w:rPr>
          <w:rFonts w:ascii="David" w:hAnsi="David" w:cs="David"/>
          <w:rtl/>
        </w:rPr>
      </w:pPr>
      <w:r>
        <w:rPr>
          <w:rFonts w:ascii="David" w:hAnsi="David" w:cs="David"/>
          <w:b/>
          <w:bCs/>
          <w:rtl/>
        </w:rPr>
        <w:t xml:space="preserve">"מנגד, איני סבור כי עלינו להתערב בהחלטת בית המשפט המחוזי שלא להורות על חילוט רכבו של המשיב. </w:t>
      </w:r>
      <w:r>
        <w:rPr>
          <w:rFonts w:ascii="David" w:hAnsi="David" w:cs="David"/>
          <w:b/>
          <w:bCs/>
          <w:u w:val="single"/>
          <w:rtl/>
        </w:rPr>
        <w:t xml:space="preserve">זאת, בפרט בשים לב כי סמכותו של בית המשפט להורות על חילוט רכוש על פי </w:t>
      </w:r>
      <w:r w:rsidRPr="002E4C8D">
        <w:rPr>
          <w:rFonts w:ascii="David" w:hAnsi="David" w:cs="David"/>
          <w:b/>
          <w:bCs/>
          <w:color w:val="000000"/>
          <w:rtl/>
        </w:rPr>
        <w:t>סעיפים 32</w:t>
      </w:r>
      <w:r>
        <w:rPr>
          <w:rFonts w:ascii="David" w:hAnsi="David" w:cs="David"/>
          <w:b/>
          <w:bCs/>
          <w:u w:val="single"/>
          <w:rtl/>
        </w:rPr>
        <w:t xml:space="preserve"> ו-</w:t>
      </w:r>
      <w:r w:rsidRPr="002E4C8D">
        <w:rPr>
          <w:rFonts w:ascii="David" w:hAnsi="David" w:cs="David"/>
          <w:b/>
          <w:bCs/>
          <w:color w:val="000000"/>
          <w:rtl/>
        </w:rPr>
        <w:t>39</w:t>
      </w:r>
      <w:r>
        <w:rPr>
          <w:rFonts w:ascii="David" w:hAnsi="David" w:cs="David"/>
          <w:b/>
          <w:bCs/>
          <w:u w:val="single"/>
          <w:rtl/>
        </w:rPr>
        <w:t xml:space="preserve"> ל</w:t>
      </w:r>
      <w:hyperlink r:id="rId50" w:history="1">
        <w:r w:rsidR="002E4C8D" w:rsidRPr="002E4C8D">
          <w:rPr>
            <w:rFonts w:ascii="David" w:hAnsi="David" w:cs="David"/>
            <w:b/>
            <w:bCs/>
            <w:color w:val="0000FF"/>
            <w:u w:val="single"/>
            <w:rtl/>
          </w:rPr>
          <w:t>פקודת סדר הדין הפלילי (מעצר וחיפוש)</w:t>
        </w:r>
      </w:hyperlink>
      <w:r>
        <w:rPr>
          <w:rFonts w:ascii="David" w:hAnsi="David" w:cs="David"/>
          <w:b/>
          <w:bCs/>
          <w:u w:val="single"/>
          <w:rtl/>
        </w:rPr>
        <w:t xml:space="preserve"> [נוסח חדש], התשכ"ט–1969, היא סמכות שבשיקול דעת, אשר הפעלתה תלויה בין היתר בהשלכות חילוט הרכוש ובהשתלבותו במערך הענישה הכולל שיושת על הנאשם</w:t>
      </w:r>
      <w:r>
        <w:rPr>
          <w:rFonts w:ascii="David" w:hAnsi="David" w:cs="David"/>
          <w:b/>
          <w:bCs/>
          <w:rtl/>
        </w:rPr>
        <w:t xml:space="preserve"> (</w:t>
      </w:r>
      <w:hyperlink r:id="rId51" w:history="1">
        <w:r w:rsidR="0010775A" w:rsidRPr="0010775A">
          <w:rPr>
            <w:rStyle w:val="Hyperlink"/>
            <w:rFonts w:ascii="David" w:hAnsi="David" w:cs="David"/>
            <w:b/>
            <w:bCs/>
            <w:rtl/>
          </w:rPr>
          <w:t>רע"פ 4105/16</w:t>
        </w:r>
      </w:hyperlink>
      <w:r>
        <w:rPr>
          <w:rFonts w:ascii="David" w:hAnsi="David" w:cs="David"/>
          <w:b/>
          <w:bCs/>
          <w:rtl/>
        </w:rPr>
        <w:t xml:space="preserve"> </w:t>
      </w:r>
      <w:r>
        <w:rPr>
          <w:rFonts w:ascii="David" w:hAnsi="David" w:cs="David"/>
          <w:b/>
          <w:bCs/>
          <w:spacing w:val="0"/>
          <w:rtl/>
        </w:rPr>
        <w:t>גאבר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פסקה ט' (2.1.2007); </w:t>
      </w:r>
      <w:hyperlink r:id="rId52" w:history="1">
        <w:r w:rsidR="002E4C8D" w:rsidRPr="002E4C8D">
          <w:rPr>
            <w:rFonts w:ascii="David" w:hAnsi="David" w:cs="David"/>
            <w:b/>
            <w:bCs/>
            <w:color w:val="0000FF"/>
            <w:u w:val="single"/>
            <w:rtl/>
          </w:rPr>
          <w:t>ע"פ 6234/03</w:t>
        </w:r>
      </w:hyperlink>
      <w:r>
        <w:rPr>
          <w:rFonts w:ascii="David" w:hAnsi="David" w:cs="David"/>
          <w:b/>
          <w:bCs/>
          <w:rtl/>
        </w:rPr>
        <w:t xml:space="preserve"> </w:t>
      </w:r>
      <w:r>
        <w:rPr>
          <w:rFonts w:ascii="David" w:hAnsi="David" w:cs="David"/>
          <w:b/>
          <w:bCs/>
          <w:spacing w:val="0"/>
          <w:rtl/>
        </w:rPr>
        <w:t>מדינת ישראל נ' זיתאווי</w:t>
      </w:r>
      <w:r>
        <w:rPr>
          <w:rFonts w:ascii="David" w:hAnsi="David" w:cs="David"/>
          <w:b/>
          <w:bCs/>
          <w:rtl/>
        </w:rPr>
        <w:t xml:space="preserve">, </w:t>
      </w:r>
      <w:r w:rsidR="0010775A" w:rsidRPr="0010775A">
        <w:rPr>
          <w:rFonts w:ascii="Times New Roman" w:hAnsi="Times New Roman" w:cs="David"/>
          <w:b/>
          <w:bCs/>
          <w:spacing w:val="0"/>
          <w:sz w:val="22"/>
          <w:rtl/>
        </w:rPr>
        <w:t xml:space="preserve">[פורסם בנבו] </w:t>
      </w:r>
      <w:r>
        <w:rPr>
          <w:rFonts w:ascii="David" w:hAnsi="David" w:cs="David"/>
          <w:b/>
          <w:bCs/>
          <w:rtl/>
        </w:rPr>
        <w:t xml:space="preserve">פסקה 6 (9.3.2005))". </w:t>
      </w:r>
      <w:r>
        <w:rPr>
          <w:rFonts w:ascii="David" w:hAnsi="David" w:cs="David"/>
          <w:rtl/>
        </w:rPr>
        <w:t>(ההדגשה אינה במקור).</w:t>
      </w:r>
    </w:p>
    <w:p w14:paraId="13A883B5" w14:textId="77777777" w:rsidR="005457B5" w:rsidRDefault="005457B5" w:rsidP="005457B5">
      <w:pPr>
        <w:spacing w:line="360" w:lineRule="auto"/>
        <w:jc w:val="both"/>
        <w:rPr>
          <w:rFonts w:ascii="David" w:hAnsi="David"/>
          <w:rtl/>
        </w:rPr>
      </w:pPr>
    </w:p>
    <w:p w14:paraId="42D169B5" w14:textId="77777777" w:rsidR="005457B5" w:rsidRDefault="005457B5" w:rsidP="005457B5">
      <w:pPr>
        <w:spacing w:line="360" w:lineRule="auto"/>
        <w:ind w:left="720"/>
        <w:jc w:val="both"/>
        <w:rPr>
          <w:rFonts w:ascii="David" w:hAnsi="David"/>
          <w:rtl/>
        </w:rPr>
      </w:pPr>
      <w:r>
        <w:rPr>
          <w:rFonts w:ascii="David" w:hAnsi="David"/>
          <w:rtl/>
        </w:rPr>
        <w:t>בנסיבות המקרה שבפנינו, לרבות נסיבותיו האישיות של הנאשם, עונש המאסר שהוטל עליו, וכן על-מנת לאפשר לנאשם לפתוח "דף חדש" לאחר שחרורו מן המאסר, סבורני, כי אין מקום לחלט את הרכב, וכך אני מורה.</w:t>
      </w:r>
    </w:p>
    <w:p w14:paraId="76D10C02" w14:textId="77777777" w:rsidR="005457B5" w:rsidRDefault="005457B5" w:rsidP="005457B5">
      <w:pPr>
        <w:spacing w:line="360" w:lineRule="auto"/>
        <w:jc w:val="both"/>
        <w:rPr>
          <w:rFonts w:ascii="David" w:hAnsi="David"/>
          <w:rtl/>
        </w:rPr>
      </w:pPr>
      <w:r>
        <w:rPr>
          <w:rFonts w:ascii="David" w:hAnsi="David"/>
          <w:rtl/>
        </w:rPr>
        <w:tab/>
      </w:r>
    </w:p>
    <w:p w14:paraId="4CC69EF7" w14:textId="77777777" w:rsidR="005457B5" w:rsidRDefault="005457B5" w:rsidP="005457B5">
      <w:pPr>
        <w:spacing w:line="360" w:lineRule="auto"/>
        <w:ind w:left="720" w:hanging="720"/>
        <w:jc w:val="both"/>
        <w:rPr>
          <w:rFonts w:ascii="David" w:hAnsi="David"/>
          <w:rtl/>
        </w:rPr>
      </w:pPr>
      <w:r>
        <w:rPr>
          <w:rFonts w:ascii="David" w:hAnsi="David"/>
          <w:rtl/>
        </w:rPr>
        <w:t>19.</w:t>
      </w:r>
      <w:r>
        <w:rPr>
          <w:rFonts w:ascii="David" w:hAnsi="David"/>
          <w:rtl/>
        </w:rPr>
        <w:tab/>
        <w:t>בשקלול הנסיבות והנתונים השונים אני קובע, כי העונש הראוי בנסיבות הוא עונש של 18 חודשי מאסר בפועל, בניכוי ימי המעצר בהם נשא הנאשם עד כה מכוח המעצר עד תום ההליכים אשר הושת עליו, בין התאריכים 17.12.2019-27.01.2020.</w:t>
      </w:r>
    </w:p>
    <w:p w14:paraId="7ACD357B" w14:textId="77777777" w:rsidR="005457B5" w:rsidRPr="00686295" w:rsidRDefault="005457B5" w:rsidP="005457B5">
      <w:pPr>
        <w:spacing w:line="360" w:lineRule="auto"/>
        <w:ind w:left="720" w:hanging="720"/>
        <w:jc w:val="both"/>
        <w:rPr>
          <w:rFonts w:ascii="David" w:hAnsi="David"/>
          <w:spacing w:val="10"/>
        </w:rPr>
      </w:pPr>
    </w:p>
    <w:p w14:paraId="2D89A207" w14:textId="77777777" w:rsidR="005457B5" w:rsidRDefault="005457B5" w:rsidP="005457B5">
      <w:pPr>
        <w:spacing w:line="360" w:lineRule="auto"/>
        <w:jc w:val="both"/>
        <w:rPr>
          <w:rFonts w:ascii="David" w:hAnsi="David"/>
        </w:rPr>
      </w:pPr>
      <w:r>
        <w:rPr>
          <w:rFonts w:ascii="David" w:hAnsi="David"/>
          <w:rtl/>
        </w:rPr>
        <w:tab/>
        <w:t>אשר על כן אני גוזר על הנאשם:</w:t>
      </w:r>
    </w:p>
    <w:p w14:paraId="1419A137" w14:textId="77777777" w:rsidR="005457B5" w:rsidRDefault="005457B5" w:rsidP="005457B5">
      <w:pPr>
        <w:pStyle w:val="ListParagraph"/>
        <w:spacing w:after="0" w:line="360" w:lineRule="auto"/>
        <w:ind w:left="1440" w:hanging="720"/>
        <w:jc w:val="both"/>
        <w:rPr>
          <w:rFonts w:ascii="David" w:hAnsi="David" w:cs="David"/>
          <w:sz w:val="24"/>
          <w:szCs w:val="24"/>
          <w:rtl/>
        </w:rPr>
      </w:pPr>
      <w:r>
        <w:rPr>
          <w:rFonts w:ascii="David" w:hAnsi="David" w:cs="David"/>
          <w:sz w:val="24"/>
          <w:szCs w:val="24"/>
          <w:rtl/>
        </w:rPr>
        <w:t>א.</w:t>
      </w:r>
      <w:r>
        <w:rPr>
          <w:rFonts w:ascii="David" w:hAnsi="David" w:cs="David"/>
          <w:sz w:val="24"/>
          <w:szCs w:val="24"/>
          <w:rtl/>
        </w:rPr>
        <w:tab/>
        <w:t>מאסר למשך 18 חודשים, לריצוי בפועל, בניכוי ימי מעצרו בין התאריכים 17.12.2019-27.01.2020.</w:t>
      </w:r>
    </w:p>
    <w:p w14:paraId="364A7713" w14:textId="77777777" w:rsidR="005457B5" w:rsidRDefault="005457B5" w:rsidP="005457B5">
      <w:pPr>
        <w:pStyle w:val="ListParagraph"/>
        <w:spacing w:after="0" w:line="360" w:lineRule="auto"/>
        <w:jc w:val="both"/>
        <w:rPr>
          <w:rFonts w:ascii="David" w:hAnsi="David" w:cs="David"/>
          <w:sz w:val="24"/>
          <w:szCs w:val="24"/>
          <w:rtl/>
        </w:rPr>
      </w:pPr>
    </w:p>
    <w:p w14:paraId="61C6E14D" w14:textId="77777777" w:rsidR="005457B5" w:rsidRDefault="005457B5" w:rsidP="005457B5">
      <w:pPr>
        <w:spacing w:line="360" w:lineRule="auto"/>
        <w:ind w:left="1440" w:hanging="720"/>
        <w:jc w:val="both"/>
        <w:rPr>
          <w:rFonts w:ascii="David" w:hAnsi="David"/>
          <w:rtl/>
        </w:rPr>
      </w:pPr>
      <w:r>
        <w:rPr>
          <w:rFonts w:ascii="David" w:hAnsi="David"/>
          <w:rtl/>
        </w:rPr>
        <w:t>ב.</w:t>
      </w:r>
      <w:r>
        <w:rPr>
          <w:rFonts w:ascii="David" w:hAnsi="David"/>
          <w:rtl/>
        </w:rPr>
        <w:tab/>
        <w:t>מאסר על תנאי לתקופה של 10 חודשים שיופעל במידה והנאשם יעבור תוך 3 שנים מיום שחרורו, עבירת נשק מכל סוג.</w:t>
      </w:r>
    </w:p>
    <w:p w14:paraId="25BE392A" w14:textId="77777777" w:rsidR="005457B5" w:rsidRDefault="005457B5" w:rsidP="005457B5">
      <w:pPr>
        <w:spacing w:line="360" w:lineRule="auto"/>
        <w:ind w:left="1440" w:hanging="720"/>
        <w:jc w:val="both"/>
        <w:rPr>
          <w:rFonts w:ascii="David" w:hAnsi="David"/>
          <w:rtl/>
        </w:rPr>
      </w:pPr>
    </w:p>
    <w:p w14:paraId="0DA3D335" w14:textId="77777777" w:rsidR="005457B5" w:rsidRDefault="005457B5" w:rsidP="005457B5">
      <w:pPr>
        <w:spacing w:line="360" w:lineRule="auto"/>
        <w:ind w:left="1440" w:hanging="720"/>
        <w:jc w:val="both"/>
        <w:rPr>
          <w:rFonts w:ascii="David" w:hAnsi="David"/>
          <w:rtl/>
        </w:rPr>
      </w:pPr>
      <w:r>
        <w:rPr>
          <w:rFonts w:ascii="David" w:hAnsi="David" w:hint="cs"/>
          <w:rtl/>
        </w:rPr>
        <w:t>ג</w:t>
      </w:r>
      <w:r>
        <w:rPr>
          <w:rFonts w:ascii="David" w:hAnsi="David"/>
          <w:rtl/>
        </w:rPr>
        <w:t>.</w:t>
      </w:r>
      <w:r>
        <w:rPr>
          <w:rFonts w:ascii="David" w:hAnsi="David"/>
          <w:rtl/>
        </w:rPr>
        <w:tab/>
        <w:t>לא מצאתי, בנסיבות העניין, להטיל על הנאשם קנס כספי.</w:t>
      </w:r>
    </w:p>
    <w:p w14:paraId="60EA4EA6" w14:textId="77777777" w:rsidR="005457B5" w:rsidRDefault="005457B5" w:rsidP="005457B5">
      <w:pPr>
        <w:spacing w:line="360" w:lineRule="auto"/>
        <w:ind w:left="1440" w:hanging="720"/>
        <w:jc w:val="both"/>
        <w:rPr>
          <w:rFonts w:ascii="David" w:hAnsi="David"/>
          <w:rtl/>
        </w:rPr>
      </w:pPr>
    </w:p>
    <w:p w14:paraId="17D83191" w14:textId="77777777" w:rsidR="005457B5" w:rsidRDefault="005457B5" w:rsidP="005457B5">
      <w:pPr>
        <w:spacing w:line="360" w:lineRule="auto"/>
        <w:ind w:left="720" w:hanging="720"/>
        <w:jc w:val="both"/>
        <w:rPr>
          <w:rFonts w:ascii="David" w:hAnsi="David"/>
          <w:rtl/>
        </w:rPr>
      </w:pPr>
      <w:r>
        <w:rPr>
          <w:rFonts w:ascii="David" w:hAnsi="David"/>
          <w:rtl/>
        </w:rPr>
        <w:t xml:space="preserve">20. </w:t>
      </w:r>
      <w:r>
        <w:rPr>
          <w:rFonts w:ascii="David" w:hAnsi="David"/>
          <w:rtl/>
        </w:rPr>
        <w:tab/>
        <w:t>כאמור לעיל, אינני מחלט את הרכב, ואני מורה להחזיר את הרכב לנאשם תוך 3 ימים.</w:t>
      </w:r>
    </w:p>
    <w:p w14:paraId="5BF2336F" w14:textId="77777777" w:rsidR="005457B5" w:rsidRDefault="005457B5" w:rsidP="005457B5">
      <w:pPr>
        <w:spacing w:line="360" w:lineRule="auto"/>
        <w:ind w:left="1440" w:hanging="720"/>
        <w:jc w:val="both"/>
        <w:rPr>
          <w:rFonts w:ascii="David" w:hAnsi="David"/>
          <w:rtl/>
        </w:rPr>
      </w:pPr>
    </w:p>
    <w:p w14:paraId="75AC0628" w14:textId="77777777" w:rsidR="005457B5" w:rsidRDefault="005457B5" w:rsidP="005457B5">
      <w:pPr>
        <w:spacing w:line="360" w:lineRule="auto"/>
        <w:ind w:left="720"/>
        <w:jc w:val="both"/>
        <w:rPr>
          <w:rFonts w:ascii="David" w:hAnsi="David"/>
          <w:rtl/>
        </w:rPr>
      </w:pPr>
      <w:r>
        <w:rPr>
          <w:rFonts w:ascii="David" w:hAnsi="David"/>
          <w:rtl/>
        </w:rPr>
        <w:t>הנאשם יתייצב לריצוי מאסרו בבית מעצר קישון</w:t>
      </w:r>
      <w:r>
        <w:rPr>
          <w:rFonts w:ascii="David" w:hAnsi="David"/>
          <w:b/>
          <w:bCs/>
          <w:rtl/>
        </w:rPr>
        <w:t xml:space="preserve">  19.05.2021 </w:t>
      </w:r>
      <w:r>
        <w:rPr>
          <w:rFonts w:ascii="David" w:hAnsi="David"/>
          <w:rtl/>
        </w:rPr>
        <w:t xml:space="preserve">עד השעה 10:00, או על-פי החלטת שב"ס, כשברשותו תעודת זהות או דרכון. על הנאשם לתאם את הכניסה למאסר, כולל האפשרות למיון מוקדם, עם ענף אבחון ומיון של שב"ס, טלפונים: 08-9787377, 08-9787336. </w:t>
      </w:r>
      <w:r>
        <w:rPr>
          <w:rFonts w:ascii="David" w:hAnsi="David"/>
          <w:u w:val="single"/>
          <w:rtl/>
        </w:rPr>
        <w:t>תנאי השחרור או המעצר באיזוק בהם היה נתון הנאשם עד כה, ימשיכו לחול עד להתייצבותו לתחילת ריצוי עונשו</w:t>
      </w:r>
      <w:r>
        <w:rPr>
          <w:rFonts w:ascii="David" w:hAnsi="David"/>
          <w:rtl/>
        </w:rPr>
        <w:t>.</w:t>
      </w:r>
    </w:p>
    <w:p w14:paraId="63752EC1" w14:textId="77777777" w:rsidR="005457B5" w:rsidRPr="002E4C8D" w:rsidRDefault="002E4C8D" w:rsidP="005457B5">
      <w:pPr>
        <w:shd w:val="clear" w:color="auto" w:fill="FFFFFF"/>
        <w:spacing w:line="360" w:lineRule="auto"/>
        <w:ind w:left="516" w:right="426" w:firstLine="204"/>
        <w:jc w:val="both"/>
        <w:rPr>
          <w:rFonts w:ascii="David" w:hAnsi="David"/>
          <w:b/>
          <w:bCs/>
          <w:color w:val="FFFFFF"/>
          <w:sz w:val="2"/>
          <w:szCs w:val="2"/>
          <w:u w:val="single"/>
          <w:rtl/>
        </w:rPr>
      </w:pPr>
      <w:r w:rsidRPr="002E4C8D">
        <w:rPr>
          <w:rFonts w:ascii="David" w:hAnsi="David"/>
          <w:b/>
          <w:bCs/>
          <w:color w:val="FFFFFF"/>
          <w:sz w:val="2"/>
          <w:szCs w:val="2"/>
          <w:u w:val="single"/>
          <w:rtl/>
        </w:rPr>
        <w:t>5129371</w:t>
      </w:r>
      <w:r w:rsidR="005457B5" w:rsidRPr="002E4C8D">
        <w:rPr>
          <w:rFonts w:ascii="David" w:hAnsi="David"/>
          <w:b/>
          <w:bCs/>
          <w:color w:val="FFFFFF"/>
          <w:sz w:val="2"/>
          <w:szCs w:val="2"/>
          <w:u w:val="single"/>
          <w:rtl/>
        </w:rPr>
        <w:t xml:space="preserve"> </w:t>
      </w:r>
    </w:p>
    <w:p w14:paraId="218F96A1" w14:textId="77777777" w:rsidR="005457B5" w:rsidRDefault="002E4C8D" w:rsidP="005457B5">
      <w:pPr>
        <w:shd w:val="clear" w:color="auto" w:fill="FFFFFF"/>
        <w:spacing w:line="360" w:lineRule="auto"/>
        <w:ind w:left="516" w:right="426" w:firstLine="204"/>
        <w:jc w:val="both"/>
        <w:rPr>
          <w:rFonts w:ascii="David" w:hAnsi="David"/>
          <w:rtl/>
        </w:rPr>
      </w:pPr>
      <w:r w:rsidRPr="002E4C8D">
        <w:rPr>
          <w:rFonts w:ascii="David" w:hAnsi="David"/>
          <w:b/>
          <w:bCs/>
          <w:color w:val="FFFFFF"/>
          <w:sz w:val="2"/>
          <w:szCs w:val="2"/>
          <w:u w:val="single"/>
          <w:rtl/>
        </w:rPr>
        <w:t>54678313</w:t>
      </w:r>
      <w:r w:rsidR="005457B5">
        <w:rPr>
          <w:rFonts w:ascii="David" w:hAnsi="David"/>
          <w:b/>
          <w:bCs/>
          <w:u w:val="single"/>
          <w:rtl/>
        </w:rPr>
        <w:t>המזכירות תשלח עותק מגזר-הדין לשב"ס וכן לפיקוח על האיזוק האלקטרוני</w:t>
      </w:r>
    </w:p>
    <w:p w14:paraId="1C926346" w14:textId="77777777" w:rsidR="005457B5" w:rsidRPr="00686295" w:rsidRDefault="005457B5" w:rsidP="005457B5">
      <w:pPr>
        <w:shd w:val="clear" w:color="auto" w:fill="FFFFFF"/>
        <w:spacing w:line="360" w:lineRule="auto"/>
        <w:ind w:left="516" w:right="426" w:firstLine="204"/>
        <w:jc w:val="both"/>
        <w:rPr>
          <w:rFonts w:ascii="David" w:hAnsi="David"/>
          <w:rtl/>
        </w:rPr>
      </w:pPr>
    </w:p>
    <w:p w14:paraId="36F74487" w14:textId="77777777" w:rsidR="005457B5" w:rsidRPr="0010775A" w:rsidRDefault="002E4C8D" w:rsidP="005457B5">
      <w:pPr>
        <w:rPr>
          <w:rFonts w:cs="FrankRuehl"/>
          <w:b/>
          <w:bCs/>
          <w:sz w:val="28"/>
          <w:szCs w:val="28"/>
          <w:rtl/>
        </w:rPr>
      </w:pPr>
      <w:bookmarkStart w:id="6" w:name="Nitan"/>
      <w:r w:rsidRPr="0010775A">
        <w:rPr>
          <w:rFonts w:ascii="Arial" w:hAnsi="Arial"/>
          <w:b/>
          <w:bCs/>
          <w:rtl/>
        </w:rPr>
        <w:t xml:space="preserve">ניתן היום,  כ"ג אייר תשפ"א, 05 מאי 2021, בהעדר הצדדים. </w:t>
      </w:r>
      <w:bookmarkEnd w:id="6"/>
    </w:p>
    <w:p w14:paraId="470CCF8D" w14:textId="77777777" w:rsidR="005457B5" w:rsidRPr="00686295" w:rsidRDefault="005457B5" w:rsidP="002E4C8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1832C43" w14:textId="77777777" w:rsidR="005457B5" w:rsidRPr="00686295" w:rsidRDefault="005457B5" w:rsidP="005457B5">
      <w:pPr>
        <w:jc w:val="center"/>
        <w:rPr>
          <w:rFonts w:ascii="Arial" w:hAnsi="Arial" w:cs="FrankRuehl"/>
          <w:sz w:val="28"/>
          <w:szCs w:val="28"/>
          <w:rtl/>
        </w:rPr>
      </w:pPr>
    </w:p>
    <w:p w14:paraId="3045F097" w14:textId="77777777" w:rsidR="00FA23DA" w:rsidRPr="002E4C8D" w:rsidRDefault="00FA23DA" w:rsidP="002E4C8D">
      <w:pPr>
        <w:keepNext/>
        <w:rPr>
          <w:rFonts w:ascii="David" w:hAnsi="David"/>
          <w:color w:val="000000"/>
          <w:sz w:val="22"/>
          <w:szCs w:val="22"/>
          <w:rtl/>
        </w:rPr>
      </w:pPr>
    </w:p>
    <w:p w14:paraId="062B9A10" w14:textId="77777777" w:rsidR="002E4C8D" w:rsidRPr="002E4C8D" w:rsidRDefault="002E4C8D" w:rsidP="002E4C8D">
      <w:pPr>
        <w:keepNext/>
        <w:rPr>
          <w:rFonts w:ascii="David" w:hAnsi="David"/>
          <w:color w:val="000000"/>
          <w:sz w:val="22"/>
          <w:szCs w:val="22"/>
          <w:rtl/>
        </w:rPr>
      </w:pPr>
      <w:r w:rsidRPr="002E4C8D">
        <w:rPr>
          <w:rFonts w:ascii="David" w:hAnsi="David"/>
          <w:color w:val="000000"/>
          <w:sz w:val="22"/>
          <w:szCs w:val="22"/>
          <w:rtl/>
        </w:rPr>
        <w:t>סארי ג'יוסי 54678313</w:t>
      </w:r>
    </w:p>
    <w:p w14:paraId="51C21D0C" w14:textId="77777777" w:rsidR="002E4C8D" w:rsidRDefault="002E4C8D" w:rsidP="002E4C8D">
      <w:r w:rsidRPr="002E4C8D">
        <w:rPr>
          <w:color w:val="000000"/>
          <w:rtl/>
        </w:rPr>
        <w:t>נוסח מסמך זה כפוף לשינויי ניסוח ועריכה</w:t>
      </w:r>
    </w:p>
    <w:p w14:paraId="1EE128E8" w14:textId="77777777" w:rsidR="002E4C8D" w:rsidRDefault="002E4C8D" w:rsidP="002E4C8D">
      <w:pPr>
        <w:rPr>
          <w:rtl/>
        </w:rPr>
      </w:pPr>
    </w:p>
    <w:p w14:paraId="3EEB1410" w14:textId="77777777" w:rsidR="002E4C8D" w:rsidRDefault="002E4C8D" w:rsidP="002E4C8D">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5B6D841A" w14:textId="77777777" w:rsidR="002E4C8D" w:rsidRPr="002E4C8D" w:rsidRDefault="002E4C8D" w:rsidP="002E4C8D">
      <w:pPr>
        <w:jc w:val="center"/>
        <w:rPr>
          <w:color w:val="0000FF"/>
          <w:u w:val="single"/>
        </w:rPr>
      </w:pPr>
    </w:p>
    <w:sectPr w:rsidR="002E4C8D" w:rsidRPr="002E4C8D" w:rsidSect="002E4C8D">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C147A" w14:textId="77777777" w:rsidR="0026209A" w:rsidRDefault="0026209A" w:rsidP="00F17FAB">
      <w:r>
        <w:separator/>
      </w:r>
    </w:p>
  </w:endnote>
  <w:endnote w:type="continuationSeparator" w:id="0">
    <w:p w14:paraId="653BF251" w14:textId="77777777" w:rsidR="0026209A" w:rsidRDefault="0026209A" w:rsidP="00F17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D1189" w14:textId="77777777" w:rsidR="002E4C8D" w:rsidRDefault="002E4C8D" w:rsidP="002E4C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66B040" w14:textId="77777777" w:rsidR="004A77D5" w:rsidRPr="002E4C8D" w:rsidRDefault="002E4C8D" w:rsidP="002E4C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76A57" w14:textId="77777777" w:rsidR="002E4C8D" w:rsidRDefault="002E4C8D" w:rsidP="002E4C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0A95">
      <w:rPr>
        <w:rFonts w:ascii="FrankRuehl" w:hAnsi="FrankRuehl" w:cs="FrankRuehl"/>
        <w:noProof/>
        <w:rtl/>
      </w:rPr>
      <w:t>1</w:t>
    </w:r>
    <w:r>
      <w:rPr>
        <w:rFonts w:ascii="FrankRuehl" w:hAnsi="FrankRuehl" w:cs="FrankRuehl"/>
        <w:rtl/>
      </w:rPr>
      <w:fldChar w:fldCharType="end"/>
    </w:r>
  </w:p>
  <w:p w14:paraId="46076F8F" w14:textId="77777777" w:rsidR="004A77D5" w:rsidRPr="002E4C8D" w:rsidRDefault="002E4C8D" w:rsidP="002E4C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C79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2B158" w14:textId="77777777" w:rsidR="0026209A" w:rsidRDefault="0026209A" w:rsidP="00F17FAB">
      <w:r>
        <w:separator/>
      </w:r>
    </w:p>
  </w:footnote>
  <w:footnote w:type="continuationSeparator" w:id="0">
    <w:p w14:paraId="6CDA0740" w14:textId="77777777" w:rsidR="0026209A" w:rsidRDefault="0026209A" w:rsidP="00F17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C2B90" w14:textId="77777777" w:rsidR="002E4C8D" w:rsidRPr="002E4C8D" w:rsidRDefault="002E4C8D" w:rsidP="002E4C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61299-12-19</w:t>
    </w:r>
    <w:r>
      <w:rPr>
        <w:rFonts w:ascii="David" w:hAnsi="David"/>
        <w:color w:val="000000"/>
        <w:sz w:val="22"/>
        <w:szCs w:val="22"/>
        <w:rtl/>
      </w:rPr>
      <w:tab/>
      <w:t xml:space="preserve"> מדינת ישראל נ' עזריה זרבאילוב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E42D9" w14:textId="77777777" w:rsidR="002E4C8D" w:rsidRPr="002E4C8D" w:rsidRDefault="002E4C8D" w:rsidP="002E4C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61299-12-19</w:t>
    </w:r>
    <w:r>
      <w:rPr>
        <w:rFonts w:ascii="David" w:hAnsi="David"/>
        <w:color w:val="000000"/>
        <w:sz w:val="22"/>
        <w:szCs w:val="22"/>
        <w:rtl/>
      </w:rPr>
      <w:tab/>
      <w:t xml:space="preserve"> מדינת ישראל נ' עזריה זרבאילוב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F3463"/>
    <w:multiLevelType w:val="hybridMultilevel"/>
    <w:tmpl w:val="9D486246"/>
    <w:lvl w:ilvl="0" w:tplc="0409000F">
      <w:start w:val="8"/>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F5E5D98"/>
    <w:multiLevelType w:val="hybridMultilevel"/>
    <w:tmpl w:val="6B1EE8C0"/>
    <w:lvl w:ilvl="0" w:tplc="0409000F">
      <w:start w:val="1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88B3C26"/>
    <w:multiLevelType w:val="hybridMultilevel"/>
    <w:tmpl w:val="9C4469E2"/>
    <w:lvl w:ilvl="0" w:tplc="DF1CEAAE">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12969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4252301">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7001707">
    <w:abstractNumId w:val="1"/>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57B5"/>
    <w:rsid w:val="000E4ABC"/>
    <w:rsid w:val="0010775A"/>
    <w:rsid w:val="0012165C"/>
    <w:rsid w:val="0026209A"/>
    <w:rsid w:val="002A5F97"/>
    <w:rsid w:val="002C0AE6"/>
    <w:rsid w:val="002E4C8D"/>
    <w:rsid w:val="004A77D5"/>
    <w:rsid w:val="005457B5"/>
    <w:rsid w:val="009A4E4C"/>
    <w:rsid w:val="00AA78D6"/>
    <w:rsid w:val="00CE0A95"/>
    <w:rsid w:val="00D73435"/>
    <w:rsid w:val="00E31423"/>
    <w:rsid w:val="00F17FAB"/>
    <w:rsid w:val="00FA23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1DDFEA"/>
  <w15:chartTrackingRefBased/>
  <w15:docId w15:val="{2876D7EC-C0C4-4BDA-BED3-F4C57358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57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457B5"/>
    <w:pPr>
      <w:tabs>
        <w:tab w:val="center" w:pos="4153"/>
        <w:tab w:val="right" w:pos="8306"/>
      </w:tabs>
    </w:pPr>
  </w:style>
  <w:style w:type="character" w:customStyle="1" w:styleId="a4">
    <w:name w:val="כותרת עליונה תו"/>
    <w:link w:val="a3"/>
    <w:rsid w:val="005457B5"/>
    <w:rPr>
      <w:rFonts w:ascii="Times New Roman" w:eastAsia="Times New Roman" w:hAnsi="Times New Roman" w:cs="David"/>
      <w:sz w:val="24"/>
      <w:szCs w:val="24"/>
    </w:rPr>
  </w:style>
  <w:style w:type="paragraph" w:styleId="a5">
    <w:name w:val="footer"/>
    <w:basedOn w:val="a"/>
    <w:link w:val="a6"/>
    <w:rsid w:val="005457B5"/>
    <w:pPr>
      <w:tabs>
        <w:tab w:val="center" w:pos="4153"/>
        <w:tab w:val="right" w:pos="8306"/>
      </w:tabs>
    </w:pPr>
  </w:style>
  <w:style w:type="character" w:customStyle="1" w:styleId="a6">
    <w:name w:val="כותרת תחתונה תו"/>
    <w:link w:val="a5"/>
    <w:rsid w:val="005457B5"/>
    <w:rPr>
      <w:rFonts w:ascii="Times New Roman" w:eastAsia="Times New Roman" w:hAnsi="Times New Roman" w:cs="David"/>
      <w:sz w:val="24"/>
      <w:szCs w:val="24"/>
    </w:rPr>
  </w:style>
  <w:style w:type="table" w:styleId="a7">
    <w:name w:val="Table Grid"/>
    <w:basedOn w:val="a1"/>
    <w:rsid w:val="005457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457B5"/>
  </w:style>
  <w:style w:type="character" w:styleId="Hyperlink">
    <w:name w:val="Hyperlink"/>
    <w:rsid w:val="005457B5"/>
    <w:rPr>
      <w:color w:val="0000FF"/>
      <w:u w:val="single"/>
    </w:rPr>
  </w:style>
  <w:style w:type="paragraph" w:customStyle="1" w:styleId="ListParagraph">
    <w:name w:val="List Paragraph"/>
    <w:basedOn w:val="a"/>
    <w:qFormat/>
    <w:rsid w:val="005457B5"/>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5457B5"/>
    <w:pPr>
      <w:spacing w:line="360" w:lineRule="auto"/>
      <w:jc w:val="both"/>
    </w:pPr>
  </w:style>
  <w:style w:type="character" w:customStyle="1" w:styleId="Ruller5">
    <w:name w:val="Ruller5 תו"/>
    <w:link w:val="Ruller50"/>
    <w:locked/>
    <w:rsid w:val="005457B5"/>
    <w:rPr>
      <w:rFonts w:ascii="Arial TUR" w:hAnsi="Arial TUR" w:cs="FrankRuehl"/>
      <w:spacing w:val="10"/>
      <w:szCs w:val="28"/>
    </w:rPr>
  </w:style>
  <w:style w:type="paragraph" w:customStyle="1" w:styleId="Ruller50">
    <w:name w:val="Ruller5"/>
    <w:basedOn w:val="a"/>
    <w:link w:val="Ruller5"/>
    <w:rsid w:val="005457B5"/>
    <w:pPr>
      <w:overflowPunct w:val="0"/>
      <w:autoSpaceDE w:val="0"/>
      <w:autoSpaceDN w:val="0"/>
      <w:adjustRightInd w:val="0"/>
      <w:ind w:left="1642" w:right="1282"/>
      <w:jc w:val="both"/>
    </w:pPr>
    <w:rPr>
      <w:rFonts w:ascii="Arial TUR" w:eastAsia="Calibri" w:hAnsi="Arial TUR" w:cs="FrankRuehl"/>
      <w:spacing w:val="10"/>
      <w:sz w:val="22"/>
      <w:szCs w:val="28"/>
    </w:rPr>
  </w:style>
  <w:style w:type="character" w:customStyle="1" w:styleId="Ruller4">
    <w:name w:val="Ruller4 תו"/>
    <w:link w:val="Ruller40"/>
    <w:locked/>
    <w:rsid w:val="005457B5"/>
    <w:rPr>
      <w:rFonts w:ascii="Arial TUR" w:hAnsi="Arial TUR" w:cs="FrankRuehl"/>
      <w:spacing w:val="10"/>
      <w:szCs w:val="28"/>
    </w:rPr>
  </w:style>
  <w:style w:type="paragraph" w:customStyle="1" w:styleId="Ruller40">
    <w:name w:val="Ruller4"/>
    <w:basedOn w:val="a"/>
    <w:link w:val="Ruller4"/>
    <w:rsid w:val="005457B5"/>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1">
    <w:name w:val="Ruller 4 ממוספר"/>
    <w:basedOn w:val="a"/>
    <w:rsid w:val="005457B5"/>
    <w:pPr>
      <w:overflowPunct w:val="0"/>
      <w:autoSpaceDE w:val="0"/>
      <w:autoSpaceDN w:val="0"/>
      <w:spacing w:line="360" w:lineRule="auto"/>
      <w:jc w:val="both"/>
    </w:pPr>
    <w:rPr>
      <w:rFonts w:ascii="Garamond" w:hAnsi="Garamond" w:cs="Times New Roman"/>
      <w:spacing w:val="10"/>
    </w:rPr>
  </w:style>
  <w:style w:type="paragraph" w:customStyle="1" w:styleId="ruller42">
    <w:name w:val="ruller4"/>
    <w:basedOn w:val="a"/>
    <w:rsid w:val="005457B5"/>
    <w:pPr>
      <w:overflowPunct w:val="0"/>
      <w:autoSpaceDE w:val="0"/>
      <w:autoSpaceDN w:val="0"/>
      <w:spacing w:line="360" w:lineRule="auto"/>
      <w:jc w:val="both"/>
    </w:pPr>
    <w:rPr>
      <w:rFonts w:ascii="Arial TUR" w:hAnsi="Arial TUR" w:cs="Arial TUR"/>
      <w:spacing w:val="10"/>
      <w:sz w:val="22"/>
      <w:szCs w:val="22"/>
      <w:lang w:eastAsia="he-IL"/>
    </w:rPr>
  </w:style>
  <w:style w:type="character" w:customStyle="1" w:styleId="default">
    <w:name w:val="default"/>
    <w:rsid w:val="005457B5"/>
    <w:rPr>
      <w:rFonts w:ascii="Times New Roman" w:hAnsi="Times New Roman" w:cs="Times New Roman" w:hint="default"/>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6202327" TargetMode="External"/><Relationship Id="rId26" Type="http://schemas.openxmlformats.org/officeDocument/2006/relationships/hyperlink" Target="http://www.nevo.co.il/law/74918/39.a" TargetMode="External"/><Relationship Id="rId39" Type="http://schemas.openxmlformats.org/officeDocument/2006/relationships/hyperlink" Target="http://www.nevo.co.il/case/17938943" TargetMode="External"/><Relationship Id="rId21" Type="http://schemas.openxmlformats.org/officeDocument/2006/relationships/hyperlink" Target="http://www.nevo.co.il/case/26248279" TargetMode="External"/><Relationship Id="rId34" Type="http://schemas.openxmlformats.org/officeDocument/2006/relationships/hyperlink" Target="http://www.nevo.co.il/case/5821327" TargetMode="External"/><Relationship Id="rId42" Type="http://schemas.openxmlformats.org/officeDocument/2006/relationships/hyperlink" Target="http://www.nevo.co.il/law/74918/32.a" TargetMode="External"/><Relationship Id="rId47" Type="http://schemas.openxmlformats.org/officeDocument/2006/relationships/hyperlink" Target="http://www.nevo.co.il/case/17922225" TargetMode="External"/><Relationship Id="rId50" Type="http://schemas.openxmlformats.org/officeDocument/2006/relationships/hyperlink" Target="http://www.nevo.co.il/law/74918"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4185199" TargetMode="External"/><Relationship Id="rId29" Type="http://schemas.openxmlformats.org/officeDocument/2006/relationships/hyperlink" Target="http://www.nevo.co.il/case/5950172" TargetMode="External"/><Relationship Id="rId11" Type="http://schemas.openxmlformats.org/officeDocument/2006/relationships/hyperlink" Target="http://www.nevo.co.il/law/74918/39" TargetMode="External"/><Relationship Id="rId24" Type="http://schemas.openxmlformats.org/officeDocument/2006/relationships/hyperlink" Target="http://www.nevo.co.il/case/6151556" TargetMode="External"/><Relationship Id="rId32" Type="http://schemas.openxmlformats.org/officeDocument/2006/relationships/hyperlink" Target="http://www.nevo.co.il/case/26538254" TargetMode="External"/><Relationship Id="rId37" Type="http://schemas.openxmlformats.org/officeDocument/2006/relationships/hyperlink" Target="http://www.nevo.co.il/case/27309272" TargetMode="External"/><Relationship Id="rId40" Type="http://schemas.openxmlformats.org/officeDocument/2006/relationships/hyperlink" Target="http://www.nevo.co.il/case/6248029" TargetMode="External"/><Relationship Id="rId45" Type="http://schemas.openxmlformats.org/officeDocument/2006/relationships/hyperlink" Target="http://www.nevo.co.il/case/6055128"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case/26654636" TargetMode="External"/><Relationship Id="rId4" Type="http://schemas.openxmlformats.org/officeDocument/2006/relationships/webSettings" Target="webSettings.xml"/><Relationship Id="rId9" Type="http://schemas.openxmlformats.org/officeDocument/2006/relationships/hyperlink" Target="http://www.nevo.co.il/law/74918"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474168"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5568354" TargetMode="External"/><Relationship Id="rId35" Type="http://schemas.openxmlformats.org/officeDocument/2006/relationships/hyperlink" Target="http://www.nevo.co.il/case/23750625" TargetMode="External"/><Relationship Id="rId43" Type="http://schemas.openxmlformats.org/officeDocument/2006/relationships/hyperlink" Target="http://www.nevo.co.il/law/74918" TargetMode="External"/><Relationship Id="rId48" Type="http://schemas.openxmlformats.org/officeDocument/2006/relationships/hyperlink" Target="http://www.nevo.co.il/case/17914099" TargetMode="External"/><Relationship Id="rId56" Type="http://schemas.openxmlformats.org/officeDocument/2006/relationships/footer" Target="footer1.xml"/><Relationship Id="rId8" Type="http://schemas.openxmlformats.org/officeDocument/2006/relationships/hyperlink" Target="http://www.nevo.co.il/law/70301/144.b" TargetMode="External"/><Relationship Id="rId51" Type="http://schemas.openxmlformats.org/officeDocument/2006/relationships/hyperlink" Target="http://www.nevo.co.il/case/5937268" TargetMode="External"/><Relationship Id="rId3" Type="http://schemas.openxmlformats.org/officeDocument/2006/relationships/settings" Target="settings.xml"/><Relationship Id="rId12" Type="http://schemas.openxmlformats.org/officeDocument/2006/relationships/hyperlink" Target="http://www.nevo.co.il/law/74918/39.a" TargetMode="External"/><Relationship Id="rId17" Type="http://schemas.openxmlformats.org/officeDocument/2006/relationships/hyperlink" Target="http://www.nevo.co.il/case/13015506"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case/7791493" TargetMode="External"/><Relationship Id="rId38" Type="http://schemas.openxmlformats.org/officeDocument/2006/relationships/hyperlink" Target="http://www.nevo.co.il/case/17941073" TargetMode="External"/><Relationship Id="rId46" Type="http://schemas.openxmlformats.org/officeDocument/2006/relationships/hyperlink" Target="http://www.nevo.co.il/case/17929014" TargetMode="External"/><Relationship Id="rId59" Type="http://schemas.openxmlformats.org/officeDocument/2006/relationships/theme" Target="theme/theme1.xml"/><Relationship Id="rId20" Type="http://schemas.openxmlformats.org/officeDocument/2006/relationships/hyperlink" Target="http://www.nevo.co.il/case/22794594" TargetMode="External"/><Relationship Id="rId41" Type="http://schemas.openxmlformats.org/officeDocument/2006/relationships/hyperlink" Target="http://www.nevo.co.il/case/5594385"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1794004" TargetMode="External"/><Relationship Id="rId23" Type="http://schemas.openxmlformats.org/officeDocument/2006/relationships/hyperlink" Target="http://www.nevo.co.il/case/24319926" TargetMode="External"/><Relationship Id="rId28" Type="http://schemas.openxmlformats.org/officeDocument/2006/relationships/hyperlink" Target="http://www.nevo.co.il/case/5995135" TargetMode="External"/><Relationship Id="rId36" Type="http://schemas.openxmlformats.org/officeDocument/2006/relationships/hyperlink" Target="http://www.nevo.co.il/case/27292055" TargetMode="External"/><Relationship Id="rId49" Type="http://schemas.openxmlformats.org/officeDocument/2006/relationships/hyperlink" Target="http://www.nevo.co.il/case/27272576" TargetMode="External"/><Relationship Id="rId57" Type="http://schemas.openxmlformats.org/officeDocument/2006/relationships/footer" Target="footer2.xml"/><Relationship Id="rId10" Type="http://schemas.openxmlformats.org/officeDocument/2006/relationships/hyperlink" Target="http://www.nevo.co.il/law/74918/32.a" TargetMode="External"/><Relationship Id="rId31" Type="http://schemas.openxmlformats.org/officeDocument/2006/relationships/hyperlink" Target="http://www.nevo.co.il/case/27171364" TargetMode="External"/><Relationship Id="rId44" Type="http://schemas.openxmlformats.org/officeDocument/2006/relationships/hyperlink" Target="http://www.nevo.co.il/law/74918/39" TargetMode="External"/><Relationship Id="rId52" Type="http://schemas.openxmlformats.org/officeDocument/2006/relationships/hyperlink" Target="http://www.nevo.co.il/case/605512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5913</Words>
  <Characters>29568</Characters>
  <Application>Microsoft Office Word</Application>
  <DocSecurity>0</DocSecurity>
  <Lines>246</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35411</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3801203</vt:i4>
      </vt:variant>
      <vt:variant>
        <vt:i4>135</vt:i4>
      </vt:variant>
      <vt:variant>
        <vt:i4>0</vt:i4>
      </vt:variant>
      <vt:variant>
        <vt:i4>5</vt:i4>
      </vt:variant>
      <vt:variant>
        <vt:lpwstr>http://www.nevo.co.il/case/6055128</vt:lpwstr>
      </vt:variant>
      <vt:variant>
        <vt:lpwstr/>
      </vt:variant>
      <vt:variant>
        <vt:i4>3932284</vt:i4>
      </vt:variant>
      <vt:variant>
        <vt:i4>132</vt:i4>
      </vt:variant>
      <vt:variant>
        <vt:i4>0</vt:i4>
      </vt:variant>
      <vt:variant>
        <vt:i4>5</vt:i4>
      </vt:variant>
      <vt:variant>
        <vt:lpwstr>http://www.nevo.co.il/case/5937268</vt:lpwstr>
      </vt:variant>
      <vt:variant>
        <vt:lpwstr/>
      </vt:variant>
      <vt:variant>
        <vt:i4>8323182</vt:i4>
      </vt:variant>
      <vt:variant>
        <vt:i4>129</vt:i4>
      </vt:variant>
      <vt:variant>
        <vt:i4>0</vt:i4>
      </vt:variant>
      <vt:variant>
        <vt:i4>5</vt:i4>
      </vt:variant>
      <vt:variant>
        <vt:lpwstr>http://www.nevo.co.il/law/74918</vt:lpwstr>
      </vt:variant>
      <vt:variant>
        <vt:lpwstr/>
      </vt:variant>
      <vt:variant>
        <vt:i4>3473521</vt:i4>
      </vt:variant>
      <vt:variant>
        <vt:i4>126</vt:i4>
      </vt:variant>
      <vt:variant>
        <vt:i4>0</vt:i4>
      </vt:variant>
      <vt:variant>
        <vt:i4>5</vt:i4>
      </vt:variant>
      <vt:variant>
        <vt:lpwstr>http://www.nevo.co.il/case/27272576</vt:lpwstr>
      </vt:variant>
      <vt:variant>
        <vt:lpwstr/>
      </vt:variant>
      <vt:variant>
        <vt:i4>3473522</vt:i4>
      </vt:variant>
      <vt:variant>
        <vt:i4>123</vt:i4>
      </vt:variant>
      <vt:variant>
        <vt:i4>0</vt:i4>
      </vt:variant>
      <vt:variant>
        <vt:i4>5</vt:i4>
      </vt:variant>
      <vt:variant>
        <vt:lpwstr>http://www.nevo.co.il/case/17914099</vt:lpwstr>
      </vt:variant>
      <vt:variant>
        <vt:lpwstr/>
      </vt:variant>
      <vt:variant>
        <vt:i4>3670131</vt:i4>
      </vt:variant>
      <vt:variant>
        <vt:i4>120</vt:i4>
      </vt:variant>
      <vt:variant>
        <vt:i4>0</vt:i4>
      </vt:variant>
      <vt:variant>
        <vt:i4>5</vt:i4>
      </vt:variant>
      <vt:variant>
        <vt:lpwstr>http://www.nevo.co.il/case/17922225</vt:lpwstr>
      </vt:variant>
      <vt:variant>
        <vt:lpwstr/>
      </vt:variant>
      <vt:variant>
        <vt:i4>3145841</vt:i4>
      </vt:variant>
      <vt:variant>
        <vt:i4>117</vt:i4>
      </vt:variant>
      <vt:variant>
        <vt:i4>0</vt:i4>
      </vt:variant>
      <vt:variant>
        <vt:i4>5</vt:i4>
      </vt:variant>
      <vt:variant>
        <vt:lpwstr>http://www.nevo.co.il/case/17929014</vt:lpwstr>
      </vt:variant>
      <vt:variant>
        <vt:lpwstr/>
      </vt:variant>
      <vt:variant>
        <vt:i4>3801203</vt:i4>
      </vt:variant>
      <vt:variant>
        <vt:i4>114</vt:i4>
      </vt:variant>
      <vt:variant>
        <vt:i4>0</vt:i4>
      </vt:variant>
      <vt:variant>
        <vt:i4>5</vt:i4>
      </vt:variant>
      <vt:variant>
        <vt:lpwstr>http://www.nevo.co.il/case/6055128</vt:lpwstr>
      </vt:variant>
      <vt:variant>
        <vt:lpwstr/>
      </vt:variant>
      <vt:variant>
        <vt:i4>6881381</vt:i4>
      </vt:variant>
      <vt:variant>
        <vt:i4>111</vt:i4>
      </vt:variant>
      <vt:variant>
        <vt:i4>0</vt:i4>
      </vt:variant>
      <vt:variant>
        <vt:i4>5</vt:i4>
      </vt:variant>
      <vt:variant>
        <vt:lpwstr>http://www.nevo.co.il/law/74918/39</vt:lpwstr>
      </vt:variant>
      <vt:variant>
        <vt:lpwstr/>
      </vt:variant>
      <vt:variant>
        <vt:i4>8323182</vt:i4>
      </vt:variant>
      <vt:variant>
        <vt:i4>108</vt:i4>
      </vt:variant>
      <vt:variant>
        <vt:i4>0</vt:i4>
      </vt:variant>
      <vt:variant>
        <vt:i4>5</vt:i4>
      </vt:variant>
      <vt:variant>
        <vt:lpwstr>http://www.nevo.co.il/law/74918</vt:lpwstr>
      </vt:variant>
      <vt:variant>
        <vt:lpwstr/>
      </vt:variant>
      <vt:variant>
        <vt:i4>196683</vt:i4>
      </vt:variant>
      <vt:variant>
        <vt:i4>105</vt:i4>
      </vt:variant>
      <vt:variant>
        <vt:i4>0</vt:i4>
      </vt:variant>
      <vt:variant>
        <vt:i4>5</vt:i4>
      </vt:variant>
      <vt:variant>
        <vt:lpwstr>http://www.nevo.co.il/law/74918/32.a</vt:lpwstr>
      </vt:variant>
      <vt:variant>
        <vt:lpwstr/>
      </vt:variant>
      <vt:variant>
        <vt:i4>3801213</vt:i4>
      </vt:variant>
      <vt:variant>
        <vt:i4>102</vt:i4>
      </vt:variant>
      <vt:variant>
        <vt:i4>0</vt:i4>
      </vt:variant>
      <vt:variant>
        <vt:i4>5</vt:i4>
      </vt:variant>
      <vt:variant>
        <vt:lpwstr>http://www.nevo.co.il/case/5594385</vt:lpwstr>
      </vt:variant>
      <vt:variant>
        <vt:lpwstr/>
      </vt:variant>
      <vt:variant>
        <vt:i4>3866748</vt:i4>
      </vt:variant>
      <vt:variant>
        <vt:i4>99</vt:i4>
      </vt:variant>
      <vt:variant>
        <vt:i4>0</vt:i4>
      </vt:variant>
      <vt:variant>
        <vt:i4>5</vt:i4>
      </vt:variant>
      <vt:variant>
        <vt:lpwstr>http://www.nevo.co.il/case/6248029</vt:lpwstr>
      </vt:variant>
      <vt:variant>
        <vt:lpwstr/>
      </vt:variant>
      <vt:variant>
        <vt:i4>3407993</vt:i4>
      </vt:variant>
      <vt:variant>
        <vt:i4>96</vt:i4>
      </vt:variant>
      <vt:variant>
        <vt:i4>0</vt:i4>
      </vt:variant>
      <vt:variant>
        <vt:i4>5</vt:i4>
      </vt:variant>
      <vt:variant>
        <vt:lpwstr>http://www.nevo.co.il/case/17938943</vt:lpwstr>
      </vt:variant>
      <vt:variant>
        <vt:lpwstr/>
      </vt:variant>
      <vt:variant>
        <vt:i4>4063351</vt:i4>
      </vt:variant>
      <vt:variant>
        <vt:i4>93</vt:i4>
      </vt:variant>
      <vt:variant>
        <vt:i4>0</vt:i4>
      </vt:variant>
      <vt:variant>
        <vt:i4>5</vt:i4>
      </vt:variant>
      <vt:variant>
        <vt:lpwstr>http://www.nevo.co.il/case/17941073</vt:lpwstr>
      </vt:variant>
      <vt:variant>
        <vt:lpwstr/>
      </vt:variant>
      <vt:variant>
        <vt:i4>4128881</vt:i4>
      </vt:variant>
      <vt:variant>
        <vt:i4>90</vt:i4>
      </vt:variant>
      <vt:variant>
        <vt:i4>0</vt:i4>
      </vt:variant>
      <vt:variant>
        <vt:i4>5</vt:i4>
      </vt:variant>
      <vt:variant>
        <vt:lpwstr>http://www.nevo.co.il/case/27309272</vt:lpwstr>
      </vt:variant>
      <vt:variant>
        <vt:lpwstr/>
      </vt:variant>
      <vt:variant>
        <vt:i4>3604602</vt:i4>
      </vt:variant>
      <vt:variant>
        <vt:i4>87</vt:i4>
      </vt:variant>
      <vt:variant>
        <vt:i4>0</vt:i4>
      </vt:variant>
      <vt:variant>
        <vt:i4>5</vt:i4>
      </vt:variant>
      <vt:variant>
        <vt:lpwstr>http://www.nevo.co.il/case/27292055</vt:lpwstr>
      </vt:variant>
      <vt:variant>
        <vt:lpwstr/>
      </vt:variant>
      <vt:variant>
        <vt:i4>3604596</vt:i4>
      </vt:variant>
      <vt:variant>
        <vt:i4>84</vt:i4>
      </vt:variant>
      <vt:variant>
        <vt:i4>0</vt:i4>
      </vt:variant>
      <vt:variant>
        <vt:i4>5</vt:i4>
      </vt:variant>
      <vt:variant>
        <vt:lpwstr>http://www.nevo.co.il/case/23750625</vt:lpwstr>
      </vt:variant>
      <vt:variant>
        <vt:lpwstr/>
      </vt:variant>
      <vt:variant>
        <vt:i4>3342463</vt:i4>
      </vt:variant>
      <vt:variant>
        <vt:i4>81</vt:i4>
      </vt:variant>
      <vt:variant>
        <vt:i4>0</vt:i4>
      </vt:variant>
      <vt:variant>
        <vt:i4>5</vt:i4>
      </vt:variant>
      <vt:variant>
        <vt:lpwstr>http://www.nevo.co.il/case/5821327</vt:lpwstr>
      </vt:variant>
      <vt:variant>
        <vt:lpwstr/>
      </vt:variant>
      <vt:variant>
        <vt:i4>3735675</vt:i4>
      </vt:variant>
      <vt:variant>
        <vt:i4>78</vt:i4>
      </vt:variant>
      <vt:variant>
        <vt:i4>0</vt:i4>
      </vt:variant>
      <vt:variant>
        <vt:i4>5</vt:i4>
      </vt:variant>
      <vt:variant>
        <vt:lpwstr>http://www.nevo.co.il/case/7791493</vt:lpwstr>
      </vt:variant>
      <vt:variant>
        <vt:lpwstr/>
      </vt:variant>
      <vt:variant>
        <vt:i4>3801203</vt:i4>
      </vt:variant>
      <vt:variant>
        <vt:i4>75</vt:i4>
      </vt:variant>
      <vt:variant>
        <vt:i4>0</vt:i4>
      </vt:variant>
      <vt:variant>
        <vt:i4>5</vt:i4>
      </vt:variant>
      <vt:variant>
        <vt:lpwstr>http://www.nevo.co.il/case/26538254</vt:lpwstr>
      </vt:variant>
      <vt:variant>
        <vt:lpwstr/>
      </vt:variant>
      <vt:variant>
        <vt:i4>3407991</vt:i4>
      </vt:variant>
      <vt:variant>
        <vt:i4>72</vt:i4>
      </vt:variant>
      <vt:variant>
        <vt:i4>0</vt:i4>
      </vt:variant>
      <vt:variant>
        <vt:i4>5</vt:i4>
      </vt:variant>
      <vt:variant>
        <vt:lpwstr>http://www.nevo.co.il/case/27171364</vt:lpwstr>
      </vt:variant>
      <vt:variant>
        <vt:lpwstr/>
      </vt:variant>
      <vt:variant>
        <vt:i4>3407996</vt:i4>
      </vt:variant>
      <vt:variant>
        <vt:i4>69</vt:i4>
      </vt:variant>
      <vt:variant>
        <vt:i4>0</vt:i4>
      </vt:variant>
      <vt:variant>
        <vt:i4>5</vt:i4>
      </vt:variant>
      <vt:variant>
        <vt:lpwstr>http://www.nevo.co.il/case/5568354</vt:lpwstr>
      </vt:variant>
      <vt:variant>
        <vt:lpwstr/>
      </vt:variant>
      <vt:variant>
        <vt:i4>3342458</vt:i4>
      </vt:variant>
      <vt:variant>
        <vt:i4>66</vt:i4>
      </vt:variant>
      <vt:variant>
        <vt:i4>0</vt:i4>
      </vt:variant>
      <vt:variant>
        <vt:i4>5</vt:i4>
      </vt:variant>
      <vt:variant>
        <vt:lpwstr>http://www.nevo.co.il/case/5950172</vt:lpwstr>
      </vt:variant>
      <vt:variant>
        <vt:lpwstr/>
      </vt:variant>
      <vt:variant>
        <vt:i4>3670139</vt:i4>
      </vt:variant>
      <vt:variant>
        <vt:i4>63</vt:i4>
      </vt:variant>
      <vt:variant>
        <vt:i4>0</vt:i4>
      </vt:variant>
      <vt:variant>
        <vt:i4>5</vt:i4>
      </vt:variant>
      <vt:variant>
        <vt:lpwstr>http://www.nevo.co.il/case/5995135</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524363</vt:i4>
      </vt:variant>
      <vt:variant>
        <vt:i4>57</vt:i4>
      </vt:variant>
      <vt:variant>
        <vt:i4>0</vt:i4>
      </vt:variant>
      <vt:variant>
        <vt:i4>5</vt:i4>
      </vt:variant>
      <vt:variant>
        <vt:lpwstr>http://www.nevo.co.il/law/74918/39.a</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3145841</vt:i4>
      </vt:variant>
      <vt:variant>
        <vt:i4>51</vt:i4>
      </vt:variant>
      <vt:variant>
        <vt:i4>0</vt:i4>
      </vt:variant>
      <vt:variant>
        <vt:i4>5</vt:i4>
      </vt:variant>
      <vt:variant>
        <vt:lpwstr>http://www.nevo.co.il/case/6151556</vt:lpwstr>
      </vt:variant>
      <vt:variant>
        <vt:lpwstr/>
      </vt:variant>
      <vt:variant>
        <vt:i4>3801208</vt:i4>
      </vt:variant>
      <vt:variant>
        <vt:i4>48</vt:i4>
      </vt:variant>
      <vt:variant>
        <vt:i4>0</vt:i4>
      </vt:variant>
      <vt:variant>
        <vt:i4>5</vt:i4>
      </vt:variant>
      <vt:variant>
        <vt:lpwstr>http://www.nevo.co.il/case/24319926</vt:lpwstr>
      </vt:variant>
      <vt:variant>
        <vt:lpwstr/>
      </vt:variant>
      <vt:variant>
        <vt:i4>3407987</vt:i4>
      </vt:variant>
      <vt:variant>
        <vt:i4>45</vt:i4>
      </vt:variant>
      <vt:variant>
        <vt:i4>0</vt:i4>
      </vt:variant>
      <vt:variant>
        <vt:i4>5</vt:i4>
      </vt:variant>
      <vt:variant>
        <vt:lpwstr>http://www.nevo.co.il/case/21474168</vt:lpwstr>
      </vt:variant>
      <vt:variant>
        <vt:lpwstr/>
      </vt:variant>
      <vt:variant>
        <vt:i4>4128884</vt:i4>
      </vt:variant>
      <vt:variant>
        <vt:i4>42</vt:i4>
      </vt:variant>
      <vt:variant>
        <vt:i4>0</vt:i4>
      </vt:variant>
      <vt:variant>
        <vt:i4>5</vt:i4>
      </vt:variant>
      <vt:variant>
        <vt:lpwstr>http://www.nevo.co.il/case/26248279</vt:lpwstr>
      </vt:variant>
      <vt:variant>
        <vt:lpwstr/>
      </vt:variant>
      <vt:variant>
        <vt:i4>3670138</vt:i4>
      </vt:variant>
      <vt:variant>
        <vt:i4>39</vt:i4>
      </vt:variant>
      <vt:variant>
        <vt:i4>0</vt:i4>
      </vt:variant>
      <vt:variant>
        <vt:i4>5</vt:i4>
      </vt:variant>
      <vt:variant>
        <vt:lpwstr>http://www.nevo.co.il/case/22794594</vt:lpwstr>
      </vt:variant>
      <vt:variant>
        <vt:lpwstr/>
      </vt:variant>
      <vt:variant>
        <vt:i4>3342449</vt:i4>
      </vt:variant>
      <vt:variant>
        <vt:i4>36</vt:i4>
      </vt:variant>
      <vt:variant>
        <vt:i4>0</vt:i4>
      </vt:variant>
      <vt:variant>
        <vt:i4>5</vt:i4>
      </vt:variant>
      <vt:variant>
        <vt:lpwstr>http://www.nevo.co.il/case/26654636</vt:lpwstr>
      </vt:variant>
      <vt:variant>
        <vt:lpwstr/>
      </vt:variant>
      <vt:variant>
        <vt:i4>3145841</vt:i4>
      </vt:variant>
      <vt:variant>
        <vt:i4>33</vt:i4>
      </vt:variant>
      <vt:variant>
        <vt:i4>0</vt:i4>
      </vt:variant>
      <vt:variant>
        <vt:i4>5</vt:i4>
      </vt:variant>
      <vt:variant>
        <vt:lpwstr>http://www.nevo.co.il/case/26202327</vt:lpwstr>
      </vt:variant>
      <vt:variant>
        <vt:lpwstr/>
      </vt:variant>
      <vt:variant>
        <vt:i4>3407987</vt:i4>
      </vt:variant>
      <vt:variant>
        <vt:i4>30</vt:i4>
      </vt:variant>
      <vt:variant>
        <vt:i4>0</vt:i4>
      </vt:variant>
      <vt:variant>
        <vt:i4>5</vt:i4>
      </vt:variant>
      <vt:variant>
        <vt:lpwstr>http://www.nevo.co.il/case/13015506</vt:lpwstr>
      </vt:variant>
      <vt:variant>
        <vt:lpwstr/>
      </vt:variant>
      <vt:variant>
        <vt:i4>3407993</vt:i4>
      </vt:variant>
      <vt:variant>
        <vt:i4>27</vt:i4>
      </vt:variant>
      <vt:variant>
        <vt:i4>0</vt:i4>
      </vt:variant>
      <vt:variant>
        <vt:i4>5</vt:i4>
      </vt:variant>
      <vt:variant>
        <vt:lpwstr>http://www.nevo.co.il/case/4185199</vt:lpwstr>
      </vt:variant>
      <vt:variant>
        <vt:lpwstr/>
      </vt:variant>
      <vt:variant>
        <vt:i4>3211388</vt:i4>
      </vt:variant>
      <vt:variant>
        <vt:i4>24</vt:i4>
      </vt:variant>
      <vt:variant>
        <vt:i4>0</vt:i4>
      </vt:variant>
      <vt:variant>
        <vt:i4>5</vt:i4>
      </vt:variant>
      <vt:variant>
        <vt:lpwstr>http://www.nevo.co.il/case/21794004</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524363</vt:i4>
      </vt:variant>
      <vt:variant>
        <vt:i4>15</vt:i4>
      </vt:variant>
      <vt:variant>
        <vt:i4>0</vt:i4>
      </vt:variant>
      <vt:variant>
        <vt:i4>5</vt:i4>
      </vt:variant>
      <vt:variant>
        <vt:lpwstr>http://www.nevo.co.il/law/74918/39.a</vt:lpwstr>
      </vt:variant>
      <vt:variant>
        <vt:lpwstr/>
      </vt:variant>
      <vt:variant>
        <vt:i4>6881381</vt:i4>
      </vt:variant>
      <vt:variant>
        <vt:i4>12</vt:i4>
      </vt:variant>
      <vt:variant>
        <vt:i4>0</vt:i4>
      </vt:variant>
      <vt:variant>
        <vt:i4>5</vt:i4>
      </vt:variant>
      <vt:variant>
        <vt:lpwstr>http://www.nevo.co.il/law/74918/39</vt:lpwstr>
      </vt:variant>
      <vt:variant>
        <vt:lpwstr/>
      </vt:variant>
      <vt:variant>
        <vt:i4>196683</vt:i4>
      </vt:variant>
      <vt:variant>
        <vt:i4>9</vt:i4>
      </vt:variant>
      <vt:variant>
        <vt:i4>0</vt:i4>
      </vt:variant>
      <vt:variant>
        <vt:i4>5</vt:i4>
      </vt:variant>
      <vt:variant>
        <vt:lpwstr>http://www.nevo.co.il/law/74918/32.a</vt:lpwstr>
      </vt:variant>
      <vt:variant>
        <vt:lpwstr/>
      </vt:variant>
      <vt:variant>
        <vt:i4>8323182</vt:i4>
      </vt:variant>
      <vt:variant>
        <vt:i4>6</vt:i4>
      </vt:variant>
      <vt:variant>
        <vt:i4>0</vt:i4>
      </vt:variant>
      <vt:variant>
        <vt:i4>5</vt:i4>
      </vt:variant>
      <vt:variant>
        <vt:lpwstr>http://www.nevo.co.il/law/74918</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2025-01-19T16:30:00Z</dcterms:created>
  <dcterms:modified xsi:type="dcterms:W3CDTF">2025-01-19T16:30:00Z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61299</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עזריה זרבאילוב</vt:lpwstr>
  </property>
  <property fmtid="{D5CDD505-2E9C-101B-9397-08002B2CF9AE}" pid="10" name="JUDGE">
    <vt:lpwstr>סארי ג'יוסי</vt:lpwstr>
  </property>
  <property fmtid="{D5CDD505-2E9C-101B-9397-08002B2CF9AE}" pid="11" name="CITY">
    <vt:lpwstr>חי'</vt:lpwstr>
  </property>
  <property fmtid="{D5CDD505-2E9C-101B-9397-08002B2CF9AE}" pid="12" name="DATE">
    <vt:lpwstr>20210505</vt:lpwstr>
  </property>
  <property fmtid="{D5CDD505-2E9C-101B-9397-08002B2CF9AE}" pid="13" name="TYPE_N_DATE">
    <vt:lpwstr>39020210505</vt:lpwstr>
  </property>
  <property fmtid="{D5CDD505-2E9C-101B-9397-08002B2CF9AE}" pid="14" name="WORDNUMPAGES">
    <vt:lpwstr>20</vt:lpwstr>
  </property>
  <property fmtid="{D5CDD505-2E9C-101B-9397-08002B2CF9AE}" pid="15" name="TYPE_ABS_DATE">
    <vt:lpwstr>390120210505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21794004;4185199;13015506;26202327;26654636;22794594;26248279;21474168;24319926;6151556;22006503;25824863;5995135;5950172;5568354;27171364;26538254;7791493;5821327;23750625;27292055;27309272;17941073;17938943;6248029;5594385;6055128:2;17929014;17922225</vt:lpwstr>
  </property>
  <property fmtid="{D5CDD505-2E9C-101B-9397-08002B2CF9AE}" pid="36" name="CASESLISTTMP2">
    <vt:lpwstr>17914099;27272576;5937268</vt:lpwstr>
  </property>
  <property fmtid="{D5CDD505-2E9C-101B-9397-08002B2CF9AE}" pid="37" name="LAWLISTTMP1">
    <vt:lpwstr>70301/144.b</vt:lpwstr>
  </property>
  <property fmtid="{D5CDD505-2E9C-101B-9397-08002B2CF9AE}" pid="38" name="LAWLISTTMP2">
    <vt:lpwstr>74918/039.a;032.a;039</vt:lpwstr>
  </property>
  <property fmtid="{D5CDD505-2E9C-101B-9397-08002B2CF9AE}" pid="39" name="METAKZER">
    <vt:lpwstr>מיכל</vt:lpwstr>
  </property>
  <property fmtid="{D5CDD505-2E9C-101B-9397-08002B2CF9AE}" pid="40" name="NOSE1ID">
    <vt:lpwstr>77</vt:lpwstr>
  </property>
  <property fmtid="{D5CDD505-2E9C-101B-9397-08002B2CF9AE}" pid="41" name="NOSE2ID">
    <vt:lpwstr>1446</vt:lpwstr>
  </property>
  <property fmtid="{D5CDD505-2E9C-101B-9397-08002B2CF9AE}" pid="42" name="NOSE3ID">
    <vt:lpwstr>13800</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נשק</vt:lpwstr>
  </property>
  <property fmtid="{D5CDD505-2E9C-101B-9397-08002B2CF9AE}" pid="46" name="NOSE12">
    <vt:lpwstr/>
  </property>
  <property fmtid="{D5CDD505-2E9C-101B-9397-08002B2CF9AE}" pid="47" name="NOSE22">
    <vt:lpwstr/>
  </property>
  <property fmtid="{D5CDD505-2E9C-101B-9397-08002B2CF9AE}" pid="48" name="NOSE32">
    <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20210520</vt:lpwstr>
  </property>
</Properties>
</file>