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50"/>
        <w:gridCol w:w="2555"/>
      </w:tblGrid>
      <w:tr w:rsidR="005D3F92" w:rsidRPr="0013021F" w14:paraId="49CE9580" w14:textId="77777777" w:rsidTr="003B1BCB">
        <w:trPr>
          <w:trHeight w:hRule="exact" w:val="418"/>
          <w:jc w:val="center"/>
        </w:trPr>
        <w:tc>
          <w:tcPr>
            <w:tcW w:w="8505" w:type="dxa"/>
            <w:gridSpan w:val="2"/>
          </w:tcPr>
          <w:p w14:paraId="7AA93E79" w14:textId="77777777" w:rsidR="005D3F92" w:rsidRPr="0013021F" w:rsidRDefault="005D3F92" w:rsidP="003B1BCB">
            <w:pPr>
              <w:pStyle w:val="a3"/>
              <w:jc w:val="center"/>
              <w:rPr>
                <w:rFonts w:ascii="Tahoma" w:hAnsi="Tahoma" w:cs="Tahoma"/>
                <w:color w:val="000080"/>
                <w:rtl/>
              </w:rPr>
            </w:pPr>
            <w:bookmarkStart w:id="0" w:name="LastJudge"/>
            <w:r w:rsidRPr="0013021F">
              <w:rPr>
                <w:rFonts w:ascii="Tahoma" w:hAnsi="Tahoma" w:cs="Tahoma"/>
                <w:b/>
                <w:bCs/>
                <w:color w:val="000080"/>
                <w:rtl/>
              </w:rPr>
              <w:t>בית המשפט המחוזי בחיפה</w:t>
            </w:r>
          </w:p>
        </w:tc>
      </w:tr>
      <w:tr w:rsidR="005D3F92" w:rsidRPr="0013021F" w14:paraId="0D7B3CB3" w14:textId="77777777" w:rsidTr="003B1BCB">
        <w:trPr>
          <w:trHeight w:val="337"/>
          <w:jc w:val="center"/>
        </w:trPr>
        <w:tc>
          <w:tcPr>
            <w:tcW w:w="5950" w:type="dxa"/>
          </w:tcPr>
          <w:p w14:paraId="154A3EEC" w14:textId="77777777" w:rsidR="005D3F92" w:rsidRPr="0013021F" w:rsidRDefault="005D3F92" w:rsidP="003B1BCB">
            <w:pPr>
              <w:rPr>
                <w:rFonts w:ascii="David" w:hAnsi="David"/>
                <w:sz w:val="28"/>
                <w:szCs w:val="28"/>
                <w:rtl/>
              </w:rPr>
            </w:pPr>
            <w:r w:rsidRPr="0013021F">
              <w:rPr>
                <w:rFonts w:ascii="David" w:hAnsi="David"/>
                <w:sz w:val="28"/>
                <w:szCs w:val="28"/>
                <w:rtl/>
              </w:rPr>
              <w:t>ת"פ 54764-01-20 מדינת ישראל נ' אבו שייך(עציר) ואח'</w:t>
            </w:r>
          </w:p>
          <w:p w14:paraId="5C5C9B08" w14:textId="77777777" w:rsidR="005D3F92" w:rsidRPr="0013021F" w:rsidRDefault="005D3F92" w:rsidP="003B1BCB">
            <w:pPr>
              <w:pStyle w:val="a3"/>
              <w:rPr>
                <w:rFonts w:cs="FrankRuehl"/>
                <w:sz w:val="28"/>
                <w:szCs w:val="28"/>
                <w:rtl/>
              </w:rPr>
            </w:pPr>
          </w:p>
        </w:tc>
        <w:tc>
          <w:tcPr>
            <w:tcW w:w="2555" w:type="dxa"/>
          </w:tcPr>
          <w:p w14:paraId="67B45DB1" w14:textId="77777777" w:rsidR="005D3F92" w:rsidRPr="0013021F" w:rsidRDefault="005D3F92" w:rsidP="003B1BCB">
            <w:pPr>
              <w:pStyle w:val="a3"/>
              <w:jc w:val="right"/>
              <w:rPr>
                <w:rFonts w:cs="FrankRuehl"/>
                <w:sz w:val="28"/>
                <w:szCs w:val="28"/>
                <w:rtl/>
              </w:rPr>
            </w:pPr>
          </w:p>
        </w:tc>
      </w:tr>
    </w:tbl>
    <w:p w14:paraId="4BD459FF" w14:textId="77777777" w:rsidR="005D3F92" w:rsidRPr="0013021F" w:rsidRDefault="005D3F92" w:rsidP="007D29D1">
      <w:pPr>
        <w:pStyle w:val="a3"/>
        <w:rPr>
          <w:sz w:val="26"/>
          <w:szCs w:val="26"/>
          <w:rtl/>
        </w:rPr>
      </w:pPr>
      <w:r w:rsidRPr="0013021F">
        <w:rPr>
          <w:rFonts w:hint="cs"/>
          <w:rtl/>
        </w:rPr>
        <w:t xml:space="preserve"> </w:t>
      </w:r>
    </w:p>
    <w:p w14:paraId="2C8D639B" w14:textId="77777777" w:rsidR="005D3F92" w:rsidRPr="0013021F" w:rsidRDefault="005D3F92" w:rsidP="005D3F92">
      <w:pPr>
        <w:jc w:val="both"/>
        <w:rPr>
          <w:b/>
          <w:bCs/>
          <w:sz w:val="26"/>
          <w:szCs w:val="26"/>
        </w:rPr>
      </w:pPr>
      <w:r w:rsidRPr="0013021F">
        <w:rPr>
          <w:rFonts w:hint="cs"/>
          <w:b/>
          <w:bCs/>
          <w:sz w:val="26"/>
          <w:szCs w:val="26"/>
          <w:rtl/>
        </w:rPr>
        <w:t>בפני כבוד השופט דניאל פיש</w:t>
      </w:r>
    </w:p>
    <w:p w14:paraId="4732EE3A" w14:textId="77777777" w:rsidR="005D3F92" w:rsidRPr="0013021F" w:rsidRDefault="005D3F92" w:rsidP="005D3F92">
      <w:pPr>
        <w:suppressLineNumbers/>
        <w:jc w:val="both"/>
        <w:rPr>
          <w:b/>
          <w:bCs/>
          <w:szCs w:val="26"/>
          <w:rtl/>
        </w:rPr>
      </w:pPr>
    </w:p>
    <w:tbl>
      <w:tblPr>
        <w:bidiVisual/>
        <w:tblW w:w="8365" w:type="dxa"/>
        <w:tblInd w:w="437" w:type="dxa"/>
        <w:tblLook w:val="01E0" w:firstRow="1" w:lastRow="1" w:firstColumn="1" w:lastColumn="1" w:noHBand="0" w:noVBand="0"/>
      </w:tblPr>
      <w:tblGrid>
        <w:gridCol w:w="1418"/>
        <w:gridCol w:w="6947"/>
      </w:tblGrid>
      <w:tr w:rsidR="005D3F92" w:rsidRPr="0013021F" w14:paraId="1A233514" w14:textId="77777777" w:rsidTr="005D3F92">
        <w:trPr>
          <w:cantSplit/>
          <w:trHeight w:val="279"/>
        </w:trPr>
        <w:tc>
          <w:tcPr>
            <w:tcW w:w="1418" w:type="dxa"/>
            <w:shd w:val="clear" w:color="auto" w:fill="auto"/>
          </w:tcPr>
          <w:p w14:paraId="07E9F466" w14:textId="77777777" w:rsidR="005D3F92" w:rsidRPr="0013021F" w:rsidRDefault="005D3F92" w:rsidP="005D3F92">
            <w:pPr>
              <w:ind w:left="26"/>
              <w:jc w:val="both"/>
              <w:rPr>
                <w:b/>
                <w:bCs/>
                <w:sz w:val="26"/>
                <w:szCs w:val="26"/>
                <w:rtl/>
              </w:rPr>
            </w:pPr>
            <w:bookmarkStart w:id="1" w:name="FirstAppellant"/>
            <w:r w:rsidRPr="0013021F">
              <w:rPr>
                <w:rFonts w:hint="cs"/>
                <w:b/>
                <w:bCs/>
                <w:sz w:val="26"/>
                <w:szCs w:val="26"/>
                <w:rtl/>
              </w:rPr>
              <w:t>המאשימה:</w:t>
            </w:r>
          </w:p>
        </w:tc>
        <w:tc>
          <w:tcPr>
            <w:tcW w:w="6947" w:type="dxa"/>
            <w:shd w:val="clear" w:color="auto" w:fill="auto"/>
          </w:tcPr>
          <w:p w14:paraId="3551B1EA" w14:textId="77777777" w:rsidR="005D3F92" w:rsidRPr="0013021F" w:rsidRDefault="005D3F92" w:rsidP="005D3F92">
            <w:pPr>
              <w:jc w:val="both"/>
              <w:rPr>
                <w:b/>
                <w:bCs/>
                <w:sz w:val="26"/>
                <w:szCs w:val="26"/>
                <w:rtl/>
              </w:rPr>
            </w:pPr>
            <w:r w:rsidRPr="0013021F">
              <w:rPr>
                <w:rFonts w:hint="cs"/>
                <w:b/>
                <w:bCs/>
                <w:sz w:val="26"/>
                <w:szCs w:val="26"/>
                <w:rtl/>
              </w:rPr>
              <w:t>מדינת ישראל</w:t>
            </w:r>
          </w:p>
        </w:tc>
      </w:tr>
      <w:bookmarkEnd w:id="1"/>
      <w:tr w:rsidR="005D3F92" w:rsidRPr="0013021F" w14:paraId="7C6106CB" w14:textId="77777777" w:rsidTr="005D3F92">
        <w:tc>
          <w:tcPr>
            <w:tcW w:w="8365" w:type="dxa"/>
            <w:gridSpan w:val="2"/>
            <w:shd w:val="clear" w:color="auto" w:fill="auto"/>
            <w:vAlign w:val="center"/>
          </w:tcPr>
          <w:p w14:paraId="53B7F64A" w14:textId="77777777" w:rsidR="005D3F92" w:rsidRPr="0013021F" w:rsidRDefault="005D3F92" w:rsidP="005D3F92">
            <w:pPr>
              <w:jc w:val="center"/>
              <w:rPr>
                <w:rFonts w:ascii="Arial" w:hAnsi="Arial"/>
                <w:b/>
                <w:bCs/>
                <w:sz w:val="26"/>
                <w:szCs w:val="26"/>
                <w:rtl/>
              </w:rPr>
            </w:pPr>
          </w:p>
          <w:p w14:paraId="53704D4C" w14:textId="77777777" w:rsidR="005D3F92" w:rsidRPr="0013021F" w:rsidRDefault="005D3F92" w:rsidP="003B1BCB">
            <w:pPr>
              <w:rPr>
                <w:rFonts w:ascii="Arial" w:hAnsi="Arial"/>
                <w:b/>
                <w:bCs/>
                <w:sz w:val="26"/>
                <w:szCs w:val="26"/>
                <w:rtl/>
              </w:rPr>
            </w:pPr>
            <w:r w:rsidRPr="0013021F">
              <w:rPr>
                <w:rFonts w:ascii="Arial" w:hAnsi="Arial" w:hint="cs"/>
                <w:b/>
                <w:bCs/>
                <w:sz w:val="26"/>
                <w:szCs w:val="26"/>
                <w:rtl/>
              </w:rPr>
              <w:t xml:space="preserve">                         </w:t>
            </w:r>
          </w:p>
          <w:p w14:paraId="16524357" w14:textId="77777777" w:rsidR="005D3F92" w:rsidRPr="0013021F" w:rsidRDefault="005D3F92" w:rsidP="003B1BCB">
            <w:pPr>
              <w:rPr>
                <w:rFonts w:ascii="Arial" w:hAnsi="Arial"/>
                <w:b/>
                <w:bCs/>
                <w:sz w:val="26"/>
                <w:szCs w:val="26"/>
                <w:rtl/>
              </w:rPr>
            </w:pPr>
            <w:r w:rsidRPr="0013021F">
              <w:rPr>
                <w:rFonts w:ascii="Arial" w:hAnsi="Arial" w:hint="cs"/>
                <w:b/>
                <w:bCs/>
                <w:sz w:val="26"/>
                <w:szCs w:val="26"/>
                <w:rtl/>
              </w:rPr>
              <w:t xml:space="preserve">                        נגד</w:t>
            </w:r>
          </w:p>
          <w:p w14:paraId="6CEE1534" w14:textId="77777777" w:rsidR="005D3F92" w:rsidRPr="0013021F" w:rsidRDefault="005D3F92" w:rsidP="005D3F92">
            <w:pPr>
              <w:jc w:val="center"/>
              <w:rPr>
                <w:rFonts w:ascii="Arial" w:hAnsi="Arial"/>
                <w:b/>
                <w:bCs/>
                <w:sz w:val="26"/>
                <w:szCs w:val="26"/>
                <w:rtl/>
              </w:rPr>
            </w:pPr>
          </w:p>
          <w:p w14:paraId="04B0595D" w14:textId="77777777" w:rsidR="005D3F92" w:rsidRPr="0013021F" w:rsidRDefault="005D3F92" w:rsidP="005D3F92">
            <w:pPr>
              <w:jc w:val="center"/>
              <w:rPr>
                <w:rFonts w:ascii="Arial" w:hAnsi="Arial"/>
                <w:b/>
                <w:bCs/>
                <w:sz w:val="26"/>
                <w:szCs w:val="26"/>
                <w:rtl/>
              </w:rPr>
            </w:pPr>
          </w:p>
        </w:tc>
      </w:tr>
      <w:tr w:rsidR="005D3F92" w:rsidRPr="0013021F" w14:paraId="577BB2E1" w14:textId="77777777" w:rsidTr="005D3F92">
        <w:tc>
          <w:tcPr>
            <w:tcW w:w="1418" w:type="dxa"/>
            <w:shd w:val="clear" w:color="auto" w:fill="auto"/>
          </w:tcPr>
          <w:p w14:paraId="314E9AEC" w14:textId="77777777" w:rsidR="005D3F92" w:rsidRPr="0013021F" w:rsidRDefault="005D3F92" w:rsidP="005D3F92">
            <w:pPr>
              <w:ind w:left="26"/>
              <w:jc w:val="both"/>
              <w:rPr>
                <w:rFonts w:ascii="David" w:hAnsi="David"/>
                <w:b/>
                <w:bCs/>
                <w:sz w:val="26"/>
                <w:szCs w:val="26"/>
                <w:rtl/>
              </w:rPr>
            </w:pPr>
            <w:r w:rsidRPr="0013021F">
              <w:rPr>
                <w:rFonts w:ascii="David" w:hAnsi="David" w:hint="cs"/>
                <w:b/>
                <w:bCs/>
                <w:sz w:val="26"/>
                <w:szCs w:val="26"/>
                <w:rtl/>
              </w:rPr>
              <w:t>הנאשמים:</w:t>
            </w:r>
          </w:p>
        </w:tc>
        <w:tc>
          <w:tcPr>
            <w:tcW w:w="6947" w:type="dxa"/>
            <w:shd w:val="clear" w:color="auto" w:fill="auto"/>
          </w:tcPr>
          <w:p w14:paraId="2F9A2F45" w14:textId="77777777" w:rsidR="005D3F92" w:rsidRPr="0013021F" w:rsidRDefault="005D3F92" w:rsidP="005D3F92">
            <w:pPr>
              <w:jc w:val="both"/>
              <w:rPr>
                <w:rFonts w:ascii="David" w:hAnsi="David"/>
                <w:b/>
                <w:bCs/>
                <w:sz w:val="26"/>
                <w:szCs w:val="26"/>
                <w:rtl/>
              </w:rPr>
            </w:pPr>
            <w:r w:rsidRPr="0013021F">
              <w:rPr>
                <w:rFonts w:ascii="David" w:hAnsi="David" w:hint="cs"/>
                <w:b/>
                <w:bCs/>
                <w:sz w:val="26"/>
                <w:szCs w:val="26"/>
                <w:rtl/>
              </w:rPr>
              <w:t xml:space="preserve">1. אחמד אבו שייך (עציר), ת"ז </w:t>
            </w:r>
            <w:r w:rsidR="0013021F">
              <w:rPr>
                <w:rFonts w:ascii="David" w:hAnsi="David"/>
                <w:b/>
                <w:bCs/>
                <w:sz w:val="26"/>
                <w:szCs w:val="26"/>
              </w:rPr>
              <w:t>xxxxxxxxxx</w:t>
            </w:r>
            <w:r w:rsidRPr="0013021F">
              <w:rPr>
                <w:rFonts w:ascii="David" w:hAnsi="David"/>
                <w:b/>
                <w:bCs/>
                <w:sz w:val="26"/>
                <w:szCs w:val="26"/>
                <w:rtl/>
              </w:rPr>
              <w:t>–</w:t>
            </w:r>
            <w:r w:rsidRPr="0013021F">
              <w:rPr>
                <w:rFonts w:ascii="David" w:hAnsi="David" w:hint="cs"/>
                <w:b/>
                <w:bCs/>
                <w:sz w:val="26"/>
                <w:szCs w:val="26"/>
                <w:rtl/>
              </w:rPr>
              <w:t xml:space="preserve"> ניתן גז"ד 15.7.21</w:t>
            </w:r>
          </w:p>
          <w:p w14:paraId="4914343F" w14:textId="77777777" w:rsidR="005D3F92" w:rsidRPr="0013021F" w:rsidRDefault="005D3F92" w:rsidP="005D3F92">
            <w:pPr>
              <w:jc w:val="both"/>
              <w:rPr>
                <w:rFonts w:ascii="David" w:hAnsi="David"/>
                <w:b/>
                <w:bCs/>
                <w:sz w:val="26"/>
                <w:szCs w:val="26"/>
                <w:rtl/>
              </w:rPr>
            </w:pPr>
            <w:r w:rsidRPr="0013021F">
              <w:rPr>
                <w:rFonts w:ascii="David" w:hAnsi="David" w:hint="cs"/>
                <w:b/>
                <w:bCs/>
                <w:sz w:val="26"/>
                <w:szCs w:val="26"/>
                <w:rtl/>
              </w:rPr>
              <w:t xml:space="preserve">2. תאמר אבו שייך (עציר), ת"ז </w:t>
            </w:r>
            <w:r w:rsidR="0013021F">
              <w:rPr>
                <w:rFonts w:ascii="David" w:hAnsi="David"/>
                <w:b/>
                <w:bCs/>
                <w:sz w:val="26"/>
                <w:szCs w:val="26"/>
              </w:rPr>
              <w:t>xxxxxxxxx</w:t>
            </w:r>
          </w:p>
          <w:p w14:paraId="272527FC" w14:textId="77777777" w:rsidR="005D3F92" w:rsidRPr="0013021F" w:rsidRDefault="005D3F92" w:rsidP="005D3F92">
            <w:pPr>
              <w:jc w:val="both"/>
              <w:rPr>
                <w:rFonts w:ascii="David" w:hAnsi="David"/>
                <w:sz w:val="26"/>
                <w:szCs w:val="26"/>
                <w:rtl/>
              </w:rPr>
            </w:pPr>
          </w:p>
        </w:tc>
      </w:tr>
    </w:tbl>
    <w:p w14:paraId="3F8A54C1" w14:textId="77777777" w:rsidR="005D3F92" w:rsidRPr="0013021F" w:rsidRDefault="005D3F92" w:rsidP="005D3F92">
      <w:pPr>
        <w:suppressLineNumbers/>
        <w:jc w:val="both"/>
        <w:rPr>
          <w:rFonts w:ascii="David" w:hAnsi="David"/>
          <w:b/>
          <w:bCs/>
          <w:szCs w:val="26"/>
          <w:rtl/>
        </w:rPr>
      </w:pPr>
    </w:p>
    <w:p w14:paraId="38E242FC" w14:textId="77777777" w:rsidR="005D3F92" w:rsidRPr="0013021F" w:rsidRDefault="005D3F92" w:rsidP="005D3F92">
      <w:pPr>
        <w:suppressLineNumbers/>
        <w:jc w:val="both"/>
        <w:rPr>
          <w:sz w:val="26"/>
          <w:szCs w:val="26"/>
          <w:rtl/>
        </w:rPr>
      </w:pPr>
    </w:p>
    <w:p w14:paraId="5B309357" w14:textId="77777777" w:rsidR="005D3F92" w:rsidRPr="0013021F" w:rsidRDefault="005D3F92" w:rsidP="005D3F92">
      <w:pPr>
        <w:suppressLineNumbers/>
        <w:jc w:val="both"/>
        <w:rPr>
          <w:sz w:val="26"/>
          <w:szCs w:val="26"/>
          <w:rtl/>
        </w:rPr>
      </w:pPr>
      <w:bookmarkStart w:id="2" w:name="FirstLawyer"/>
      <w:r w:rsidRPr="0013021F">
        <w:rPr>
          <w:rFonts w:hint="cs"/>
          <w:sz w:val="26"/>
          <w:szCs w:val="26"/>
          <w:rtl/>
        </w:rPr>
        <w:t>בשם</w:t>
      </w:r>
      <w:bookmarkEnd w:id="2"/>
      <w:r w:rsidRPr="0013021F">
        <w:rPr>
          <w:rFonts w:hint="cs"/>
          <w:sz w:val="26"/>
          <w:szCs w:val="26"/>
          <w:rtl/>
        </w:rPr>
        <w:t xml:space="preserve"> המאשימה: עו"ד יניב זהר</w:t>
      </w:r>
    </w:p>
    <w:p w14:paraId="7191499E" w14:textId="77777777" w:rsidR="005D3F92" w:rsidRPr="0013021F" w:rsidRDefault="005D3F92" w:rsidP="005D3F92">
      <w:pPr>
        <w:suppressLineNumbers/>
        <w:jc w:val="both"/>
        <w:rPr>
          <w:sz w:val="26"/>
          <w:szCs w:val="26"/>
          <w:rtl/>
        </w:rPr>
      </w:pPr>
      <w:r w:rsidRPr="0013021F">
        <w:rPr>
          <w:rFonts w:hint="cs"/>
          <w:sz w:val="26"/>
          <w:szCs w:val="26"/>
          <w:rtl/>
        </w:rPr>
        <w:t>בשם הנאשם 2: עו"ד פארס בריק - סנגוריה ציבורית</w:t>
      </w:r>
    </w:p>
    <w:p w14:paraId="6DC22A82" w14:textId="77777777" w:rsidR="007D29D1" w:rsidRDefault="007D29D1" w:rsidP="005D3F92">
      <w:pPr>
        <w:spacing w:line="360" w:lineRule="auto"/>
        <w:rPr>
          <w:rtl/>
        </w:rPr>
      </w:pPr>
    </w:p>
    <w:p w14:paraId="4CE59DA9" w14:textId="77777777" w:rsidR="007D29D1" w:rsidRPr="007D29D1" w:rsidRDefault="007D29D1" w:rsidP="007D29D1">
      <w:pPr>
        <w:spacing w:after="120" w:line="240" w:lineRule="exact"/>
        <w:ind w:left="283" w:hanging="283"/>
        <w:jc w:val="both"/>
        <w:rPr>
          <w:rFonts w:ascii="FrankRuehl" w:hAnsi="FrankRuehl" w:cs="FrankRuehl"/>
          <w:rtl/>
        </w:rPr>
      </w:pPr>
    </w:p>
    <w:p w14:paraId="1FDE2D8B" w14:textId="77777777" w:rsidR="003C5226" w:rsidRDefault="003C5226" w:rsidP="003C5226">
      <w:pPr>
        <w:spacing w:line="360" w:lineRule="auto"/>
        <w:jc w:val="center"/>
        <w:rPr>
          <w:rFonts w:ascii="David" w:hAnsi="David"/>
          <w:sz w:val="32"/>
          <w:szCs w:val="32"/>
          <w:rtl/>
        </w:rPr>
      </w:pPr>
      <w:bookmarkStart w:id="3" w:name="LawTable"/>
      <w:bookmarkEnd w:id="3"/>
    </w:p>
    <w:p w14:paraId="2985FC79" w14:textId="77777777" w:rsidR="003C5226" w:rsidRPr="003C5226" w:rsidRDefault="003C5226" w:rsidP="003C5226">
      <w:pPr>
        <w:spacing w:before="120" w:after="120" w:line="240" w:lineRule="exact"/>
        <w:ind w:left="283" w:hanging="283"/>
        <w:jc w:val="both"/>
        <w:rPr>
          <w:rFonts w:ascii="FrankRuehl" w:hAnsi="FrankRuehl" w:cs="FrankRuehl"/>
          <w:rtl/>
        </w:rPr>
      </w:pPr>
    </w:p>
    <w:p w14:paraId="143372AB" w14:textId="77777777" w:rsidR="003C5226" w:rsidRPr="003C5226" w:rsidRDefault="003C5226" w:rsidP="003C5226">
      <w:pPr>
        <w:spacing w:before="120" w:after="120" w:line="240" w:lineRule="exact"/>
        <w:ind w:left="283" w:hanging="283"/>
        <w:jc w:val="both"/>
        <w:rPr>
          <w:rFonts w:ascii="FrankRuehl" w:hAnsi="FrankRuehl" w:cs="FrankRuehl"/>
          <w:rtl/>
        </w:rPr>
      </w:pPr>
    </w:p>
    <w:p w14:paraId="14C2D341" w14:textId="77777777" w:rsidR="003C5226" w:rsidRPr="003C5226" w:rsidRDefault="003C5226" w:rsidP="003C5226">
      <w:pPr>
        <w:spacing w:before="120" w:after="120" w:line="240" w:lineRule="exact"/>
        <w:ind w:left="283" w:hanging="283"/>
        <w:jc w:val="both"/>
        <w:rPr>
          <w:rFonts w:ascii="FrankRuehl" w:hAnsi="FrankRuehl" w:cs="FrankRuehl"/>
          <w:rtl/>
        </w:rPr>
      </w:pPr>
      <w:r w:rsidRPr="003C5226">
        <w:rPr>
          <w:rFonts w:ascii="FrankRuehl" w:hAnsi="FrankRuehl" w:cs="FrankRuehl"/>
          <w:rtl/>
        </w:rPr>
        <w:t xml:space="preserve">חקיקה שאוזכרה: </w:t>
      </w:r>
    </w:p>
    <w:p w14:paraId="112F22E2" w14:textId="77777777" w:rsidR="003C5226" w:rsidRPr="003C5226" w:rsidRDefault="003C5226" w:rsidP="003C5226">
      <w:pPr>
        <w:spacing w:before="120" w:after="120" w:line="240" w:lineRule="exact"/>
        <w:ind w:left="283" w:hanging="283"/>
        <w:jc w:val="both"/>
        <w:rPr>
          <w:rFonts w:ascii="FrankRuehl" w:hAnsi="FrankRuehl" w:cs="FrankRuehl"/>
          <w:rtl/>
        </w:rPr>
      </w:pPr>
      <w:hyperlink r:id="rId7" w:history="1">
        <w:r w:rsidRPr="003C5226">
          <w:rPr>
            <w:rFonts w:ascii="FrankRuehl" w:hAnsi="FrankRuehl" w:cs="FrankRuehl"/>
            <w:color w:val="0000FF"/>
            <w:rtl/>
          </w:rPr>
          <w:t>חוק העונשין, תשל"ז-1977</w:t>
        </w:r>
      </w:hyperlink>
      <w:r w:rsidRPr="003C5226">
        <w:rPr>
          <w:rFonts w:ascii="FrankRuehl" w:hAnsi="FrankRuehl" w:cs="FrankRuehl"/>
          <w:rtl/>
        </w:rPr>
        <w:t xml:space="preserve">: סע'  </w:t>
      </w:r>
      <w:hyperlink r:id="rId8" w:history="1">
        <w:r w:rsidRPr="003C5226">
          <w:rPr>
            <w:rFonts w:ascii="FrankRuehl" w:hAnsi="FrankRuehl" w:cs="FrankRuehl"/>
            <w:color w:val="0000FF"/>
            <w:rtl/>
          </w:rPr>
          <w:t>29</w:t>
        </w:r>
      </w:hyperlink>
      <w:r w:rsidRPr="003C5226">
        <w:rPr>
          <w:rFonts w:ascii="FrankRuehl" w:hAnsi="FrankRuehl" w:cs="FrankRuehl"/>
          <w:rtl/>
        </w:rPr>
        <w:t xml:space="preserve">, </w:t>
      </w:r>
      <w:hyperlink r:id="rId9" w:history="1">
        <w:r w:rsidRPr="003C5226">
          <w:rPr>
            <w:rFonts w:ascii="FrankRuehl" w:hAnsi="FrankRuehl" w:cs="FrankRuehl"/>
            <w:color w:val="0000FF"/>
            <w:rtl/>
          </w:rPr>
          <w:t>40ט(א)(10)</w:t>
        </w:r>
      </w:hyperlink>
      <w:r w:rsidRPr="003C5226">
        <w:rPr>
          <w:rFonts w:ascii="FrankRuehl" w:hAnsi="FrankRuehl" w:cs="FrankRuehl"/>
          <w:rtl/>
        </w:rPr>
        <w:t xml:space="preserve">, </w:t>
      </w:r>
      <w:hyperlink r:id="rId10" w:history="1">
        <w:r w:rsidRPr="003C5226">
          <w:rPr>
            <w:rFonts w:ascii="FrankRuehl" w:hAnsi="FrankRuehl" w:cs="FrankRuehl"/>
            <w:color w:val="0000FF"/>
            <w:rtl/>
          </w:rPr>
          <w:t>144(ב)</w:t>
        </w:r>
      </w:hyperlink>
      <w:r w:rsidRPr="003C5226">
        <w:rPr>
          <w:rFonts w:ascii="FrankRuehl" w:hAnsi="FrankRuehl" w:cs="FrankRuehl"/>
          <w:rtl/>
        </w:rPr>
        <w:t xml:space="preserve">, </w:t>
      </w:r>
      <w:hyperlink r:id="rId11" w:history="1">
        <w:r w:rsidRPr="003C5226">
          <w:rPr>
            <w:rFonts w:ascii="FrankRuehl" w:hAnsi="FrankRuehl" w:cs="FrankRuehl"/>
            <w:color w:val="0000FF"/>
            <w:rtl/>
          </w:rPr>
          <w:t>244</w:t>
        </w:r>
      </w:hyperlink>
      <w:r w:rsidRPr="003C5226">
        <w:rPr>
          <w:rFonts w:ascii="FrankRuehl" w:hAnsi="FrankRuehl" w:cs="FrankRuehl"/>
          <w:rtl/>
        </w:rPr>
        <w:t xml:space="preserve">, </w:t>
      </w:r>
      <w:hyperlink r:id="rId12" w:history="1">
        <w:r w:rsidRPr="003C5226">
          <w:rPr>
            <w:rFonts w:ascii="FrankRuehl" w:hAnsi="FrankRuehl" w:cs="FrankRuehl"/>
            <w:color w:val="0000FF"/>
            <w:rtl/>
          </w:rPr>
          <w:t>329</w:t>
        </w:r>
      </w:hyperlink>
      <w:r w:rsidRPr="003C5226">
        <w:rPr>
          <w:rFonts w:ascii="FrankRuehl" w:hAnsi="FrankRuehl" w:cs="FrankRuehl"/>
          <w:rtl/>
        </w:rPr>
        <w:t xml:space="preserve">, </w:t>
      </w:r>
      <w:hyperlink r:id="rId13" w:history="1">
        <w:r w:rsidRPr="003C5226">
          <w:rPr>
            <w:rFonts w:ascii="FrankRuehl" w:hAnsi="FrankRuehl" w:cs="FrankRuehl"/>
            <w:color w:val="0000FF"/>
            <w:rtl/>
          </w:rPr>
          <w:t>329(1)</w:t>
        </w:r>
      </w:hyperlink>
      <w:r w:rsidRPr="003C5226">
        <w:rPr>
          <w:rFonts w:ascii="FrankRuehl" w:hAnsi="FrankRuehl" w:cs="FrankRuehl"/>
          <w:rtl/>
        </w:rPr>
        <w:t xml:space="preserve">, </w:t>
      </w:r>
      <w:hyperlink r:id="rId14" w:history="1">
        <w:r w:rsidRPr="003C5226">
          <w:rPr>
            <w:rFonts w:ascii="FrankRuehl" w:hAnsi="FrankRuehl" w:cs="FrankRuehl"/>
            <w:color w:val="0000FF"/>
            <w:rtl/>
          </w:rPr>
          <w:t>329(2)</w:t>
        </w:r>
      </w:hyperlink>
      <w:r w:rsidRPr="003C5226">
        <w:rPr>
          <w:rFonts w:ascii="FrankRuehl" w:hAnsi="FrankRuehl" w:cs="FrankRuehl"/>
          <w:rtl/>
        </w:rPr>
        <w:t xml:space="preserve">, </w:t>
      </w:r>
      <w:hyperlink r:id="rId15" w:history="1">
        <w:r w:rsidRPr="003C5226">
          <w:rPr>
            <w:rFonts w:ascii="FrankRuehl" w:hAnsi="FrankRuehl" w:cs="FrankRuehl"/>
            <w:color w:val="0000FF"/>
            <w:rtl/>
          </w:rPr>
          <w:t>329(א)(1)</w:t>
        </w:r>
      </w:hyperlink>
      <w:r w:rsidRPr="003C5226">
        <w:rPr>
          <w:rFonts w:ascii="FrankRuehl" w:hAnsi="FrankRuehl" w:cs="FrankRuehl"/>
          <w:rtl/>
        </w:rPr>
        <w:t xml:space="preserve">, </w:t>
      </w:r>
      <w:hyperlink r:id="rId16" w:history="1">
        <w:r w:rsidRPr="003C5226">
          <w:rPr>
            <w:rFonts w:ascii="FrankRuehl" w:hAnsi="FrankRuehl" w:cs="FrankRuehl"/>
            <w:color w:val="0000FF"/>
            <w:rtl/>
          </w:rPr>
          <w:t>333</w:t>
        </w:r>
      </w:hyperlink>
      <w:r w:rsidRPr="003C5226">
        <w:rPr>
          <w:rFonts w:ascii="FrankRuehl" w:hAnsi="FrankRuehl" w:cs="FrankRuehl"/>
          <w:rtl/>
        </w:rPr>
        <w:t xml:space="preserve">, </w:t>
      </w:r>
      <w:hyperlink r:id="rId17" w:history="1">
        <w:r w:rsidRPr="003C5226">
          <w:rPr>
            <w:rFonts w:ascii="FrankRuehl" w:hAnsi="FrankRuehl" w:cs="FrankRuehl"/>
            <w:color w:val="0000FF"/>
            <w:rtl/>
          </w:rPr>
          <w:t>335</w:t>
        </w:r>
      </w:hyperlink>
      <w:r w:rsidRPr="003C5226">
        <w:rPr>
          <w:rFonts w:ascii="FrankRuehl" w:hAnsi="FrankRuehl" w:cs="FrankRuehl"/>
          <w:rtl/>
        </w:rPr>
        <w:t xml:space="preserve">, </w:t>
      </w:r>
      <w:hyperlink r:id="rId18" w:history="1">
        <w:r w:rsidRPr="003C5226">
          <w:rPr>
            <w:rFonts w:ascii="FrankRuehl" w:hAnsi="FrankRuehl" w:cs="FrankRuehl"/>
            <w:color w:val="0000FF"/>
            <w:rtl/>
          </w:rPr>
          <w:t>340א</w:t>
        </w:r>
      </w:hyperlink>
      <w:r w:rsidRPr="003C5226">
        <w:rPr>
          <w:rFonts w:ascii="FrankRuehl" w:hAnsi="FrankRuehl" w:cs="FrankRuehl"/>
          <w:rtl/>
        </w:rPr>
        <w:t xml:space="preserve">, </w:t>
      </w:r>
      <w:hyperlink r:id="rId19" w:history="1">
        <w:r w:rsidRPr="003C5226">
          <w:rPr>
            <w:rFonts w:ascii="FrankRuehl" w:hAnsi="FrankRuehl" w:cs="FrankRuehl"/>
            <w:color w:val="0000FF"/>
            <w:rtl/>
          </w:rPr>
          <w:t>413ד(א)</w:t>
        </w:r>
      </w:hyperlink>
      <w:r w:rsidRPr="003C5226">
        <w:rPr>
          <w:rFonts w:ascii="FrankRuehl" w:hAnsi="FrankRuehl" w:cs="FrankRuehl"/>
          <w:rtl/>
        </w:rPr>
        <w:t xml:space="preserve">, </w:t>
      </w:r>
      <w:hyperlink r:id="rId20" w:history="1">
        <w:r w:rsidRPr="003C5226">
          <w:rPr>
            <w:rFonts w:ascii="FrankRuehl" w:hAnsi="FrankRuehl" w:cs="FrankRuehl"/>
            <w:color w:val="0000FF"/>
            <w:rtl/>
          </w:rPr>
          <w:t>413ה</w:t>
        </w:r>
      </w:hyperlink>
      <w:r w:rsidRPr="003C5226">
        <w:rPr>
          <w:rFonts w:ascii="FrankRuehl" w:hAnsi="FrankRuehl" w:cs="FrankRuehl"/>
          <w:rtl/>
        </w:rPr>
        <w:t xml:space="preserve">, </w:t>
      </w:r>
      <w:hyperlink r:id="rId21" w:history="1">
        <w:r w:rsidRPr="003C5226">
          <w:rPr>
            <w:rFonts w:ascii="FrankRuehl" w:hAnsi="FrankRuehl" w:cs="FrankRuehl"/>
            <w:color w:val="0000FF"/>
            <w:rtl/>
          </w:rPr>
          <w:t>413ט</w:t>
        </w:r>
      </w:hyperlink>
    </w:p>
    <w:p w14:paraId="5859E967" w14:textId="77777777" w:rsidR="003C5226" w:rsidRPr="003C5226" w:rsidRDefault="003C5226" w:rsidP="003C5226">
      <w:pPr>
        <w:spacing w:line="360" w:lineRule="auto"/>
        <w:jc w:val="center"/>
        <w:rPr>
          <w:rFonts w:ascii="David" w:hAnsi="David"/>
          <w:sz w:val="32"/>
          <w:szCs w:val="32"/>
          <w:rtl/>
        </w:rPr>
      </w:pPr>
      <w:bookmarkStart w:id="4" w:name="LawTable_End"/>
      <w:bookmarkEnd w:id="4"/>
    </w:p>
    <w:p w14:paraId="0C5C0231" w14:textId="77777777" w:rsidR="007D29D1" w:rsidRPr="0013021F" w:rsidRDefault="007D29D1" w:rsidP="0013021F">
      <w:pPr>
        <w:spacing w:line="360" w:lineRule="auto"/>
        <w:jc w:val="center"/>
        <w:rPr>
          <w:rFonts w:ascii="David" w:hAnsi="David"/>
          <w:sz w:val="32"/>
          <w:szCs w:val="32"/>
          <w:rtl/>
        </w:rPr>
      </w:pPr>
    </w:p>
    <w:p w14:paraId="40CCC93F" w14:textId="77777777" w:rsidR="007D29D1" w:rsidRPr="0013021F" w:rsidRDefault="007D29D1" w:rsidP="0013021F">
      <w:pPr>
        <w:spacing w:line="360" w:lineRule="auto"/>
        <w:jc w:val="center"/>
        <w:rPr>
          <w:rFonts w:ascii="David" w:hAnsi="David"/>
          <w:b/>
          <w:bCs/>
          <w:sz w:val="32"/>
          <w:szCs w:val="32"/>
          <w:u w:val="single"/>
          <w:rtl/>
        </w:rPr>
      </w:pPr>
      <w:bookmarkStart w:id="5" w:name="PsakDin"/>
      <w:r w:rsidRPr="0013021F">
        <w:rPr>
          <w:rFonts w:ascii="David" w:hAnsi="David"/>
          <w:b/>
          <w:bCs/>
          <w:sz w:val="32"/>
          <w:szCs w:val="32"/>
          <w:u w:val="single"/>
          <w:rtl/>
        </w:rPr>
        <w:t>גזר דין</w:t>
      </w:r>
    </w:p>
    <w:bookmarkEnd w:id="5"/>
    <w:p w14:paraId="0B515F9D" w14:textId="77777777" w:rsidR="007D29D1" w:rsidRPr="005D3F92" w:rsidRDefault="007D29D1" w:rsidP="005D3F92">
      <w:pPr>
        <w:spacing w:line="360" w:lineRule="auto"/>
        <w:jc w:val="center"/>
        <w:rPr>
          <w:rFonts w:ascii="David" w:hAnsi="David"/>
          <w:b/>
          <w:bCs/>
          <w:sz w:val="32"/>
          <w:szCs w:val="32"/>
          <w:u w:val="single"/>
          <w:rtl/>
        </w:rPr>
      </w:pPr>
      <w:r w:rsidRPr="005D3F92">
        <w:rPr>
          <w:rFonts w:ascii="David" w:hAnsi="David" w:hint="cs"/>
          <w:b/>
          <w:bCs/>
          <w:u w:val="single"/>
          <w:rtl/>
        </w:rPr>
        <w:t>בעניין נאשם 2</w:t>
      </w:r>
    </w:p>
    <w:bookmarkEnd w:id="0"/>
    <w:p w14:paraId="4BCDC8D3" w14:textId="77777777" w:rsidR="005D3F92" w:rsidRDefault="005D3F92" w:rsidP="005D3F92">
      <w:pPr>
        <w:spacing w:line="360" w:lineRule="auto"/>
        <w:rPr>
          <w:rFonts w:ascii="David" w:hAnsi="David"/>
          <w:sz w:val="26"/>
          <w:szCs w:val="26"/>
          <w:rtl/>
        </w:rPr>
      </w:pPr>
    </w:p>
    <w:p w14:paraId="309E28BC" w14:textId="77777777" w:rsidR="005D3F92" w:rsidRPr="002B7D23" w:rsidRDefault="005D3F92" w:rsidP="005D3F92">
      <w:pPr>
        <w:spacing w:line="360" w:lineRule="auto"/>
        <w:jc w:val="both"/>
        <w:rPr>
          <w:rFonts w:ascii="David" w:hAnsi="David"/>
          <w:sz w:val="26"/>
          <w:szCs w:val="26"/>
          <w:rtl/>
        </w:rPr>
      </w:pPr>
    </w:p>
    <w:p w14:paraId="3E8D8538"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1.</w:t>
      </w:r>
      <w:r>
        <w:rPr>
          <w:rFonts w:ascii="David" w:hAnsi="David" w:hint="cs"/>
          <w:sz w:val="26"/>
          <w:szCs w:val="26"/>
          <w:rtl/>
        </w:rPr>
        <w:tab/>
      </w:r>
      <w:bookmarkStart w:id="6" w:name="ABSTRACT_START"/>
      <w:bookmarkEnd w:id="6"/>
      <w:r>
        <w:rPr>
          <w:rFonts w:ascii="David" w:hAnsi="David" w:hint="cs"/>
          <w:sz w:val="26"/>
          <w:szCs w:val="26"/>
          <w:rtl/>
        </w:rPr>
        <w:t>הנאשם 2 הורשע על פי הודאתו בביצוע עבירות כדלקמן:</w:t>
      </w:r>
    </w:p>
    <w:p w14:paraId="563C95C7" w14:textId="77777777" w:rsidR="005D3F92" w:rsidRDefault="005D3F92" w:rsidP="005D3F92">
      <w:pPr>
        <w:spacing w:line="360" w:lineRule="auto"/>
        <w:ind w:left="720" w:hanging="720"/>
        <w:jc w:val="both"/>
        <w:rPr>
          <w:rFonts w:ascii="David" w:hAnsi="David"/>
          <w:sz w:val="26"/>
          <w:szCs w:val="26"/>
          <w:rtl/>
        </w:rPr>
      </w:pPr>
    </w:p>
    <w:p w14:paraId="6D4AC45D" w14:textId="77777777" w:rsidR="005D3F92" w:rsidRPr="0093412F" w:rsidRDefault="005D3F92" w:rsidP="005D3F92">
      <w:pPr>
        <w:spacing w:line="360" w:lineRule="auto"/>
        <w:ind w:left="720"/>
        <w:jc w:val="both"/>
        <w:rPr>
          <w:rFonts w:ascii="David" w:hAnsi="David"/>
          <w:sz w:val="26"/>
          <w:szCs w:val="26"/>
          <w:rtl/>
        </w:rPr>
      </w:pPr>
      <w:r>
        <w:rPr>
          <w:rFonts w:ascii="David" w:hAnsi="David" w:hint="cs"/>
          <w:sz w:val="26"/>
          <w:szCs w:val="26"/>
          <w:rtl/>
        </w:rPr>
        <w:t xml:space="preserve">חבלה בכוונה מחמירה לפי </w:t>
      </w:r>
      <w:hyperlink r:id="rId22" w:history="1">
        <w:r w:rsidR="007D29D1" w:rsidRPr="007D29D1">
          <w:rPr>
            <w:rStyle w:val="Hyperlink"/>
            <w:rFonts w:ascii="David" w:hAnsi="David" w:hint="eastAsia"/>
            <w:sz w:val="26"/>
            <w:szCs w:val="26"/>
            <w:rtl/>
          </w:rPr>
          <w:t>סעיף</w:t>
        </w:r>
        <w:r w:rsidR="007D29D1" w:rsidRPr="007D29D1">
          <w:rPr>
            <w:rStyle w:val="Hyperlink"/>
            <w:rFonts w:ascii="David" w:hAnsi="David"/>
            <w:sz w:val="26"/>
            <w:szCs w:val="26"/>
            <w:rtl/>
          </w:rPr>
          <w:t xml:space="preserve"> 329(א)(1)</w:t>
        </w:r>
      </w:hyperlink>
      <w:r>
        <w:rPr>
          <w:rFonts w:ascii="David" w:hAnsi="David" w:hint="cs"/>
          <w:sz w:val="26"/>
          <w:szCs w:val="26"/>
          <w:rtl/>
        </w:rPr>
        <w:t xml:space="preserve"> + </w:t>
      </w:r>
      <w:hyperlink r:id="rId23" w:history="1">
        <w:r w:rsidR="007D29D1" w:rsidRPr="007D29D1">
          <w:rPr>
            <w:rStyle w:val="Hyperlink"/>
            <w:rFonts w:ascii="David" w:hAnsi="David"/>
            <w:sz w:val="26"/>
            <w:szCs w:val="26"/>
            <w:rtl/>
          </w:rPr>
          <w:t>29</w:t>
        </w:r>
      </w:hyperlink>
      <w:r>
        <w:rPr>
          <w:rFonts w:ascii="David" w:hAnsi="David" w:hint="cs"/>
          <w:sz w:val="26"/>
          <w:szCs w:val="26"/>
          <w:rtl/>
        </w:rPr>
        <w:t xml:space="preserve"> ל</w:t>
      </w:r>
      <w:hyperlink r:id="rId24" w:history="1">
        <w:r w:rsidR="0013021F" w:rsidRPr="0013021F">
          <w:rPr>
            <w:rFonts w:ascii="David" w:hAnsi="David"/>
            <w:color w:val="0000FF"/>
            <w:sz w:val="26"/>
            <w:szCs w:val="26"/>
            <w:u w:val="single"/>
            <w:rtl/>
          </w:rPr>
          <w:t>חוק העונשין</w:t>
        </w:r>
      </w:hyperlink>
      <w:r>
        <w:rPr>
          <w:rFonts w:ascii="David" w:hAnsi="David" w:hint="cs"/>
          <w:sz w:val="26"/>
          <w:szCs w:val="26"/>
          <w:rtl/>
        </w:rPr>
        <w:t xml:space="preserve">, התשל"ז-1977 (להלן: </w:t>
      </w:r>
      <w:r>
        <w:rPr>
          <w:rFonts w:ascii="David" w:hAnsi="David" w:hint="cs"/>
          <w:b/>
          <w:bCs/>
          <w:sz w:val="26"/>
          <w:szCs w:val="26"/>
          <w:rtl/>
        </w:rPr>
        <w:t>"</w:t>
      </w:r>
      <w:r w:rsidRPr="0093412F">
        <w:rPr>
          <w:rFonts w:ascii="David" w:hAnsi="David" w:hint="cs"/>
          <w:b/>
          <w:bCs/>
          <w:sz w:val="26"/>
          <w:szCs w:val="26"/>
          <w:rtl/>
        </w:rPr>
        <w:t>החוק</w:t>
      </w:r>
      <w:r w:rsidRPr="0093412F">
        <w:rPr>
          <w:rFonts w:ascii="David" w:hAnsi="David" w:hint="cs"/>
          <w:sz w:val="26"/>
          <w:szCs w:val="26"/>
          <w:rtl/>
        </w:rPr>
        <w:t>");</w:t>
      </w:r>
      <w:r>
        <w:rPr>
          <w:rFonts w:ascii="David" w:hAnsi="David" w:hint="cs"/>
          <w:sz w:val="26"/>
          <w:szCs w:val="26"/>
          <w:rtl/>
        </w:rPr>
        <w:t xml:space="preserve"> </w:t>
      </w:r>
      <w:r w:rsidRPr="0093412F">
        <w:rPr>
          <w:rFonts w:ascii="David" w:hAnsi="David" w:hint="cs"/>
          <w:sz w:val="26"/>
          <w:szCs w:val="26"/>
          <w:rtl/>
        </w:rPr>
        <w:t xml:space="preserve">חבלה </w:t>
      </w:r>
      <w:r>
        <w:rPr>
          <w:rFonts w:ascii="David" w:hAnsi="David" w:hint="cs"/>
          <w:sz w:val="26"/>
          <w:szCs w:val="26"/>
          <w:rtl/>
        </w:rPr>
        <w:t>חמורה בנסיב</w:t>
      </w:r>
      <w:r w:rsidRPr="0093412F">
        <w:rPr>
          <w:rFonts w:ascii="David" w:hAnsi="David" w:hint="cs"/>
          <w:sz w:val="26"/>
          <w:szCs w:val="26"/>
          <w:rtl/>
        </w:rPr>
        <w:t xml:space="preserve">ות מחמירות לפי </w:t>
      </w:r>
      <w:hyperlink r:id="rId25" w:history="1">
        <w:r w:rsidR="007D29D1" w:rsidRPr="007D29D1">
          <w:rPr>
            <w:rStyle w:val="Hyperlink"/>
            <w:rFonts w:ascii="David" w:hAnsi="David" w:hint="eastAsia"/>
            <w:sz w:val="26"/>
            <w:szCs w:val="26"/>
            <w:rtl/>
          </w:rPr>
          <w:t>סעיפים</w:t>
        </w:r>
        <w:r w:rsidR="007D29D1" w:rsidRPr="007D29D1">
          <w:rPr>
            <w:rStyle w:val="Hyperlink"/>
            <w:rFonts w:ascii="David" w:hAnsi="David"/>
            <w:sz w:val="26"/>
            <w:szCs w:val="26"/>
            <w:rtl/>
          </w:rPr>
          <w:t xml:space="preserve"> 333</w:t>
        </w:r>
      </w:hyperlink>
      <w:r w:rsidRPr="0093412F">
        <w:rPr>
          <w:rFonts w:ascii="David" w:hAnsi="David" w:hint="cs"/>
          <w:sz w:val="26"/>
          <w:szCs w:val="26"/>
          <w:rtl/>
        </w:rPr>
        <w:t xml:space="preserve"> + </w:t>
      </w:r>
      <w:hyperlink r:id="rId26" w:history="1">
        <w:r w:rsidR="007D29D1" w:rsidRPr="007D29D1">
          <w:rPr>
            <w:rStyle w:val="Hyperlink"/>
            <w:rFonts w:ascii="David" w:hAnsi="David"/>
            <w:sz w:val="26"/>
            <w:szCs w:val="26"/>
            <w:rtl/>
          </w:rPr>
          <w:t>335</w:t>
        </w:r>
      </w:hyperlink>
      <w:r w:rsidRPr="0093412F">
        <w:rPr>
          <w:rFonts w:ascii="David" w:hAnsi="David" w:hint="cs"/>
          <w:sz w:val="26"/>
          <w:szCs w:val="26"/>
          <w:rtl/>
        </w:rPr>
        <w:t xml:space="preserve"> + </w:t>
      </w:r>
      <w:hyperlink r:id="rId27" w:history="1">
        <w:r w:rsidR="007D29D1" w:rsidRPr="007D29D1">
          <w:rPr>
            <w:rStyle w:val="Hyperlink"/>
            <w:rFonts w:ascii="David" w:hAnsi="David"/>
            <w:sz w:val="26"/>
            <w:szCs w:val="26"/>
            <w:rtl/>
          </w:rPr>
          <w:t>29</w:t>
        </w:r>
      </w:hyperlink>
      <w:r w:rsidRPr="0093412F">
        <w:rPr>
          <w:rFonts w:ascii="David" w:hAnsi="David" w:hint="cs"/>
          <w:sz w:val="26"/>
          <w:szCs w:val="26"/>
          <w:rtl/>
        </w:rPr>
        <w:t xml:space="preserve"> לחוק העונשין;</w:t>
      </w:r>
      <w:r>
        <w:rPr>
          <w:rFonts w:ascii="David" w:hAnsi="David" w:hint="cs"/>
          <w:sz w:val="26"/>
          <w:szCs w:val="26"/>
          <w:rtl/>
        </w:rPr>
        <w:t xml:space="preserve"> עבירות בנשק (נשיאה והובלה) לפי </w:t>
      </w:r>
      <w:hyperlink r:id="rId28" w:history="1">
        <w:r w:rsidR="007D29D1" w:rsidRPr="007D29D1">
          <w:rPr>
            <w:rStyle w:val="Hyperlink"/>
            <w:rFonts w:ascii="David" w:hAnsi="David" w:hint="eastAsia"/>
            <w:sz w:val="26"/>
            <w:szCs w:val="26"/>
            <w:rtl/>
          </w:rPr>
          <w:t>סעיף</w:t>
        </w:r>
        <w:r w:rsidR="007D29D1" w:rsidRPr="007D29D1">
          <w:rPr>
            <w:rStyle w:val="Hyperlink"/>
            <w:rFonts w:ascii="David" w:hAnsi="David"/>
            <w:sz w:val="26"/>
            <w:szCs w:val="26"/>
            <w:rtl/>
          </w:rPr>
          <w:t xml:space="preserve"> 144(ב)</w:t>
        </w:r>
      </w:hyperlink>
      <w:r>
        <w:rPr>
          <w:rFonts w:ascii="David" w:hAnsi="David" w:hint="cs"/>
          <w:sz w:val="26"/>
          <w:szCs w:val="26"/>
          <w:rtl/>
        </w:rPr>
        <w:t xml:space="preserve"> רישא וסיפא לחוק; </w:t>
      </w:r>
      <w:r>
        <w:rPr>
          <w:rFonts w:ascii="David" w:hAnsi="David" w:hint="cs"/>
          <w:sz w:val="26"/>
          <w:szCs w:val="26"/>
          <w:rtl/>
        </w:rPr>
        <w:lastRenderedPageBreak/>
        <w:t xml:space="preserve">חבלה במזיד לפי </w:t>
      </w:r>
      <w:hyperlink r:id="rId29" w:history="1">
        <w:r w:rsidR="007D29D1" w:rsidRPr="007D29D1">
          <w:rPr>
            <w:rStyle w:val="Hyperlink"/>
            <w:rFonts w:ascii="David" w:hAnsi="David" w:hint="eastAsia"/>
            <w:sz w:val="26"/>
            <w:szCs w:val="26"/>
            <w:rtl/>
          </w:rPr>
          <w:t>סעיפים</w:t>
        </w:r>
        <w:r w:rsidR="007D29D1" w:rsidRPr="007D29D1">
          <w:rPr>
            <w:rStyle w:val="Hyperlink"/>
            <w:rFonts w:ascii="David" w:hAnsi="David"/>
            <w:sz w:val="26"/>
            <w:szCs w:val="26"/>
            <w:rtl/>
          </w:rPr>
          <w:t xml:space="preserve"> 413ה</w:t>
        </w:r>
      </w:hyperlink>
      <w:r>
        <w:rPr>
          <w:rFonts w:ascii="David" w:hAnsi="David" w:hint="cs"/>
          <w:sz w:val="26"/>
          <w:szCs w:val="26"/>
          <w:rtl/>
        </w:rPr>
        <w:t xml:space="preserve"> + </w:t>
      </w:r>
      <w:hyperlink r:id="rId30" w:history="1">
        <w:r w:rsidR="007D29D1" w:rsidRPr="007D29D1">
          <w:rPr>
            <w:rStyle w:val="Hyperlink"/>
            <w:rFonts w:ascii="David" w:hAnsi="David"/>
            <w:sz w:val="26"/>
            <w:szCs w:val="26"/>
            <w:rtl/>
          </w:rPr>
          <w:t>29</w:t>
        </w:r>
      </w:hyperlink>
      <w:r>
        <w:rPr>
          <w:rFonts w:ascii="David" w:hAnsi="David" w:hint="cs"/>
          <w:sz w:val="26"/>
          <w:szCs w:val="26"/>
          <w:rtl/>
        </w:rPr>
        <w:t xml:space="preserve"> לחוק וגניבה מרכב לפי סעיף </w:t>
      </w:r>
      <w:hyperlink r:id="rId31" w:history="1">
        <w:r w:rsidR="007D29D1" w:rsidRPr="007D29D1">
          <w:rPr>
            <w:rStyle w:val="Hyperlink"/>
            <w:rFonts w:ascii="David" w:hAnsi="David"/>
            <w:sz w:val="26"/>
            <w:szCs w:val="26"/>
            <w:rtl/>
          </w:rPr>
          <w:t>413ד(א)</w:t>
        </w:r>
      </w:hyperlink>
      <w:r>
        <w:rPr>
          <w:rFonts w:ascii="David" w:hAnsi="David" w:hint="cs"/>
          <w:sz w:val="26"/>
          <w:szCs w:val="26"/>
          <w:rtl/>
        </w:rPr>
        <w:t xml:space="preserve"> + </w:t>
      </w:r>
      <w:hyperlink r:id="rId32" w:history="1">
        <w:r w:rsidR="007D29D1" w:rsidRPr="007D29D1">
          <w:rPr>
            <w:rStyle w:val="Hyperlink"/>
            <w:rFonts w:ascii="David" w:hAnsi="David"/>
            <w:sz w:val="26"/>
            <w:szCs w:val="26"/>
            <w:rtl/>
          </w:rPr>
          <w:t>29</w:t>
        </w:r>
      </w:hyperlink>
      <w:r>
        <w:rPr>
          <w:rFonts w:ascii="David" w:hAnsi="David" w:hint="cs"/>
          <w:sz w:val="26"/>
          <w:szCs w:val="26"/>
          <w:rtl/>
        </w:rPr>
        <w:t xml:space="preserve"> לחוק.</w:t>
      </w:r>
    </w:p>
    <w:p w14:paraId="685C1227" w14:textId="77777777" w:rsidR="005D3F92" w:rsidRDefault="005D3F92" w:rsidP="005D3F92">
      <w:pPr>
        <w:spacing w:line="360" w:lineRule="auto"/>
        <w:jc w:val="both"/>
        <w:rPr>
          <w:rFonts w:ascii="David" w:hAnsi="David"/>
          <w:sz w:val="26"/>
          <w:szCs w:val="26"/>
          <w:rtl/>
        </w:rPr>
      </w:pPr>
      <w:bookmarkStart w:id="7" w:name="ABSTRACT_END"/>
      <w:bookmarkEnd w:id="7"/>
    </w:p>
    <w:p w14:paraId="2F315170"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2.</w:t>
      </w:r>
      <w:r>
        <w:rPr>
          <w:rFonts w:ascii="David" w:hAnsi="David" w:hint="cs"/>
          <w:sz w:val="26"/>
          <w:szCs w:val="26"/>
          <w:rtl/>
        </w:rPr>
        <w:tab/>
        <w:t>על פי כתב האישום, על רקע עבירה של סחיטה באיומים שבוצעה על ידי נאשם 1, שהוא אביו של הנאשם 2, במהלך חודש ינואר 2020 קשר נאשם 2 קשר עם אדם נוסף לפגוע במתלונן. נאשם 2 הצטייד באקדח חצי אוטומטי, קליבר 9 מ"מ ו-13 כדורים. ביום 9.1.20 בסמוך לשעה 05:46 בבוקר, ארבו הנאשם 2 והאדם הנוסף למתלונן במרכז הכפר עארה במקום בו המתלונן נהג לאסוף פועלים בדרכו לעבודה. כשהגיע המתלונן יחד עם עובד בשם צהייב שישב לידו ברכב למרכז הכפר נאשם 2 והאדם הנוסף הגיחו מסמטה סמוכה, כשנאשם 2 מחזיק באקדח והאדם הנוסף מחזיק בחפץ הנחזה כאקדח. נאשם 2 ירה לעבר הרכב בצד הנהג ממרחק של כמטר וחצי לפחות 10 יריות כאשר 6 מתוכן פגעו בדלת הנהג. שלושה מהקליעים חדרו לירכו השמאלית של המתלונן וקליע נוסף חדר לעכוזו של צהייב.</w:t>
      </w:r>
    </w:p>
    <w:p w14:paraId="120E056A" w14:textId="77777777" w:rsidR="005D3F92" w:rsidRDefault="005D3F92" w:rsidP="005D3F92">
      <w:pPr>
        <w:spacing w:line="360" w:lineRule="auto"/>
        <w:ind w:left="720" w:hanging="720"/>
        <w:jc w:val="both"/>
        <w:rPr>
          <w:rFonts w:ascii="David" w:hAnsi="David"/>
          <w:sz w:val="26"/>
          <w:szCs w:val="26"/>
          <w:rtl/>
        </w:rPr>
      </w:pPr>
    </w:p>
    <w:p w14:paraId="3EF2712D" w14:textId="77777777" w:rsidR="005D3F92" w:rsidRDefault="005D3F92" w:rsidP="005D3F92">
      <w:pPr>
        <w:spacing w:line="360" w:lineRule="auto"/>
        <w:ind w:left="720"/>
        <w:jc w:val="both"/>
        <w:rPr>
          <w:rFonts w:ascii="David" w:hAnsi="David"/>
          <w:sz w:val="26"/>
          <w:szCs w:val="26"/>
          <w:rtl/>
        </w:rPr>
      </w:pPr>
      <w:r>
        <w:rPr>
          <w:rFonts w:ascii="David" w:hAnsi="David" w:hint="cs"/>
          <w:sz w:val="26"/>
          <w:szCs w:val="26"/>
          <w:rtl/>
        </w:rPr>
        <w:t>בהמשך, נאשם 2 פתח את דלת הנהג, והמתלונן דחף אותו באמצעות רגלו במטרה למנוע ממנו לבצע ירי נוסף. בתגובה תפס נאשם 2 את רגלו הימנית של המתלונן, הצמיד את האקדח לכף רגלו וירה בו ירייה נוספת. לאחר שהמתלונן נפגע בשתי רגליו, הוא קפץ לעבר המושב האחורי, פתח את הדלת האחורית ונפל על הכביש בניסיון לחמוק מנאשם 2. נאשם 2 ניגש למתלונן בעודו שרוע על הקרקע וירה שתי יריות נוספות לעבר ברכו הימנית. אז נאשם 2 הצמיד את האקדח לרכתו של המתלונן. בהמשך נאשם 2 ניגש לעבר הרכב, לקח את המפתחות ועזב את המקום יחד עם האדם הנוסף. המתלונן פונה לקבלת טיפול רפואי, שם אובחנו 3 פצעי ירי חודרים בגפה השמאלית תחתונה אחורית, ירך לטרלית מעל וסטוס לטרליס וירך פוסטרו מדיאלית. אובחנו גם פצעים חודרים נוספים בגפה ימנית תחתונה בגובה הירך, רסיס באגן ימין בסמוך לרקטום, רסיס בירך לטרלית שמאל, שבר בברך עם רושם לרסיס כלוא (שבר מרוסק עם תזוזה), שבר מרוסק במשטח הדריכה של רגל ימין עם רסיסים, חשד לקרע סיבים בעצבים בירך, קליע נותר באגן, גזים ברקמות הרכות לאורך ירך שמאל, פיזור גזים בבטן התחתונה.</w:t>
      </w:r>
    </w:p>
    <w:p w14:paraId="75EC91A1" w14:textId="77777777" w:rsidR="005D3F92" w:rsidRDefault="005D3F92" w:rsidP="005D3F92">
      <w:pPr>
        <w:spacing w:line="360" w:lineRule="auto"/>
        <w:ind w:left="720"/>
        <w:jc w:val="both"/>
        <w:rPr>
          <w:rFonts w:ascii="David" w:hAnsi="David"/>
          <w:sz w:val="26"/>
          <w:szCs w:val="26"/>
          <w:rtl/>
        </w:rPr>
      </w:pPr>
    </w:p>
    <w:p w14:paraId="0F9BB5DE" w14:textId="77777777" w:rsidR="005D3F92" w:rsidRDefault="005D3F92" w:rsidP="005D3F92">
      <w:pPr>
        <w:spacing w:line="360" w:lineRule="auto"/>
        <w:ind w:left="720"/>
        <w:jc w:val="both"/>
        <w:rPr>
          <w:rFonts w:ascii="David" w:hAnsi="David"/>
          <w:sz w:val="26"/>
          <w:szCs w:val="26"/>
          <w:rtl/>
        </w:rPr>
      </w:pPr>
      <w:r>
        <w:rPr>
          <w:rFonts w:ascii="David" w:hAnsi="David" w:hint="cs"/>
          <w:sz w:val="26"/>
          <w:szCs w:val="26"/>
          <w:rtl/>
        </w:rPr>
        <w:t>בעקבות הקליע שפגע בצהייב, אובחנו 4 פתחים באזור עכוז, ריבוי בועות אוויר והמטומה תת עורית בשריר וברקמות הרכות של השריר בעכוז.</w:t>
      </w:r>
    </w:p>
    <w:p w14:paraId="639CBA2C" w14:textId="77777777" w:rsidR="005D3F92" w:rsidRDefault="005D3F92" w:rsidP="005D3F92">
      <w:pPr>
        <w:spacing w:line="360" w:lineRule="auto"/>
        <w:jc w:val="both"/>
        <w:rPr>
          <w:rFonts w:ascii="David" w:hAnsi="David"/>
          <w:sz w:val="26"/>
          <w:szCs w:val="26"/>
          <w:rtl/>
        </w:rPr>
      </w:pPr>
    </w:p>
    <w:p w14:paraId="0E9F107D"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lastRenderedPageBreak/>
        <w:t>3.</w:t>
      </w:r>
      <w:r>
        <w:rPr>
          <w:rFonts w:ascii="David" w:hAnsi="David" w:hint="cs"/>
          <w:sz w:val="26"/>
          <w:szCs w:val="26"/>
          <w:rtl/>
        </w:rPr>
        <w:tab/>
        <w:t>להשלמת התמונה יצוין שבתאריך 15.7.21 ניתן גז"ד בעניינו של נאשם 1 בו הורשע בעבירות סחיטה ואיומים, הדחה בחקירה ושיבוש הליכי משפט. במסגרת הסדר טיעון סגור שמצאתי לאמץ נגזר עליו עונש של 20 חודשי מאסר בפועל.</w:t>
      </w:r>
    </w:p>
    <w:p w14:paraId="07485179" w14:textId="77777777" w:rsidR="005D3F92" w:rsidRDefault="005D3F92" w:rsidP="005D3F92">
      <w:pPr>
        <w:spacing w:line="360" w:lineRule="auto"/>
        <w:ind w:left="720" w:hanging="720"/>
        <w:jc w:val="both"/>
        <w:rPr>
          <w:rFonts w:ascii="David" w:hAnsi="David"/>
          <w:sz w:val="26"/>
          <w:szCs w:val="26"/>
        </w:rPr>
      </w:pPr>
    </w:p>
    <w:p w14:paraId="7C6A3C0F" w14:textId="77777777" w:rsidR="005D3F92" w:rsidRDefault="005D3F92" w:rsidP="005D3F92">
      <w:pPr>
        <w:spacing w:line="360" w:lineRule="auto"/>
        <w:jc w:val="both"/>
        <w:rPr>
          <w:rFonts w:ascii="David" w:hAnsi="David"/>
          <w:sz w:val="26"/>
          <w:szCs w:val="26"/>
          <w:rtl/>
        </w:rPr>
      </w:pPr>
      <w:r>
        <w:rPr>
          <w:rFonts w:ascii="David" w:hAnsi="David" w:hint="cs"/>
          <w:b/>
          <w:bCs/>
          <w:sz w:val="26"/>
          <w:szCs w:val="26"/>
          <w:u w:val="single"/>
          <w:rtl/>
        </w:rPr>
        <w:t>טיעוני המדינה</w:t>
      </w:r>
    </w:p>
    <w:p w14:paraId="128F18FE" w14:textId="77777777" w:rsidR="005D3F92" w:rsidRDefault="005D3F92" w:rsidP="005D3F92">
      <w:pPr>
        <w:spacing w:line="360" w:lineRule="auto"/>
        <w:jc w:val="both"/>
        <w:rPr>
          <w:rFonts w:ascii="David" w:hAnsi="David"/>
          <w:sz w:val="26"/>
          <w:szCs w:val="26"/>
          <w:rtl/>
        </w:rPr>
      </w:pPr>
    </w:p>
    <w:p w14:paraId="16BE8066"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4.</w:t>
      </w:r>
      <w:r>
        <w:rPr>
          <w:rFonts w:ascii="David" w:hAnsi="David" w:hint="cs"/>
          <w:sz w:val="26"/>
          <w:szCs w:val="26"/>
          <w:rtl/>
        </w:rPr>
        <w:tab/>
        <w:t xml:space="preserve">נטען שהנאשם הודה לאחר קיום מספר רב של דיוני הוכחות. הוזכר שעבירת החבלה בכוונה מחמירה הינה עבירה שהעונש המרבי בצדה הנו 20 שנות מאסר; בגין עבירה של חבלה חמורה בנסיבות מחמירות העונש המרבי עומד על 14 שנות מאסר; ובגין עבירות הנשק 10 שנות מאסר ובגין חבלה במזיד 3 שנות מאסר. </w:t>
      </w:r>
    </w:p>
    <w:p w14:paraId="25507E68" w14:textId="77777777" w:rsidR="005D3F92" w:rsidRDefault="005D3F92" w:rsidP="005D3F92">
      <w:pPr>
        <w:spacing w:line="360" w:lineRule="auto"/>
        <w:jc w:val="both"/>
        <w:rPr>
          <w:rFonts w:ascii="David" w:hAnsi="David"/>
          <w:sz w:val="26"/>
          <w:szCs w:val="26"/>
          <w:rtl/>
        </w:rPr>
      </w:pPr>
    </w:p>
    <w:p w14:paraId="1C0E1BD9"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5.</w:t>
      </w:r>
      <w:r>
        <w:rPr>
          <w:rFonts w:ascii="David" w:hAnsi="David" w:hint="cs"/>
          <w:sz w:val="26"/>
          <w:szCs w:val="26"/>
          <w:rtl/>
        </w:rPr>
        <w:tab/>
        <w:t xml:space="preserve">נטען שמעשיו של הנאשם 2 חמורים ביותר, שעה שביצע אותם על רקע סחיטה באיומים כנגד המתלונן (האישום כלפי הנאשם 1) כאשר הוא מצויד בנשק, משתמש בו ופוגע באמצעותו במספר רב של קליעים במתלונן ובצהייב. </w:t>
      </w:r>
    </w:p>
    <w:p w14:paraId="644F12EB" w14:textId="77777777" w:rsidR="005D3F92" w:rsidRDefault="005D3F92" w:rsidP="005D3F92">
      <w:pPr>
        <w:spacing w:line="360" w:lineRule="auto"/>
        <w:jc w:val="both"/>
        <w:rPr>
          <w:rFonts w:ascii="David" w:hAnsi="David"/>
          <w:sz w:val="26"/>
          <w:szCs w:val="26"/>
          <w:rtl/>
        </w:rPr>
      </w:pPr>
    </w:p>
    <w:p w14:paraId="4895BF53"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6.</w:t>
      </w:r>
      <w:r>
        <w:rPr>
          <w:rFonts w:ascii="David" w:hAnsi="David" w:hint="cs"/>
          <w:sz w:val="26"/>
          <w:szCs w:val="26"/>
          <w:rtl/>
        </w:rPr>
        <w:tab/>
        <w:t>נטען שנפגעו הערכים המוגנים של שלום הציבור וביטחונו בכלל, וכי ערכים אלה נפגעו פגיעה חמורה כתוצאה מהשימוש בנשק בלב אזור מגורים, כמו כן נטען שנפגעו בריאותם, ושלמות גופם וביטחונם האישי של המתלונן וצהייב ואף ברכושו של המתלונן כאשר נאשם 2 ירה על הרכב ונטל את המפתחות.</w:t>
      </w:r>
    </w:p>
    <w:p w14:paraId="33D9B9F4" w14:textId="77777777" w:rsidR="005D3F92" w:rsidRDefault="005D3F92" w:rsidP="005D3F92">
      <w:pPr>
        <w:spacing w:line="360" w:lineRule="auto"/>
        <w:jc w:val="both"/>
        <w:rPr>
          <w:rFonts w:ascii="David" w:hAnsi="David"/>
          <w:sz w:val="26"/>
          <w:szCs w:val="26"/>
          <w:rtl/>
        </w:rPr>
      </w:pPr>
    </w:p>
    <w:p w14:paraId="42BFA792"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7.</w:t>
      </w:r>
      <w:r>
        <w:rPr>
          <w:rFonts w:ascii="David" w:hAnsi="David" w:hint="cs"/>
          <w:sz w:val="26"/>
          <w:szCs w:val="26"/>
          <w:rtl/>
        </w:rPr>
        <w:tab/>
        <w:t>נטען שחומרת אירועים בהם נעשה שימוש בנשק לפתרון סכסוכים מחייבת ענישה של מאסר בפועל מעל 10 שנים (</w:t>
      </w:r>
      <w:hyperlink r:id="rId33" w:history="1">
        <w:r w:rsidR="0013021F" w:rsidRPr="0013021F">
          <w:rPr>
            <w:rFonts w:ascii="David" w:hAnsi="David"/>
            <w:color w:val="0000FF"/>
            <w:sz w:val="26"/>
            <w:szCs w:val="26"/>
            <w:u w:val="single"/>
            <w:rtl/>
          </w:rPr>
          <w:t>ע"פ 4697/11</w:t>
        </w:r>
      </w:hyperlink>
      <w:r>
        <w:rPr>
          <w:rFonts w:ascii="David" w:hAnsi="David" w:hint="cs"/>
          <w:sz w:val="26"/>
          <w:szCs w:val="26"/>
          <w:rtl/>
        </w:rPr>
        <w:t xml:space="preserve"> </w:t>
      </w:r>
      <w:r>
        <w:rPr>
          <w:rFonts w:ascii="David" w:hAnsi="David" w:hint="cs"/>
          <w:b/>
          <w:bCs/>
          <w:sz w:val="26"/>
          <w:szCs w:val="26"/>
          <w:rtl/>
        </w:rPr>
        <w:t>מדינת ישראל נ' סלימאן אלצנע</w:t>
      </w:r>
      <w:r>
        <w:rPr>
          <w:rFonts w:ascii="David" w:hAnsi="David" w:hint="cs"/>
          <w:sz w:val="26"/>
          <w:szCs w:val="26"/>
          <w:rtl/>
        </w:rPr>
        <w:t xml:space="preserve"> (24.3.13)). </w:t>
      </w:r>
    </w:p>
    <w:p w14:paraId="4D8C7563" w14:textId="77777777" w:rsidR="005D3F92" w:rsidRDefault="005D3F92" w:rsidP="005D3F92">
      <w:pPr>
        <w:spacing w:line="360" w:lineRule="auto"/>
        <w:jc w:val="both"/>
        <w:rPr>
          <w:rFonts w:ascii="David" w:hAnsi="David"/>
          <w:sz w:val="26"/>
          <w:szCs w:val="26"/>
          <w:rtl/>
        </w:rPr>
      </w:pPr>
    </w:p>
    <w:p w14:paraId="20803FA4"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8.</w:t>
      </w:r>
      <w:r>
        <w:rPr>
          <w:rFonts w:ascii="David" w:hAnsi="David" w:hint="cs"/>
          <w:sz w:val="26"/>
          <w:szCs w:val="26"/>
          <w:rtl/>
        </w:rPr>
        <w:tab/>
        <w:t xml:space="preserve">נטען לתכנון מוקדם החל משלב ההצטיידות בנשק ותחמושת, קשירת הקשר לביצוע המארב וכלה בהימלטות מהמקום והעלמת הנשק. </w:t>
      </w:r>
    </w:p>
    <w:p w14:paraId="731646E6" w14:textId="77777777" w:rsidR="005D3F92" w:rsidRDefault="005D3F92" w:rsidP="005D3F92">
      <w:pPr>
        <w:spacing w:line="360" w:lineRule="auto"/>
        <w:jc w:val="both"/>
        <w:rPr>
          <w:rFonts w:ascii="David" w:hAnsi="David"/>
          <w:sz w:val="26"/>
          <w:szCs w:val="26"/>
          <w:rtl/>
        </w:rPr>
      </w:pPr>
    </w:p>
    <w:p w14:paraId="38AADAF8"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9.</w:t>
      </w:r>
      <w:r>
        <w:rPr>
          <w:rFonts w:ascii="David" w:hAnsi="David" w:hint="cs"/>
          <w:sz w:val="26"/>
          <w:szCs w:val="26"/>
          <w:rtl/>
        </w:rPr>
        <w:tab/>
        <w:t xml:space="preserve">נטען שחלקו היחסי של הנאשם בביצוע העבירה היה מלא, כאשר נוכחותו של השני עם חפץ הנחזה לאקדח מחמירה את האירוע אך לא מקלה עם הנאשם ומביאה לחלוקת אחריות שלו באירוע. </w:t>
      </w:r>
    </w:p>
    <w:p w14:paraId="0D9F27DA" w14:textId="77777777" w:rsidR="005D3F92" w:rsidRDefault="005D3F92" w:rsidP="005D3F92">
      <w:pPr>
        <w:spacing w:line="360" w:lineRule="auto"/>
        <w:jc w:val="both"/>
        <w:rPr>
          <w:rFonts w:ascii="David" w:hAnsi="David"/>
          <w:sz w:val="26"/>
          <w:szCs w:val="26"/>
          <w:rtl/>
        </w:rPr>
      </w:pPr>
    </w:p>
    <w:p w14:paraId="2DC87BD0"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10.</w:t>
      </w:r>
      <w:r>
        <w:rPr>
          <w:rFonts w:ascii="David" w:hAnsi="David" w:hint="cs"/>
          <w:sz w:val="26"/>
          <w:szCs w:val="26"/>
          <w:rtl/>
        </w:rPr>
        <w:tab/>
        <w:t>באשר לנזק שהיה צפוי להיגרם מביצוע העבירות, נטען שמדובר בנזק חמור ביותר לאור הירי המסיבי. נטען שהנזק בפועל שנגרם היה חמור, כפי שתואר בפגיעות במתלונן ובצהייב.</w:t>
      </w:r>
    </w:p>
    <w:p w14:paraId="7F429514" w14:textId="77777777" w:rsidR="005D3F92" w:rsidRDefault="005D3F92" w:rsidP="005D3F92">
      <w:pPr>
        <w:spacing w:line="360" w:lineRule="auto"/>
        <w:jc w:val="both"/>
        <w:rPr>
          <w:rFonts w:ascii="David" w:hAnsi="David"/>
          <w:sz w:val="26"/>
          <w:szCs w:val="26"/>
          <w:rtl/>
        </w:rPr>
      </w:pPr>
    </w:p>
    <w:p w14:paraId="385E1B26"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11.</w:t>
      </w:r>
      <w:r>
        <w:rPr>
          <w:rFonts w:ascii="David" w:hAnsi="David" w:hint="cs"/>
          <w:sz w:val="26"/>
          <w:szCs w:val="26"/>
          <w:rtl/>
        </w:rPr>
        <w:tab/>
        <w:t xml:space="preserve">בכל הנוגע לסיבות שהביאו את הנאשם לביצוע העבירות, נטען שמדובר בחלק מתכנית עבריינית מתמשכת שנועדה לסחוט את המתלונן ומשפחתו ולכפות עליו את רצונם של הנאשם 2 ואביו. </w:t>
      </w:r>
    </w:p>
    <w:p w14:paraId="0D445673" w14:textId="77777777" w:rsidR="005D3F92" w:rsidRDefault="005D3F92" w:rsidP="005D3F92">
      <w:pPr>
        <w:spacing w:line="360" w:lineRule="auto"/>
        <w:jc w:val="both"/>
        <w:rPr>
          <w:rFonts w:ascii="David" w:hAnsi="David"/>
          <w:sz w:val="26"/>
          <w:szCs w:val="26"/>
          <w:rtl/>
        </w:rPr>
      </w:pPr>
    </w:p>
    <w:p w14:paraId="11B544DC"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12.</w:t>
      </w:r>
      <w:r>
        <w:rPr>
          <w:rFonts w:ascii="David" w:hAnsi="David" w:hint="cs"/>
          <w:sz w:val="26"/>
          <w:szCs w:val="26"/>
          <w:rtl/>
        </w:rPr>
        <w:tab/>
        <w:t>נטען גם לאכזריות, אלימות והתעללות של הנאשם בנפגע העבירה לאור המספר הרב של הקליעים שנורו, מספר השלבים בהם בוצע הירי וביצוע ירי מטווח "אפס".</w:t>
      </w:r>
    </w:p>
    <w:p w14:paraId="721F5F8B" w14:textId="77777777" w:rsidR="005D3F92" w:rsidRDefault="005D3F92" w:rsidP="005D3F92">
      <w:pPr>
        <w:spacing w:line="360" w:lineRule="auto"/>
        <w:jc w:val="both"/>
        <w:rPr>
          <w:rFonts w:ascii="David" w:hAnsi="David"/>
          <w:sz w:val="26"/>
          <w:szCs w:val="26"/>
          <w:rtl/>
        </w:rPr>
      </w:pPr>
    </w:p>
    <w:p w14:paraId="38A15D78"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13.</w:t>
      </w:r>
      <w:r>
        <w:rPr>
          <w:rFonts w:ascii="David" w:hAnsi="David" w:hint="cs"/>
          <w:sz w:val="26"/>
          <w:szCs w:val="26"/>
          <w:rtl/>
        </w:rPr>
        <w:tab/>
        <w:t>הוזכר עברו הפלילי של הנאשם שלחובתו 4 הרשעות קודמות והרשעה מאוחרת נוספת:</w:t>
      </w:r>
    </w:p>
    <w:p w14:paraId="218B95BE" w14:textId="77777777" w:rsidR="005D3F92" w:rsidRDefault="005D3F92" w:rsidP="005D3F92">
      <w:pPr>
        <w:spacing w:line="360" w:lineRule="auto"/>
        <w:ind w:left="720" w:hanging="720"/>
        <w:jc w:val="both"/>
        <w:rPr>
          <w:rFonts w:ascii="David" w:hAnsi="David"/>
          <w:sz w:val="26"/>
          <w:szCs w:val="26"/>
          <w:rtl/>
        </w:rPr>
      </w:pPr>
    </w:p>
    <w:p w14:paraId="02FC6900" w14:textId="77777777" w:rsidR="005D3F92" w:rsidRDefault="005D3F92" w:rsidP="005D3F92">
      <w:pPr>
        <w:spacing w:line="360" w:lineRule="auto"/>
        <w:ind w:left="720"/>
        <w:jc w:val="both"/>
        <w:rPr>
          <w:rFonts w:ascii="David" w:hAnsi="David"/>
          <w:sz w:val="26"/>
          <w:szCs w:val="26"/>
          <w:rtl/>
        </w:rPr>
      </w:pPr>
      <w:r>
        <w:rPr>
          <w:rFonts w:ascii="David" w:hAnsi="David" w:hint="cs"/>
          <w:sz w:val="26"/>
          <w:szCs w:val="26"/>
          <w:rtl/>
        </w:rPr>
        <w:t xml:space="preserve">הרשעה מיום 7.6.21 בגין החזקה ושימוש בסמים לצריכה עצמית; הרשעה מיום 20.4.17 בעבירות של תקיפה הגורמת חבלה של ממש, היזק לרכוש במזיד, איומים והפרת הוראה חוקית; הרשעה מיום 21.4.15 בגין הונאה בכרטיס אשראי; הרשעה מיום 11.12.11 בעבירות נשק בגינה נידון הנאשם ל-5 חודשים; והרשעה מיום 13.9.11 בגין הפרה של הוראה חוקית. </w:t>
      </w:r>
    </w:p>
    <w:p w14:paraId="2854E9B6" w14:textId="77777777" w:rsidR="005D3F92" w:rsidRDefault="005D3F92" w:rsidP="005D3F92">
      <w:pPr>
        <w:spacing w:line="360" w:lineRule="auto"/>
        <w:jc w:val="both"/>
        <w:rPr>
          <w:rFonts w:ascii="David" w:hAnsi="David"/>
          <w:sz w:val="26"/>
          <w:szCs w:val="26"/>
          <w:rtl/>
        </w:rPr>
      </w:pPr>
    </w:p>
    <w:p w14:paraId="5C96B440" w14:textId="77777777" w:rsidR="005D3F92" w:rsidRDefault="005D3F92" w:rsidP="005D3F92">
      <w:pPr>
        <w:spacing w:line="360" w:lineRule="auto"/>
        <w:jc w:val="both"/>
        <w:rPr>
          <w:rFonts w:ascii="David" w:hAnsi="David"/>
          <w:sz w:val="26"/>
          <w:szCs w:val="26"/>
          <w:rtl/>
        </w:rPr>
      </w:pPr>
      <w:r>
        <w:rPr>
          <w:rFonts w:ascii="David" w:hAnsi="David" w:hint="cs"/>
          <w:sz w:val="26"/>
          <w:szCs w:val="26"/>
          <w:rtl/>
        </w:rPr>
        <w:t>14.</w:t>
      </w:r>
      <w:r>
        <w:rPr>
          <w:rFonts w:ascii="David" w:hAnsi="David" w:hint="cs"/>
          <w:sz w:val="26"/>
          <w:szCs w:val="26"/>
          <w:rtl/>
        </w:rPr>
        <w:tab/>
        <w:t>אוזכרה פסיקה כדלקמן:</w:t>
      </w:r>
    </w:p>
    <w:p w14:paraId="1C8DD085" w14:textId="77777777" w:rsidR="005D3F92" w:rsidRDefault="005D3F92" w:rsidP="005D3F92">
      <w:pPr>
        <w:spacing w:line="360" w:lineRule="auto"/>
        <w:jc w:val="both"/>
        <w:rPr>
          <w:rFonts w:ascii="David" w:hAnsi="David"/>
          <w:sz w:val="26"/>
          <w:szCs w:val="26"/>
          <w:rtl/>
        </w:rPr>
      </w:pPr>
    </w:p>
    <w:p w14:paraId="07854CEC" w14:textId="77777777" w:rsidR="005D3F92" w:rsidRDefault="0013021F" w:rsidP="005D3F92">
      <w:pPr>
        <w:pStyle w:val="a9"/>
        <w:numPr>
          <w:ilvl w:val="0"/>
          <w:numId w:val="1"/>
        </w:numPr>
        <w:spacing w:line="360" w:lineRule="auto"/>
        <w:jc w:val="both"/>
        <w:rPr>
          <w:rFonts w:ascii="David" w:hAnsi="David"/>
          <w:sz w:val="26"/>
          <w:szCs w:val="26"/>
        </w:rPr>
      </w:pPr>
      <w:hyperlink r:id="rId34" w:history="1">
        <w:r w:rsidRPr="0013021F">
          <w:rPr>
            <w:rFonts w:ascii="David" w:hAnsi="David"/>
            <w:color w:val="0000FF"/>
            <w:sz w:val="26"/>
            <w:szCs w:val="26"/>
            <w:u w:val="single"/>
            <w:rtl/>
          </w:rPr>
          <w:t>ת"פ 16420-10-16</w:t>
        </w:r>
      </w:hyperlink>
      <w:r w:rsidR="005D3F92" w:rsidRPr="00FF078D">
        <w:rPr>
          <w:rFonts w:ascii="David" w:hAnsi="David" w:hint="cs"/>
          <w:sz w:val="26"/>
          <w:szCs w:val="26"/>
          <w:rtl/>
        </w:rPr>
        <w:t xml:space="preserve"> </w:t>
      </w:r>
      <w:r w:rsidR="005D3F92" w:rsidRPr="00FF078D">
        <w:rPr>
          <w:rFonts w:ascii="David" w:hAnsi="David" w:hint="cs"/>
          <w:b/>
          <w:bCs/>
          <w:sz w:val="26"/>
          <w:szCs w:val="26"/>
          <w:rtl/>
        </w:rPr>
        <w:t>מדינת ישראל נ' מוהנד אגבאריה</w:t>
      </w:r>
      <w:r w:rsidR="005D3F92" w:rsidRPr="00FF078D">
        <w:rPr>
          <w:rFonts w:ascii="David" w:hAnsi="David" w:hint="cs"/>
          <w:sz w:val="26"/>
          <w:szCs w:val="26"/>
          <w:rtl/>
        </w:rPr>
        <w:t xml:space="preserve"> (30.5.18); </w:t>
      </w:r>
      <w:r w:rsidR="005D3F92">
        <w:rPr>
          <w:rFonts w:ascii="David" w:hAnsi="David" w:hint="cs"/>
          <w:sz w:val="26"/>
          <w:szCs w:val="26"/>
          <w:rtl/>
        </w:rPr>
        <w:t>שם הורשע</w:t>
      </w:r>
      <w:r w:rsidR="005D3F92" w:rsidRPr="00FF078D">
        <w:rPr>
          <w:rFonts w:ascii="David" w:hAnsi="David" w:hint="cs"/>
          <w:sz w:val="26"/>
          <w:szCs w:val="26"/>
          <w:rtl/>
        </w:rPr>
        <w:t xml:space="preserve"> בעבירה לפי </w:t>
      </w:r>
      <w:hyperlink r:id="rId35" w:history="1">
        <w:r w:rsidR="007D29D1" w:rsidRPr="007D29D1">
          <w:rPr>
            <w:rStyle w:val="Hyperlink"/>
            <w:rFonts w:ascii="David" w:hAnsi="David" w:hint="eastAsia"/>
            <w:sz w:val="26"/>
            <w:szCs w:val="26"/>
            <w:rtl/>
          </w:rPr>
          <w:t>סעיף</w:t>
        </w:r>
        <w:r w:rsidR="007D29D1" w:rsidRPr="007D29D1">
          <w:rPr>
            <w:rStyle w:val="Hyperlink"/>
            <w:rFonts w:ascii="David" w:hAnsi="David"/>
            <w:sz w:val="26"/>
            <w:szCs w:val="26"/>
            <w:rtl/>
          </w:rPr>
          <w:t xml:space="preserve"> 329</w:t>
        </w:r>
      </w:hyperlink>
      <w:r w:rsidR="005D3F92" w:rsidRPr="00FF078D">
        <w:rPr>
          <w:rFonts w:ascii="David" w:hAnsi="David" w:hint="cs"/>
          <w:sz w:val="26"/>
          <w:szCs w:val="26"/>
          <w:rtl/>
        </w:rPr>
        <w:t xml:space="preserve"> לחוק </w:t>
      </w:r>
      <w:r w:rsidR="005D3F92">
        <w:rPr>
          <w:rFonts w:ascii="David" w:hAnsi="David" w:hint="cs"/>
          <w:sz w:val="26"/>
          <w:szCs w:val="26"/>
          <w:rtl/>
        </w:rPr>
        <w:t>ועבירות נשק, לאחר ש</w:t>
      </w:r>
      <w:r w:rsidR="005D3F92" w:rsidRPr="00FF078D">
        <w:rPr>
          <w:rFonts w:ascii="David" w:hAnsi="David" w:hint="cs"/>
          <w:sz w:val="26"/>
          <w:szCs w:val="26"/>
          <w:rtl/>
        </w:rPr>
        <w:t>בעקבות סכסוך משפחתי, הנאשם ירה באמצעות תת מקלע לעבר המתלונן ואחיו</w:t>
      </w:r>
      <w:r w:rsidR="005D3F92">
        <w:rPr>
          <w:rFonts w:ascii="David" w:hAnsi="David" w:hint="cs"/>
          <w:sz w:val="26"/>
          <w:szCs w:val="26"/>
          <w:rtl/>
        </w:rPr>
        <w:t xml:space="preserve"> ששהו</w:t>
      </w:r>
      <w:r w:rsidR="005D3F92" w:rsidRPr="00FF078D">
        <w:rPr>
          <w:rFonts w:ascii="David" w:hAnsi="David" w:hint="cs"/>
          <w:sz w:val="26"/>
          <w:szCs w:val="26"/>
          <w:rtl/>
        </w:rPr>
        <w:t xml:space="preserve"> בביתם וכדור אחד פגע במתלונן. נקבע מתחם </w:t>
      </w:r>
      <w:r w:rsidR="005D3F92">
        <w:rPr>
          <w:rFonts w:ascii="David" w:hAnsi="David" w:hint="cs"/>
          <w:sz w:val="26"/>
          <w:szCs w:val="26"/>
          <w:rtl/>
        </w:rPr>
        <w:t xml:space="preserve">ענישה </w:t>
      </w:r>
      <w:r w:rsidR="005D3F92" w:rsidRPr="00FF078D">
        <w:rPr>
          <w:rFonts w:ascii="David" w:hAnsi="David" w:hint="cs"/>
          <w:sz w:val="26"/>
          <w:szCs w:val="26"/>
          <w:rtl/>
        </w:rPr>
        <w:t>שבין 6-10 שנות מאסר והוטלו 7 שנות מאסר בפועל. בערעור (</w:t>
      </w:r>
      <w:hyperlink r:id="rId36" w:history="1">
        <w:r w:rsidRPr="0013021F">
          <w:rPr>
            <w:rFonts w:ascii="David" w:hAnsi="David"/>
            <w:color w:val="0000FF"/>
            <w:sz w:val="26"/>
            <w:szCs w:val="26"/>
            <w:u w:val="single"/>
            <w:rtl/>
          </w:rPr>
          <w:t>ע"פ 5376/18</w:t>
        </w:r>
      </w:hyperlink>
      <w:r w:rsidR="005D3F92" w:rsidRPr="00FF078D">
        <w:rPr>
          <w:rFonts w:ascii="David" w:hAnsi="David" w:hint="cs"/>
          <w:sz w:val="26"/>
          <w:szCs w:val="26"/>
          <w:rtl/>
        </w:rPr>
        <w:t xml:space="preserve">) הופחת העונש ב-9 חודשים. </w:t>
      </w:r>
    </w:p>
    <w:p w14:paraId="1FE49B9B" w14:textId="77777777" w:rsidR="005D3F92" w:rsidRPr="00FF078D" w:rsidRDefault="005D3F92" w:rsidP="005D3F92">
      <w:pPr>
        <w:pStyle w:val="a9"/>
        <w:spacing w:line="360" w:lineRule="auto"/>
        <w:jc w:val="both"/>
        <w:rPr>
          <w:rFonts w:ascii="David" w:hAnsi="David"/>
          <w:sz w:val="26"/>
          <w:szCs w:val="26"/>
          <w:rtl/>
        </w:rPr>
      </w:pPr>
    </w:p>
    <w:p w14:paraId="203240AF" w14:textId="77777777" w:rsidR="005D3F92" w:rsidRDefault="0013021F" w:rsidP="005D3F92">
      <w:pPr>
        <w:pStyle w:val="a9"/>
        <w:numPr>
          <w:ilvl w:val="0"/>
          <w:numId w:val="1"/>
        </w:numPr>
        <w:spacing w:line="360" w:lineRule="auto"/>
        <w:jc w:val="both"/>
        <w:rPr>
          <w:rFonts w:ascii="David" w:hAnsi="David"/>
          <w:sz w:val="26"/>
          <w:szCs w:val="26"/>
        </w:rPr>
      </w:pPr>
      <w:hyperlink r:id="rId37" w:history="1">
        <w:r w:rsidRPr="0013021F">
          <w:rPr>
            <w:rFonts w:ascii="David" w:hAnsi="David"/>
            <w:color w:val="0000FF"/>
            <w:sz w:val="26"/>
            <w:szCs w:val="26"/>
            <w:u w:val="single"/>
            <w:rtl/>
          </w:rPr>
          <w:t>ע"פ 6459/17</w:t>
        </w:r>
      </w:hyperlink>
      <w:r w:rsidR="005D3F92" w:rsidRPr="00FF078D">
        <w:rPr>
          <w:rFonts w:ascii="David" w:hAnsi="David" w:hint="cs"/>
          <w:sz w:val="26"/>
          <w:szCs w:val="26"/>
          <w:rtl/>
        </w:rPr>
        <w:t xml:space="preserve"> </w:t>
      </w:r>
      <w:r w:rsidR="005D3F92" w:rsidRPr="00FF078D">
        <w:rPr>
          <w:rFonts w:ascii="David" w:hAnsi="David" w:hint="cs"/>
          <w:b/>
          <w:bCs/>
          <w:sz w:val="26"/>
          <w:szCs w:val="26"/>
          <w:rtl/>
        </w:rPr>
        <w:t>מדינת ישראל נ' אור קדושים</w:t>
      </w:r>
      <w:r w:rsidR="005D3F92" w:rsidRPr="00FF078D">
        <w:rPr>
          <w:rFonts w:ascii="David" w:hAnsi="David" w:hint="cs"/>
          <w:sz w:val="26"/>
          <w:szCs w:val="26"/>
          <w:rtl/>
        </w:rPr>
        <w:t xml:space="preserve"> (27.2.18); הנאשמים </w:t>
      </w:r>
      <w:r w:rsidR="005D3F92">
        <w:rPr>
          <w:rFonts w:ascii="David" w:hAnsi="David" w:hint="cs"/>
          <w:sz w:val="26"/>
          <w:szCs w:val="26"/>
          <w:rtl/>
        </w:rPr>
        <w:t xml:space="preserve">הורשעו </w:t>
      </w:r>
      <w:r w:rsidR="005D3F92" w:rsidRPr="00FF078D">
        <w:rPr>
          <w:rFonts w:ascii="David" w:hAnsi="David" w:hint="cs"/>
          <w:sz w:val="26"/>
          <w:szCs w:val="26"/>
          <w:rtl/>
        </w:rPr>
        <w:t>על פי הודאתם בקשירת קשר לפשע, חבלה בכוונה מחמירה, שיבוש במהלכי משפט, נשיאת נשק, והפרת הוראה חוקית. באותו מקרה קשרו הנאשמים קשר לירות במתל</w:t>
      </w:r>
      <w:r w:rsidR="005D3F92">
        <w:rPr>
          <w:rFonts w:ascii="David" w:hAnsi="David" w:hint="cs"/>
          <w:sz w:val="26"/>
          <w:szCs w:val="26"/>
          <w:rtl/>
        </w:rPr>
        <w:t xml:space="preserve">ונן והצטיידו באופנוע גנוב ואקדח. הנאשמים </w:t>
      </w:r>
      <w:r w:rsidR="005D3F92" w:rsidRPr="00FF078D">
        <w:rPr>
          <w:rFonts w:ascii="David" w:hAnsi="David" w:hint="cs"/>
          <w:sz w:val="26"/>
          <w:szCs w:val="26"/>
          <w:rtl/>
        </w:rPr>
        <w:t>הגיעו למתלונן ששהה ברכבו כאשר</w:t>
      </w:r>
      <w:r w:rsidR="005D3F92">
        <w:rPr>
          <w:rFonts w:ascii="David" w:hAnsi="David" w:hint="cs"/>
          <w:sz w:val="26"/>
          <w:szCs w:val="26"/>
          <w:rtl/>
        </w:rPr>
        <w:t xml:space="preserve"> אחד מהם נוהג והשני מחזיק באקדח.</w:t>
      </w:r>
      <w:r w:rsidR="005D3F92" w:rsidRPr="00FF078D">
        <w:rPr>
          <w:rFonts w:ascii="David" w:hAnsi="David" w:hint="cs"/>
          <w:sz w:val="26"/>
          <w:szCs w:val="26"/>
          <w:rtl/>
        </w:rPr>
        <w:t xml:space="preserve"> משחלפו בסמוך לרכבו ירו עליו קליע אחד שחדר לחזהו דרך זרוע ימנית. כתוצאה מהירי נגרמו למתלונן נזקים משמעותיים. בערכאה הדיונית הוטלו על הנאשמים עונשים של 5 ו-6 שנות מאסר והעונש הוח</w:t>
      </w:r>
      <w:r w:rsidR="005D3F92">
        <w:rPr>
          <w:rFonts w:ascii="David" w:hAnsi="David" w:hint="cs"/>
          <w:sz w:val="26"/>
          <w:szCs w:val="26"/>
          <w:rtl/>
        </w:rPr>
        <w:t>מר בערעור ל-8 שנות מאסר לכל אחד מהנאשמים.</w:t>
      </w:r>
      <w:r w:rsidR="005D3F92" w:rsidRPr="00FF078D">
        <w:rPr>
          <w:rFonts w:ascii="David" w:hAnsi="David" w:hint="cs"/>
          <w:sz w:val="26"/>
          <w:szCs w:val="26"/>
          <w:rtl/>
        </w:rPr>
        <w:t xml:space="preserve"> </w:t>
      </w:r>
    </w:p>
    <w:p w14:paraId="42E835F7" w14:textId="77777777" w:rsidR="005D3F92" w:rsidRPr="00FF078D" w:rsidRDefault="005D3F92" w:rsidP="005D3F92">
      <w:pPr>
        <w:pStyle w:val="a9"/>
        <w:spacing w:line="360" w:lineRule="auto"/>
        <w:rPr>
          <w:rFonts w:ascii="David" w:hAnsi="David"/>
          <w:sz w:val="26"/>
          <w:szCs w:val="26"/>
          <w:rtl/>
        </w:rPr>
      </w:pPr>
    </w:p>
    <w:p w14:paraId="616B2E01" w14:textId="77777777" w:rsidR="005D3F92" w:rsidRPr="00FF078D" w:rsidRDefault="0013021F" w:rsidP="005D3F92">
      <w:pPr>
        <w:pStyle w:val="a9"/>
        <w:numPr>
          <w:ilvl w:val="0"/>
          <w:numId w:val="1"/>
        </w:numPr>
        <w:spacing w:line="360" w:lineRule="auto"/>
        <w:jc w:val="both"/>
        <w:rPr>
          <w:rFonts w:ascii="David" w:hAnsi="David"/>
          <w:sz w:val="26"/>
          <w:szCs w:val="26"/>
          <w:rtl/>
        </w:rPr>
      </w:pPr>
      <w:hyperlink r:id="rId38" w:history="1">
        <w:r w:rsidRPr="0013021F">
          <w:rPr>
            <w:rFonts w:ascii="David" w:hAnsi="David"/>
            <w:color w:val="0000FF"/>
            <w:sz w:val="26"/>
            <w:szCs w:val="26"/>
            <w:u w:val="single"/>
            <w:rtl/>
          </w:rPr>
          <w:t>ע"פ 6101/16</w:t>
        </w:r>
      </w:hyperlink>
      <w:r w:rsidR="005D3F92">
        <w:rPr>
          <w:rFonts w:ascii="David" w:hAnsi="David" w:hint="cs"/>
          <w:sz w:val="26"/>
          <w:szCs w:val="26"/>
          <w:rtl/>
        </w:rPr>
        <w:t xml:space="preserve"> </w:t>
      </w:r>
      <w:r w:rsidR="005D3F92">
        <w:rPr>
          <w:rFonts w:ascii="David" w:hAnsi="David" w:hint="cs"/>
          <w:b/>
          <w:bCs/>
          <w:sz w:val="26"/>
          <w:szCs w:val="26"/>
          <w:rtl/>
        </w:rPr>
        <w:t>אחמד עווד נ' מדינת ישראל</w:t>
      </w:r>
      <w:r w:rsidR="005D3F92">
        <w:rPr>
          <w:rFonts w:ascii="David" w:hAnsi="David" w:hint="cs"/>
          <w:sz w:val="26"/>
          <w:szCs w:val="26"/>
          <w:rtl/>
        </w:rPr>
        <w:t xml:space="preserve"> (28.6.17); בגין עבירות לפי </w:t>
      </w:r>
      <w:hyperlink r:id="rId39" w:history="1">
        <w:r w:rsidR="007D29D1" w:rsidRPr="007D29D1">
          <w:rPr>
            <w:rStyle w:val="Hyperlink"/>
            <w:rFonts w:ascii="David" w:hAnsi="David" w:hint="eastAsia"/>
            <w:sz w:val="26"/>
            <w:szCs w:val="26"/>
            <w:rtl/>
          </w:rPr>
          <w:t>סעיפים</w:t>
        </w:r>
        <w:r w:rsidR="007D29D1" w:rsidRPr="007D29D1">
          <w:rPr>
            <w:rStyle w:val="Hyperlink"/>
            <w:rFonts w:ascii="David" w:hAnsi="David"/>
            <w:sz w:val="26"/>
            <w:szCs w:val="26"/>
            <w:rtl/>
          </w:rPr>
          <w:t xml:space="preserve"> 329(1)</w:t>
        </w:r>
      </w:hyperlink>
      <w:r w:rsidR="005D3F92">
        <w:rPr>
          <w:rFonts w:ascii="David" w:hAnsi="David" w:hint="cs"/>
          <w:sz w:val="26"/>
          <w:szCs w:val="26"/>
          <w:rtl/>
        </w:rPr>
        <w:t xml:space="preserve"> ו-</w:t>
      </w:r>
      <w:hyperlink r:id="rId40" w:history="1">
        <w:r w:rsidR="007D29D1" w:rsidRPr="007D29D1">
          <w:rPr>
            <w:rStyle w:val="Hyperlink"/>
            <w:rFonts w:ascii="David" w:hAnsi="David"/>
            <w:sz w:val="26"/>
            <w:szCs w:val="26"/>
            <w:rtl/>
          </w:rPr>
          <w:t>329(2)</w:t>
        </w:r>
      </w:hyperlink>
      <w:r w:rsidR="005D3F92">
        <w:rPr>
          <w:rFonts w:ascii="David" w:hAnsi="David" w:hint="cs"/>
          <w:sz w:val="26"/>
          <w:szCs w:val="26"/>
          <w:rtl/>
        </w:rPr>
        <w:t xml:space="preserve"> ל</w:t>
      </w:r>
      <w:hyperlink r:id="rId41" w:history="1">
        <w:r w:rsidRPr="0013021F">
          <w:rPr>
            <w:rFonts w:ascii="David" w:hAnsi="David"/>
            <w:color w:val="0000FF"/>
            <w:sz w:val="26"/>
            <w:szCs w:val="26"/>
            <w:u w:val="single"/>
            <w:rtl/>
          </w:rPr>
          <w:t>חוק העונשין</w:t>
        </w:r>
      </w:hyperlink>
      <w:r w:rsidR="005D3F92">
        <w:rPr>
          <w:rFonts w:ascii="David" w:hAnsi="David" w:hint="cs"/>
          <w:sz w:val="26"/>
          <w:szCs w:val="26"/>
          <w:rtl/>
        </w:rPr>
        <w:t xml:space="preserve">, </w:t>
      </w:r>
      <w:hyperlink r:id="rId42" w:history="1">
        <w:r w:rsidR="007D29D1" w:rsidRPr="007D29D1">
          <w:rPr>
            <w:rStyle w:val="Hyperlink"/>
            <w:rFonts w:ascii="David" w:hAnsi="David"/>
            <w:sz w:val="26"/>
            <w:szCs w:val="26"/>
            <w:rtl/>
          </w:rPr>
          <w:t>340א</w:t>
        </w:r>
      </w:hyperlink>
      <w:r w:rsidR="005D3F92">
        <w:rPr>
          <w:rFonts w:ascii="David" w:hAnsi="David" w:hint="cs"/>
          <w:sz w:val="26"/>
          <w:szCs w:val="26"/>
          <w:rtl/>
        </w:rPr>
        <w:t xml:space="preserve"> לחוק, </w:t>
      </w:r>
      <w:hyperlink r:id="rId43" w:history="1">
        <w:r w:rsidR="007D29D1" w:rsidRPr="007D29D1">
          <w:rPr>
            <w:rStyle w:val="Hyperlink"/>
            <w:rFonts w:ascii="David" w:hAnsi="David" w:hint="eastAsia"/>
            <w:sz w:val="26"/>
            <w:szCs w:val="26"/>
            <w:rtl/>
          </w:rPr>
          <w:t>סעיף</w:t>
        </w:r>
        <w:r w:rsidR="007D29D1" w:rsidRPr="007D29D1">
          <w:rPr>
            <w:rStyle w:val="Hyperlink"/>
            <w:rFonts w:ascii="David" w:hAnsi="David"/>
            <w:sz w:val="26"/>
            <w:szCs w:val="26"/>
            <w:rtl/>
          </w:rPr>
          <w:t xml:space="preserve"> 144(ב)</w:t>
        </w:r>
      </w:hyperlink>
      <w:r w:rsidR="005D3F92">
        <w:rPr>
          <w:rFonts w:ascii="David" w:hAnsi="David" w:hint="cs"/>
          <w:sz w:val="26"/>
          <w:szCs w:val="26"/>
          <w:rtl/>
        </w:rPr>
        <w:t xml:space="preserve"> לחוק, סעיף </w:t>
      </w:r>
      <w:hyperlink r:id="rId44" w:history="1">
        <w:r w:rsidR="007D29D1" w:rsidRPr="007D29D1">
          <w:rPr>
            <w:rStyle w:val="Hyperlink"/>
            <w:rFonts w:ascii="David" w:hAnsi="David"/>
            <w:sz w:val="26"/>
            <w:szCs w:val="26"/>
            <w:rtl/>
          </w:rPr>
          <w:t>244</w:t>
        </w:r>
      </w:hyperlink>
      <w:r w:rsidR="005D3F92">
        <w:rPr>
          <w:rFonts w:ascii="David" w:hAnsi="David" w:hint="cs"/>
          <w:sz w:val="26"/>
          <w:szCs w:val="26"/>
          <w:rtl/>
        </w:rPr>
        <w:t xml:space="preserve"> לחוק וסעיף </w:t>
      </w:r>
      <w:hyperlink r:id="rId45" w:history="1">
        <w:r w:rsidR="007D29D1" w:rsidRPr="007D29D1">
          <w:rPr>
            <w:rStyle w:val="Hyperlink"/>
            <w:rFonts w:ascii="David" w:hAnsi="David"/>
            <w:sz w:val="26"/>
            <w:szCs w:val="26"/>
            <w:rtl/>
          </w:rPr>
          <w:t>413ט</w:t>
        </w:r>
      </w:hyperlink>
      <w:r w:rsidR="005D3F92">
        <w:rPr>
          <w:rFonts w:ascii="David" w:hAnsi="David" w:hint="cs"/>
          <w:sz w:val="26"/>
          <w:szCs w:val="26"/>
          <w:rtl/>
        </w:rPr>
        <w:t xml:space="preserve"> לחוק, הושת על המערער עונש של 9 שנות מאסר בפועל. באותו מקרה הנאשם ניגש לרכבו של המתלונן, פתח דלת הנהג וירה לפחות שתי יריות, אחת פגעה ברגלו השמאלית של המתלונן והשניה בחלון דלת הנהג. המתלונן ניסה להימלט בנסיעה בעוד הנאשם נוסע על קטנוע התקרב לרכב וירה מספר יריות נוספות דרך חלון הנהג. שניים מהכדורים פגעו ברגלי המתלונן שנפגע ואושפז. בערעור הופחת העונש ל-8 שנות מאסר. </w:t>
      </w:r>
    </w:p>
    <w:p w14:paraId="67D0BE11" w14:textId="77777777" w:rsidR="005D3F92" w:rsidRDefault="005D3F92" w:rsidP="005D3F92">
      <w:pPr>
        <w:spacing w:line="360" w:lineRule="auto"/>
        <w:jc w:val="both"/>
        <w:rPr>
          <w:rFonts w:ascii="David" w:hAnsi="David"/>
          <w:sz w:val="26"/>
          <w:szCs w:val="26"/>
          <w:rtl/>
        </w:rPr>
      </w:pPr>
    </w:p>
    <w:p w14:paraId="4E188CFC" w14:textId="77777777" w:rsidR="005D3F92" w:rsidRDefault="0013021F" w:rsidP="005D3F92">
      <w:pPr>
        <w:pStyle w:val="a9"/>
        <w:numPr>
          <w:ilvl w:val="0"/>
          <w:numId w:val="1"/>
        </w:numPr>
        <w:spacing w:line="360" w:lineRule="auto"/>
        <w:jc w:val="both"/>
        <w:rPr>
          <w:rFonts w:ascii="David" w:hAnsi="David"/>
          <w:sz w:val="26"/>
          <w:szCs w:val="26"/>
        </w:rPr>
      </w:pPr>
      <w:hyperlink r:id="rId46" w:history="1">
        <w:r w:rsidRPr="0013021F">
          <w:rPr>
            <w:rFonts w:ascii="David" w:hAnsi="David"/>
            <w:color w:val="0000FF"/>
            <w:sz w:val="26"/>
            <w:szCs w:val="26"/>
            <w:u w:val="single"/>
            <w:rtl/>
          </w:rPr>
          <w:t>ע"פ 1186/15</w:t>
        </w:r>
      </w:hyperlink>
      <w:r w:rsidR="005D3F92" w:rsidRPr="000759DC">
        <w:rPr>
          <w:rFonts w:ascii="David" w:hAnsi="David" w:hint="cs"/>
          <w:sz w:val="26"/>
          <w:szCs w:val="26"/>
          <w:rtl/>
        </w:rPr>
        <w:t xml:space="preserve"> </w:t>
      </w:r>
      <w:r w:rsidR="005D3F92" w:rsidRPr="000759DC">
        <w:rPr>
          <w:rFonts w:ascii="David" w:hAnsi="David" w:hint="cs"/>
          <w:b/>
          <w:bCs/>
          <w:sz w:val="26"/>
          <w:szCs w:val="26"/>
          <w:rtl/>
        </w:rPr>
        <w:t>מוחמד יונס נ' מדינת ישראל</w:t>
      </w:r>
      <w:r w:rsidR="005D3F92" w:rsidRPr="000759DC">
        <w:rPr>
          <w:rFonts w:ascii="David" w:hAnsi="David" w:hint="cs"/>
          <w:sz w:val="26"/>
          <w:szCs w:val="26"/>
          <w:rtl/>
        </w:rPr>
        <w:t xml:space="preserve"> (</w:t>
      </w:r>
      <w:r w:rsidR="005D3F92">
        <w:rPr>
          <w:rFonts w:ascii="David" w:hAnsi="David" w:hint="cs"/>
          <w:sz w:val="26"/>
          <w:szCs w:val="26"/>
          <w:rtl/>
        </w:rPr>
        <w:t>23.11.16</w:t>
      </w:r>
      <w:r w:rsidR="005D3F92" w:rsidRPr="000759DC">
        <w:rPr>
          <w:rFonts w:ascii="David" w:hAnsi="David" w:hint="cs"/>
          <w:sz w:val="26"/>
          <w:szCs w:val="26"/>
          <w:rtl/>
        </w:rPr>
        <w:t xml:space="preserve">); </w:t>
      </w:r>
      <w:r w:rsidR="005D3F92">
        <w:rPr>
          <w:rFonts w:ascii="David" w:hAnsi="David" w:hint="cs"/>
          <w:sz w:val="26"/>
          <w:szCs w:val="26"/>
          <w:rtl/>
        </w:rPr>
        <w:t xml:space="preserve">המערער הורשע בעבירה לפי </w:t>
      </w:r>
      <w:hyperlink r:id="rId47" w:history="1">
        <w:r w:rsidR="007D29D1" w:rsidRPr="007D29D1">
          <w:rPr>
            <w:rStyle w:val="Hyperlink"/>
            <w:rFonts w:ascii="David" w:hAnsi="David" w:hint="eastAsia"/>
            <w:sz w:val="26"/>
            <w:szCs w:val="26"/>
            <w:rtl/>
          </w:rPr>
          <w:t>סעיף</w:t>
        </w:r>
        <w:r w:rsidR="007D29D1" w:rsidRPr="007D29D1">
          <w:rPr>
            <w:rStyle w:val="Hyperlink"/>
            <w:rFonts w:ascii="David" w:hAnsi="David"/>
            <w:sz w:val="26"/>
            <w:szCs w:val="26"/>
            <w:rtl/>
          </w:rPr>
          <w:t xml:space="preserve"> 329</w:t>
        </w:r>
      </w:hyperlink>
      <w:r w:rsidR="005D3F92">
        <w:rPr>
          <w:rFonts w:ascii="David" w:hAnsi="David" w:hint="cs"/>
          <w:sz w:val="26"/>
          <w:szCs w:val="26"/>
          <w:rtl/>
        </w:rPr>
        <w:t xml:space="preserve"> לחוק. באותו מקרה הגיע הנאשם לבית המתלונן כשהוא נושא נשק. הוא דפק בדלת והתחזה לאחי המתלונן וכשהמתלונן פתח את הדלת ירה 4 יריות לעבר פלג גופו התחתון ונגרמו לו חבלות ברגליים וביד בגינן אושפז. בערכאה הדיונית נגזרו עליו 11 שנות מאסר בפועל ובערעור הופחת העונש ל-9 שנים ו-4 חודשים. </w:t>
      </w:r>
    </w:p>
    <w:p w14:paraId="1EE56E39" w14:textId="77777777" w:rsidR="005D3F92" w:rsidRPr="001D7564" w:rsidRDefault="005D3F92" w:rsidP="005D3F92">
      <w:pPr>
        <w:pStyle w:val="a9"/>
        <w:spacing w:line="360" w:lineRule="auto"/>
        <w:rPr>
          <w:rFonts w:ascii="David" w:hAnsi="David"/>
          <w:sz w:val="26"/>
          <w:szCs w:val="26"/>
          <w:rtl/>
        </w:rPr>
      </w:pPr>
    </w:p>
    <w:p w14:paraId="62C24FE8" w14:textId="77777777" w:rsidR="005D3F92" w:rsidRDefault="0013021F" w:rsidP="005D3F92">
      <w:pPr>
        <w:pStyle w:val="a9"/>
        <w:numPr>
          <w:ilvl w:val="0"/>
          <w:numId w:val="1"/>
        </w:numPr>
        <w:spacing w:line="360" w:lineRule="auto"/>
        <w:jc w:val="both"/>
        <w:rPr>
          <w:rFonts w:ascii="David" w:hAnsi="David"/>
          <w:sz w:val="26"/>
          <w:szCs w:val="26"/>
        </w:rPr>
      </w:pPr>
      <w:hyperlink r:id="rId48" w:history="1">
        <w:r w:rsidRPr="0013021F">
          <w:rPr>
            <w:rFonts w:ascii="David" w:hAnsi="David"/>
            <w:color w:val="0000FF"/>
            <w:sz w:val="26"/>
            <w:szCs w:val="26"/>
            <w:u w:val="single"/>
            <w:rtl/>
          </w:rPr>
          <w:t>ע"פ 8721/14</w:t>
        </w:r>
      </w:hyperlink>
      <w:r w:rsidR="005D3F92" w:rsidRPr="00CC57A3">
        <w:rPr>
          <w:rFonts w:ascii="David" w:hAnsi="David" w:hint="cs"/>
          <w:sz w:val="26"/>
          <w:szCs w:val="26"/>
          <w:rtl/>
        </w:rPr>
        <w:t xml:space="preserve"> </w:t>
      </w:r>
      <w:r w:rsidR="005D3F92">
        <w:rPr>
          <w:rFonts w:ascii="David" w:hAnsi="David" w:hint="cs"/>
          <w:b/>
          <w:bCs/>
          <w:sz w:val="26"/>
          <w:szCs w:val="26"/>
          <w:rtl/>
        </w:rPr>
        <w:t>מוחמד אבו</w:t>
      </w:r>
      <w:r w:rsidR="005D3F92" w:rsidRPr="00CC57A3">
        <w:rPr>
          <w:rFonts w:ascii="David" w:hAnsi="David" w:hint="cs"/>
          <w:b/>
          <w:bCs/>
          <w:sz w:val="26"/>
          <w:szCs w:val="26"/>
          <w:rtl/>
        </w:rPr>
        <w:t xml:space="preserve"> לבן נ' מדינת ישראל</w:t>
      </w:r>
      <w:r w:rsidR="005D3F92" w:rsidRPr="00CC57A3">
        <w:rPr>
          <w:rFonts w:ascii="David" w:hAnsi="David" w:hint="cs"/>
          <w:sz w:val="26"/>
          <w:szCs w:val="26"/>
          <w:rtl/>
        </w:rPr>
        <w:t xml:space="preserve"> (28.9.16); באותו מקרה</w:t>
      </w:r>
      <w:r w:rsidR="005D3F92">
        <w:rPr>
          <w:rFonts w:ascii="David" w:hAnsi="David" w:hint="cs"/>
          <w:sz w:val="26"/>
          <w:szCs w:val="26"/>
          <w:rtl/>
        </w:rPr>
        <w:t>,</w:t>
      </w:r>
      <w:r w:rsidR="005D3F92" w:rsidRPr="00CC57A3">
        <w:rPr>
          <w:rFonts w:ascii="David" w:hAnsi="David" w:hint="cs"/>
          <w:sz w:val="26"/>
          <w:szCs w:val="26"/>
          <w:rtl/>
        </w:rPr>
        <w:t xml:space="preserve"> על רקע ביטול אירוסין, ירה המערער </w:t>
      </w:r>
      <w:r w:rsidR="005D3F92">
        <w:rPr>
          <w:rFonts w:ascii="David" w:hAnsi="David" w:hint="cs"/>
          <w:sz w:val="26"/>
          <w:szCs w:val="26"/>
          <w:rtl/>
        </w:rPr>
        <w:t>לעבר ארוסתו לשעבר ואחיה. כתוצאה מהירי</w:t>
      </w:r>
      <w:r w:rsidR="005D3F92" w:rsidRPr="00CC57A3">
        <w:rPr>
          <w:rFonts w:ascii="David" w:hAnsi="David" w:hint="cs"/>
          <w:sz w:val="26"/>
          <w:szCs w:val="26"/>
          <w:rtl/>
        </w:rPr>
        <w:t xml:space="preserve"> נפגע </w:t>
      </w:r>
      <w:r w:rsidR="005D3F92">
        <w:rPr>
          <w:rFonts w:ascii="David" w:hAnsi="David" w:hint="cs"/>
          <w:sz w:val="26"/>
          <w:szCs w:val="26"/>
          <w:rtl/>
        </w:rPr>
        <w:t>האח ברגלו וכן</w:t>
      </w:r>
      <w:r w:rsidR="005D3F92" w:rsidRPr="00CC57A3">
        <w:rPr>
          <w:rFonts w:ascii="David" w:hAnsi="David" w:hint="cs"/>
          <w:sz w:val="26"/>
          <w:szCs w:val="26"/>
          <w:rtl/>
        </w:rPr>
        <w:t xml:space="preserve"> שכנה</w:t>
      </w:r>
      <w:r w:rsidR="005D3F92">
        <w:rPr>
          <w:rFonts w:ascii="David" w:hAnsi="David" w:hint="cs"/>
          <w:sz w:val="26"/>
          <w:szCs w:val="26"/>
          <w:rtl/>
        </w:rPr>
        <w:t xml:space="preserve"> עוברת אורח</w:t>
      </w:r>
      <w:r w:rsidR="005D3F92" w:rsidRPr="00CC57A3">
        <w:rPr>
          <w:rFonts w:ascii="David" w:hAnsi="David" w:hint="cs"/>
          <w:sz w:val="26"/>
          <w:szCs w:val="26"/>
          <w:rtl/>
        </w:rPr>
        <w:t xml:space="preserve"> שנפגעה</w:t>
      </w:r>
      <w:r w:rsidR="005D3F92">
        <w:rPr>
          <w:rFonts w:ascii="David" w:hAnsi="David" w:hint="cs"/>
          <w:sz w:val="26"/>
          <w:szCs w:val="26"/>
          <w:rtl/>
        </w:rPr>
        <w:t xml:space="preserve"> מכדור</w:t>
      </w:r>
      <w:r w:rsidR="005D3F92" w:rsidRPr="00CC57A3">
        <w:rPr>
          <w:rFonts w:ascii="David" w:hAnsi="David" w:hint="cs"/>
          <w:sz w:val="26"/>
          <w:szCs w:val="26"/>
          <w:rtl/>
        </w:rPr>
        <w:t xml:space="preserve"> בגבה.</w:t>
      </w:r>
      <w:r w:rsidR="005D3F92">
        <w:rPr>
          <w:rFonts w:ascii="David" w:hAnsi="David" w:hint="cs"/>
          <w:sz w:val="26"/>
          <w:szCs w:val="26"/>
          <w:rtl/>
        </w:rPr>
        <w:t xml:space="preserve"> </w:t>
      </w:r>
      <w:r w:rsidR="005D3F92" w:rsidRPr="00CC57A3">
        <w:rPr>
          <w:rFonts w:ascii="David" w:hAnsi="David" w:hint="cs"/>
          <w:sz w:val="26"/>
          <w:szCs w:val="26"/>
          <w:rtl/>
        </w:rPr>
        <w:t>בגין המעשים הואשם המערער בשתי עבירות של</w:t>
      </w:r>
      <w:r w:rsidR="005D3F92">
        <w:rPr>
          <w:rFonts w:ascii="David" w:hAnsi="David" w:hint="cs"/>
          <w:sz w:val="26"/>
          <w:szCs w:val="26"/>
          <w:rtl/>
        </w:rPr>
        <w:t xml:space="preserve"> חבלה בכוונה מחמירה ונשיאת נשק, נקבע </w:t>
      </w:r>
      <w:r w:rsidR="005D3F92" w:rsidRPr="00CC57A3">
        <w:rPr>
          <w:rFonts w:ascii="David" w:hAnsi="David" w:hint="cs"/>
          <w:sz w:val="26"/>
          <w:szCs w:val="26"/>
          <w:rtl/>
        </w:rPr>
        <w:t>מתחם ענישה הולם שבין 6</w:t>
      </w:r>
      <w:r w:rsidR="005D3F92">
        <w:rPr>
          <w:rFonts w:ascii="David" w:hAnsi="David" w:hint="cs"/>
          <w:sz w:val="26"/>
          <w:szCs w:val="26"/>
          <w:rtl/>
        </w:rPr>
        <w:t>-10 שנות מאסר ונגזרו 9.5 שנות מ</w:t>
      </w:r>
      <w:r w:rsidR="005D3F92" w:rsidRPr="00CC57A3">
        <w:rPr>
          <w:rFonts w:ascii="David" w:hAnsi="David" w:hint="cs"/>
          <w:sz w:val="26"/>
          <w:szCs w:val="26"/>
          <w:rtl/>
        </w:rPr>
        <w:t xml:space="preserve">אסר בפועל. </w:t>
      </w:r>
      <w:r w:rsidR="005D3F92">
        <w:rPr>
          <w:rFonts w:ascii="David" w:hAnsi="David" w:hint="cs"/>
          <w:sz w:val="26"/>
          <w:szCs w:val="26"/>
          <w:rtl/>
        </w:rPr>
        <w:t>יצוין שהיה מדובר באירוע בעל שני אישומים כאשר בראשון הורשע המערער בתקיפת בת זוג הגורמת חבלה של ממש ועבירת איומים.</w:t>
      </w:r>
    </w:p>
    <w:p w14:paraId="538050E5" w14:textId="77777777" w:rsidR="005D3F92" w:rsidRPr="00840CF3" w:rsidRDefault="005D3F92" w:rsidP="005D3F92">
      <w:pPr>
        <w:pStyle w:val="a9"/>
        <w:spacing w:line="360" w:lineRule="auto"/>
        <w:rPr>
          <w:rFonts w:ascii="David" w:hAnsi="David"/>
          <w:sz w:val="26"/>
          <w:szCs w:val="26"/>
          <w:rtl/>
        </w:rPr>
      </w:pPr>
    </w:p>
    <w:p w14:paraId="7CAC4451" w14:textId="77777777" w:rsidR="005D3F92" w:rsidRDefault="005D3F92" w:rsidP="005D3F92">
      <w:pPr>
        <w:spacing w:line="360" w:lineRule="auto"/>
        <w:ind w:left="720" w:hanging="720"/>
        <w:rPr>
          <w:rFonts w:ascii="David" w:hAnsi="David"/>
          <w:sz w:val="26"/>
          <w:szCs w:val="26"/>
          <w:rtl/>
        </w:rPr>
      </w:pPr>
      <w:r>
        <w:rPr>
          <w:rFonts w:ascii="David" w:hAnsi="David" w:hint="cs"/>
          <w:sz w:val="26"/>
          <w:szCs w:val="26"/>
          <w:rtl/>
        </w:rPr>
        <w:t>15.</w:t>
      </w:r>
      <w:r>
        <w:rPr>
          <w:rFonts w:ascii="David" w:hAnsi="David" w:hint="cs"/>
          <w:sz w:val="26"/>
          <w:szCs w:val="26"/>
          <w:rtl/>
        </w:rPr>
        <w:tab/>
        <w:t>במקרה דנן ביקשה המדינה לקבוע מתחם ענישה הולם בין 9-12 שנות מאסר בפועל ולהטיל עונשים נלווים ובהם מאסר על תנאי משמעותי ומרתיע ופיצויי למתלונן ולצהייב. בתוך המתחם נטען שיש לקבוע עונש באמצע המתחם, בשים לב לעברו הפלילי ולהודאה שניתנה רק לאחר שנשמעו עדויות רבות ובעיקר עדות המתלונן.</w:t>
      </w:r>
    </w:p>
    <w:p w14:paraId="77C5E38A" w14:textId="77777777" w:rsidR="005D3F92" w:rsidRDefault="005D3F92" w:rsidP="005D3F92">
      <w:pPr>
        <w:spacing w:line="360" w:lineRule="auto"/>
        <w:jc w:val="both"/>
        <w:rPr>
          <w:rFonts w:ascii="David" w:hAnsi="David"/>
          <w:sz w:val="26"/>
          <w:szCs w:val="26"/>
          <w:rtl/>
        </w:rPr>
      </w:pPr>
    </w:p>
    <w:p w14:paraId="7DB718BE"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16.</w:t>
      </w:r>
      <w:r>
        <w:rPr>
          <w:rFonts w:ascii="David" w:hAnsi="David" w:hint="cs"/>
          <w:sz w:val="26"/>
          <w:szCs w:val="26"/>
          <w:rtl/>
        </w:rPr>
        <w:tab/>
        <w:t>לגבי הסולחה, המדינה טענה שהסולחה נערכה רק עם המתלונן ושהעבירות שבוצעו ע"י הנאשם 2 שונות באופן מהותי מהעבירות שבוצעו ע"י נאשם 1.</w:t>
      </w:r>
    </w:p>
    <w:p w14:paraId="743D3BB6" w14:textId="77777777" w:rsidR="005D3F92" w:rsidRDefault="005D3F92" w:rsidP="005D3F92">
      <w:pPr>
        <w:spacing w:line="360" w:lineRule="auto"/>
        <w:jc w:val="both"/>
        <w:rPr>
          <w:rFonts w:ascii="David" w:hAnsi="David"/>
          <w:sz w:val="26"/>
          <w:szCs w:val="26"/>
          <w:rtl/>
        </w:rPr>
      </w:pPr>
    </w:p>
    <w:p w14:paraId="6C28BDB6" w14:textId="77777777" w:rsidR="005D3F92" w:rsidRDefault="005D3F92" w:rsidP="005D3F92">
      <w:pPr>
        <w:spacing w:line="360" w:lineRule="auto"/>
        <w:jc w:val="both"/>
        <w:rPr>
          <w:rFonts w:ascii="David" w:hAnsi="David"/>
          <w:sz w:val="26"/>
          <w:szCs w:val="26"/>
          <w:rtl/>
        </w:rPr>
      </w:pPr>
      <w:r>
        <w:rPr>
          <w:rFonts w:ascii="David" w:hAnsi="David" w:hint="cs"/>
          <w:b/>
          <w:bCs/>
          <w:sz w:val="26"/>
          <w:szCs w:val="26"/>
          <w:u w:val="single"/>
          <w:rtl/>
        </w:rPr>
        <w:t>טיעוני הסנגור</w:t>
      </w:r>
    </w:p>
    <w:p w14:paraId="7202CE0C" w14:textId="77777777" w:rsidR="005D3F92" w:rsidRDefault="005D3F92" w:rsidP="005D3F92">
      <w:pPr>
        <w:spacing w:line="360" w:lineRule="auto"/>
        <w:jc w:val="both"/>
        <w:rPr>
          <w:rFonts w:ascii="David" w:hAnsi="David"/>
          <w:sz w:val="26"/>
          <w:szCs w:val="26"/>
          <w:rtl/>
        </w:rPr>
      </w:pPr>
    </w:p>
    <w:p w14:paraId="70A7A7F4"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17.</w:t>
      </w:r>
      <w:r>
        <w:rPr>
          <w:rFonts w:ascii="David" w:hAnsi="David" w:hint="cs"/>
          <w:sz w:val="26"/>
          <w:szCs w:val="26"/>
          <w:rtl/>
        </w:rPr>
        <w:tab/>
        <w:t xml:space="preserve">הסנגור טען שקיים קושי כפול במתחם שהציעה המאשימה: ראשית, שהפסיקה שאוזכרה לא תומכת במתחם; שנית, נטען שגם אם מעוניינים להחמיר בענישה ההחמרה צריכה להיות הדרגתית ולא בבת אחת. </w:t>
      </w:r>
    </w:p>
    <w:p w14:paraId="6AE336BF" w14:textId="77777777" w:rsidR="005D3F92" w:rsidRDefault="005D3F92" w:rsidP="005D3F92">
      <w:pPr>
        <w:spacing w:line="360" w:lineRule="auto"/>
        <w:jc w:val="both"/>
        <w:rPr>
          <w:rFonts w:ascii="David" w:hAnsi="David"/>
          <w:sz w:val="26"/>
          <w:szCs w:val="26"/>
          <w:rtl/>
        </w:rPr>
      </w:pPr>
    </w:p>
    <w:p w14:paraId="29B82803"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18.</w:t>
      </w:r>
      <w:r>
        <w:rPr>
          <w:rFonts w:ascii="David" w:hAnsi="David" w:hint="cs"/>
          <w:sz w:val="26"/>
          <w:szCs w:val="26"/>
          <w:rtl/>
        </w:rPr>
        <w:tab/>
        <w:t xml:space="preserve">נטען שהאירוע היווה המשך לאירוע קודם שתואר באישום הראשון והוזכר שהנאשם 2 לא היה מעורב בסחיטה. נטען שהמדינה ערכה הסדר עם נאשם 1 ולאור הקשר בין שני האישומים חל עיקרון אחידות הענישה ועונשו של הנאשם לא צריך להיות חמור יותר באופן קיצוני מעונשו של האב וזאת למרות השוני בסוגי העבירות בהם הורשעו. נטען שהמתחם נקבע מפאת נסיבות העבירה ולא הכותרת שלה וכן נטען לקושי בעמדת המדינה כאשר נערך הסדר טיעון סגור עם נאשם 1 שעמד על 20 חודשי מאסר וכעת מבוקשות שנות מאסר רבות ביחס לנאשם 2. </w:t>
      </w:r>
    </w:p>
    <w:p w14:paraId="18E3C0DA" w14:textId="77777777" w:rsidR="005D3F92" w:rsidRDefault="005D3F92" w:rsidP="005D3F92">
      <w:pPr>
        <w:spacing w:line="360" w:lineRule="auto"/>
        <w:jc w:val="both"/>
        <w:rPr>
          <w:rFonts w:ascii="David" w:hAnsi="David"/>
          <w:sz w:val="26"/>
          <w:szCs w:val="26"/>
          <w:rtl/>
        </w:rPr>
      </w:pPr>
    </w:p>
    <w:p w14:paraId="746A22CA"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19.</w:t>
      </w:r>
      <w:r>
        <w:rPr>
          <w:rFonts w:ascii="David" w:hAnsi="David" w:hint="cs"/>
          <w:sz w:val="26"/>
          <w:szCs w:val="26"/>
          <w:rtl/>
        </w:rPr>
        <w:tab/>
        <w:t xml:space="preserve">נטען שברור שהנאשם 2 לא עשה מה שעשה על דעת עצמו. הסנגור טען שעדותו של המתלונן שהעיד על סכסוך בינו לבין אביו של הנאשם 2 (הנאשם 1) בלבד מחזקת מסקנה זו. כמו כן, הסנגור טען שהוסכם שיותר לו לטעון ששני התוקפים, הנאשם 2 והאחר, ירו לעבר המתלוננים. </w:t>
      </w:r>
    </w:p>
    <w:p w14:paraId="26C5970C" w14:textId="77777777" w:rsidR="005D3F92" w:rsidRDefault="005D3F92" w:rsidP="005D3F92">
      <w:pPr>
        <w:spacing w:line="360" w:lineRule="auto"/>
        <w:jc w:val="both"/>
        <w:rPr>
          <w:rFonts w:ascii="David" w:hAnsi="David"/>
          <w:sz w:val="26"/>
          <w:szCs w:val="26"/>
          <w:rtl/>
        </w:rPr>
      </w:pPr>
    </w:p>
    <w:p w14:paraId="05405DFC"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20.</w:t>
      </w:r>
      <w:r>
        <w:rPr>
          <w:rFonts w:ascii="David" w:hAnsi="David" w:hint="cs"/>
          <w:sz w:val="26"/>
          <w:szCs w:val="26"/>
          <w:rtl/>
        </w:rPr>
        <w:tab/>
        <w:t xml:space="preserve">נטען שעל אף שמדובר במקרה חמור, המתחם שהוצע על ידי המדינה אינו מוצדק. נטען שבפסיקה שהובאה על ידי המדינה נותרה לקורבנות נכות צמיתה קשה, שלא כמו במקרה כאן. נטען שבתיקים דומים של ירי של מספר יריות שלא גרמו לנכות צמיתה קשה נקבעה רמת ענישה שבין 3-5 שנות מאסר. </w:t>
      </w:r>
    </w:p>
    <w:p w14:paraId="11624FFC" w14:textId="77777777" w:rsidR="005D3F92" w:rsidRDefault="005D3F92" w:rsidP="005D3F92">
      <w:pPr>
        <w:spacing w:line="360" w:lineRule="auto"/>
        <w:jc w:val="both"/>
        <w:rPr>
          <w:rFonts w:ascii="David" w:hAnsi="David"/>
          <w:sz w:val="26"/>
          <w:szCs w:val="26"/>
          <w:rtl/>
        </w:rPr>
      </w:pPr>
    </w:p>
    <w:p w14:paraId="03A33C4F" w14:textId="77777777" w:rsidR="005D3F92" w:rsidRDefault="005D3F92" w:rsidP="005D3F92">
      <w:pPr>
        <w:spacing w:line="360" w:lineRule="auto"/>
        <w:jc w:val="both"/>
        <w:rPr>
          <w:rFonts w:ascii="David" w:hAnsi="David"/>
          <w:sz w:val="26"/>
          <w:szCs w:val="26"/>
          <w:rtl/>
        </w:rPr>
      </w:pPr>
      <w:r>
        <w:rPr>
          <w:rFonts w:ascii="David" w:hAnsi="David" w:hint="cs"/>
          <w:sz w:val="26"/>
          <w:szCs w:val="26"/>
          <w:rtl/>
        </w:rPr>
        <w:t>21.</w:t>
      </w:r>
      <w:r>
        <w:rPr>
          <w:rFonts w:ascii="David" w:hAnsi="David" w:hint="cs"/>
          <w:sz w:val="26"/>
          <w:szCs w:val="26"/>
          <w:rtl/>
        </w:rPr>
        <w:tab/>
        <w:t>אוזכרה הפסיקה הבאה:</w:t>
      </w:r>
    </w:p>
    <w:p w14:paraId="284D5A4C" w14:textId="77777777" w:rsidR="005D3F92" w:rsidRDefault="005D3F92" w:rsidP="005D3F92">
      <w:pPr>
        <w:spacing w:line="360" w:lineRule="auto"/>
        <w:jc w:val="both"/>
        <w:rPr>
          <w:rFonts w:ascii="David" w:hAnsi="David"/>
          <w:sz w:val="26"/>
          <w:szCs w:val="26"/>
          <w:rtl/>
        </w:rPr>
      </w:pPr>
    </w:p>
    <w:p w14:paraId="3A8DE6E8" w14:textId="77777777" w:rsidR="005D3F92" w:rsidRDefault="0013021F" w:rsidP="005D3F92">
      <w:pPr>
        <w:pStyle w:val="a9"/>
        <w:numPr>
          <w:ilvl w:val="0"/>
          <w:numId w:val="1"/>
        </w:numPr>
        <w:spacing w:line="360" w:lineRule="auto"/>
        <w:jc w:val="both"/>
        <w:rPr>
          <w:rFonts w:ascii="David" w:hAnsi="David"/>
          <w:sz w:val="26"/>
          <w:szCs w:val="26"/>
        </w:rPr>
      </w:pPr>
      <w:hyperlink r:id="rId49" w:history="1">
        <w:r w:rsidRPr="0013021F">
          <w:rPr>
            <w:rFonts w:ascii="David" w:hAnsi="David"/>
            <w:color w:val="0000FF"/>
            <w:sz w:val="26"/>
            <w:szCs w:val="26"/>
            <w:u w:val="single"/>
            <w:rtl/>
          </w:rPr>
          <w:t>ע"פ 2064/14</w:t>
        </w:r>
      </w:hyperlink>
      <w:r w:rsidR="005D3F92" w:rsidRPr="00A215AF">
        <w:rPr>
          <w:rFonts w:ascii="David" w:hAnsi="David" w:hint="cs"/>
          <w:sz w:val="26"/>
          <w:szCs w:val="26"/>
          <w:rtl/>
        </w:rPr>
        <w:t xml:space="preserve"> </w:t>
      </w:r>
      <w:r w:rsidR="005D3F92">
        <w:rPr>
          <w:rFonts w:ascii="David" w:hAnsi="David" w:hint="cs"/>
          <w:b/>
          <w:bCs/>
          <w:sz w:val="26"/>
          <w:szCs w:val="26"/>
          <w:rtl/>
        </w:rPr>
        <w:t>בלאל ק</w:t>
      </w:r>
      <w:r w:rsidR="005D3F92" w:rsidRPr="00A215AF">
        <w:rPr>
          <w:rFonts w:ascii="David" w:hAnsi="David" w:hint="cs"/>
          <w:b/>
          <w:bCs/>
          <w:sz w:val="26"/>
          <w:szCs w:val="26"/>
          <w:rtl/>
        </w:rPr>
        <w:t>ואסמי נ' מדינת ישראל</w:t>
      </w:r>
      <w:r w:rsidR="005D3F92">
        <w:rPr>
          <w:rFonts w:ascii="David" w:hAnsi="David" w:hint="cs"/>
          <w:sz w:val="26"/>
          <w:szCs w:val="26"/>
          <w:rtl/>
        </w:rPr>
        <w:t xml:space="preserve"> (24.2.15); המערער הורשע בעבירות</w:t>
      </w:r>
      <w:r w:rsidR="005D3F92" w:rsidRPr="00A215AF">
        <w:rPr>
          <w:rFonts w:ascii="David" w:hAnsi="David" w:hint="cs"/>
          <w:sz w:val="26"/>
          <w:szCs w:val="26"/>
          <w:rtl/>
        </w:rPr>
        <w:t xml:space="preserve"> חבלה </w:t>
      </w:r>
      <w:r w:rsidR="005D3F92">
        <w:rPr>
          <w:rFonts w:ascii="David" w:hAnsi="David" w:hint="cs"/>
          <w:sz w:val="26"/>
          <w:szCs w:val="26"/>
          <w:rtl/>
        </w:rPr>
        <w:t xml:space="preserve">בכוונה </w:t>
      </w:r>
      <w:r w:rsidR="005D3F92" w:rsidRPr="00A215AF">
        <w:rPr>
          <w:rFonts w:ascii="David" w:hAnsi="David" w:hint="cs"/>
          <w:sz w:val="26"/>
          <w:szCs w:val="26"/>
          <w:rtl/>
        </w:rPr>
        <w:t>מחמירה, נשיאת נשק</w:t>
      </w:r>
      <w:r w:rsidR="005D3F92">
        <w:rPr>
          <w:rFonts w:ascii="David" w:hAnsi="David" w:hint="cs"/>
          <w:sz w:val="26"/>
          <w:szCs w:val="26"/>
          <w:rtl/>
        </w:rPr>
        <w:t xml:space="preserve"> </w:t>
      </w:r>
      <w:r w:rsidR="005D3F92" w:rsidRPr="00A215AF">
        <w:rPr>
          <w:rFonts w:ascii="David" w:hAnsi="David" w:hint="cs"/>
          <w:sz w:val="26"/>
          <w:szCs w:val="26"/>
          <w:rtl/>
        </w:rPr>
        <w:t xml:space="preserve">וחבלה במזיד ברכב. </w:t>
      </w:r>
      <w:r w:rsidR="005D3F92">
        <w:rPr>
          <w:rFonts w:ascii="David" w:hAnsi="David" w:hint="cs"/>
          <w:sz w:val="26"/>
          <w:szCs w:val="26"/>
          <w:rtl/>
        </w:rPr>
        <w:t>המערער</w:t>
      </w:r>
      <w:r w:rsidR="005D3F92" w:rsidRPr="00A215AF">
        <w:rPr>
          <w:rFonts w:ascii="David" w:hAnsi="David" w:hint="cs"/>
          <w:sz w:val="26"/>
          <w:szCs w:val="26"/>
          <w:rtl/>
        </w:rPr>
        <w:t xml:space="preserve"> רדף אחר המתלונן כשהוא יורה לעברו ופוגע בו בגפיים על רקע סכסוך קודם</w:t>
      </w:r>
      <w:r w:rsidR="005D3F92">
        <w:rPr>
          <w:rFonts w:ascii="David" w:hAnsi="David" w:hint="cs"/>
          <w:sz w:val="26"/>
          <w:szCs w:val="26"/>
          <w:rtl/>
        </w:rPr>
        <w:t>.</w:t>
      </w:r>
      <w:r w:rsidR="005D3F92" w:rsidRPr="00A215AF">
        <w:rPr>
          <w:rFonts w:ascii="David" w:hAnsi="David" w:hint="cs"/>
          <w:sz w:val="26"/>
          <w:szCs w:val="26"/>
          <w:rtl/>
        </w:rPr>
        <w:t xml:space="preserve"> הוטלו 4.5 שנות מאסר. האירוע החל כשהגיעו המתלוננים לעסק של משפחת המערער והתחילו להפעיל אלימות כאשר האירוע הסלים המערער פתח בירי לעברם ובהמשך רדף אחריהם וירה לכיוונם ברחוב. הערעור נדחה.</w:t>
      </w:r>
    </w:p>
    <w:p w14:paraId="70E02F31" w14:textId="77777777" w:rsidR="005D3F92" w:rsidRDefault="005D3F92" w:rsidP="005D3F92">
      <w:pPr>
        <w:spacing w:line="360" w:lineRule="auto"/>
        <w:jc w:val="both"/>
        <w:rPr>
          <w:rFonts w:ascii="David" w:hAnsi="David"/>
          <w:sz w:val="26"/>
          <w:szCs w:val="26"/>
          <w:rtl/>
        </w:rPr>
      </w:pPr>
    </w:p>
    <w:p w14:paraId="637F4DA1" w14:textId="77777777" w:rsidR="005D3F92" w:rsidRDefault="0013021F" w:rsidP="005D3F92">
      <w:pPr>
        <w:pStyle w:val="a9"/>
        <w:numPr>
          <w:ilvl w:val="0"/>
          <w:numId w:val="1"/>
        </w:numPr>
        <w:spacing w:line="360" w:lineRule="auto"/>
        <w:jc w:val="both"/>
        <w:rPr>
          <w:rFonts w:ascii="David" w:hAnsi="David"/>
          <w:sz w:val="26"/>
          <w:szCs w:val="26"/>
        </w:rPr>
      </w:pPr>
      <w:hyperlink r:id="rId50" w:history="1">
        <w:r w:rsidRPr="0013021F">
          <w:rPr>
            <w:rFonts w:ascii="David" w:hAnsi="David"/>
            <w:color w:val="0000FF"/>
            <w:sz w:val="26"/>
            <w:szCs w:val="26"/>
            <w:u w:val="single"/>
            <w:rtl/>
          </w:rPr>
          <w:t>ע"פ 6296/11</w:t>
        </w:r>
      </w:hyperlink>
      <w:r w:rsidR="005D3F92" w:rsidRPr="00021878">
        <w:rPr>
          <w:rFonts w:ascii="David" w:hAnsi="David" w:hint="cs"/>
          <w:sz w:val="26"/>
          <w:szCs w:val="26"/>
          <w:rtl/>
        </w:rPr>
        <w:t xml:space="preserve"> </w:t>
      </w:r>
      <w:r w:rsidR="005D3F92" w:rsidRPr="00021878">
        <w:rPr>
          <w:rFonts w:ascii="David" w:hAnsi="David" w:hint="cs"/>
          <w:b/>
          <w:bCs/>
          <w:sz w:val="26"/>
          <w:szCs w:val="26"/>
          <w:rtl/>
        </w:rPr>
        <w:t xml:space="preserve">מדינת ישראל נ' </w:t>
      </w:r>
      <w:r w:rsidR="005D3F92">
        <w:rPr>
          <w:rFonts w:ascii="David" w:hAnsi="David" w:hint="cs"/>
          <w:b/>
          <w:bCs/>
          <w:sz w:val="26"/>
          <w:szCs w:val="26"/>
          <w:rtl/>
        </w:rPr>
        <w:t>בכר אג</w:t>
      </w:r>
      <w:r w:rsidR="005D3F92" w:rsidRPr="00021878">
        <w:rPr>
          <w:rFonts w:ascii="David" w:hAnsi="David" w:hint="cs"/>
          <w:b/>
          <w:bCs/>
          <w:sz w:val="26"/>
          <w:szCs w:val="26"/>
          <w:rtl/>
        </w:rPr>
        <w:t>באריה</w:t>
      </w:r>
      <w:r w:rsidR="005D3F92" w:rsidRPr="00021878">
        <w:rPr>
          <w:rFonts w:ascii="David" w:hAnsi="David" w:hint="cs"/>
          <w:sz w:val="26"/>
          <w:szCs w:val="26"/>
          <w:rtl/>
        </w:rPr>
        <w:t xml:space="preserve"> (13.11.12); ערעור המדינה על חומרת העונש שעה שבית משפט גזר 30 חודשי מאסר בגין חבלה בכוונה מחמירה</w:t>
      </w:r>
      <w:r w:rsidR="005D3F92">
        <w:rPr>
          <w:rFonts w:ascii="David" w:hAnsi="David" w:hint="cs"/>
          <w:sz w:val="26"/>
          <w:szCs w:val="26"/>
          <w:rtl/>
        </w:rPr>
        <w:t xml:space="preserve"> ועבירות נשק על נאשם שהורשע בגין ביצוע </w:t>
      </w:r>
      <w:r w:rsidR="005D3F92" w:rsidRPr="00021878">
        <w:rPr>
          <w:rFonts w:ascii="David" w:hAnsi="David" w:hint="cs"/>
          <w:sz w:val="26"/>
          <w:szCs w:val="26"/>
          <w:rtl/>
        </w:rPr>
        <w:t>ירי של מספר כדורים ו</w:t>
      </w:r>
      <w:r w:rsidR="005D3F92">
        <w:rPr>
          <w:rFonts w:ascii="David" w:hAnsi="David" w:hint="cs"/>
          <w:sz w:val="26"/>
          <w:szCs w:val="26"/>
          <w:rtl/>
        </w:rPr>
        <w:t xml:space="preserve">גרימת </w:t>
      </w:r>
      <w:r w:rsidR="005D3F92" w:rsidRPr="00021878">
        <w:rPr>
          <w:rFonts w:ascii="David" w:hAnsi="David" w:hint="cs"/>
          <w:sz w:val="26"/>
          <w:szCs w:val="26"/>
          <w:rtl/>
        </w:rPr>
        <w:t>פגיעות קשות ברגליים. ב</w:t>
      </w:r>
      <w:r w:rsidR="005D3F92">
        <w:rPr>
          <w:rFonts w:ascii="David" w:hAnsi="David" w:hint="cs"/>
          <w:sz w:val="26"/>
          <w:szCs w:val="26"/>
          <w:rtl/>
        </w:rPr>
        <w:t>בית המשפט ה</w:t>
      </w:r>
      <w:r w:rsidR="005D3F92" w:rsidRPr="00021878">
        <w:rPr>
          <w:rFonts w:ascii="David" w:hAnsi="David" w:hint="cs"/>
          <w:sz w:val="26"/>
          <w:szCs w:val="26"/>
          <w:rtl/>
        </w:rPr>
        <w:t>עליון הוחמר העונש ל-4 שנים וחודשיים. האירוע קרה  כשהמתלונן יצא מבית קפה ונכנס לרכבו, ואז הגיע המשיב רעול פנים</w:t>
      </w:r>
      <w:r w:rsidR="005D3F92">
        <w:rPr>
          <w:rFonts w:ascii="David" w:hAnsi="David" w:hint="cs"/>
          <w:sz w:val="26"/>
          <w:szCs w:val="26"/>
          <w:rtl/>
        </w:rPr>
        <w:t xml:space="preserve">, פתח את דלת הרכב התחיל לירות במתלונן והחל מאבק ביניהם. המתלונן נפגע משני קליעים בכתפו ובירכו הימנית. </w:t>
      </w:r>
    </w:p>
    <w:p w14:paraId="25D209CF" w14:textId="77777777" w:rsidR="005D3F92" w:rsidRPr="003B0AA3" w:rsidRDefault="005D3F92" w:rsidP="005D3F92">
      <w:pPr>
        <w:pStyle w:val="a9"/>
        <w:spacing w:line="360" w:lineRule="auto"/>
        <w:rPr>
          <w:rFonts w:ascii="David" w:hAnsi="David"/>
          <w:sz w:val="26"/>
          <w:szCs w:val="26"/>
          <w:rtl/>
        </w:rPr>
      </w:pPr>
    </w:p>
    <w:p w14:paraId="05CF0865" w14:textId="77777777" w:rsidR="005D3F92" w:rsidRDefault="0013021F" w:rsidP="005D3F92">
      <w:pPr>
        <w:pStyle w:val="a9"/>
        <w:numPr>
          <w:ilvl w:val="0"/>
          <w:numId w:val="1"/>
        </w:numPr>
        <w:spacing w:line="360" w:lineRule="auto"/>
        <w:jc w:val="both"/>
        <w:rPr>
          <w:rFonts w:ascii="David" w:hAnsi="David"/>
          <w:sz w:val="26"/>
          <w:szCs w:val="26"/>
        </w:rPr>
      </w:pPr>
      <w:hyperlink r:id="rId51" w:history="1">
        <w:r w:rsidRPr="0013021F">
          <w:rPr>
            <w:rFonts w:ascii="David" w:hAnsi="David"/>
            <w:color w:val="0000FF"/>
            <w:sz w:val="26"/>
            <w:szCs w:val="26"/>
            <w:u w:val="single"/>
            <w:rtl/>
          </w:rPr>
          <w:t>ע"פ 8641/12</w:t>
        </w:r>
      </w:hyperlink>
      <w:r w:rsidR="005D3F92">
        <w:rPr>
          <w:rFonts w:ascii="David" w:hAnsi="David" w:hint="cs"/>
          <w:sz w:val="26"/>
          <w:szCs w:val="26"/>
          <w:rtl/>
        </w:rPr>
        <w:t xml:space="preserve"> </w:t>
      </w:r>
      <w:r w:rsidR="005D3F92">
        <w:rPr>
          <w:rFonts w:ascii="David" w:hAnsi="David" w:hint="cs"/>
          <w:b/>
          <w:bCs/>
          <w:sz w:val="26"/>
          <w:szCs w:val="26"/>
          <w:rtl/>
        </w:rPr>
        <w:t>מוחמד סעד נ' מדינת ישראל</w:t>
      </w:r>
      <w:r w:rsidR="005D3F92">
        <w:rPr>
          <w:rFonts w:ascii="David" w:hAnsi="David" w:hint="cs"/>
          <w:sz w:val="26"/>
          <w:szCs w:val="26"/>
          <w:rtl/>
        </w:rPr>
        <w:t xml:space="preserve"> (5.8.13); המערער/המשיב הורשע בעבירת חבלה בכוונה מחמירה, החזקה, נשיאה והובלה של נשק בגין אירוע בו ביצע ירי של מספר כדורים לעבר רגלי המתלונן, כאשר 3 יריות פגעו ברגליו. בערכאה הדיונית הוטלו עליו 42 חודשי מאסר בפועל. בערעור  הוחמר העונש ל- 5 שנות מאסר. </w:t>
      </w:r>
    </w:p>
    <w:p w14:paraId="7281B506" w14:textId="77777777" w:rsidR="005D3F92" w:rsidRPr="00D7720C" w:rsidRDefault="005D3F92" w:rsidP="005D3F92">
      <w:pPr>
        <w:pStyle w:val="a9"/>
        <w:spacing w:line="360" w:lineRule="auto"/>
        <w:rPr>
          <w:rFonts w:ascii="David" w:hAnsi="David"/>
          <w:sz w:val="26"/>
          <w:szCs w:val="26"/>
          <w:rtl/>
        </w:rPr>
      </w:pPr>
    </w:p>
    <w:p w14:paraId="750A9911" w14:textId="77777777" w:rsidR="005D3F92" w:rsidRDefault="0013021F" w:rsidP="005D3F92">
      <w:pPr>
        <w:pStyle w:val="a9"/>
        <w:numPr>
          <w:ilvl w:val="0"/>
          <w:numId w:val="1"/>
        </w:numPr>
        <w:spacing w:line="360" w:lineRule="auto"/>
        <w:jc w:val="both"/>
        <w:rPr>
          <w:rFonts w:ascii="David" w:hAnsi="David"/>
          <w:sz w:val="26"/>
          <w:szCs w:val="26"/>
        </w:rPr>
      </w:pPr>
      <w:hyperlink r:id="rId52" w:history="1">
        <w:r w:rsidRPr="0013021F">
          <w:rPr>
            <w:rFonts w:ascii="David" w:hAnsi="David"/>
            <w:color w:val="0000FF"/>
            <w:sz w:val="26"/>
            <w:szCs w:val="26"/>
            <w:u w:val="single"/>
            <w:rtl/>
          </w:rPr>
          <w:t>ע"פ 9104/20</w:t>
        </w:r>
      </w:hyperlink>
      <w:r w:rsidR="005D3F92">
        <w:rPr>
          <w:rFonts w:ascii="David" w:hAnsi="David" w:hint="cs"/>
          <w:sz w:val="26"/>
          <w:szCs w:val="26"/>
          <w:rtl/>
        </w:rPr>
        <w:t xml:space="preserve"> </w:t>
      </w:r>
      <w:r w:rsidR="005D3F92">
        <w:rPr>
          <w:rFonts w:ascii="David" w:hAnsi="David" w:hint="cs"/>
          <w:b/>
          <w:bCs/>
          <w:sz w:val="26"/>
          <w:szCs w:val="26"/>
          <w:rtl/>
        </w:rPr>
        <w:t>מדינת ישראל נ' דוד טבצ'ניקוב</w:t>
      </w:r>
      <w:r w:rsidR="005D3F92">
        <w:rPr>
          <w:rFonts w:ascii="David" w:hAnsi="David" w:hint="cs"/>
          <w:sz w:val="26"/>
          <w:szCs w:val="26"/>
          <w:rtl/>
        </w:rPr>
        <w:t xml:space="preserve"> (4.3.21); שם דובר במשיב שנגזרו עליו בערכאה הדיונית 30 חודשי מאסר בפועל בגין עבירות של חבלה בכוונה מחמירה, נשיאת נשק והחזקת סם מסוכן לצריכה עצמית. באותו מקרה הגיע המשיב לעסק בו עבד המתלונן וירה בו ירייה אחת בירך לאחר שהצמיד את האקדח לירכו. הערכאה הדיונית לקחה בחשבון מאמצים להשתקם והודאתו. בבית המשפט העליון הוחמר העונש ל-4 שנות מאסר. </w:t>
      </w:r>
    </w:p>
    <w:p w14:paraId="329F24FA" w14:textId="77777777" w:rsidR="005D3F92" w:rsidRPr="001C3B7C" w:rsidRDefault="005D3F92" w:rsidP="005D3F92">
      <w:pPr>
        <w:pStyle w:val="a9"/>
        <w:spacing w:line="360" w:lineRule="auto"/>
        <w:rPr>
          <w:rFonts w:ascii="David" w:hAnsi="David"/>
          <w:sz w:val="26"/>
          <w:szCs w:val="26"/>
          <w:rtl/>
        </w:rPr>
      </w:pPr>
    </w:p>
    <w:p w14:paraId="1E5A51C8" w14:textId="77777777" w:rsidR="005D3F92" w:rsidRDefault="0013021F" w:rsidP="005D3F92">
      <w:pPr>
        <w:pStyle w:val="a9"/>
        <w:numPr>
          <w:ilvl w:val="0"/>
          <w:numId w:val="1"/>
        </w:numPr>
        <w:spacing w:line="360" w:lineRule="auto"/>
        <w:jc w:val="both"/>
        <w:rPr>
          <w:rFonts w:ascii="David" w:hAnsi="David"/>
          <w:sz w:val="26"/>
          <w:szCs w:val="26"/>
        </w:rPr>
      </w:pPr>
      <w:hyperlink r:id="rId53" w:history="1">
        <w:r w:rsidRPr="0013021F">
          <w:rPr>
            <w:rFonts w:ascii="David" w:hAnsi="David"/>
            <w:color w:val="0000FF"/>
            <w:sz w:val="26"/>
            <w:szCs w:val="26"/>
            <w:u w:val="single"/>
            <w:rtl/>
          </w:rPr>
          <w:t>ע"פ 4344/18</w:t>
        </w:r>
      </w:hyperlink>
      <w:r w:rsidR="005D3F92">
        <w:rPr>
          <w:rFonts w:ascii="David" w:hAnsi="David" w:hint="cs"/>
          <w:sz w:val="26"/>
          <w:szCs w:val="26"/>
          <w:rtl/>
        </w:rPr>
        <w:t xml:space="preserve"> </w:t>
      </w:r>
      <w:r w:rsidR="005D3F92">
        <w:rPr>
          <w:rFonts w:ascii="David" w:hAnsi="David" w:hint="cs"/>
          <w:b/>
          <w:bCs/>
          <w:sz w:val="26"/>
          <w:szCs w:val="26"/>
          <w:rtl/>
        </w:rPr>
        <w:t xml:space="preserve">אשרף ג'אבר נ' מדינת ישראל </w:t>
      </w:r>
      <w:r w:rsidR="005D3F92">
        <w:rPr>
          <w:rFonts w:ascii="David" w:hAnsi="David" w:hint="cs"/>
          <w:sz w:val="26"/>
          <w:szCs w:val="26"/>
          <w:rtl/>
        </w:rPr>
        <w:t>(16.8.19); בגין עבירות של חבלה בכוונה מחמירה, נשיאת נשק ותחמושת הוטלו 5 שנות מאסר בפועל. הערעור נדחה.</w:t>
      </w:r>
    </w:p>
    <w:p w14:paraId="0A0019A9" w14:textId="77777777" w:rsidR="005D3F92" w:rsidRPr="007B3947" w:rsidRDefault="005D3F92" w:rsidP="005D3F92">
      <w:pPr>
        <w:pStyle w:val="a9"/>
        <w:spacing w:line="360" w:lineRule="auto"/>
        <w:rPr>
          <w:rFonts w:ascii="David" w:hAnsi="David"/>
          <w:sz w:val="26"/>
          <w:szCs w:val="26"/>
          <w:rtl/>
        </w:rPr>
      </w:pPr>
    </w:p>
    <w:p w14:paraId="40E51E1E"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22.</w:t>
      </w:r>
      <w:r>
        <w:rPr>
          <w:rFonts w:ascii="David" w:hAnsi="David" w:hint="cs"/>
          <w:sz w:val="26"/>
          <w:szCs w:val="26"/>
          <w:rtl/>
        </w:rPr>
        <w:tab/>
        <w:t>הסנגור טען על בסיס הפסיקה שאזכר למתחם ענישה שנע בין 3-5 שנות מאסר וטען שאין הצדקה לחרוג ממתחם זה במקרה דנן.</w:t>
      </w:r>
    </w:p>
    <w:p w14:paraId="30C147CE" w14:textId="77777777" w:rsidR="005D3F92" w:rsidRDefault="005D3F92" w:rsidP="005D3F92">
      <w:pPr>
        <w:spacing w:line="360" w:lineRule="auto"/>
        <w:jc w:val="both"/>
        <w:rPr>
          <w:rFonts w:ascii="David" w:hAnsi="David"/>
          <w:sz w:val="26"/>
          <w:szCs w:val="26"/>
          <w:rtl/>
        </w:rPr>
      </w:pPr>
    </w:p>
    <w:p w14:paraId="01EC7AB0"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23.</w:t>
      </w:r>
      <w:r>
        <w:rPr>
          <w:rFonts w:ascii="David" w:hAnsi="David" w:hint="cs"/>
          <w:sz w:val="26"/>
          <w:szCs w:val="26"/>
          <w:rtl/>
        </w:rPr>
        <w:tab/>
        <w:t xml:space="preserve">לגבי העונש בתוך המתחם הוזכרה הודאתו של הנאשם ונטען שהודאתו הייתה קשורה להודאתו של אביו ולא התאפשרה לפני כן. נטען שכאשר אביו הודה, הודה גם הוא באותו יום, וזאת מבלי לתקן כתב האישום. </w:t>
      </w:r>
    </w:p>
    <w:p w14:paraId="682B6509" w14:textId="77777777" w:rsidR="005D3F92" w:rsidRDefault="005D3F92" w:rsidP="005D3F92">
      <w:pPr>
        <w:spacing w:line="360" w:lineRule="auto"/>
        <w:jc w:val="both"/>
        <w:rPr>
          <w:rFonts w:ascii="David" w:hAnsi="David"/>
          <w:sz w:val="26"/>
          <w:szCs w:val="26"/>
          <w:rtl/>
        </w:rPr>
      </w:pPr>
    </w:p>
    <w:p w14:paraId="63D005D4"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24.</w:t>
      </w:r>
      <w:r>
        <w:rPr>
          <w:rFonts w:ascii="David" w:hAnsi="David" w:hint="cs"/>
          <w:sz w:val="26"/>
          <w:szCs w:val="26"/>
          <w:rtl/>
        </w:rPr>
        <w:tab/>
        <w:t>כמו כן נטען שהנאשם עצור מזה תקופה ממושכת.</w:t>
      </w:r>
    </w:p>
    <w:p w14:paraId="3E7C74A7" w14:textId="77777777" w:rsidR="005D3F92" w:rsidRDefault="005D3F92" w:rsidP="005D3F92">
      <w:pPr>
        <w:spacing w:line="360" w:lineRule="auto"/>
        <w:jc w:val="both"/>
        <w:rPr>
          <w:rFonts w:ascii="David" w:hAnsi="David"/>
          <w:sz w:val="26"/>
          <w:szCs w:val="26"/>
          <w:rtl/>
        </w:rPr>
      </w:pPr>
    </w:p>
    <w:p w14:paraId="4793EDF4" w14:textId="77777777" w:rsidR="005D3F92" w:rsidRPr="00021878" w:rsidRDefault="005D3F92" w:rsidP="005D3F92">
      <w:pPr>
        <w:spacing w:line="360" w:lineRule="auto"/>
        <w:ind w:left="720" w:hanging="720"/>
        <w:jc w:val="both"/>
        <w:rPr>
          <w:rFonts w:ascii="David" w:hAnsi="David"/>
          <w:sz w:val="26"/>
          <w:szCs w:val="26"/>
          <w:rtl/>
        </w:rPr>
      </w:pPr>
      <w:r>
        <w:rPr>
          <w:rFonts w:ascii="David" w:hAnsi="David" w:hint="cs"/>
          <w:sz w:val="26"/>
          <w:szCs w:val="26"/>
          <w:rtl/>
        </w:rPr>
        <w:t>25.</w:t>
      </w:r>
      <w:r>
        <w:rPr>
          <w:rFonts w:ascii="David" w:hAnsi="David" w:hint="cs"/>
          <w:sz w:val="26"/>
          <w:szCs w:val="26"/>
          <w:rtl/>
        </w:rPr>
        <w:tab/>
        <w:t xml:space="preserve">צוין שנערכה סולחה בין המשפחות (העתק מהסכם הסולחה הוגש). נטען שסיום הסכסוך באמצעות הסולחה מהווה שיקול משמעותי לעניין פסיקת העונש בתוך המתחם. </w:t>
      </w:r>
    </w:p>
    <w:p w14:paraId="111C87D4" w14:textId="77777777" w:rsidR="005D3F92" w:rsidRDefault="005D3F92" w:rsidP="005D3F92">
      <w:pPr>
        <w:spacing w:line="360" w:lineRule="auto"/>
        <w:jc w:val="both"/>
        <w:rPr>
          <w:rFonts w:ascii="David" w:hAnsi="David"/>
          <w:sz w:val="26"/>
          <w:szCs w:val="26"/>
          <w:rtl/>
        </w:rPr>
      </w:pPr>
    </w:p>
    <w:p w14:paraId="0E938FDC" w14:textId="77777777" w:rsidR="005D3F92" w:rsidRDefault="005D3F92" w:rsidP="005D3F92">
      <w:pPr>
        <w:spacing w:line="360" w:lineRule="auto"/>
        <w:jc w:val="both"/>
        <w:rPr>
          <w:rFonts w:ascii="David" w:hAnsi="David"/>
          <w:sz w:val="26"/>
          <w:szCs w:val="26"/>
          <w:rtl/>
        </w:rPr>
      </w:pPr>
      <w:r>
        <w:rPr>
          <w:rFonts w:ascii="David" w:hAnsi="David" w:hint="cs"/>
          <w:sz w:val="26"/>
          <w:szCs w:val="26"/>
          <w:rtl/>
        </w:rPr>
        <w:t>26.</w:t>
      </w:r>
      <w:r>
        <w:rPr>
          <w:rFonts w:ascii="David" w:hAnsi="David" w:hint="cs"/>
          <w:sz w:val="26"/>
          <w:szCs w:val="26"/>
          <w:rtl/>
        </w:rPr>
        <w:tab/>
        <w:t xml:space="preserve">הוזכר שהאב כבר סיים לרצות את עונשו ושוחרר. </w:t>
      </w:r>
    </w:p>
    <w:p w14:paraId="4E02951B" w14:textId="77777777" w:rsidR="005D3F92" w:rsidRDefault="005D3F92" w:rsidP="005D3F92">
      <w:pPr>
        <w:spacing w:line="360" w:lineRule="auto"/>
        <w:jc w:val="both"/>
        <w:rPr>
          <w:rFonts w:ascii="David" w:hAnsi="David"/>
          <w:sz w:val="26"/>
          <w:szCs w:val="26"/>
          <w:rtl/>
        </w:rPr>
      </w:pPr>
    </w:p>
    <w:p w14:paraId="541F10C3" w14:textId="77777777" w:rsidR="005D3F92" w:rsidRDefault="005D3F92" w:rsidP="005D3F92">
      <w:pPr>
        <w:spacing w:line="360" w:lineRule="auto"/>
        <w:jc w:val="both"/>
        <w:rPr>
          <w:rFonts w:ascii="David" w:hAnsi="David"/>
          <w:sz w:val="26"/>
          <w:szCs w:val="26"/>
          <w:rtl/>
        </w:rPr>
      </w:pPr>
      <w:r>
        <w:rPr>
          <w:rFonts w:ascii="David" w:hAnsi="David" w:hint="cs"/>
          <w:sz w:val="26"/>
          <w:szCs w:val="26"/>
          <w:rtl/>
        </w:rPr>
        <w:t>27.</w:t>
      </w:r>
      <w:r>
        <w:rPr>
          <w:rFonts w:ascii="David" w:hAnsi="David" w:hint="cs"/>
          <w:sz w:val="26"/>
          <w:szCs w:val="26"/>
          <w:rtl/>
        </w:rPr>
        <w:tab/>
        <w:t>נטען שעברו הפלילי של הנאשם אינו מכביד.</w:t>
      </w:r>
    </w:p>
    <w:p w14:paraId="46D2EE84" w14:textId="77777777" w:rsidR="005D3F92" w:rsidRDefault="005D3F92" w:rsidP="005D3F92">
      <w:pPr>
        <w:spacing w:line="360" w:lineRule="auto"/>
        <w:jc w:val="both"/>
        <w:rPr>
          <w:rFonts w:ascii="David" w:hAnsi="David"/>
          <w:sz w:val="26"/>
          <w:szCs w:val="26"/>
          <w:rtl/>
        </w:rPr>
      </w:pPr>
    </w:p>
    <w:p w14:paraId="25152A74" w14:textId="77777777" w:rsidR="005D3F92" w:rsidRPr="00800F28" w:rsidRDefault="005D3F92" w:rsidP="005D3F92">
      <w:pPr>
        <w:spacing w:line="360" w:lineRule="auto"/>
        <w:jc w:val="both"/>
        <w:rPr>
          <w:rFonts w:ascii="David" w:hAnsi="David"/>
          <w:b/>
          <w:bCs/>
          <w:sz w:val="26"/>
          <w:szCs w:val="26"/>
          <w:u w:val="single"/>
          <w:rtl/>
        </w:rPr>
      </w:pPr>
      <w:r w:rsidRPr="00800F28">
        <w:rPr>
          <w:rFonts w:ascii="David" w:hAnsi="David" w:hint="cs"/>
          <w:b/>
          <w:bCs/>
          <w:sz w:val="26"/>
          <w:szCs w:val="26"/>
          <w:u w:val="single"/>
          <w:rtl/>
        </w:rPr>
        <w:t>דברי הנאשם</w:t>
      </w:r>
    </w:p>
    <w:p w14:paraId="380A5837" w14:textId="77777777" w:rsidR="005D3F92" w:rsidRDefault="005D3F92" w:rsidP="005D3F92">
      <w:pPr>
        <w:spacing w:line="360" w:lineRule="auto"/>
        <w:jc w:val="both"/>
        <w:rPr>
          <w:rFonts w:ascii="David" w:hAnsi="David"/>
          <w:sz w:val="26"/>
          <w:szCs w:val="26"/>
          <w:rtl/>
        </w:rPr>
      </w:pPr>
    </w:p>
    <w:p w14:paraId="7FE71908"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28.</w:t>
      </w:r>
      <w:r>
        <w:rPr>
          <w:rFonts w:ascii="David" w:hAnsi="David" w:hint="cs"/>
          <w:sz w:val="26"/>
          <w:szCs w:val="26"/>
          <w:rtl/>
        </w:rPr>
        <w:tab/>
        <w:t xml:space="preserve">הנאשם טען שהמשיך לנהל את התיק רק בגלל אביו. הוא טען שאינו מתגורר בכפר אלא בחדרה יש לו בת זוג עם ילדים ושאין לו קשר לסכסוכים. הוא ביקש רחמים וטען שכאשר ישתחרר לא יכנס לכפר ושמעצרו גורם לפגיעה קשה במשפחתו. הוא הזכיר שיש לו 4 ילדים שהקטן בן שנה והגדול בן 8 בלבד, כמו כן הוא הזכיר ששולם כסף למתלונן במסגרת הסולחה בסך 100,000 ₪. </w:t>
      </w:r>
    </w:p>
    <w:p w14:paraId="5FB84D0D" w14:textId="77777777" w:rsidR="005D3F92" w:rsidRDefault="005D3F92" w:rsidP="005D3F92">
      <w:pPr>
        <w:spacing w:line="360" w:lineRule="auto"/>
        <w:ind w:left="720" w:hanging="720"/>
        <w:jc w:val="both"/>
        <w:rPr>
          <w:rFonts w:ascii="David" w:hAnsi="David"/>
          <w:sz w:val="26"/>
          <w:szCs w:val="26"/>
          <w:rtl/>
        </w:rPr>
      </w:pPr>
    </w:p>
    <w:p w14:paraId="3C70E362" w14:textId="77777777" w:rsidR="005D3F92" w:rsidRDefault="005D3F92" w:rsidP="005D3F92">
      <w:pPr>
        <w:spacing w:line="360" w:lineRule="auto"/>
        <w:jc w:val="both"/>
        <w:rPr>
          <w:rFonts w:ascii="David" w:hAnsi="David"/>
          <w:sz w:val="26"/>
          <w:szCs w:val="26"/>
          <w:rtl/>
        </w:rPr>
      </w:pPr>
      <w:r>
        <w:rPr>
          <w:rFonts w:ascii="David" w:hAnsi="David" w:hint="cs"/>
          <w:b/>
          <w:bCs/>
          <w:sz w:val="26"/>
          <w:szCs w:val="26"/>
          <w:u w:val="single"/>
          <w:rtl/>
        </w:rPr>
        <w:t>דיון</w:t>
      </w:r>
    </w:p>
    <w:p w14:paraId="51D00383" w14:textId="77777777" w:rsidR="005D3F92" w:rsidRDefault="005D3F92" w:rsidP="005D3F92">
      <w:pPr>
        <w:spacing w:line="360" w:lineRule="auto"/>
        <w:jc w:val="both"/>
        <w:rPr>
          <w:rFonts w:ascii="David" w:hAnsi="David"/>
          <w:sz w:val="26"/>
          <w:szCs w:val="26"/>
          <w:rtl/>
        </w:rPr>
      </w:pPr>
    </w:p>
    <w:p w14:paraId="34239B6C" w14:textId="77777777" w:rsidR="005D3F92" w:rsidRPr="00B76758" w:rsidRDefault="005D3F92" w:rsidP="005D3F92">
      <w:pPr>
        <w:spacing w:line="360" w:lineRule="auto"/>
        <w:jc w:val="both"/>
        <w:rPr>
          <w:rFonts w:ascii="David" w:hAnsi="David"/>
          <w:sz w:val="26"/>
          <w:szCs w:val="26"/>
          <w:rtl/>
        </w:rPr>
      </w:pPr>
      <w:r>
        <w:rPr>
          <w:rFonts w:ascii="David" w:hAnsi="David" w:hint="cs"/>
          <w:sz w:val="26"/>
          <w:szCs w:val="26"/>
          <w:rtl/>
        </w:rPr>
        <w:t>29.</w:t>
      </w:r>
      <w:r>
        <w:rPr>
          <w:rFonts w:ascii="David" w:hAnsi="David" w:hint="cs"/>
          <w:sz w:val="26"/>
          <w:szCs w:val="26"/>
          <w:rtl/>
        </w:rPr>
        <w:tab/>
        <w:t xml:space="preserve">הנאשם עצור מיום 9.1.20. </w:t>
      </w:r>
    </w:p>
    <w:p w14:paraId="550E481D" w14:textId="77777777" w:rsidR="005D3F92" w:rsidRDefault="005D3F92" w:rsidP="005D3F92">
      <w:pPr>
        <w:spacing w:line="360" w:lineRule="auto"/>
        <w:jc w:val="both"/>
        <w:rPr>
          <w:rFonts w:ascii="David" w:hAnsi="David"/>
          <w:sz w:val="26"/>
          <w:szCs w:val="26"/>
          <w:rtl/>
        </w:rPr>
      </w:pPr>
    </w:p>
    <w:p w14:paraId="1FF15E1F"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30.</w:t>
      </w:r>
      <w:r>
        <w:rPr>
          <w:rFonts w:ascii="David" w:hAnsi="David" w:hint="cs"/>
          <w:sz w:val="26"/>
          <w:szCs w:val="26"/>
          <w:rtl/>
        </w:rPr>
        <w:tab/>
        <w:t>במקרה זה נפגעו הערכים המוגנים של שלימות הגוף ושמירה על שלום הציבור וביטחונו. בהינתן נסיבות המקרה, שכללו שימוש בנשק וביצוע ירי רב במרכז הכפר, והפגיעה במתלונן ובצהייב, הפגיעה בערכים הייתה קשה יחסית.</w:t>
      </w:r>
    </w:p>
    <w:p w14:paraId="09B4A016" w14:textId="77777777" w:rsidR="005D3F92" w:rsidRDefault="005D3F92" w:rsidP="005D3F92">
      <w:pPr>
        <w:spacing w:line="360" w:lineRule="auto"/>
        <w:jc w:val="both"/>
        <w:rPr>
          <w:rFonts w:ascii="David" w:hAnsi="David"/>
          <w:sz w:val="26"/>
          <w:szCs w:val="26"/>
          <w:rtl/>
        </w:rPr>
      </w:pPr>
    </w:p>
    <w:p w14:paraId="716E10C7"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31.</w:t>
      </w:r>
      <w:r>
        <w:rPr>
          <w:rFonts w:ascii="David" w:hAnsi="David" w:hint="cs"/>
          <w:sz w:val="26"/>
          <w:szCs w:val="26"/>
          <w:rtl/>
        </w:rPr>
        <w:tab/>
        <w:t xml:space="preserve">העבירה כללה תכנון לעניין ההצטיידות בנשק וביצוע המארב והמתנה להגעת המתלונן למקום. </w:t>
      </w:r>
    </w:p>
    <w:p w14:paraId="2686A99E" w14:textId="77777777" w:rsidR="005D3F92" w:rsidRDefault="005D3F92" w:rsidP="005D3F92">
      <w:pPr>
        <w:spacing w:line="360" w:lineRule="auto"/>
        <w:jc w:val="both"/>
        <w:rPr>
          <w:rFonts w:ascii="David" w:hAnsi="David"/>
          <w:sz w:val="26"/>
          <w:szCs w:val="26"/>
          <w:rtl/>
        </w:rPr>
      </w:pPr>
    </w:p>
    <w:p w14:paraId="1725C7AD"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32.</w:t>
      </w:r>
      <w:r>
        <w:rPr>
          <w:rFonts w:ascii="David" w:hAnsi="David" w:hint="cs"/>
          <w:sz w:val="26"/>
          <w:szCs w:val="26"/>
          <w:rtl/>
        </w:rPr>
        <w:tab/>
        <w:t xml:space="preserve">חלקו היחסי של הנאשם 2 בעבירות היה מלא. גם אם אקח בחשבון שיתכן והאחר גם ירה, כל הפגיעות במתלונן ובצהייב שתוארו בכתב האישום בוצעו ע"י הנאשם 2. </w:t>
      </w:r>
    </w:p>
    <w:p w14:paraId="1F69F0F2" w14:textId="77777777" w:rsidR="005D3F92" w:rsidRDefault="005D3F92" w:rsidP="005D3F92">
      <w:pPr>
        <w:spacing w:line="360" w:lineRule="auto"/>
        <w:jc w:val="both"/>
        <w:rPr>
          <w:rFonts w:ascii="David" w:hAnsi="David"/>
          <w:sz w:val="26"/>
          <w:szCs w:val="26"/>
          <w:rtl/>
        </w:rPr>
      </w:pPr>
    </w:p>
    <w:p w14:paraId="3E4D3720"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33.</w:t>
      </w:r>
      <w:r>
        <w:rPr>
          <w:rFonts w:ascii="David" w:hAnsi="David" w:hint="cs"/>
          <w:sz w:val="26"/>
          <w:szCs w:val="26"/>
          <w:rtl/>
        </w:rPr>
        <w:tab/>
        <w:t xml:space="preserve">נגרמו נזקים משמעותיים למתלונן ואף לצהייב והיה צפוי להיגרם אף נזק גדול יותר בהרבה. </w:t>
      </w:r>
    </w:p>
    <w:p w14:paraId="33489DD8" w14:textId="77777777" w:rsidR="005D3F92" w:rsidRDefault="005D3F92" w:rsidP="005D3F92">
      <w:pPr>
        <w:spacing w:line="360" w:lineRule="auto"/>
        <w:jc w:val="both"/>
        <w:rPr>
          <w:rFonts w:ascii="David" w:hAnsi="David"/>
          <w:sz w:val="26"/>
          <w:szCs w:val="26"/>
          <w:rtl/>
        </w:rPr>
      </w:pPr>
    </w:p>
    <w:p w14:paraId="03DC2B6F"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34.</w:t>
      </w:r>
      <w:r>
        <w:rPr>
          <w:rFonts w:ascii="David" w:hAnsi="David" w:hint="cs"/>
          <w:sz w:val="26"/>
          <w:szCs w:val="26"/>
          <w:rtl/>
        </w:rPr>
        <w:tab/>
        <w:t>הנאשם יכל להבין את הפסול במעשיו והיה צריך להימנע מהם.</w:t>
      </w:r>
    </w:p>
    <w:p w14:paraId="307AEB23" w14:textId="77777777" w:rsidR="005D3F92" w:rsidRDefault="005D3F92" w:rsidP="005D3F92">
      <w:pPr>
        <w:spacing w:line="360" w:lineRule="auto"/>
        <w:jc w:val="both"/>
        <w:rPr>
          <w:rFonts w:ascii="David" w:hAnsi="David"/>
          <w:sz w:val="26"/>
          <w:szCs w:val="26"/>
          <w:rtl/>
        </w:rPr>
      </w:pPr>
    </w:p>
    <w:p w14:paraId="769B5ED3"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35.</w:t>
      </w:r>
      <w:r>
        <w:rPr>
          <w:rFonts w:ascii="David" w:hAnsi="David" w:hint="cs"/>
          <w:sz w:val="26"/>
          <w:szCs w:val="26"/>
          <w:rtl/>
        </w:rPr>
        <w:tab/>
        <w:t xml:space="preserve">אני מסכים עם עמדת המדינה שבמקרה זה יש להתחשב </w:t>
      </w:r>
      <w:hyperlink r:id="rId54" w:history="1">
        <w:r w:rsidR="007D29D1" w:rsidRPr="007D29D1">
          <w:rPr>
            <w:rStyle w:val="Hyperlink"/>
            <w:rFonts w:ascii="David" w:hAnsi="David" w:hint="eastAsia"/>
            <w:sz w:val="26"/>
            <w:szCs w:val="26"/>
            <w:rtl/>
          </w:rPr>
          <w:t>בסעיף</w:t>
        </w:r>
        <w:r w:rsidR="007D29D1" w:rsidRPr="007D29D1">
          <w:rPr>
            <w:rStyle w:val="Hyperlink"/>
            <w:rFonts w:ascii="David" w:hAnsi="David"/>
            <w:sz w:val="26"/>
            <w:szCs w:val="26"/>
            <w:rtl/>
          </w:rPr>
          <w:t xml:space="preserve"> 40ט(א)(10)</w:t>
        </w:r>
      </w:hyperlink>
      <w:r>
        <w:rPr>
          <w:rFonts w:ascii="David" w:hAnsi="David" w:hint="cs"/>
          <w:sz w:val="26"/>
          <w:szCs w:val="26"/>
          <w:rtl/>
        </w:rPr>
        <w:t xml:space="preserve"> לחוק, כאשר אופן ביצוע  הירי - במספר שלבים, חלקו מטווח אפס - ממלא אחר קיום התנאים של אכזריות ואלימות כלפי נפגע העבירה. </w:t>
      </w:r>
    </w:p>
    <w:p w14:paraId="4191BEEF" w14:textId="77777777" w:rsidR="005D3F92" w:rsidRDefault="005D3F92" w:rsidP="005D3F92">
      <w:pPr>
        <w:spacing w:line="360" w:lineRule="auto"/>
        <w:jc w:val="both"/>
        <w:rPr>
          <w:rFonts w:ascii="David" w:hAnsi="David"/>
          <w:sz w:val="26"/>
          <w:szCs w:val="26"/>
          <w:rtl/>
        </w:rPr>
      </w:pPr>
    </w:p>
    <w:p w14:paraId="0F56C173" w14:textId="77777777" w:rsidR="005D3F92" w:rsidRDefault="005D3F92" w:rsidP="005D3F92">
      <w:pPr>
        <w:spacing w:line="360" w:lineRule="auto"/>
        <w:jc w:val="both"/>
        <w:rPr>
          <w:rFonts w:ascii="David" w:hAnsi="David"/>
          <w:sz w:val="26"/>
          <w:szCs w:val="26"/>
          <w:rtl/>
        </w:rPr>
      </w:pPr>
      <w:r>
        <w:rPr>
          <w:rFonts w:ascii="David" w:hAnsi="David" w:hint="cs"/>
          <w:sz w:val="26"/>
          <w:szCs w:val="26"/>
          <w:rtl/>
        </w:rPr>
        <w:t>36.</w:t>
      </w:r>
      <w:r>
        <w:rPr>
          <w:rFonts w:ascii="David" w:hAnsi="David" w:hint="cs"/>
          <w:sz w:val="26"/>
          <w:szCs w:val="26"/>
          <w:rtl/>
        </w:rPr>
        <w:tab/>
        <w:t>מכל האמור הגעתי למסקנה שמתחם העונש ההולם נמצא בין 7-11 שנות מאסר בפועל.</w:t>
      </w:r>
    </w:p>
    <w:p w14:paraId="0E481E77" w14:textId="77777777" w:rsidR="005D3F92" w:rsidRDefault="005D3F92" w:rsidP="005D3F92">
      <w:pPr>
        <w:spacing w:line="360" w:lineRule="auto"/>
        <w:jc w:val="both"/>
        <w:rPr>
          <w:rFonts w:ascii="David" w:hAnsi="David"/>
          <w:sz w:val="26"/>
          <w:szCs w:val="26"/>
          <w:rtl/>
        </w:rPr>
      </w:pPr>
    </w:p>
    <w:p w14:paraId="7FC56BDB"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37.</w:t>
      </w:r>
      <w:r>
        <w:rPr>
          <w:rFonts w:ascii="David" w:hAnsi="David" w:hint="cs"/>
          <w:sz w:val="26"/>
          <w:szCs w:val="26"/>
          <w:rtl/>
        </w:rPr>
        <w:tab/>
        <w:t xml:space="preserve">באשר לעונש בתוך המתחם, יש להתחשב בכך שניתנה לבסוף הודאה מטעם הנאשם 2, אם כי לאחר קיום חלק משמעותי של ההליך. כמו כן, לנאשם עבר פלילי אך אין לו עבר בעבירות דומות עם אלימות כה משמעותית. </w:t>
      </w:r>
    </w:p>
    <w:p w14:paraId="53C7AC57" w14:textId="77777777" w:rsidR="005D3F92" w:rsidRDefault="005D3F92" w:rsidP="005D3F92">
      <w:pPr>
        <w:spacing w:line="360" w:lineRule="auto"/>
        <w:jc w:val="both"/>
        <w:rPr>
          <w:rFonts w:ascii="David" w:hAnsi="David"/>
          <w:sz w:val="26"/>
          <w:szCs w:val="26"/>
          <w:rtl/>
        </w:rPr>
      </w:pPr>
    </w:p>
    <w:p w14:paraId="2E2B6225"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38.</w:t>
      </w:r>
      <w:r>
        <w:rPr>
          <w:rFonts w:ascii="David" w:hAnsi="David" w:hint="cs"/>
          <w:sz w:val="26"/>
          <w:szCs w:val="26"/>
          <w:rtl/>
        </w:rPr>
        <w:tab/>
        <w:t xml:space="preserve">באשר לתחולת עקרון אחידות הענישה, אין בידי כדי להסכים עם גישת הסנגור. </w:t>
      </w:r>
      <w:r w:rsidRPr="00DF4C31">
        <w:rPr>
          <w:rFonts w:ascii="David" w:hAnsi="David" w:hint="cs"/>
          <w:b/>
          <w:bCs/>
          <w:sz w:val="26"/>
          <w:szCs w:val="26"/>
          <w:rtl/>
        </w:rPr>
        <w:t>"</w:t>
      </w:r>
      <w:r w:rsidRPr="00DF4C31">
        <w:rPr>
          <w:rFonts w:ascii="David" w:hAnsi="David"/>
          <w:b/>
          <w:bCs/>
          <w:sz w:val="26"/>
          <w:szCs w:val="26"/>
          <w:rtl/>
        </w:rPr>
        <w:t>עקרון אחידות הענישה מחייב לשמור על יחס מידתי והוגן בין העונשים הנגזרים על נאשמים שהואשמו באותן עבירות.</w:t>
      </w:r>
      <w:r w:rsidRPr="00DF4C31">
        <w:rPr>
          <w:rFonts w:ascii="David" w:hAnsi="David" w:hint="cs"/>
          <w:b/>
          <w:bCs/>
          <w:sz w:val="26"/>
          <w:szCs w:val="26"/>
          <w:rtl/>
        </w:rPr>
        <w:t>"</w:t>
      </w:r>
      <w:r>
        <w:rPr>
          <w:rFonts w:ascii="David" w:hAnsi="David" w:hint="cs"/>
          <w:sz w:val="26"/>
          <w:szCs w:val="26"/>
          <w:rtl/>
        </w:rPr>
        <w:t xml:space="preserve"> (</w:t>
      </w:r>
      <w:hyperlink r:id="rId55" w:history="1">
        <w:r w:rsidR="0013021F" w:rsidRPr="0013021F">
          <w:rPr>
            <w:rFonts w:ascii="David" w:hAnsi="David"/>
            <w:color w:val="0000FF"/>
            <w:sz w:val="26"/>
            <w:szCs w:val="26"/>
            <w:u w:val="single"/>
            <w:rtl/>
          </w:rPr>
          <w:t>ע"פ 4855/02</w:t>
        </w:r>
      </w:hyperlink>
      <w:r>
        <w:rPr>
          <w:rFonts w:ascii="David" w:hAnsi="David" w:hint="cs"/>
          <w:sz w:val="26"/>
          <w:szCs w:val="26"/>
          <w:rtl/>
        </w:rPr>
        <w:t xml:space="preserve"> </w:t>
      </w:r>
      <w:r w:rsidRPr="00DF4C31">
        <w:rPr>
          <w:rFonts w:ascii="David" w:hAnsi="David" w:hint="cs"/>
          <w:b/>
          <w:bCs/>
          <w:sz w:val="26"/>
          <w:szCs w:val="26"/>
          <w:rtl/>
        </w:rPr>
        <w:t>מדינת ישראל נ' בורוביץ</w:t>
      </w:r>
      <w:r>
        <w:rPr>
          <w:rFonts w:ascii="David" w:hAnsi="David" w:hint="cs"/>
          <w:sz w:val="26"/>
          <w:szCs w:val="26"/>
          <w:rtl/>
        </w:rPr>
        <w:t xml:space="preserve"> (31.3.05)). במקרה דנן שני הנאשמים הואשמו בביצוע עבירות שונות בתכלית ולכן אין תחולה לעקרון.</w:t>
      </w:r>
    </w:p>
    <w:p w14:paraId="5160E56E" w14:textId="77777777" w:rsidR="005D3F92" w:rsidRDefault="005D3F92" w:rsidP="005D3F92">
      <w:pPr>
        <w:spacing w:line="360" w:lineRule="auto"/>
        <w:jc w:val="both"/>
        <w:rPr>
          <w:rFonts w:ascii="David" w:hAnsi="David"/>
          <w:sz w:val="26"/>
          <w:szCs w:val="26"/>
          <w:rtl/>
        </w:rPr>
      </w:pPr>
    </w:p>
    <w:p w14:paraId="0D4E8B73"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39.</w:t>
      </w:r>
      <w:r>
        <w:rPr>
          <w:rFonts w:ascii="David" w:hAnsi="David" w:hint="cs"/>
          <w:sz w:val="26"/>
          <w:szCs w:val="26"/>
          <w:rtl/>
        </w:rPr>
        <w:tab/>
        <w:t>אין ספק שעונש כבד יפגע פגיעה במשפחתו של הנאשם, וכן יש להתחשב בעובדה שהצדדים הישירים לסכסוך ערכו ביניהם סולחה. כמו כן, הנאשם נטל אחריות על ידי הודאתו. הודאתו ונטילת האחריות שיש בכך מצדיקות הפחתה בעונש לפחות מ- 10 שנות מאסר.</w:t>
      </w:r>
    </w:p>
    <w:p w14:paraId="19487021" w14:textId="77777777" w:rsidR="005D3F92" w:rsidRDefault="005D3F92" w:rsidP="005D3F92">
      <w:pPr>
        <w:spacing w:line="360" w:lineRule="auto"/>
        <w:jc w:val="both"/>
        <w:rPr>
          <w:rFonts w:ascii="David" w:hAnsi="David"/>
          <w:sz w:val="26"/>
          <w:szCs w:val="26"/>
          <w:rtl/>
        </w:rPr>
      </w:pPr>
    </w:p>
    <w:p w14:paraId="0B02620E" w14:textId="77777777" w:rsidR="005D3F92" w:rsidRDefault="005D3F92" w:rsidP="005D3F92">
      <w:pPr>
        <w:spacing w:line="360" w:lineRule="auto"/>
        <w:ind w:left="720" w:hanging="720"/>
        <w:jc w:val="both"/>
        <w:rPr>
          <w:rFonts w:ascii="David" w:hAnsi="David"/>
          <w:sz w:val="26"/>
          <w:szCs w:val="26"/>
          <w:rtl/>
        </w:rPr>
      </w:pPr>
      <w:r>
        <w:rPr>
          <w:rFonts w:ascii="David" w:hAnsi="David" w:hint="cs"/>
          <w:sz w:val="26"/>
          <w:szCs w:val="26"/>
          <w:rtl/>
        </w:rPr>
        <w:t>40.</w:t>
      </w:r>
      <w:r>
        <w:rPr>
          <w:rFonts w:ascii="David" w:hAnsi="David" w:hint="cs"/>
          <w:sz w:val="26"/>
          <w:szCs w:val="26"/>
          <w:rtl/>
        </w:rPr>
        <w:tab/>
        <w:t>מכל האמור הגעתי למסקנה שיש להטיל עונשים כדלקמן:</w:t>
      </w:r>
    </w:p>
    <w:p w14:paraId="7578722C" w14:textId="77777777" w:rsidR="005D3F92" w:rsidRDefault="005D3F92" w:rsidP="005D3F92">
      <w:pPr>
        <w:spacing w:line="360" w:lineRule="auto"/>
        <w:jc w:val="both"/>
        <w:rPr>
          <w:rFonts w:ascii="David" w:hAnsi="David"/>
          <w:sz w:val="26"/>
          <w:szCs w:val="26"/>
          <w:rtl/>
        </w:rPr>
      </w:pPr>
    </w:p>
    <w:p w14:paraId="28C0FFF1" w14:textId="77777777" w:rsidR="005D3F92" w:rsidRPr="0064041C" w:rsidRDefault="005D3F92" w:rsidP="005D3F92">
      <w:pPr>
        <w:pStyle w:val="a9"/>
        <w:numPr>
          <w:ilvl w:val="0"/>
          <w:numId w:val="2"/>
        </w:numPr>
        <w:spacing w:line="360" w:lineRule="auto"/>
        <w:jc w:val="both"/>
        <w:rPr>
          <w:rFonts w:ascii="David" w:hAnsi="David"/>
          <w:sz w:val="26"/>
          <w:szCs w:val="26"/>
          <w:rtl/>
        </w:rPr>
      </w:pPr>
      <w:r w:rsidRPr="0064041C">
        <w:rPr>
          <w:rFonts w:ascii="David" w:hAnsi="David" w:hint="cs"/>
          <w:sz w:val="26"/>
          <w:szCs w:val="26"/>
          <w:rtl/>
        </w:rPr>
        <w:t>9 שנות מאסר בפועל, שמתקופה זו תנוכה תקופת המעצר מיום 9.1.20;</w:t>
      </w:r>
    </w:p>
    <w:p w14:paraId="0F278111" w14:textId="77777777" w:rsidR="005D3F92" w:rsidRPr="0064041C" w:rsidRDefault="005D3F92" w:rsidP="005D3F92">
      <w:pPr>
        <w:pStyle w:val="a9"/>
        <w:numPr>
          <w:ilvl w:val="0"/>
          <w:numId w:val="2"/>
        </w:numPr>
        <w:spacing w:line="360" w:lineRule="auto"/>
        <w:jc w:val="both"/>
        <w:rPr>
          <w:rFonts w:ascii="David" w:hAnsi="David"/>
          <w:sz w:val="26"/>
          <w:szCs w:val="26"/>
          <w:rtl/>
        </w:rPr>
      </w:pPr>
      <w:r w:rsidRPr="0064041C">
        <w:rPr>
          <w:rFonts w:ascii="David" w:hAnsi="David" w:hint="cs"/>
          <w:sz w:val="26"/>
          <w:szCs w:val="26"/>
          <w:rtl/>
        </w:rPr>
        <w:t xml:space="preserve">24 חודשי מאסר על תנאי למשך 3 שנים שהתנאי יחול במידה והנאשם יבצע עבירות אלימות </w:t>
      </w:r>
      <w:r>
        <w:rPr>
          <w:rFonts w:ascii="David" w:hAnsi="David" w:hint="cs"/>
          <w:sz w:val="26"/>
          <w:szCs w:val="26"/>
          <w:rtl/>
        </w:rPr>
        <w:t xml:space="preserve">או נשק </w:t>
      </w:r>
      <w:r w:rsidRPr="0064041C">
        <w:rPr>
          <w:rFonts w:ascii="David" w:hAnsi="David" w:hint="cs"/>
          <w:sz w:val="26"/>
          <w:szCs w:val="26"/>
          <w:rtl/>
        </w:rPr>
        <w:t>מסוג פשע;</w:t>
      </w:r>
    </w:p>
    <w:p w14:paraId="798F2BB5" w14:textId="77777777" w:rsidR="005D3F92" w:rsidRPr="0064041C" w:rsidRDefault="005D3F92" w:rsidP="005D3F92">
      <w:pPr>
        <w:pStyle w:val="a9"/>
        <w:numPr>
          <w:ilvl w:val="0"/>
          <w:numId w:val="2"/>
        </w:numPr>
        <w:spacing w:line="360" w:lineRule="auto"/>
        <w:jc w:val="both"/>
        <w:rPr>
          <w:rFonts w:ascii="David" w:hAnsi="David"/>
          <w:sz w:val="26"/>
          <w:szCs w:val="26"/>
          <w:rtl/>
        </w:rPr>
      </w:pPr>
      <w:r w:rsidRPr="0064041C">
        <w:rPr>
          <w:rFonts w:ascii="David" w:hAnsi="David" w:hint="cs"/>
          <w:sz w:val="26"/>
          <w:szCs w:val="26"/>
          <w:rtl/>
        </w:rPr>
        <w:t xml:space="preserve">קנס בסך 15,000 ₪ לטובת המתלונן וסך של 5,000 ₪ לטובת צהייב, לתשלום עד ליום 31.12.22. </w:t>
      </w:r>
    </w:p>
    <w:p w14:paraId="048CCA59" w14:textId="77777777" w:rsidR="005D3F92" w:rsidRPr="0013021F" w:rsidRDefault="0013021F" w:rsidP="005D3F92">
      <w:pPr>
        <w:bidi w:val="0"/>
        <w:rPr>
          <w:rFonts w:ascii="David" w:hAnsi="David"/>
          <w:color w:val="FFFFFF"/>
          <w:sz w:val="2"/>
          <w:szCs w:val="2"/>
          <w:rtl/>
        </w:rPr>
      </w:pPr>
      <w:r w:rsidRPr="0013021F">
        <w:rPr>
          <w:rFonts w:ascii="David" w:hAnsi="David"/>
          <w:color w:val="FFFFFF"/>
          <w:sz w:val="2"/>
          <w:szCs w:val="2"/>
        </w:rPr>
        <w:t>5129371</w:t>
      </w:r>
      <w:r w:rsidR="005D3F92" w:rsidRPr="0013021F">
        <w:rPr>
          <w:rFonts w:ascii="David" w:hAnsi="David"/>
          <w:color w:val="FFFFFF"/>
          <w:sz w:val="2"/>
          <w:szCs w:val="2"/>
          <w:rtl/>
        </w:rPr>
        <w:br w:type="page"/>
      </w:r>
    </w:p>
    <w:p w14:paraId="283B7B18" w14:textId="77777777" w:rsidR="005D3F92" w:rsidRPr="0013021F" w:rsidRDefault="0013021F" w:rsidP="005D3F92">
      <w:pPr>
        <w:spacing w:line="360" w:lineRule="auto"/>
        <w:jc w:val="both"/>
        <w:rPr>
          <w:rFonts w:ascii="David" w:hAnsi="David"/>
          <w:color w:val="FFFFFF"/>
          <w:sz w:val="2"/>
          <w:szCs w:val="2"/>
          <w:rtl/>
        </w:rPr>
      </w:pPr>
      <w:r w:rsidRPr="0013021F">
        <w:rPr>
          <w:rFonts w:ascii="David" w:hAnsi="David"/>
          <w:color w:val="FFFFFF"/>
          <w:sz w:val="2"/>
          <w:szCs w:val="2"/>
          <w:rtl/>
        </w:rPr>
        <w:t>54678313</w:t>
      </w:r>
    </w:p>
    <w:p w14:paraId="0CEE1B7E" w14:textId="77777777" w:rsidR="005D3F92" w:rsidRPr="002B7D23" w:rsidRDefault="005D3F92" w:rsidP="005D3F92">
      <w:pPr>
        <w:spacing w:line="360" w:lineRule="auto"/>
        <w:jc w:val="both"/>
        <w:rPr>
          <w:rFonts w:ascii="David" w:hAnsi="David"/>
          <w:sz w:val="26"/>
          <w:szCs w:val="26"/>
          <w:rtl/>
        </w:rPr>
      </w:pPr>
      <w:r>
        <w:rPr>
          <w:rFonts w:ascii="David" w:hAnsi="David" w:hint="cs"/>
          <w:b/>
          <w:bCs/>
          <w:sz w:val="26"/>
          <w:szCs w:val="26"/>
          <w:u w:val="single"/>
          <w:rtl/>
        </w:rPr>
        <w:t>זכות ערעור תוך 45 יום מהיום</w:t>
      </w:r>
      <w:r>
        <w:rPr>
          <w:rFonts w:ascii="David" w:hAnsi="David" w:hint="cs"/>
          <w:sz w:val="26"/>
          <w:szCs w:val="26"/>
          <w:rtl/>
        </w:rPr>
        <w:t>.</w:t>
      </w:r>
    </w:p>
    <w:p w14:paraId="25A16719" w14:textId="77777777" w:rsidR="005D3F92" w:rsidRPr="002B7D23" w:rsidRDefault="005D3F92" w:rsidP="005D3F92">
      <w:pPr>
        <w:spacing w:line="360" w:lineRule="auto"/>
        <w:rPr>
          <w:rFonts w:ascii="David" w:hAnsi="David"/>
          <w:sz w:val="26"/>
          <w:szCs w:val="26"/>
          <w:rtl/>
        </w:rPr>
      </w:pPr>
    </w:p>
    <w:p w14:paraId="3BFCF802" w14:textId="77777777" w:rsidR="005D3F92" w:rsidRPr="002B7D23" w:rsidRDefault="0013021F" w:rsidP="0013021F">
      <w:pPr>
        <w:spacing w:line="360" w:lineRule="auto"/>
        <w:jc w:val="center"/>
      </w:pPr>
      <w:bookmarkStart w:id="8" w:name="Nitan"/>
      <w:r>
        <w:rPr>
          <w:rFonts w:ascii="David" w:hAnsi="David"/>
          <w:sz w:val="26"/>
          <w:szCs w:val="26"/>
          <w:rtl/>
        </w:rPr>
        <w:t xml:space="preserve">ניתן היום,  י"ז כסלו תשפ"ב, 21 נובמבר 2021, בהעדר הצדדים. </w:t>
      </w:r>
      <w:bookmarkEnd w:id="8"/>
      <w:r w:rsidR="005D3F92" w:rsidRPr="002B7D23">
        <w:rPr>
          <w:rFonts w:ascii="David" w:hAnsi="David"/>
          <w:sz w:val="26"/>
          <w:szCs w:val="26"/>
          <w:rtl/>
        </w:rPr>
        <w:t xml:space="preserve">   </w:t>
      </w:r>
      <w:r w:rsidR="00036A50">
        <w:rPr>
          <w:rFonts w:ascii="David" w:hAnsi="David" w:hint="cs"/>
          <w:sz w:val="26"/>
          <w:szCs w:val="26"/>
          <w:rtl/>
        </w:rPr>
        <w:t xml:space="preserve"> </w:t>
      </w:r>
      <w:r w:rsidR="005D3F92" w:rsidRPr="002B7D23">
        <w:rPr>
          <w:rFonts w:ascii="David" w:hAnsi="David"/>
          <w:sz w:val="26"/>
          <w:szCs w:val="26"/>
          <w:rtl/>
        </w:rPr>
        <w:tab/>
      </w:r>
      <w:r w:rsidR="005D3F92" w:rsidRPr="002B7D23">
        <w:rPr>
          <w:rFonts w:ascii="David" w:hAnsi="David"/>
          <w:sz w:val="26"/>
          <w:szCs w:val="26"/>
          <w:rtl/>
        </w:rPr>
        <w:tab/>
      </w:r>
      <w:r w:rsidR="005D3F92" w:rsidRPr="002B7D23">
        <w:rPr>
          <w:rFonts w:ascii="David" w:hAnsi="David"/>
          <w:sz w:val="26"/>
          <w:szCs w:val="26"/>
          <w:rtl/>
        </w:rPr>
        <w:tab/>
      </w:r>
      <w:r w:rsidR="005D3F92" w:rsidRPr="002B7D23">
        <w:rPr>
          <w:rFonts w:ascii="David" w:hAnsi="David"/>
          <w:sz w:val="26"/>
          <w:szCs w:val="26"/>
          <w:rtl/>
        </w:rPr>
        <w:tab/>
      </w:r>
      <w:r w:rsidR="005D3F92" w:rsidRPr="002B7D23">
        <w:rPr>
          <w:rFonts w:ascii="David" w:hAnsi="David"/>
          <w:sz w:val="26"/>
          <w:szCs w:val="26"/>
          <w:rtl/>
        </w:rPr>
        <w:tab/>
      </w:r>
    </w:p>
    <w:p w14:paraId="72C33AF7" w14:textId="77777777" w:rsidR="005D3F92" w:rsidRPr="007D29D1" w:rsidRDefault="007D29D1" w:rsidP="005D3F92">
      <w:pPr>
        <w:spacing w:line="360" w:lineRule="auto"/>
        <w:jc w:val="center"/>
        <w:rPr>
          <w:rFonts w:ascii="David" w:hAnsi="David"/>
          <w:color w:val="FFFFFF"/>
          <w:sz w:val="2"/>
          <w:szCs w:val="2"/>
          <w:rtl/>
        </w:rPr>
      </w:pPr>
      <w:r w:rsidRPr="007D29D1">
        <w:rPr>
          <w:rFonts w:ascii="David" w:hAnsi="David"/>
          <w:color w:val="FFFFFF"/>
          <w:sz w:val="2"/>
          <w:szCs w:val="2"/>
          <w:rtl/>
        </w:rPr>
        <w:t>5129371</w:t>
      </w:r>
    </w:p>
    <w:p w14:paraId="46BA188E" w14:textId="77777777" w:rsidR="002A2A86" w:rsidRPr="007D29D1" w:rsidRDefault="007D29D1" w:rsidP="0013021F">
      <w:pPr>
        <w:keepNext/>
        <w:rPr>
          <w:rFonts w:ascii="David" w:hAnsi="David"/>
          <w:color w:val="FFFFFF"/>
          <w:sz w:val="2"/>
          <w:szCs w:val="2"/>
          <w:rtl/>
        </w:rPr>
      </w:pPr>
      <w:r w:rsidRPr="007D29D1">
        <w:rPr>
          <w:rFonts w:ascii="David" w:hAnsi="David"/>
          <w:color w:val="FFFFFF"/>
          <w:sz w:val="2"/>
          <w:szCs w:val="2"/>
          <w:rtl/>
        </w:rPr>
        <w:t>54678313</w:t>
      </w:r>
    </w:p>
    <w:p w14:paraId="6C4CDF1E" w14:textId="77777777" w:rsidR="0013021F" w:rsidRDefault="0013021F" w:rsidP="0013021F">
      <w:pPr>
        <w:rPr>
          <w:rtl/>
        </w:rPr>
      </w:pPr>
    </w:p>
    <w:p w14:paraId="5C187270" w14:textId="77777777" w:rsidR="0013021F" w:rsidRDefault="0013021F" w:rsidP="0013021F">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30EB2C4C" w14:textId="77777777" w:rsidR="007D29D1" w:rsidRPr="007D29D1" w:rsidRDefault="007D29D1" w:rsidP="007D29D1">
      <w:pPr>
        <w:keepNext/>
        <w:rPr>
          <w:rFonts w:ascii="David" w:hAnsi="David"/>
          <w:color w:val="000000"/>
          <w:sz w:val="22"/>
          <w:szCs w:val="22"/>
          <w:rtl/>
        </w:rPr>
      </w:pPr>
    </w:p>
    <w:p w14:paraId="490F31E1" w14:textId="77777777" w:rsidR="007D29D1" w:rsidRPr="007D29D1" w:rsidRDefault="007D29D1" w:rsidP="007D29D1">
      <w:pPr>
        <w:keepNext/>
        <w:rPr>
          <w:rFonts w:ascii="David" w:hAnsi="David"/>
          <w:color w:val="000000"/>
          <w:sz w:val="22"/>
          <w:szCs w:val="22"/>
          <w:rtl/>
        </w:rPr>
      </w:pPr>
      <w:r w:rsidRPr="007D29D1">
        <w:rPr>
          <w:rFonts w:ascii="David" w:hAnsi="David"/>
          <w:color w:val="000000"/>
          <w:sz w:val="22"/>
          <w:szCs w:val="22"/>
          <w:rtl/>
        </w:rPr>
        <w:t>דניאל פיש 54678313-/</w:t>
      </w:r>
    </w:p>
    <w:p w14:paraId="66F96F82" w14:textId="77777777" w:rsidR="0013021F" w:rsidRPr="0013021F" w:rsidRDefault="007D29D1" w:rsidP="007D29D1">
      <w:pPr>
        <w:rPr>
          <w:color w:val="0000FF"/>
          <w:u w:val="single"/>
        </w:rPr>
      </w:pPr>
      <w:r w:rsidRPr="007D29D1">
        <w:rPr>
          <w:color w:val="000000"/>
          <w:u w:val="single"/>
          <w:rtl/>
        </w:rPr>
        <w:t>נוסח מסמך זה כפוף לשינויי ניסוח ועריכה</w:t>
      </w:r>
    </w:p>
    <w:sectPr w:rsidR="0013021F" w:rsidRPr="0013021F" w:rsidSect="007D29D1">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E077B" w14:textId="77777777" w:rsidR="009E7C46" w:rsidRDefault="009E7C46" w:rsidP="006178F9">
      <w:r>
        <w:separator/>
      </w:r>
    </w:p>
  </w:endnote>
  <w:endnote w:type="continuationSeparator" w:id="0">
    <w:p w14:paraId="6B6F4E03" w14:textId="77777777" w:rsidR="009E7C46" w:rsidRDefault="009E7C46" w:rsidP="0061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C8108" w14:textId="77777777" w:rsidR="007D29D1" w:rsidRDefault="007D29D1" w:rsidP="007D29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0ECC00" w14:textId="77777777" w:rsidR="003B1BCB" w:rsidRPr="007D29D1" w:rsidRDefault="007D29D1" w:rsidP="007D29D1">
    <w:pPr>
      <w:pStyle w:val="a5"/>
      <w:pBdr>
        <w:top w:val="single" w:sz="4" w:space="1" w:color="auto"/>
        <w:between w:val="single" w:sz="4" w:space="0" w:color="auto"/>
      </w:pBdr>
      <w:spacing w:after="60"/>
      <w:jc w:val="center"/>
      <w:rPr>
        <w:rFonts w:ascii="FrankRuehl" w:hAnsi="FrankRuehl" w:cs="FrankRuehl"/>
        <w:color w:val="000000"/>
      </w:rPr>
    </w:pPr>
    <w:r w:rsidRPr="007D29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D588B" w14:textId="77777777" w:rsidR="007D29D1" w:rsidRDefault="007D29D1" w:rsidP="007D29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0A3C">
      <w:rPr>
        <w:rFonts w:ascii="FrankRuehl" w:hAnsi="FrankRuehl" w:cs="FrankRuehl"/>
        <w:noProof/>
        <w:rtl/>
      </w:rPr>
      <w:t>1</w:t>
    </w:r>
    <w:r>
      <w:rPr>
        <w:rFonts w:ascii="FrankRuehl" w:hAnsi="FrankRuehl" w:cs="FrankRuehl"/>
        <w:rtl/>
      </w:rPr>
      <w:fldChar w:fldCharType="end"/>
    </w:r>
  </w:p>
  <w:p w14:paraId="139AA045" w14:textId="77777777" w:rsidR="003B1BCB" w:rsidRPr="007D29D1" w:rsidRDefault="007D29D1" w:rsidP="007D29D1">
    <w:pPr>
      <w:pStyle w:val="a5"/>
      <w:pBdr>
        <w:top w:val="single" w:sz="4" w:space="1" w:color="auto"/>
        <w:between w:val="single" w:sz="4" w:space="0" w:color="auto"/>
      </w:pBdr>
      <w:spacing w:after="60"/>
      <w:jc w:val="center"/>
      <w:rPr>
        <w:rFonts w:ascii="FrankRuehl" w:hAnsi="FrankRuehl" w:cs="FrankRuehl"/>
        <w:color w:val="000000"/>
      </w:rPr>
    </w:pPr>
    <w:r w:rsidRPr="007D29D1">
      <w:rPr>
        <w:rFonts w:ascii="FrankRuehl" w:hAnsi="FrankRuehl" w:cs="FrankRuehl"/>
        <w:color w:val="000000"/>
      </w:rPr>
      <w:pict w14:anchorId="1FE24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88E5F" w14:textId="77777777" w:rsidR="009E7C46" w:rsidRDefault="009E7C46" w:rsidP="006178F9">
      <w:r>
        <w:separator/>
      </w:r>
    </w:p>
  </w:footnote>
  <w:footnote w:type="continuationSeparator" w:id="0">
    <w:p w14:paraId="5D7632EB" w14:textId="77777777" w:rsidR="009E7C46" w:rsidRDefault="009E7C46" w:rsidP="00617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227A7" w14:textId="77777777" w:rsidR="0013021F" w:rsidRPr="007D29D1" w:rsidRDefault="007D29D1" w:rsidP="007D29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54764-01-20</w:t>
    </w:r>
    <w:r>
      <w:rPr>
        <w:rFonts w:ascii="David" w:hAnsi="David"/>
        <w:color w:val="000000"/>
        <w:sz w:val="22"/>
        <w:szCs w:val="22"/>
        <w:rtl/>
      </w:rPr>
      <w:tab/>
      <w:t xml:space="preserve"> מדינת ישראל נ' אחמד אבו שייך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B8D23" w14:textId="77777777" w:rsidR="0013021F" w:rsidRPr="007D29D1" w:rsidRDefault="007D29D1" w:rsidP="007D29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54764-01-20</w:t>
    </w:r>
    <w:r>
      <w:rPr>
        <w:rFonts w:ascii="David" w:hAnsi="David"/>
        <w:color w:val="000000"/>
        <w:sz w:val="22"/>
        <w:szCs w:val="22"/>
        <w:rtl/>
      </w:rPr>
      <w:tab/>
      <w:t xml:space="preserve"> מדינת ישראל נ' אחמד אבו שייך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F2A76"/>
    <w:multiLevelType w:val="hybridMultilevel"/>
    <w:tmpl w:val="386A8BCE"/>
    <w:lvl w:ilvl="0" w:tplc="E544092A">
      <w:start w:val="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98502B"/>
    <w:multiLevelType w:val="hybridMultilevel"/>
    <w:tmpl w:val="FCCCCCBC"/>
    <w:lvl w:ilvl="0" w:tplc="E544092A">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140824">
    <w:abstractNumId w:val="1"/>
  </w:num>
  <w:num w:numId="2" w16cid:durableId="77490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3F92"/>
    <w:rsid w:val="00036A50"/>
    <w:rsid w:val="00074144"/>
    <w:rsid w:val="00107BDC"/>
    <w:rsid w:val="0013021F"/>
    <w:rsid w:val="002A2A86"/>
    <w:rsid w:val="003B1BCB"/>
    <w:rsid w:val="003C5226"/>
    <w:rsid w:val="005D3F92"/>
    <w:rsid w:val="006178F9"/>
    <w:rsid w:val="007B0D24"/>
    <w:rsid w:val="007D29D1"/>
    <w:rsid w:val="009A4E4C"/>
    <w:rsid w:val="009E7C46"/>
    <w:rsid w:val="00A34757"/>
    <w:rsid w:val="00E20A3C"/>
    <w:rsid w:val="00F91C46"/>
    <w:rsid w:val="00FB6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C7EF34"/>
  <w15:chartTrackingRefBased/>
  <w15:docId w15:val="{31B22EEF-452F-488D-9F65-8B660F70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3F9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3F92"/>
    <w:pPr>
      <w:tabs>
        <w:tab w:val="center" w:pos="4153"/>
        <w:tab w:val="right" w:pos="8306"/>
      </w:tabs>
    </w:pPr>
  </w:style>
  <w:style w:type="character" w:customStyle="1" w:styleId="a4">
    <w:name w:val="כותרת עליונה תו"/>
    <w:link w:val="a3"/>
    <w:rsid w:val="005D3F92"/>
    <w:rPr>
      <w:rFonts w:ascii="Times New Roman" w:eastAsia="Times New Roman" w:hAnsi="Times New Roman" w:cs="David"/>
      <w:sz w:val="24"/>
      <w:szCs w:val="24"/>
    </w:rPr>
  </w:style>
  <w:style w:type="paragraph" w:styleId="a5">
    <w:name w:val="footer"/>
    <w:basedOn w:val="a"/>
    <w:link w:val="a6"/>
    <w:rsid w:val="005D3F92"/>
    <w:pPr>
      <w:tabs>
        <w:tab w:val="center" w:pos="4153"/>
        <w:tab w:val="right" w:pos="8306"/>
      </w:tabs>
    </w:pPr>
  </w:style>
  <w:style w:type="character" w:customStyle="1" w:styleId="a6">
    <w:name w:val="כותרת תחתונה תו"/>
    <w:link w:val="a5"/>
    <w:rsid w:val="005D3F92"/>
    <w:rPr>
      <w:rFonts w:ascii="Times New Roman" w:eastAsia="Times New Roman" w:hAnsi="Times New Roman" w:cs="David"/>
      <w:sz w:val="24"/>
      <w:szCs w:val="24"/>
    </w:rPr>
  </w:style>
  <w:style w:type="table" w:styleId="a7">
    <w:name w:val="Table Grid"/>
    <w:basedOn w:val="a1"/>
    <w:rsid w:val="005D3F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D3F92"/>
  </w:style>
  <w:style w:type="paragraph" w:styleId="a9">
    <w:name w:val="List Paragraph"/>
    <w:basedOn w:val="a"/>
    <w:qFormat/>
    <w:rsid w:val="005D3F92"/>
    <w:pPr>
      <w:ind w:left="720"/>
      <w:contextualSpacing/>
    </w:pPr>
  </w:style>
  <w:style w:type="character" w:styleId="Hyperlink">
    <w:name w:val="Hyperlink"/>
    <w:rsid w:val="001302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1" TargetMode="External"/><Relationship Id="rId18" Type="http://schemas.openxmlformats.org/officeDocument/2006/relationships/hyperlink" Target="http://www.nevo.co.il/law/70301/340a" TargetMode="External"/><Relationship Id="rId26" Type="http://schemas.openxmlformats.org/officeDocument/2006/relationships/hyperlink" Target="http://www.nevo.co.il/law/70301/335" TargetMode="External"/><Relationship Id="rId39" Type="http://schemas.openxmlformats.org/officeDocument/2006/relationships/hyperlink" Target="http://www.nevo.co.il/law/70301/329.1" TargetMode="External"/><Relationship Id="rId21" Type="http://schemas.openxmlformats.org/officeDocument/2006/relationships/hyperlink" Target="http://www.nevo.co.il/law/70301/413i" TargetMode="External"/><Relationship Id="rId34" Type="http://schemas.openxmlformats.org/officeDocument/2006/relationships/hyperlink" Target="http://www.nevo.co.il/case/21524816" TargetMode="External"/><Relationship Id="rId42" Type="http://schemas.openxmlformats.org/officeDocument/2006/relationships/hyperlink" Target="http://www.nevo.co.il/law/70301/340a" TargetMode="External"/><Relationship Id="rId47" Type="http://schemas.openxmlformats.org/officeDocument/2006/relationships/hyperlink" Target="http://www.nevo.co.il/law/70301/329" TargetMode="External"/><Relationship Id="rId50" Type="http://schemas.openxmlformats.org/officeDocument/2006/relationships/hyperlink" Target="http://www.nevo.co.il/case/5594142" TargetMode="External"/><Relationship Id="rId55" Type="http://schemas.openxmlformats.org/officeDocument/2006/relationships/hyperlink" Target="http://www.nevo.co.il/case/5819116"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3" TargetMode="External"/><Relationship Id="rId29" Type="http://schemas.openxmlformats.org/officeDocument/2006/relationships/hyperlink" Target="http://www.nevo.co.il/law/70301/413e"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29" TargetMode="External"/><Relationship Id="rId37" Type="http://schemas.openxmlformats.org/officeDocument/2006/relationships/hyperlink" Target="http://www.nevo.co.il/case/22919929" TargetMode="External"/><Relationship Id="rId40" Type="http://schemas.openxmlformats.org/officeDocument/2006/relationships/hyperlink" Target="http://www.nevo.co.il/law/70301/329.2" TargetMode="External"/><Relationship Id="rId45" Type="http://schemas.openxmlformats.org/officeDocument/2006/relationships/hyperlink" Target="http://www.nevo.co.il/law/70301/413i" TargetMode="External"/><Relationship Id="rId53" Type="http://schemas.openxmlformats.org/officeDocument/2006/relationships/hyperlink" Target="http://www.nevo.co.il/case/24269594"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13d.a" TargetMode="External"/><Relationship Id="rId14" Type="http://schemas.openxmlformats.org/officeDocument/2006/relationships/hyperlink" Target="http://www.nevo.co.il/law/70301/329.2" TargetMode="External"/><Relationship Id="rId22" Type="http://schemas.openxmlformats.org/officeDocument/2006/relationships/hyperlink" Target="http://www.nevo.co.il/law/70301/329.a.1"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329"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case/18749756"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5573417" TargetMode="External"/><Relationship Id="rId3" Type="http://schemas.openxmlformats.org/officeDocument/2006/relationships/settings" Target="settings.xml"/><Relationship Id="rId12" Type="http://schemas.openxmlformats.org/officeDocument/2006/relationships/hyperlink" Target="http://www.nevo.co.il/law/70301/329" TargetMode="External"/><Relationship Id="rId17" Type="http://schemas.openxmlformats.org/officeDocument/2006/relationships/hyperlink" Target="http://www.nevo.co.il/law/70301/335" TargetMode="External"/><Relationship Id="rId25" Type="http://schemas.openxmlformats.org/officeDocument/2006/relationships/hyperlink" Target="http://www.nevo.co.il/law/70301/333" TargetMode="External"/><Relationship Id="rId33" Type="http://schemas.openxmlformats.org/officeDocument/2006/relationships/hyperlink" Target="http://www.nevo.co.il/case/5753941" TargetMode="External"/><Relationship Id="rId38" Type="http://schemas.openxmlformats.org/officeDocument/2006/relationships/hyperlink" Target="http://www.nevo.co.il/case/21476990" TargetMode="External"/><Relationship Id="rId46" Type="http://schemas.openxmlformats.org/officeDocument/2006/relationships/hyperlink" Target="http://www.nevo.co.il/case/20032343" TargetMode="External"/><Relationship Id="rId59" Type="http://schemas.openxmlformats.org/officeDocument/2006/relationships/footer" Target="footer1.xml"/><Relationship Id="rId20" Type="http://schemas.openxmlformats.org/officeDocument/2006/relationships/hyperlink" Target="http://www.nevo.co.il/law/70301/413e"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40i.a.1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29.a.1"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24493107" TargetMode="External"/><Relationship Id="rId49" Type="http://schemas.openxmlformats.org/officeDocument/2006/relationships/hyperlink" Target="http://www.nevo.co.il/case/13060043" TargetMode="External"/><Relationship Id="rId57" Type="http://schemas.openxmlformats.org/officeDocument/2006/relationships/header" Target="header1.xml"/><Relationship Id="rId10" Type="http://schemas.openxmlformats.org/officeDocument/2006/relationships/hyperlink" Target="http://www.nevo.co.il/law/70301/144.b" TargetMode="External"/><Relationship Id="rId31" Type="http://schemas.openxmlformats.org/officeDocument/2006/relationships/hyperlink" Target="http://www.nevo.co.il/law/70301/413d.a" TargetMode="External"/><Relationship Id="rId44" Type="http://schemas.openxmlformats.org/officeDocument/2006/relationships/hyperlink" Target="http://www.nevo.co.il/law/70301/244" TargetMode="External"/><Relationship Id="rId52" Type="http://schemas.openxmlformats.org/officeDocument/2006/relationships/hyperlink" Target="http://www.nevo.co.il/case/27272576"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a.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2680</Words>
  <Characters>13405</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16053</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3342452</vt:i4>
      </vt:variant>
      <vt:variant>
        <vt:i4>144</vt:i4>
      </vt:variant>
      <vt:variant>
        <vt:i4>0</vt:i4>
      </vt:variant>
      <vt:variant>
        <vt:i4>5</vt:i4>
      </vt:variant>
      <vt:variant>
        <vt:lpwstr>http://www.nevo.co.il/case/5819116</vt:lpwstr>
      </vt:variant>
      <vt:variant>
        <vt:lpwstr/>
      </vt:variant>
      <vt:variant>
        <vt:i4>5570648</vt:i4>
      </vt:variant>
      <vt:variant>
        <vt:i4>141</vt:i4>
      </vt:variant>
      <vt:variant>
        <vt:i4>0</vt:i4>
      </vt:variant>
      <vt:variant>
        <vt:i4>5</vt:i4>
      </vt:variant>
      <vt:variant>
        <vt:lpwstr>http://www.nevo.co.il/law/70301/40i.a.10</vt:lpwstr>
      </vt:variant>
      <vt:variant>
        <vt:lpwstr/>
      </vt:variant>
      <vt:variant>
        <vt:i4>3145843</vt:i4>
      </vt:variant>
      <vt:variant>
        <vt:i4>138</vt:i4>
      </vt:variant>
      <vt:variant>
        <vt:i4>0</vt:i4>
      </vt:variant>
      <vt:variant>
        <vt:i4>5</vt:i4>
      </vt:variant>
      <vt:variant>
        <vt:lpwstr>http://www.nevo.co.il/case/24269594</vt:lpwstr>
      </vt:variant>
      <vt:variant>
        <vt:lpwstr/>
      </vt:variant>
      <vt:variant>
        <vt:i4>3473521</vt:i4>
      </vt:variant>
      <vt:variant>
        <vt:i4>135</vt:i4>
      </vt:variant>
      <vt:variant>
        <vt:i4>0</vt:i4>
      </vt:variant>
      <vt:variant>
        <vt:i4>5</vt:i4>
      </vt:variant>
      <vt:variant>
        <vt:lpwstr>http://www.nevo.co.il/case/27272576</vt:lpwstr>
      </vt:variant>
      <vt:variant>
        <vt:lpwstr/>
      </vt:variant>
      <vt:variant>
        <vt:i4>3211379</vt:i4>
      </vt:variant>
      <vt:variant>
        <vt:i4>132</vt:i4>
      </vt:variant>
      <vt:variant>
        <vt:i4>0</vt:i4>
      </vt:variant>
      <vt:variant>
        <vt:i4>5</vt:i4>
      </vt:variant>
      <vt:variant>
        <vt:lpwstr>http://www.nevo.co.il/case/5573417</vt:lpwstr>
      </vt:variant>
      <vt:variant>
        <vt:lpwstr/>
      </vt:variant>
      <vt:variant>
        <vt:i4>4128881</vt:i4>
      </vt:variant>
      <vt:variant>
        <vt:i4>129</vt:i4>
      </vt:variant>
      <vt:variant>
        <vt:i4>0</vt:i4>
      </vt:variant>
      <vt:variant>
        <vt:i4>5</vt:i4>
      </vt:variant>
      <vt:variant>
        <vt:lpwstr>http://www.nevo.co.il/case/5594142</vt:lpwstr>
      </vt:variant>
      <vt:variant>
        <vt:lpwstr/>
      </vt:variant>
      <vt:variant>
        <vt:i4>3473521</vt:i4>
      </vt:variant>
      <vt:variant>
        <vt:i4>126</vt:i4>
      </vt:variant>
      <vt:variant>
        <vt:i4>0</vt:i4>
      </vt:variant>
      <vt:variant>
        <vt:i4>5</vt:i4>
      </vt:variant>
      <vt:variant>
        <vt:lpwstr>http://www.nevo.co.il/case/13060043</vt:lpwstr>
      </vt:variant>
      <vt:variant>
        <vt:lpwstr/>
      </vt:variant>
      <vt:variant>
        <vt:i4>3801215</vt:i4>
      </vt:variant>
      <vt:variant>
        <vt:i4>123</vt:i4>
      </vt:variant>
      <vt:variant>
        <vt:i4>0</vt:i4>
      </vt:variant>
      <vt:variant>
        <vt:i4>5</vt:i4>
      </vt:variant>
      <vt:variant>
        <vt:lpwstr>http://www.nevo.co.il/case/18749756</vt:lpwstr>
      </vt:variant>
      <vt:variant>
        <vt:lpwstr/>
      </vt:variant>
      <vt:variant>
        <vt:i4>6750310</vt:i4>
      </vt:variant>
      <vt:variant>
        <vt:i4>120</vt:i4>
      </vt:variant>
      <vt:variant>
        <vt:i4>0</vt:i4>
      </vt:variant>
      <vt:variant>
        <vt:i4>5</vt:i4>
      </vt:variant>
      <vt:variant>
        <vt:lpwstr>http://www.nevo.co.il/law/70301/329</vt:lpwstr>
      </vt:variant>
      <vt:variant>
        <vt:lpwstr/>
      </vt:variant>
      <vt:variant>
        <vt:i4>3407988</vt:i4>
      </vt:variant>
      <vt:variant>
        <vt:i4>117</vt:i4>
      </vt:variant>
      <vt:variant>
        <vt:i4>0</vt:i4>
      </vt:variant>
      <vt:variant>
        <vt:i4>5</vt:i4>
      </vt:variant>
      <vt:variant>
        <vt:lpwstr>http://www.nevo.co.il/case/20032343</vt:lpwstr>
      </vt:variant>
      <vt:variant>
        <vt:lpwstr/>
      </vt:variant>
      <vt:variant>
        <vt:i4>852050</vt:i4>
      </vt:variant>
      <vt:variant>
        <vt:i4>114</vt:i4>
      </vt:variant>
      <vt:variant>
        <vt:i4>0</vt:i4>
      </vt:variant>
      <vt:variant>
        <vt:i4>5</vt:i4>
      </vt:variant>
      <vt:variant>
        <vt:lpwstr>http://www.nevo.co.il/law/70301/413i</vt:lpwstr>
      </vt:variant>
      <vt:variant>
        <vt:lpwstr/>
      </vt:variant>
      <vt:variant>
        <vt:i4>6357095</vt:i4>
      </vt:variant>
      <vt:variant>
        <vt:i4>111</vt:i4>
      </vt:variant>
      <vt:variant>
        <vt:i4>0</vt:i4>
      </vt:variant>
      <vt:variant>
        <vt:i4>5</vt:i4>
      </vt:variant>
      <vt:variant>
        <vt:lpwstr>http://www.nevo.co.il/law/70301/244</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86</vt:i4>
      </vt:variant>
      <vt:variant>
        <vt:i4>105</vt:i4>
      </vt:variant>
      <vt:variant>
        <vt:i4>0</vt:i4>
      </vt:variant>
      <vt:variant>
        <vt:i4>5</vt:i4>
      </vt:variant>
      <vt:variant>
        <vt:lpwstr>http://www.nevo.co.il/law/70301/340a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4784223</vt:i4>
      </vt:variant>
      <vt:variant>
        <vt:i4>99</vt:i4>
      </vt:variant>
      <vt:variant>
        <vt:i4>0</vt:i4>
      </vt:variant>
      <vt:variant>
        <vt:i4>5</vt:i4>
      </vt:variant>
      <vt:variant>
        <vt:lpwstr>http://www.nevo.co.il/law/70301/329.2</vt:lpwstr>
      </vt:variant>
      <vt:variant>
        <vt:lpwstr/>
      </vt:variant>
      <vt:variant>
        <vt:i4>4784223</vt:i4>
      </vt:variant>
      <vt:variant>
        <vt:i4>96</vt:i4>
      </vt:variant>
      <vt:variant>
        <vt:i4>0</vt:i4>
      </vt:variant>
      <vt:variant>
        <vt:i4>5</vt:i4>
      </vt:variant>
      <vt:variant>
        <vt:lpwstr>http://www.nevo.co.il/law/70301/329.1</vt:lpwstr>
      </vt:variant>
      <vt:variant>
        <vt:lpwstr/>
      </vt:variant>
      <vt:variant>
        <vt:i4>3735675</vt:i4>
      </vt:variant>
      <vt:variant>
        <vt:i4>93</vt:i4>
      </vt:variant>
      <vt:variant>
        <vt:i4>0</vt:i4>
      </vt:variant>
      <vt:variant>
        <vt:i4>5</vt:i4>
      </vt:variant>
      <vt:variant>
        <vt:lpwstr>http://www.nevo.co.il/case/21476990</vt:lpwstr>
      </vt:variant>
      <vt:variant>
        <vt:lpwstr/>
      </vt:variant>
      <vt:variant>
        <vt:i4>3145854</vt:i4>
      </vt:variant>
      <vt:variant>
        <vt:i4>90</vt:i4>
      </vt:variant>
      <vt:variant>
        <vt:i4>0</vt:i4>
      </vt:variant>
      <vt:variant>
        <vt:i4>5</vt:i4>
      </vt:variant>
      <vt:variant>
        <vt:lpwstr>http://www.nevo.co.il/case/22919929</vt:lpwstr>
      </vt:variant>
      <vt:variant>
        <vt:lpwstr/>
      </vt:variant>
      <vt:variant>
        <vt:i4>3473528</vt:i4>
      </vt:variant>
      <vt:variant>
        <vt:i4>87</vt:i4>
      </vt:variant>
      <vt:variant>
        <vt:i4>0</vt:i4>
      </vt:variant>
      <vt:variant>
        <vt:i4>5</vt:i4>
      </vt:variant>
      <vt:variant>
        <vt:lpwstr>http://www.nevo.co.il/case/24493107</vt:lpwstr>
      </vt:variant>
      <vt:variant>
        <vt:lpwstr/>
      </vt:variant>
      <vt:variant>
        <vt:i4>6750310</vt:i4>
      </vt:variant>
      <vt:variant>
        <vt:i4>84</vt:i4>
      </vt:variant>
      <vt:variant>
        <vt:i4>0</vt:i4>
      </vt:variant>
      <vt:variant>
        <vt:i4>5</vt:i4>
      </vt:variant>
      <vt:variant>
        <vt:lpwstr>http://www.nevo.co.il/law/70301/329</vt:lpwstr>
      </vt:variant>
      <vt:variant>
        <vt:lpwstr/>
      </vt:variant>
      <vt:variant>
        <vt:i4>3276927</vt:i4>
      </vt:variant>
      <vt:variant>
        <vt:i4>81</vt:i4>
      </vt:variant>
      <vt:variant>
        <vt:i4>0</vt:i4>
      </vt:variant>
      <vt:variant>
        <vt:i4>5</vt:i4>
      </vt:variant>
      <vt:variant>
        <vt:lpwstr>http://www.nevo.co.il/case/21524816</vt:lpwstr>
      </vt:variant>
      <vt:variant>
        <vt:lpwstr/>
      </vt:variant>
      <vt:variant>
        <vt:i4>3670132</vt:i4>
      </vt:variant>
      <vt:variant>
        <vt:i4>78</vt:i4>
      </vt:variant>
      <vt:variant>
        <vt:i4>0</vt:i4>
      </vt:variant>
      <vt:variant>
        <vt:i4>5</vt:i4>
      </vt:variant>
      <vt:variant>
        <vt:lpwstr>http://www.nevo.co.il/case/5753941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6357116</vt:i4>
      </vt:variant>
      <vt:variant>
        <vt:i4>72</vt:i4>
      </vt:variant>
      <vt:variant>
        <vt:i4>0</vt:i4>
      </vt:variant>
      <vt:variant>
        <vt:i4>5</vt:i4>
      </vt:variant>
      <vt:variant>
        <vt:lpwstr>http://www.nevo.co.il/law/70301/413d.a</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65618</vt:i4>
      </vt:variant>
      <vt:variant>
        <vt:i4>66</vt:i4>
      </vt:variant>
      <vt:variant>
        <vt:i4>0</vt:i4>
      </vt:variant>
      <vt:variant>
        <vt:i4>5</vt:i4>
      </vt:variant>
      <vt:variant>
        <vt:lpwstr>http://www.nevo.co.il/law/70301/413e</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6684774</vt:i4>
      </vt:variant>
      <vt:variant>
        <vt:i4>57</vt:i4>
      </vt:variant>
      <vt:variant>
        <vt:i4>0</vt:i4>
      </vt:variant>
      <vt:variant>
        <vt:i4>5</vt:i4>
      </vt:variant>
      <vt:variant>
        <vt:lpwstr>http://www.nevo.co.il/law/70301/335</vt:lpwstr>
      </vt:variant>
      <vt:variant>
        <vt:lpwstr/>
      </vt:variant>
      <vt:variant>
        <vt:i4>6684774</vt:i4>
      </vt:variant>
      <vt:variant>
        <vt:i4>54</vt:i4>
      </vt:variant>
      <vt:variant>
        <vt:i4>0</vt:i4>
      </vt:variant>
      <vt:variant>
        <vt:i4>5</vt:i4>
      </vt:variant>
      <vt:variant>
        <vt:lpwstr>http://www.nevo.co.il/law/70301/333</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6750270</vt:i4>
      </vt:variant>
      <vt:variant>
        <vt:i4>45</vt:i4>
      </vt:variant>
      <vt:variant>
        <vt:i4>0</vt:i4>
      </vt:variant>
      <vt:variant>
        <vt:i4>5</vt:i4>
      </vt:variant>
      <vt:variant>
        <vt:lpwstr>http://www.nevo.co.il/law/70301/329.a.1</vt:lpwstr>
      </vt:variant>
      <vt:variant>
        <vt:lpwstr/>
      </vt:variant>
      <vt:variant>
        <vt:i4>852050</vt:i4>
      </vt:variant>
      <vt:variant>
        <vt:i4>42</vt:i4>
      </vt:variant>
      <vt:variant>
        <vt:i4>0</vt:i4>
      </vt:variant>
      <vt:variant>
        <vt:i4>5</vt:i4>
      </vt:variant>
      <vt:variant>
        <vt:lpwstr>http://www.nevo.co.il/law/70301/413i</vt:lpwstr>
      </vt:variant>
      <vt:variant>
        <vt:lpwstr/>
      </vt:variant>
      <vt:variant>
        <vt:i4>65618</vt:i4>
      </vt:variant>
      <vt:variant>
        <vt:i4>39</vt:i4>
      </vt:variant>
      <vt:variant>
        <vt:i4>0</vt:i4>
      </vt:variant>
      <vt:variant>
        <vt:i4>5</vt:i4>
      </vt:variant>
      <vt:variant>
        <vt:lpwstr>http://www.nevo.co.il/law/70301/413e</vt:lpwstr>
      </vt:variant>
      <vt:variant>
        <vt:lpwstr/>
      </vt:variant>
      <vt:variant>
        <vt:i4>6357116</vt:i4>
      </vt:variant>
      <vt:variant>
        <vt:i4>36</vt:i4>
      </vt:variant>
      <vt:variant>
        <vt:i4>0</vt:i4>
      </vt:variant>
      <vt:variant>
        <vt:i4>5</vt:i4>
      </vt:variant>
      <vt:variant>
        <vt:lpwstr>http://www.nevo.co.il/law/70301/413d.a</vt:lpwstr>
      </vt:variant>
      <vt:variant>
        <vt:lpwstr/>
      </vt:variant>
      <vt:variant>
        <vt:i4>86</vt:i4>
      </vt:variant>
      <vt:variant>
        <vt:i4>33</vt:i4>
      </vt:variant>
      <vt:variant>
        <vt:i4>0</vt:i4>
      </vt:variant>
      <vt:variant>
        <vt:i4>5</vt:i4>
      </vt:variant>
      <vt:variant>
        <vt:lpwstr>http://www.nevo.co.il/law/70301/340a</vt:lpwstr>
      </vt:variant>
      <vt:variant>
        <vt:lpwstr/>
      </vt:variant>
      <vt:variant>
        <vt:i4>6684774</vt:i4>
      </vt:variant>
      <vt:variant>
        <vt:i4>30</vt:i4>
      </vt:variant>
      <vt:variant>
        <vt:i4>0</vt:i4>
      </vt:variant>
      <vt:variant>
        <vt:i4>5</vt:i4>
      </vt:variant>
      <vt:variant>
        <vt:lpwstr>http://www.nevo.co.il/law/70301/335</vt:lpwstr>
      </vt:variant>
      <vt:variant>
        <vt:lpwstr/>
      </vt:variant>
      <vt:variant>
        <vt:i4>6684774</vt:i4>
      </vt:variant>
      <vt:variant>
        <vt:i4>27</vt:i4>
      </vt:variant>
      <vt:variant>
        <vt:i4>0</vt:i4>
      </vt:variant>
      <vt:variant>
        <vt:i4>5</vt:i4>
      </vt:variant>
      <vt:variant>
        <vt:lpwstr>http://www.nevo.co.il/law/70301/333</vt:lpwstr>
      </vt:variant>
      <vt:variant>
        <vt:lpwstr/>
      </vt:variant>
      <vt:variant>
        <vt:i4>6750270</vt:i4>
      </vt:variant>
      <vt:variant>
        <vt:i4>24</vt:i4>
      </vt:variant>
      <vt:variant>
        <vt:i4>0</vt:i4>
      </vt:variant>
      <vt:variant>
        <vt:i4>5</vt:i4>
      </vt:variant>
      <vt:variant>
        <vt:lpwstr>http://www.nevo.co.il/law/70301/329.a.1</vt:lpwstr>
      </vt:variant>
      <vt:variant>
        <vt:lpwstr/>
      </vt:variant>
      <vt:variant>
        <vt:i4>4784223</vt:i4>
      </vt:variant>
      <vt:variant>
        <vt:i4>21</vt:i4>
      </vt:variant>
      <vt:variant>
        <vt:i4>0</vt:i4>
      </vt:variant>
      <vt:variant>
        <vt:i4>5</vt:i4>
      </vt:variant>
      <vt:variant>
        <vt:lpwstr>http://www.nevo.co.il/law/70301/329.2</vt:lpwstr>
      </vt:variant>
      <vt:variant>
        <vt:lpwstr/>
      </vt:variant>
      <vt:variant>
        <vt:i4>4784223</vt:i4>
      </vt:variant>
      <vt:variant>
        <vt:i4>18</vt:i4>
      </vt:variant>
      <vt:variant>
        <vt:i4>0</vt:i4>
      </vt:variant>
      <vt:variant>
        <vt:i4>5</vt:i4>
      </vt:variant>
      <vt:variant>
        <vt:lpwstr>http://www.nevo.co.il/law/70301/329.1</vt:lpwstr>
      </vt:variant>
      <vt:variant>
        <vt:lpwstr/>
      </vt:variant>
      <vt:variant>
        <vt:i4>6750310</vt:i4>
      </vt:variant>
      <vt:variant>
        <vt:i4>15</vt:i4>
      </vt:variant>
      <vt:variant>
        <vt:i4>0</vt:i4>
      </vt:variant>
      <vt:variant>
        <vt:i4>5</vt:i4>
      </vt:variant>
      <vt:variant>
        <vt:lpwstr>http://www.nevo.co.il/law/70301/329</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5570648</vt:i4>
      </vt:variant>
      <vt:variant>
        <vt:i4>6</vt:i4>
      </vt:variant>
      <vt:variant>
        <vt:i4>0</vt:i4>
      </vt:variant>
      <vt:variant>
        <vt:i4>5</vt:i4>
      </vt:variant>
      <vt:variant>
        <vt:lpwstr>http://www.nevo.co.il/law/70301/40i.a.10</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54764</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אחמד אבו שייך;תאמר אבו שייך</vt:lpwstr>
  </property>
  <property fmtid="{D5CDD505-2E9C-101B-9397-08002B2CF9AE}" pid="10" name="LAWYER">
    <vt:lpwstr>יניב זהר;פארס בריק </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20211121</vt:lpwstr>
  </property>
  <property fmtid="{D5CDD505-2E9C-101B-9397-08002B2CF9AE}" pid="14" name="TYPE_N_DATE">
    <vt:lpwstr>39020211121</vt:lpwstr>
  </property>
  <property fmtid="{D5CDD505-2E9C-101B-9397-08002B2CF9AE}" pid="15" name="WORDNUMPAGES">
    <vt:lpwstr>11</vt:lpwstr>
  </property>
  <property fmtid="{D5CDD505-2E9C-101B-9397-08002B2CF9AE}" pid="16" name="TYPE_ABS_DATE">
    <vt:lpwstr>390020211121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5753941;21524816;24493107;22919929;21476990;20032343;18749756;13060043;5594142;5573417;27272576;24269594;5819116</vt:lpwstr>
  </property>
  <property fmtid="{D5CDD505-2E9C-101B-9397-08002B2CF9AE}" pid="36" name="LAWLISTTMP1">
    <vt:lpwstr>70301/329.a.1;029:4;333;335;144.b:2;413e;413d.a;329:2;329.1;329.2;340a;244;413i;040i.a.10</vt:lpwstr>
  </property>
</Properties>
</file>