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953EC" w:rsidRPr="00C701C1" w14:paraId="7099565F" w14:textId="77777777" w:rsidTr="008216A6">
        <w:trPr>
          <w:trHeight w:hRule="exact" w:val="418"/>
          <w:jc w:val="center"/>
        </w:trPr>
        <w:tc>
          <w:tcPr>
            <w:tcW w:w="8721" w:type="dxa"/>
            <w:gridSpan w:val="2"/>
          </w:tcPr>
          <w:p w14:paraId="45A546C9" w14:textId="77777777" w:rsidR="004953EC" w:rsidRPr="00C701C1" w:rsidRDefault="004953EC" w:rsidP="008C1778">
            <w:pPr>
              <w:pStyle w:val="a3"/>
              <w:jc w:val="center"/>
              <w:rPr>
                <w:rFonts w:ascii="Tahoma" w:hAnsi="Tahoma" w:cs="Tahoma"/>
                <w:color w:val="000080"/>
                <w:rtl/>
              </w:rPr>
            </w:pPr>
            <w:bookmarkStart w:id="0" w:name="LastJudge"/>
            <w:r w:rsidRPr="00C701C1">
              <w:rPr>
                <w:rFonts w:ascii="Tahoma" w:hAnsi="Tahoma" w:cs="Tahoma"/>
                <w:b/>
                <w:bCs/>
                <w:color w:val="000080"/>
                <w:rtl/>
              </w:rPr>
              <w:t>בית המשפט המחוזי בחיפה</w:t>
            </w:r>
          </w:p>
        </w:tc>
      </w:tr>
      <w:tr w:rsidR="004953EC" w:rsidRPr="00C701C1" w14:paraId="59C78AE9" w14:textId="77777777" w:rsidTr="008216A6">
        <w:trPr>
          <w:trHeight w:val="337"/>
          <w:jc w:val="center"/>
        </w:trPr>
        <w:tc>
          <w:tcPr>
            <w:tcW w:w="5057" w:type="dxa"/>
          </w:tcPr>
          <w:p w14:paraId="4593740C" w14:textId="77777777" w:rsidR="004953EC" w:rsidRPr="00C701C1" w:rsidRDefault="004953EC" w:rsidP="008C1778">
            <w:pPr>
              <w:rPr>
                <w:rFonts w:cs="FrankRuehl"/>
                <w:sz w:val="28"/>
                <w:szCs w:val="28"/>
                <w:rtl/>
              </w:rPr>
            </w:pPr>
            <w:r w:rsidRPr="00C701C1">
              <w:rPr>
                <w:rFonts w:cs="FrankRuehl"/>
                <w:sz w:val="28"/>
                <w:szCs w:val="28"/>
                <w:rtl/>
              </w:rPr>
              <w:t>ת"פ</w:t>
            </w:r>
            <w:r w:rsidRPr="00C701C1">
              <w:rPr>
                <w:rFonts w:cs="FrankRuehl" w:hint="cs"/>
                <w:sz w:val="28"/>
                <w:szCs w:val="28"/>
                <w:rtl/>
              </w:rPr>
              <w:t xml:space="preserve"> </w:t>
            </w:r>
            <w:r w:rsidRPr="00C701C1">
              <w:rPr>
                <w:rFonts w:cs="FrankRuehl"/>
                <w:sz w:val="28"/>
                <w:szCs w:val="28"/>
                <w:rtl/>
              </w:rPr>
              <w:t>58511-01-20</w:t>
            </w:r>
            <w:r w:rsidRPr="00C701C1">
              <w:rPr>
                <w:rFonts w:cs="FrankRuehl" w:hint="cs"/>
                <w:sz w:val="28"/>
                <w:szCs w:val="28"/>
                <w:rtl/>
              </w:rPr>
              <w:t xml:space="preserve"> </w:t>
            </w:r>
            <w:r w:rsidRPr="00C701C1">
              <w:rPr>
                <w:rFonts w:cs="FrankRuehl"/>
                <w:sz w:val="28"/>
                <w:szCs w:val="28"/>
                <w:rtl/>
              </w:rPr>
              <w:t>מדינת ישראל נ' בידס(עציר)</w:t>
            </w:r>
          </w:p>
          <w:p w14:paraId="44D7BBD0" w14:textId="77777777" w:rsidR="004953EC" w:rsidRPr="00C701C1" w:rsidRDefault="004953EC" w:rsidP="008C1778">
            <w:pPr>
              <w:pStyle w:val="a3"/>
              <w:rPr>
                <w:rFonts w:cs="FrankRuehl"/>
                <w:sz w:val="28"/>
                <w:szCs w:val="28"/>
                <w:rtl/>
              </w:rPr>
            </w:pPr>
          </w:p>
        </w:tc>
        <w:tc>
          <w:tcPr>
            <w:tcW w:w="3664" w:type="dxa"/>
          </w:tcPr>
          <w:p w14:paraId="234CF108" w14:textId="77777777" w:rsidR="004953EC" w:rsidRPr="00C701C1" w:rsidRDefault="004953EC" w:rsidP="008C1778">
            <w:pPr>
              <w:pStyle w:val="a3"/>
              <w:jc w:val="right"/>
              <w:rPr>
                <w:rFonts w:cs="FrankRuehl"/>
                <w:sz w:val="28"/>
                <w:szCs w:val="28"/>
                <w:rtl/>
              </w:rPr>
            </w:pPr>
          </w:p>
        </w:tc>
      </w:tr>
    </w:tbl>
    <w:p w14:paraId="5728DFAA" w14:textId="77777777" w:rsidR="004953EC" w:rsidRPr="00C701C1" w:rsidRDefault="004953EC" w:rsidP="004953EC">
      <w:pPr>
        <w:pStyle w:val="a3"/>
        <w:rPr>
          <w:rtl/>
        </w:rPr>
      </w:pPr>
      <w:r w:rsidRPr="00C701C1">
        <w:rPr>
          <w:rFonts w:hint="cs"/>
          <w:rtl/>
        </w:rPr>
        <w:t xml:space="preserve"> </w:t>
      </w:r>
    </w:p>
    <w:p w14:paraId="5619607D" w14:textId="77777777" w:rsidR="004953EC" w:rsidRPr="00C701C1" w:rsidRDefault="004953EC" w:rsidP="004953EC">
      <w:pPr>
        <w:rPr>
          <w:rtl/>
        </w:rPr>
      </w:pPr>
    </w:p>
    <w:p w14:paraId="26976C2F" w14:textId="77777777" w:rsidR="004953EC" w:rsidRPr="00C701C1" w:rsidRDefault="004953EC" w:rsidP="004953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953EC" w:rsidRPr="00C701C1" w14:paraId="3821FC4D" w14:textId="77777777" w:rsidTr="004953EC">
        <w:trPr>
          <w:trHeight w:val="295"/>
          <w:jc w:val="center"/>
        </w:trPr>
        <w:tc>
          <w:tcPr>
            <w:tcW w:w="923" w:type="dxa"/>
            <w:tcBorders>
              <w:top w:val="nil"/>
              <w:left w:val="nil"/>
              <w:bottom w:val="nil"/>
              <w:right w:val="nil"/>
            </w:tcBorders>
            <w:shd w:val="clear" w:color="auto" w:fill="auto"/>
          </w:tcPr>
          <w:p w14:paraId="1A1E1993" w14:textId="77777777" w:rsidR="004953EC" w:rsidRPr="00C701C1" w:rsidRDefault="004953EC" w:rsidP="004953EC">
            <w:pPr>
              <w:jc w:val="both"/>
              <w:rPr>
                <w:rFonts w:ascii="David" w:hAnsi="David"/>
                <w:b/>
                <w:bCs/>
                <w:sz w:val="28"/>
                <w:szCs w:val="28"/>
              </w:rPr>
            </w:pPr>
            <w:r w:rsidRPr="00C701C1">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0FC7CF5B" w14:textId="77777777" w:rsidR="004953EC" w:rsidRPr="00C701C1" w:rsidRDefault="004953EC" w:rsidP="008C1778">
            <w:pPr>
              <w:rPr>
                <w:rFonts w:ascii="David" w:hAnsi="David"/>
                <w:b/>
                <w:bCs/>
                <w:sz w:val="28"/>
                <w:szCs w:val="28"/>
                <w:rtl/>
              </w:rPr>
            </w:pPr>
            <w:r w:rsidRPr="00C701C1">
              <w:rPr>
                <w:rFonts w:ascii="David" w:hAnsi="David"/>
                <w:b/>
                <w:bCs/>
                <w:sz w:val="28"/>
                <w:szCs w:val="28"/>
                <w:rtl/>
              </w:rPr>
              <w:t>כבוד השופטת  רונית בש</w:t>
            </w:r>
          </w:p>
          <w:p w14:paraId="7F6A9D50" w14:textId="77777777" w:rsidR="004953EC" w:rsidRPr="00C701C1" w:rsidRDefault="004953EC" w:rsidP="004953EC">
            <w:pPr>
              <w:jc w:val="both"/>
              <w:rPr>
                <w:rFonts w:ascii="David" w:hAnsi="David"/>
                <w:b/>
                <w:bCs/>
                <w:sz w:val="28"/>
                <w:szCs w:val="28"/>
              </w:rPr>
            </w:pPr>
          </w:p>
        </w:tc>
      </w:tr>
      <w:tr w:rsidR="004953EC" w:rsidRPr="00C701C1" w14:paraId="0429848C" w14:textId="77777777" w:rsidTr="004953EC">
        <w:trPr>
          <w:trHeight w:val="355"/>
          <w:jc w:val="center"/>
        </w:trPr>
        <w:tc>
          <w:tcPr>
            <w:tcW w:w="923" w:type="dxa"/>
            <w:tcBorders>
              <w:top w:val="nil"/>
              <w:left w:val="nil"/>
              <w:bottom w:val="nil"/>
              <w:right w:val="nil"/>
            </w:tcBorders>
            <w:shd w:val="clear" w:color="auto" w:fill="auto"/>
          </w:tcPr>
          <w:p w14:paraId="0AD8E1BB" w14:textId="77777777" w:rsidR="004953EC" w:rsidRPr="00C701C1" w:rsidRDefault="004953EC" w:rsidP="004953EC">
            <w:pPr>
              <w:jc w:val="both"/>
              <w:rPr>
                <w:rFonts w:ascii="David" w:hAnsi="David"/>
                <w:b/>
                <w:bCs/>
                <w:sz w:val="28"/>
                <w:szCs w:val="28"/>
              </w:rPr>
            </w:pPr>
            <w:bookmarkStart w:id="1" w:name="FirstAppellant"/>
            <w:r w:rsidRPr="00C701C1">
              <w:rPr>
                <w:rFonts w:ascii="David" w:hAnsi="David"/>
                <w:b/>
                <w:bCs/>
                <w:sz w:val="28"/>
                <w:szCs w:val="28"/>
                <w:rtl/>
              </w:rPr>
              <w:t>בעניין:</w:t>
            </w:r>
          </w:p>
        </w:tc>
        <w:tc>
          <w:tcPr>
            <w:tcW w:w="4126" w:type="dxa"/>
            <w:tcBorders>
              <w:top w:val="nil"/>
              <w:left w:val="nil"/>
              <w:bottom w:val="nil"/>
              <w:right w:val="nil"/>
            </w:tcBorders>
            <w:shd w:val="clear" w:color="auto" w:fill="auto"/>
          </w:tcPr>
          <w:p w14:paraId="3D58688C" w14:textId="77777777" w:rsidR="004953EC" w:rsidRPr="00C701C1" w:rsidRDefault="004953EC" w:rsidP="008C1778">
            <w:pPr>
              <w:rPr>
                <w:rFonts w:ascii="David" w:hAnsi="David"/>
                <w:b/>
                <w:bCs/>
              </w:rPr>
            </w:pPr>
            <w:r w:rsidRPr="00C701C1">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03AFA3BF" w14:textId="77777777" w:rsidR="004953EC" w:rsidRPr="00C701C1" w:rsidRDefault="004953EC" w:rsidP="004953EC">
            <w:pPr>
              <w:jc w:val="both"/>
              <w:rPr>
                <w:rFonts w:ascii="David" w:hAnsi="David"/>
                <w:b/>
                <w:bCs/>
                <w:sz w:val="28"/>
                <w:szCs w:val="28"/>
              </w:rPr>
            </w:pPr>
            <w:r w:rsidRPr="00C701C1">
              <w:rPr>
                <w:rFonts w:ascii="David" w:hAnsi="David"/>
                <w:b/>
                <w:bCs/>
                <w:sz w:val="28"/>
                <w:szCs w:val="28"/>
                <w:rtl/>
              </w:rPr>
              <w:t>המאשימה</w:t>
            </w:r>
          </w:p>
        </w:tc>
      </w:tr>
      <w:bookmarkEnd w:id="1"/>
      <w:tr w:rsidR="004953EC" w:rsidRPr="00C701C1" w14:paraId="75E8543E" w14:textId="77777777" w:rsidTr="004953EC">
        <w:trPr>
          <w:trHeight w:val="355"/>
          <w:jc w:val="center"/>
        </w:trPr>
        <w:tc>
          <w:tcPr>
            <w:tcW w:w="923" w:type="dxa"/>
            <w:tcBorders>
              <w:top w:val="nil"/>
              <w:left w:val="nil"/>
              <w:bottom w:val="nil"/>
              <w:right w:val="nil"/>
            </w:tcBorders>
            <w:shd w:val="clear" w:color="auto" w:fill="auto"/>
          </w:tcPr>
          <w:p w14:paraId="47CE9E24" w14:textId="77777777" w:rsidR="004953EC" w:rsidRPr="00C701C1" w:rsidRDefault="004953EC" w:rsidP="004953EC">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5C959628" w14:textId="77777777" w:rsidR="004953EC" w:rsidRPr="00C701C1" w:rsidRDefault="004953EC" w:rsidP="004953EC">
            <w:pPr>
              <w:jc w:val="center"/>
              <w:rPr>
                <w:rFonts w:ascii="David" w:hAnsi="David"/>
                <w:b/>
                <w:bCs/>
                <w:sz w:val="28"/>
                <w:szCs w:val="28"/>
                <w:rtl/>
              </w:rPr>
            </w:pPr>
          </w:p>
          <w:p w14:paraId="71AE5684" w14:textId="77777777" w:rsidR="004953EC" w:rsidRPr="00C701C1" w:rsidRDefault="004953EC" w:rsidP="004953EC">
            <w:pPr>
              <w:jc w:val="center"/>
              <w:rPr>
                <w:rFonts w:ascii="David" w:hAnsi="David"/>
                <w:b/>
                <w:bCs/>
                <w:sz w:val="28"/>
                <w:szCs w:val="28"/>
                <w:rtl/>
              </w:rPr>
            </w:pPr>
            <w:r w:rsidRPr="00C701C1">
              <w:rPr>
                <w:rFonts w:ascii="David" w:hAnsi="David"/>
                <w:b/>
                <w:bCs/>
                <w:sz w:val="28"/>
                <w:szCs w:val="28"/>
                <w:rtl/>
              </w:rPr>
              <w:t>נגד</w:t>
            </w:r>
          </w:p>
          <w:p w14:paraId="483A0BED" w14:textId="77777777" w:rsidR="004953EC" w:rsidRPr="00C701C1" w:rsidRDefault="004953EC" w:rsidP="004953EC">
            <w:pPr>
              <w:jc w:val="both"/>
              <w:rPr>
                <w:rFonts w:ascii="David" w:hAnsi="David"/>
                <w:b/>
                <w:bCs/>
                <w:sz w:val="28"/>
                <w:szCs w:val="28"/>
              </w:rPr>
            </w:pPr>
          </w:p>
        </w:tc>
      </w:tr>
      <w:tr w:rsidR="004953EC" w:rsidRPr="00C701C1" w14:paraId="521ADB7C" w14:textId="77777777" w:rsidTr="004953EC">
        <w:trPr>
          <w:trHeight w:val="355"/>
          <w:jc w:val="center"/>
        </w:trPr>
        <w:tc>
          <w:tcPr>
            <w:tcW w:w="923" w:type="dxa"/>
            <w:tcBorders>
              <w:top w:val="nil"/>
              <w:left w:val="nil"/>
              <w:bottom w:val="nil"/>
              <w:right w:val="nil"/>
            </w:tcBorders>
            <w:shd w:val="clear" w:color="auto" w:fill="auto"/>
          </w:tcPr>
          <w:p w14:paraId="6CF4C3DC" w14:textId="77777777" w:rsidR="004953EC" w:rsidRPr="00C701C1" w:rsidRDefault="004953EC" w:rsidP="008C1778">
            <w:pPr>
              <w:rPr>
                <w:rFonts w:ascii="David" w:hAnsi="David"/>
                <w:b/>
                <w:bCs/>
                <w:sz w:val="28"/>
                <w:szCs w:val="28"/>
                <w:rtl/>
              </w:rPr>
            </w:pPr>
          </w:p>
        </w:tc>
        <w:tc>
          <w:tcPr>
            <w:tcW w:w="4126" w:type="dxa"/>
            <w:tcBorders>
              <w:top w:val="nil"/>
              <w:left w:val="nil"/>
              <w:bottom w:val="nil"/>
              <w:right w:val="nil"/>
            </w:tcBorders>
            <w:shd w:val="clear" w:color="auto" w:fill="auto"/>
          </w:tcPr>
          <w:p w14:paraId="050ABA26" w14:textId="77777777" w:rsidR="004953EC" w:rsidRPr="00C701C1" w:rsidRDefault="004953EC" w:rsidP="008C1778">
            <w:pPr>
              <w:rPr>
                <w:rFonts w:ascii="David" w:hAnsi="David"/>
                <w:b/>
                <w:bCs/>
                <w:rtl/>
              </w:rPr>
            </w:pPr>
            <w:r w:rsidRPr="00C701C1">
              <w:rPr>
                <w:rFonts w:ascii="David" w:hAnsi="David"/>
                <w:b/>
                <w:bCs/>
                <w:sz w:val="28"/>
                <w:szCs w:val="28"/>
                <w:rtl/>
              </w:rPr>
              <w:t>סאמר בידס (עציר)</w:t>
            </w:r>
          </w:p>
        </w:tc>
        <w:tc>
          <w:tcPr>
            <w:tcW w:w="3771" w:type="dxa"/>
            <w:tcBorders>
              <w:top w:val="nil"/>
              <w:left w:val="nil"/>
              <w:bottom w:val="nil"/>
              <w:right w:val="nil"/>
            </w:tcBorders>
            <w:shd w:val="clear" w:color="auto" w:fill="auto"/>
          </w:tcPr>
          <w:p w14:paraId="0793F496" w14:textId="77777777" w:rsidR="004953EC" w:rsidRPr="00C701C1" w:rsidRDefault="004953EC" w:rsidP="008C1778">
            <w:pPr>
              <w:rPr>
                <w:rFonts w:ascii="David" w:hAnsi="David"/>
                <w:b/>
                <w:bCs/>
                <w:sz w:val="28"/>
                <w:szCs w:val="28"/>
              </w:rPr>
            </w:pPr>
            <w:r w:rsidRPr="00C701C1">
              <w:rPr>
                <w:rFonts w:ascii="David" w:hAnsi="David"/>
                <w:b/>
                <w:bCs/>
                <w:sz w:val="28"/>
                <w:szCs w:val="28"/>
                <w:rtl/>
              </w:rPr>
              <w:t>הנאשם</w:t>
            </w:r>
          </w:p>
        </w:tc>
      </w:tr>
    </w:tbl>
    <w:p w14:paraId="6B62F857" w14:textId="77777777" w:rsidR="008216A6" w:rsidRPr="008216A6" w:rsidRDefault="008216A6" w:rsidP="008216A6">
      <w:pPr>
        <w:spacing w:before="120" w:after="120" w:line="240" w:lineRule="exact"/>
        <w:ind w:left="283" w:hanging="283"/>
        <w:jc w:val="both"/>
        <w:rPr>
          <w:rFonts w:ascii="FrankRuehl" w:hAnsi="FrankRuehl" w:cs="FrankRuehl"/>
          <w:rtl/>
        </w:rPr>
      </w:pPr>
      <w:bookmarkStart w:id="2" w:name="LawTable"/>
      <w:bookmarkEnd w:id="2"/>
      <w:r w:rsidRPr="008216A6">
        <w:rPr>
          <w:rFonts w:ascii="FrankRuehl" w:hAnsi="FrankRuehl" w:cs="FrankRuehl"/>
          <w:rtl/>
        </w:rPr>
        <w:t xml:space="preserve">חקיקה שאוזכרה: </w:t>
      </w:r>
    </w:p>
    <w:p w14:paraId="4EDE08B5" w14:textId="77777777" w:rsidR="008216A6" w:rsidRPr="008216A6" w:rsidRDefault="008216A6" w:rsidP="008216A6">
      <w:pPr>
        <w:spacing w:before="120" w:after="120" w:line="240" w:lineRule="exact"/>
        <w:ind w:left="283" w:hanging="283"/>
        <w:jc w:val="both"/>
        <w:rPr>
          <w:rFonts w:ascii="FrankRuehl" w:hAnsi="FrankRuehl" w:cs="FrankRuehl"/>
          <w:color w:val="0000FF"/>
          <w:rtl/>
        </w:rPr>
      </w:pPr>
      <w:hyperlink r:id="rId7" w:history="1">
        <w:r w:rsidRPr="008216A6">
          <w:rPr>
            <w:rStyle w:val="Hyperlink"/>
            <w:rFonts w:ascii="FrankRuehl" w:hAnsi="FrankRuehl" w:cs="FrankRuehl"/>
            <w:rtl/>
          </w:rPr>
          <w:t>חוק העונשין, תשל"ז-1977</w:t>
        </w:r>
      </w:hyperlink>
      <w:r w:rsidRPr="008216A6">
        <w:rPr>
          <w:rFonts w:ascii="FrankRuehl" w:hAnsi="FrankRuehl" w:cs="FrankRuehl"/>
          <w:color w:val="0000FF"/>
          <w:u w:val="single"/>
          <w:rtl/>
        </w:rPr>
        <w:t xml:space="preserve">: סע'  </w:t>
      </w:r>
      <w:hyperlink r:id="rId8" w:history="1">
        <w:r w:rsidRPr="008216A6">
          <w:rPr>
            <w:rStyle w:val="Hyperlink"/>
            <w:rFonts w:ascii="FrankRuehl" w:hAnsi="FrankRuehl" w:cs="FrankRuehl"/>
          </w:rPr>
          <w:t xml:space="preserve">40 </w:t>
        </w:r>
        <w:r w:rsidRPr="008216A6">
          <w:rPr>
            <w:rStyle w:val="Hyperlink"/>
            <w:rFonts w:ascii="FrankRuehl" w:hAnsi="FrankRuehl" w:cs="FrankRuehl"/>
            <w:rtl/>
          </w:rPr>
          <w:t>ב</w:t>
        </w:r>
      </w:hyperlink>
      <w:r w:rsidRPr="008216A6">
        <w:rPr>
          <w:rFonts w:ascii="FrankRuehl" w:hAnsi="FrankRuehl" w:cs="FrankRuehl"/>
          <w:color w:val="0000FF"/>
          <w:u w:val="single"/>
          <w:rtl/>
        </w:rPr>
        <w:t xml:space="preserve">, </w:t>
      </w:r>
      <w:hyperlink r:id="rId9" w:history="1">
        <w:r w:rsidRPr="008216A6">
          <w:rPr>
            <w:rStyle w:val="Hyperlink"/>
            <w:rFonts w:ascii="FrankRuehl" w:hAnsi="FrankRuehl" w:cs="FrankRuehl"/>
          </w:rPr>
          <w:t xml:space="preserve">40 </w:t>
        </w:r>
        <w:r w:rsidRPr="008216A6">
          <w:rPr>
            <w:rStyle w:val="Hyperlink"/>
            <w:rFonts w:ascii="FrankRuehl" w:hAnsi="FrankRuehl" w:cs="FrankRuehl"/>
            <w:rtl/>
          </w:rPr>
          <w:t>ג</w:t>
        </w:r>
        <w:r w:rsidRPr="008216A6">
          <w:rPr>
            <w:rStyle w:val="Hyperlink"/>
            <w:rFonts w:ascii="FrankRuehl" w:hAnsi="FrankRuehl" w:cs="FrankRuehl"/>
          </w:rPr>
          <w:t>'</w:t>
        </w:r>
      </w:hyperlink>
      <w:r w:rsidRPr="008216A6">
        <w:rPr>
          <w:rFonts w:ascii="FrankRuehl" w:hAnsi="FrankRuehl" w:cs="FrankRuehl"/>
          <w:color w:val="0000FF"/>
          <w:u w:val="single"/>
          <w:rtl/>
        </w:rPr>
        <w:t xml:space="preserve">, </w:t>
      </w:r>
      <w:hyperlink r:id="rId10" w:history="1">
        <w:r w:rsidRPr="008216A6">
          <w:rPr>
            <w:rStyle w:val="Hyperlink"/>
            <w:rFonts w:ascii="FrankRuehl" w:hAnsi="FrankRuehl" w:cs="FrankRuehl"/>
          </w:rPr>
          <w:t xml:space="preserve">40 </w:t>
        </w:r>
        <w:r w:rsidRPr="008216A6">
          <w:rPr>
            <w:rStyle w:val="Hyperlink"/>
            <w:rFonts w:ascii="FrankRuehl" w:hAnsi="FrankRuehl" w:cs="FrankRuehl"/>
            <w:rtl/>
          </w:rPr>
          <w:t>ט</w:t>
        </w:r>
        <w:r w:rsidRPr="008216A6">
          <w:rPr>
            <w:rStyle w:val="Hyperlink"/>
            <w:rFonts w:ascii="FrankRuehl" w:hAnsi="FrankRuehl" w:cs="FrankRuehl"/>
          </w:rPr>
          <w:t>'</w:t>
        </w:r>
      </w:hyperlink>
      <w:r w:rsidRPr="008216A6">
        <w:rPr>
          <w:rFonts w:ascii="FrankRuehl" w:hAnsi="FrankRuehl" w:cs="FrankRuehl"/>
          <w:color w:val="0000FF"/>
          <w:u w:val="single"/>
          <w:rtl/>
        </w:rPr>
        <w:t xml:space="preserve">, </w:t>
      </w:r>
      <w:hyperlink r:id="rId11" w:history="1">
        <w:r w:rsidRPr="008216A6">
          <w:rPr>
            <w:rStyle w:val="Hyperlink"/>
            <w:rFonts w:ascii="FrankRuehl" w:hAnsi="FrankRuehl" w:cs="FrankRuehl"/>
          </w:rPr>
          <w:t>144</w:t>
        </w:r>
      </w:hyperlink>
      <w:r w:rsidRPr="008216A6">
        <w:rPr>
          <w:rFonts w:ascii="FrankRuehl" w:hAnsi="FrankRuehl" w:cs="FrankRuehl"/>
          <w:color w:val="0000FF"/>
          <w:u w:val="single"/>
          <w:rtl/>
        </w:rPr>
        <w:t xml:space="preserve">, </w:t>
      </w:r>
      <w:hyperlink r:id="rId12" w:history="1">
        <w:r w:rsidRPr="008216A6">
          <w:rPr>
            <w:rStyle w:val="Hyperlink"/>
            <w:rFonts w:ascii="FrankRuehl" w:hAnsi="FrankRuehl" w:cs="FrankRuehl"/>
          </w:rPr>
          <w:t>144</w:t>
        </w:r>
      </w:hyperlink>
      <w:r w:rsidRPr="008216A6">
        <w:rPr>
          <w:rFonts w:ascii="FrankRuehl" w:hAnsi="FrankRuehl" w:cs="FrankRuehl"/>
          <w:color w:val="0000FF"/>
          <w:rtl/>
        </w:rPr>
        <w:t xml:space="preserve">(ב), </w:t>
      </w:r>
      <w:hyperlink r:id="rId13" w:history="1">
        <w:r w:rsidRPr="008216A6">
          <w:rPr>
            <w:rStyle w:val="Hyperlink"/>
            <w:rFonts w:ascii="FrankRuehl" w:hAnsi="FrankRuehl" w:cs="FrankRuehl"/>
          </w:rPr>
          <w:t>244</w:t>
        </w:r>
      </w:hyperlink>
      <w:r w:rsidRPr="008216A6">
        <w:rPr>
          <w:rFonts w:ascii="FrankRuehl" w:hAnsi="FrankRuehl" w:cs="FrankRuehl"/>
          <w:color w:val="0000FF"/>
          <w:rtl/>
        </w:rPr>
        <w:t xml:space="preserve">, </w:t>
      </w:r>
      <w:hyperlink r:id="rId14" w:history="1">
        <w:r w:rsidRPr="008216A6">
          <w:rPr>
            <w:rStyle w:val="Hyperlink"/>
            <w:rFonts w:ascii="FrankRuehl" w:hAnsi="FrankRuehl" w:cs="FrankRuehl"/>
          </w:rPr>
          <w:t>40</w:t>
        </w:r>
        <w:r w:rsidRPr="008216A6">
          <w:rPr>
            <w:rStyle w:val="Hyperlink"/>
            <w:rFonts w:ascii="FrankRuehl" w:hAnsi="FrankRuehl" w:cs="FrankRuehl"/>
            <w:rtl/>
          </w:rPr>
          <w:t>יג</w:t>
        </w:r>
      </w:hyperlink>
      <w:r w:rsidRPr="008216A6">
        <w:rPr>
          <w:rFonts w:ascii="FrankRuehl" w:hAnsi="FrankRuehl" w:cs="FrankRuehl"/>
          <w:color w:val="0000FF"/>
          <w:rtl/>
        </w:rPr>
        <w:t xml:space="preserve">(ב), </w:t>
      </w:r>
      <w:hyperlink r:id="rId15" w:history="1">
        <w:r w:rsidRPr="008216A6">
          <w:rPr>
            <w:rStyle w:val="Hyperlink"/>
            <w:rFonts w:ascii="FrankRuehl" w:hAnsi="FrankRuehl" w:cs="FrankRuehl"/>
            <w:rtl/>
          </w:rPr>
          <w:t>א</w:t>
        </w:r>
        <w:r w:rsidRPr="008216A6">
          <w:rPr>
            <w:rStyle w:val="Hyperlink"/>
            <w:rFonts w:ascii="FrankRuehl" w:hAnsi="FrankRuehl" w:cs="FrankRuehl"/>
          </w:rPr>
          <w:t>'</w:t>
        </w:r>
      </w:hyperlink>
    </w:p>
    <w:p w14:paraId="3700DF32" w14:textId="77777777" w:rsidR="004953EC" w:rsidRPr="008216A6" w:rsidRDefault="004953EC" w:rsidP="008216A6">
      <w:bookmarkStart w:id="3" w:name="LawTable_End"/>
      <w:bookmarkEnd w:id="3"/>
    </w:p>
    <w:tbl>
      <w:tblPr>
        <w:bidiVisual/>
        <w:tblW w:w="8820" w:type="dxa"/>
        <w:jc w:val="center"/>
        <w:tblLook w:val="01E0" w:firstRow="1" w:lastRow="1" w:firstColumn="1" w:lastColumn="1" w:noHBand="0" w:noVBand="0"/>
      </w:tblPr>
      <w:tblGrid>
        <w:gridCol w:w="8820"/>
      </w:tblGrid>
      <w:tr w:rsidR="004953EC" w14:paraId="402E5D15" w14:textId="77777777" w:rsidTr="004953EC">
        <w:trPr>
          <w:jc w:val="center"/>
        </w:trPr>
        <w:tc>
          <w:tcPr>
            <w:tcW w:w="8820" w:type="dxa"/>
            <w:shd w:val="clear" w:color="auto" w:fill="auto"/>
          </w:tcPr>
          <w:p w14:paraId="377F5A08" w14:textId="77777777" w:rsidR="00C701C1" w:rsidRPr="00C701C1" w:rsidRDefault="00C701C1" w:rsidP="00C701C1">
            <w:pPr>
              <w:bidi w:val="0"/>
              <w:jc w:val="center"/>
              <w:rPr>
                <w:rFonts w:ascii="Arial" w:hAnsi="Arial"/>
                <w:b/>
                <w:bCs/>
                <w:sz w:val="28"/>
                <w:szCs w:val="28"/>
                <w:u w:val="single"/>
              </w:rPr>
            </w:pPr>
            <w:bookmarkStart w:id="4" w:name="PsakDin" w:colFirst="0" w:colLast="0"/>
            <w:bookmarkEnd w:id="0"/>
            <w:r w:rsidRPr="00C701C1">
              <w:rPr>
                <w:rFonts w:ascii="Arial" w:hAnsi="Arial"/>
                <w:b/>
                <w:bCs/>
                <w:sz w:val="28"/>
                <w:szCs w:val="28"/>
                <w:u w:val="single"/>
                <w:rtl/>
              </w:rPr>
              <w:t>גזר דין</w:t>
            </w:r>
          </w:p>
          <w:p w14:paraId="2BADA8B8" w14:textId="77777777" w:rsidR="004953EC" w:rsidRPr="00C701C1" w:rsidRDefault="004953EC" w:rsidP="00C701C1">
            <w:pPr>
              <w:bidi w:val="0"/>
              <w:jc w:val="center"/>
              <w:rPr>
                <w:rFonts w:ascii="Arial" w:hAnsi="Arial"/>
                <w:b/>
                <w:bCs/>
                <w:sz w:val="28"/>
                <w:szCs w:val="28"/>
                <w:u w:val="single"/>
                <w:rtl/>
              </w:rPr>
            </w:pPr>
          </w:p>
        </w:tc>
      </w:tr>
    </w:tbl>
    <w:p w14:paraId="4DB5B7FC" w14:textId="77777777" w:rsidR="004953EC" w:rsidRDefault="004953EC" w:rsidP="004953EC">
      <w:pPr>
        <w:spacing w:line="360" w:lineRule="auto"/>
        <w:jc w:val="center"/>
        <w:rPr>
          <w:rFonts w:ascii="Arial" w:hAnsi="Arial"/>
        </w:rPr>
      </w:pPr>
      <w:bookmarkStart w:id="5" w:name="NGCSBookmark"/>
      <w:bookmarkEnd w:id="4"/>
      <w:bookmarkEnd w:id="5"/>
    </w:p>
    <w:p w14:paraId="4F6011B7" w14:textId="77777777" w:rsidR="004953EC" w:rsidRDefault="004953EC" w:rsidP="004953EC">
      <w:pPr>
        <w:spacing w:line="360" w:lineRule="auto"/>
        <w:jc w:val="both"/>
        <w:rPr>
          <w:rFonts w:ascii="Arial" w:hAnsi="Arial"/>
          <w:noProof/>
          <w:rtl/>
        </w:rPr>
      </w:pPr>
      <w:r>
        <w:rPr>
          <w:rFonts w:ascii="Arial" w:hAnsi="Arial"/>
          <w:rtl/>
        </w:rPr>
        <w:t>1.</w:t>
      </w:r>
      <w:r>
        <w:rPr>
          <w:rFonts w:ascii="Arial" w:hAnsi="Arial"/>
          <w:rtl/>
        </w:rPr>
        <w:tab/>
      </w:r>
      <w:bookmarkStart w:id="6" w:name="ABSTRACT_START"/>
      <w:bookmarkEnd w:id="6"/>
      <w:r>
        <w:rPr>
          <w:rFonts w:ascii="Arial" w:hAnsi="Arial"/>
          <w:rtl/>
        </w:rPr>
        <w:t>הנאשם הודה בעובדות כתב אישום מתוקן בשנית (</w:t>
      </w:r>
      <w:r>
        <w:rPr>
          <w:rFonts w:ascii="Miriam" w:hAnsi="Miriam" w:cs="Miriam"/>
          <w:rtl/>
        </w:rPr>
        <w:t>א/1</w:t>
      </w:r>
      <w:r>
        <w:rPr>
          <w:rFonts w:ascii="Arial" w:hAnsi="Arial"/>
          <w:rtl/>
        </w:rPr>
        <w:t xml:space="preserve">) במסגרת של הסדר טיעון וזאת מבלי שגובשה בין הצדדים הסכמה לעניין העונש. מכוח הודאתו הנ"ל, הורשע הנאשם בעבירות המיוחסות לו בכתב האישום המתוקן בשנית </w:t>
      </w:r>
      <w:r>
        <w:rPr>
          <w:rFonts w:ascii="Miriam" w:hAnsi="Miriam" w:cs="Miriam"/>
          <w:rtl/>
        </w:rPr>
        <w:t>(</w:t>
      </w:r>
      <w:r>
        <w:rPr>
          <w:rFonts w:ascii="David" w:hAnsi="David"/>
          <w:rtl/>
        </w:rPr>
        <w:t>להלן גם</w:t>
      </w:r>
      <w:r>
        <w:rPr>
          <w:rFonts w:ascii="Miriam" w:hAnsi="Miriam" w:cs="Miriam"/>
          <w:rtl/>
        </w:rPr>
        <w:t>: כתב האישום)</w:t>
      </w:r>
      <w:r>
        <w:rPr>
          <w:rFonts w:ascii="Arial" w:hAnsi="Arial"/>
          <w:rtl/>
        </w:rPr>
        <w:t xml:space="preserve"> – עבירות בנשק (נשיאה והובלה) לפי </w:t>
      </w:r>
      <w:hyperlink r:id="rId16" w:history="1">
        <w:r w:rsidR="008216A6" w:rsidRPr="008216A6">
          <w:rPr>
            <w:rStyle w:val="Hyperlink"/>
            <w:rFonts w:ascii="Arial" w:hAnsi="Arial"/>
            <w:rtl/>
          </w:rPr>
          <w:t>סעיף 144(ב)</w:t>
        </w:r>
      </w:hyperlink>
      <w:r>
        <w:rPr>
          <w:rFonts w:ascii="Arial" w:hAnsi="Arial"/>
          <w:rtl/>
        </w:rPr>
        <w:t xml:space="preserve"> רישא וסיפא ל</w:t>
      </w:r>
      <w:hyperlink r:id="rId17" w:history="1">
        <w:r w:rsidR="00C701C1" w:rsidRPr="00C701C1">
          <w:rPr>
            <w:rFonts w:ascii="Arial" w:hAnsi="Arial"/>
            <w:color w:val="0000FF"/>
            <w:u w:val="single"/>
            <w:rtl/>
          </w:rPr>
          <w:t>חוק העונשין</w:t>
        </w:r>
      </w:hyperlink>
      <w:r>
        <w:rPr>
          <w:rFonts w:ascii="Arial" w:hAnsi="Arial"/>
          <w:rtl/>
        </w:rPr>
        <w:t xml:space="preserve">, התשל"ז-1977 (להלן: </w:t>
      </w:r>
      <w:r>
        <w:rPr>
          <w:rFonts w:ascii="Miriam" w:hAnsi="Miriam" w:cs="Miriam"/>
          <w:rtl/>
        </w:rPr>
        <w:t>חוק העונשין</w:t>
      </w:r>
      <w:r>
        <w:rPr>
          <w:rFonts w:ascii="Arial" w:hAnsi="Arial"/>
          <w:rtl/>
        </w:rPr>
        <w:t xml:space="preserve">) ועבירה של שיבוש מהלכי משפט, לפי </w:t>
      </w:r>
      <w:hyperlink r:id="rId18" w:history="1">
        <w:r w:rsidR="008216A6" w:rsidRPr="008216A6">
          <w:rPr>
            <w:rStyle w:val="Hyperlink"/>
            <w:rFonts w:ascii="Arial" w:hAnsi="Arial"/>
            <w:rtl/>
          </w:rPr>
          <w:t>סעיף 244</w:t>
        </w:r>
      </w:hyperlink>
      <w:r>
        <w:rPr>
          <w:rFonts w:ascii="Arial" w:hAnsi="Arial"/>
          <w:rtl/>
        </w:rPr>
        <w:t xml:space="preserve"> לחוק הנ"ל</w:t>
      </w:r>
      <w:bookmarkStart w:id="7" w:name="ABSTRACT_END"/>
      <w:bookmarkEnd w:id="7"/>
      <w:r>
        <w:rPr>
          <w:rFonts w:ascii="Arial" w:hAnsi="Arial"/>
          <w:rtl/>
        </w:rPr>
        <w:t xml:space="preserve">. </w:t>
      </w:r>
    </w:p>
    <w:p w14:paraId="33948B26" w14:textId="77777777" w:rsidR="004953EC" w:rsidRDefault="004953EC" w:rsidP="004953EC">
      <w:pPr>
        <w:pStyle w:val="a9"/>
        <w:spacing w:line="360" w:lineRule="auto"/>
        <w:jc w:val="both"/>
        <w:rPr>
          <w:rFonts w:ascii="Arial" w:hAnsi="Arial"/>
          <w:noProof w:val="0"/>
          <w:rtl/>
        </w:rPr>
      </w:pPr>
    </w:p>
    <w:p w14:paraId="64AAF955" w14:textId="77777777" w:rsidR="004953EC" w:rsidRDefault="004953EC" w:rsidP="004953EC">
      <w:pPr>
        <w:spacing w:line="360" w:lineRule="auto"/>
        <w:jc w:val="both"/>
        <w:rPr>
          <w:rFonts w:ascii="Miriam" w:hAnsi="Miriam" w:cs="Miriam"/>
          <w:u w:val="single"/>
          <w:rtl/>
        </w:rPr>
      </w:pPr>
      <w:r>
        <w:rPr>
          <w:rFonts w:ascii="Miriam" w:hAnsi="Miriam" w:cs="Miriam"/>
          <w:u w:val="single"/>
          <w:rtl/>
        </w:rPr>
        <w:t xml:space="preserve">כתב האישום המתוקן בשנית </w:t>
      </w:r>
    </w:p>
    <w:p w14:paraId="0E2C2B7E" w14:textId="77777777" w:rsidR="004953EC" w:rsidRDefault="004953EC" w:rsidP="004953EC">
      <w:pPr>
        <w:spacing w:line="360" w:lineRule="auto"/>
        <w:jc w:val="both"/>
        <w:rPr>
          <w:rFonts w:ascii="Arial" w:hAnsi="Arial"/>
          <w:rtl/>
        </w:rPr>
      </w:pPr>
    </w:p>
    <w:p w14:paraId="4F8D2CAE" w14:textId="77777777" w:rsidR="004953EC" w:rsidRDefault="004953EC" w:rsidP="004953EC">
      <w:pPr>
        <w:spacing w:line="360" w:lineRule="auto"/>
        <w:jc w:val="both"/>
        <w:rPr>
          <w:rFonts w:ascii="Arial" w:hAnsi="Arial"/>
          <w:rtl/>
        </w:rPr>
      </w:pPr>
      <w:r>
        <w:rPr>
          <w:rFonts w:ascii="Arial" w:hAnsi="Arial"/>
          <w:rtl/>
        </w:rPr>
        <w:t>2.</w:t>
      </w:r>
      <w:r>
        <w:rPr>
          <w:rFonts w:ascii="Arial" w:hAnsi="Arial"/>
          <w:rtl/>
        </w:rPr>
        <w:tab/>
        <w:t xml:space="preserve">ביום 17/1/20 בשעה 21:55 לערך, נשא והוביל הנאשם על גופו בשכונת אל-בגדאד בכפר ג'ת (להלן: </w:t>
      </w:r>
      <w:r>
        <w:rPr>
          <w:rFonts w:ascii="Miriam" w:hAnsi="Miriam" w:cs="Miriam"/>
          <w:rtl/>
        </w:rPr>
        <w:t>השכונה</w:t>
      </w:r>
      <w:r>
        <w:rPr>
          <w:rFonts w:ascii="Arial" w:hAnsi="Arial"/>
          <w:rtl/>
        </w:rPr>
        <w:t xml:space="preserve">) תת מקלע מאולתר מסוג "קרלו" בקוטר 9 מ"מ שסוגל לירות כדור ובכוחו להמית אדם (להלן: </w:t>
      </w:r>
      <w:r>
        <w:rPr>
          <w:rFonts w:ascii="Miriam" w:hAnsi="Miriam" w:cs="Miriam"/>
          <w:rtl/>
        </w:rPr>
        <w:t>הנשק</w:t>
      </w:r>
      <w:r>
        <w:rPr>
          <w:rFonts w:ascii="Arial" w:hAnsi="Arial"/>
          <w:rtl/>
        </w:rPr>
        <w:t xml:space="preserve">) וכן מחסנית ריקה המתאימה לתת מקלע מסוג "עוזי" שהוסבה לשימוש בנשק (להלן: </w:t>
      </w:r>
      <w:r>
        <w:rPr>
          <w:rFonts w:ascii="Miriam" w:hAnsi="Miriam" w:cs="Miriam"/>
          <w:rtl/>
        </w:rPr>
        <w:t>המחסנית</w:t>
      </w:r>
      <w:r>
        <w:rPr>
          <w:rFonts w:ascii="Arial" w:hAnsi="Arial"/>
          <w:rtl/>
        </w:rPr>
        <w:t xml:space="preserve">), וזאת בלא רשות על פי דין לנשיאתם והובלתם. </w:t>
      </w:r>
    </w:p>
    <w:p w14:paraId="75F7F9FB" w14:textId="77777777" w:rsidR="004953EC" w:rsidRDefault="004953EC" w:rsidP="004953EC">
      <w:pPr>
        <w:pStyle w:val="a9"/>
        <w:spacing w:line="360" w:lineRule="auto"/>
        <w:jc w:val="both"/>
        <w:rPr>
          <w:rFonts w:ascii="Arial" w:hAnsi="Arial"/>
          <w:noProof w:val="0"/>
        </w:rPr>
      </w:pPr>
    </w:p>
    <w:p w14:paraId="453E0C2B" w14:textId="77777777" w:rsidR="004953EC" w:rsidRDefault="004953EC" w:rsidP="004953EC">
      <w:pPr>
        <w:spacing w:line="360" w:lineRule="auto"/>
        <w:ind w:firstLine="720"/>
        <w:jc w:val="both"/>
        <w:rPr>
          <w:rFonts w:ascii="Arial" w:hAnsi="Arial"/>
        </w:rPr>
      </w:pPr>
      <w:r>
        <w:rPr>
          <w:rFonts w:ascii="Arial" w:hAnsi="Arial"/>
          <w:rtl/>
        </w:rPr>
        <w:t xml:space="preserve">באותו מועד, ובעקבות דיווח על ירי בשכונה, הגיעו השוטרים אנואר ח'ורי ומואנס ח'וגיראת אל השכונה בניידת משטרתית. השוטרים הנ"ל הבחינו, בהגיעם לרחוב הסמוך למתחם משפחת אבו גליון, בנאשם הולך מולם כשהוא מחזיק נשק בידו. הנאשם הבחין בניידת, הסתובב במקום והחל לרוץ בהמשך אותו רחוב בעודו נושא ומוביל את הנשק בידו. השוטר אנואר שיצא מהניידת, רדף אחר הנאשם תוך שצעק לעברו מספר פעמים "עצור משטרה".  </w:t>
      </w:r>
    </w:p>
    <w:p w14:paraId="78659C5E" w14:textId="77777777" w:rsidR="004953EC" w:rsidRDefault="004953EC" w:rsidP="004953EC">
      <w:pPr>
        <w:spacing w:line="360" w:lineRule="auto"/>
        <w:ind w:left="360" w:firstLine="360"/>
        <w:jc w:val="both"/>
        <w:rPr>
          <w:rFonts w:ascii="Arial" w:hAnsi="Arial"/>
          <w:rtl/>
        </w:rPr>
      </w:pPr>
    </w:p>
    <w:p w14:paraId="6D2CBEAD" w14:textId="77777777" w:rsidR="004953EC" w:rsidRDefault="004953EC" w:rsidP="004953EC">
      <w:pPr>
        <w:spacing w:line="360" w:lineRule="auto"/>
        <w:ind w:firstLine="720"/>
        <w:jc w:val="both"/>
        <w:rPr>
          <w:rFonts w:ascii="Arial" w:hAnsi="Arial"/>
          <w:rtl/>
        </w:rPr>
      </w:pPr>
      <w:r>
        <w:rPr>
          <w:rFonts w:ascii="Arial" w:hAnsi="Arial"/>
          <w:rtl/>
        </w:rPr>
        <w:t xml:space="preserve">כעבור 30 מטרים לערך, השליך הנאשם את הנשק אל מעבר לחומה שתחמה שטח פרטי, בכוונה למנוע או להכשיל הליך שיפוטי ולהפריע לשוטר במילוי תפקידו כחוק  או להכשילו בכך. הנאשם המשיך להימלט בהמשך הרחוב. השוטר אנואר צעק לעברו "עצור או שאני יורה", ואז ביצע ירייה אחת באוויר והמשיך במרדף אחר הנאשם.  הנאשם המשיך במנוסתו ואז השוטר אנואר שוב צעק לעברו את הדברים הנ"ל וביצע ירייה באוויר. הנאשם המשיך במנוסתו ואז נפל ונעצר. הנשק והמחסנית נתפסו ע"י השוטר אנואר בחיפוש שערך בשטח הפרטי אליו הושלך הנשק ע"י הנאשם. </w:t>
      </w:r>
    </w:p>
    <w:p w14:paraId="689BEEDA" w14:textId="77777777" w:rsidR="004953EC" w:rsidRDefault="004953EC" w:rsidP="004953EC">
      <w:pPr>
        <w:jc w:val="both"/>
        <w:rPr>
          <w:rFonts w:ascii="Arial" w:hAnsi="Arial"/>
          <w:rtl/>
        </w:rPr>
      </w:pPr>
    </w:p>
    <w:p w14:paraId="412712B6" w14:textId="77777777" w:rsidR="004953EC" w:rsidRDefault="004953EC" w:rsidP="004953EC">
      <w:pPr>
        <w:spacing w:line="360" w:lineRule="auto"/>
        <w:ind w:firstLine="720"/>
        <w:jc w:val="both"/>
        <w:rPr>
          <w:rFonts w:ascii="Arial" w:hAnsi="Arial"/>
          <w:rtl/>
        </w:rPr>
      </w:pPr>
      <w:r>
        <w:rPr>
          <w:rFonts w:ascii="Arial" w:hAnsi="Arial"/>
          <w:rtl/>
        </w:rPr>
        <w:t xml:space="preserve">במעשיו הנ"ל נשא הנאשם והוביל נשק  ומחסנית ללא רשות על פי דין לנשיאתם והובלתם וכן השליך את הנשק בכוונה למנוע או להכשיל הליך שיפוטי או להביא  לידי עיוות דין, וכן להפריע לשוטר הממלא את תפקידו  כחוק או להכשילו בכך. </w:t>
      </w:r>
    </w:p>
    <w:p w14:paraId="1305B114" w14:textId="77777777" w:rsidR="004953EC" w:rsidRDefault="004953EC" w:rsidP="004953EC">
      <w:pPr>
        <w:jc w:val="both"/>
        <w:rPr>
          <w:rFonts w:ascii="Miriam" w:hAnsi="Miriam" w:cs="Miriam"/>
          <w:rtl/>
        </w:rPr>
      </w:pPr>
    </w:p>
    <w:p w14:paraId="5C670163" w14:textId="77777777" w:rsidR="004953EC" w:rsidRDefault="004953EC" w:rsidP="004953EC">
      <w:pPr>
        <w:spacing w:line="360" w:lineRule="auto"/>
        <w:jc w:val="both"/>
        <w:rPr>
          <w:rFonts w:ascii="Miriam" w:hAnsi="Miriam" w:cs="Miriam"/>
          <w:u w:val="single"/>
          <w:rtl/>
        </w:rPr>
      </w:pPr>
      <w:r>
        <w:rPr>
          <w:rFonts w:ascii="Miriam" w:hAnsi="Miriam" w:cs="Miriam"/>
          <w:u w:val="single"/>
          <w:rtl/>
        </w:rPr>
        <w:t>ראיות הצדדים לעונש וטיעוניהם לעונש</w:t>
      </w:r>
    </w:p>
    <w:p w14:paraId="76AD2AD9" w14:textId="77777777" w:rsidR="004953EC" w:rsidRDefault="004953EC" w:rsidP="004953EC">
      <w:pPr>
        <w:jc w:val="both"/>
        <w:rPr>
          <w:rFonts w:ascii="Arial" w:hAnsi="Arial"/>
          <w:rtl/>
        </w:rPr>
      </w:pPr>
    </w:p>
    <w:p w14:paraId="6C51B8A5" w14:textId="77777777" w:rsidR="004953EC" w:rsidRDefault="004953EC" w:rsidP="004953EC">
      <w:pPr>
        <w:spacing w:line="360" w:lineRule="auto"/>
        <w:jc w:val="both"/>
        <w:rPr>
          <w:rFonts w:ascii="Arial" w:hAnsi="Arial"/>
          <w:rtl/>
        </w:rPr>
      </w:pPr>
      <w:r>
        <w:rPr>
          <w:rFonts w:ascii="Arial" w:hAnsi="Arial"/>
          <w:rtl/>
        </w:rPr>
        <w:t>3.</w:t>
      </w:r>
      <w:r>
        <w:rPr>
          <w:rFonts w:ascii="Arial" w:hAnsi="Arial"/>
          <w:rtl/>
        </w:rPr>
        <w:tab/>
        <w:t>במסגרת ראיות המאשימה לעונש הוגש גיליון המרשם הפלילי של הנאשם (</w:t>
      </w:r>
      <w:r>
        <w:rPr>
          <w:rFonts w:ascii="Miriam" w:hAnsi="Miriam" w:cs="Miriam"/>
          <w:rtl/>
        </w:rPr>
        <w:t>ט/1</w:t>
      </w:r>
      <w:r>
        <w:rPr>
          <w:rFonts w:ascii="Arial" w:hAnsi="Arial"/>
          <w:rtl/>
        </w:rPr>
        <w:t xml:space="preserve">). במסגרת ראיות ההגנה לעונש העידו אמו של הנאשם הגב' נעימה בידס (להלן: </w:t>
      </w:r>
      <w:r>
        <w:rPr>
          <w:rFonts w:ascii="Miriam" w:hAnsi="Miriam" w:cs="Miriam"/>
          <w:rtl/>
        </w:rPr>
        <w:t>הגב' בידס</w:t>
      </w:r>
      <w:r>
        <w:rPr>
          <w:rFonts w:ascii="Arial" w:hAnsi="Arial"/>
          <w:rtl/>
        </w:rPr>
        <w:t>) ובן דודו של הנאשם מר מחמוד ענבוסי (להלן:</w:t>
      </w:r>
      <w:r>
        <w:rPr>
          <w:rFonts w:ascii="Miriam" w:hAnsi="Miriam" w:cs="Miriam"/>
          <w:rtl/>
        </w:rPr>
        <w:t xml:space="preserve"> מר ענבוסי</w:t>
      </w:r>
      <w:r>
        <w:rPr>
          <w:rFonts w:ascii="Arial" w:hAnsi="Arial"/>
          <w:rtl/>
        </w:rPr>
        <w:t>). הגב' בידס סיפרה על הקונסטלציה המשפחתית המורכבת בה גדל הנאשם, ללא דמות של אב בחייו, בדוחק ובעוני. עוד סיפרה הגב' בידס כי מאז שבגר הנאשם עול פרנסת המשפחה מונח על כתפיו. לדבריה, חלתה במחלת הסרטן והנאשם היה זה שדאג לה וסייע לה וכן הסיעה לטיפולים הרפואיים, ומאז שנעצר מסיע אותה אחיינה (מר ענבוסי) לטיפולים. עוד ציינה העדה כי התרשמה משיחות הטלפון עם הנאשם שחל בו שינוי וביקשה להקל בעונשו ולהשיבו הביתה כי היא זקוקה לו מאוד.</w:t>
      </w:r>
    </w:p>
    <w:p w14:paraId="16258EDA" w14:textId="77777777" w:rsidR="004953EC" w:rsidRDefault="004953EC" w:rsidP="004953EC">
      <w:pPr>
        <w:jc w:val="both"/>
        <w:rPr>
          <w:rFonts w:ascii="Arial" w:hAnsi="Arial"/>
          <w:rtl/>
        </w:rPr>
      </w:pPr>
      <w:r>
        <w:rPr>
          <w:rFonts w:ascii="Arial" w:hAnsi="Arial"/>
          <w:rtl/>
        </w:rPr>
        <w:tab/>
      </w:r>
    </w:p>
    <w:p w14:paraId="39E5ECE1" w14:textId="77777777" w:rsidR="004953EC" w:rsidRDefault="004953EC" w:rsidP="004953EC">
      <w:pPr>
        <w:spacing w:line="360" w:lineRule="auto"/>
        <w:jc w:val="both"/>
        <w:rPr>
          <w:rFonts w:ascii="Arial" w:hAnsi="Arial"/>
          <w:rtl/>
        </w:rPr>
      </w:pPr>
      <w:r>
        <w:rPr>
          <w:rFonts w:ascii="Arial" w:hAnsi="Arial"/>
          <w:rtl/>
        </w:rPr>
        <w:tab/>
        <w:t xml:space="preserve">מר ענבוסי סיפר אף הוא על העזרה הרבה של  הנאשם בפרנסת בני משפחתו. לדבריו, הנאשם הוא בדרך כלל  "ילד טוב". עוד סיפר מר ענבוסי כי התרשם משיחות טלפון כי השהייה במעצר שינתה את הנאשם, המתחרט על מעשיו ומקווה לחיים טובים יותר. מר ענבוסי הבהיר כי מאז שנעצר הנאשם הוא זה שמסייע לאמו חולת הסרטן של הנאשם ומסיעה לקבלת טיפולים. </w:t>
      </w:r>
    </w:p>
    <w:p w14:paraId="44BD499B" w14:textId="77777777" w:rsidR="004953EC" w:rsidRDefault="004953EC" w:rsidP="004953EC">
      <w:pPr>
        <w:jc w:val="both"/>
        <w:rPr>
          <w:rFonts w:ascii="Arial" w:hAnsi="Arial"/>
          <w:rtl/>
        </w:rPr>
      </w:pPr>
    </w:p>
    <w:p w14:paraId="2CBD9F4B" w14:textId="77777777" w:rsidR="004953EC" w:rsidRDefault="004953EC" w:rsidP="004953EC">
      <w:pPr>
        <w:spacing w:line="360" w:lineRule="auto"/>
        <w:jc w:val="both"/>
        <w:rPr>
          <w:rFonts w:ascii="Arial" w:hAnsi="Arial"/>
          <w:rtl/>
        </w:rPr>
      </w:pPr>
      <w:r>
        <w:rPr>
          <w:rFonts w:ascii="Arial" w:hAnsi="Arial"/>
          <w:rtl/>
        </w:rPr>
        <w:t>4.</w:t>
      </w:r>
      <w:r>
        <w:rPr>
          <w:rFonts w:ascii="Arial" w:hAnsi="Arial"/>
          <w:rtl/>
        </w:rPr>
        <w:tab/>
        <w:t xml:space="preserve"> בפתח טיעוניו לעונש ציין ב"כ המאשימה את עובדות כתב האישום המתוקן בהן הודה הנאשם, וזאת על מנת ללמד על חומרת מעשיו. לטענת המאשימה, הערך החברתי המוגן שנפגע במקרה דנן הוא שלום הציבור וביטחונו. ב"כ המאשימה ציין כי בנסיבות שבפנינו ברי כי קדם תכנון למעשיו של הנאשם. עוד נטען לעניין חלקו הבלעדי של הנאשם בביצוע העבירות וצוין הנזק הפוטנציאלי הטמון במעשים. הוטעם בנקודה זו כי הנאשם  נס מפני השוטרים, וכי במהלך מנוסתו זרק את הנשק לתוך שטח פרטי, דבר העלול לסכן את שוכני המקום ולהביא לשימוש נוסף בנשק. צוין עוד כי הנאשם אף הביא את השוטר אנואר לבצע ירי באוויר כדי למנוע את מנוסתו.</w:t>
      </w:r>
    </w:p>
    <w:p w14:paraId="0194CDE0" w14:textId="77777777" w:rsidR="004953EC" w:rsidRDefault="004953EC" w:rsidP="004953EC">
      <w:pPr>
        <w:jc w:val="both"/>
        <w:rPr>
          <w:rFonts w:ascii="Arial" w:hAnsi="Arial"/>
          <w:rtl/>
        </w:rPr>
      </w:pPr>
    </w:p>
    <w:p w14:paraId="44AAC4BF" w14:textId="77777777" w:rsidR="004953EC" w:rsidRDefault="004953EC" w:rsidP="004953EC">
      <w:pPr>
        <w:spacing w:line="360" w:lineRule="auto"/>
        <w:jc w:val="both"/>
        <w:rPr>
          <w:rFonts w:ascii="Arial" w:hAnsi="Arial"/>
          <w:rtl/>
        </w:rPr>
      </w:pPr>
      <w:r>
        <w:rPr>
          <w:rFonts w:ascii="Arial" w:hAnsi="Arial"/>
          <w:rtl/>
        </w:rPr>
        <w:lastRenderedPageBreak/>
        <w:t>5.</w:t>
      </w:r>
      <w:r>
        <w:rPr>
          <w:rFonts w:ascii="Arial" w:hAnsi="Arial"/>
          <w:rtl/>
        </w:rPr>
        <w:tab/>
        <w:t>בסיכומו של דבר, לאחר שסקר פסיקה מטעם המאשימה לעניין העונש ובהסתמך על הנחיית פרקליט המדינה מספר 9.16 (</w:t>
      </w:r>
      <w:r>
        <w:rPr>
          <w:rFonts w:ascii="Miriam" w:hAnsi="Miriam" w:cs="Miriam"/>
          <w:rtl/>
        </w:rPr>
        <w:t>ט/2</w:t>
      </w:r>
      <w:r>
        <w:rPr>
          <w:rFonts w:ascii="Arial" w:hAnsi="Arial"/>
          <w:rtl/>
        </w:rPr>
        <w:t>), ביקש ב"כ המאשימה לקבוע בתיק זה מתחם עונש הולם הנע בין שנתיים וחצי עד 5 שנות מאסר בפועל. נוכח הודאתו בעובדות כתב האישום המתוקן לצד עברו הפלילי, סבורה המאשימה כי יש לגזור את עונשו של הנאשם באמצע המתחם הנ"ל לו היא עותרת.</w:t>
      </w:r>
    </w:p>
    <w:p w14:paraId="664A99F8" w14:textId="77777777" w:rsidR="004953EC" w:rsidRDefault="004953EC" w:rsidP="004953EC">
      <w:pPr>
        <w:spacing w:line="360" w:lineRule="auto"/>
        <w:jc w:val="both"/>
        <w:rPr>
          <w:rFonts w:ascii="Arial" w:hAnsi="Arial"/>
          <w:rtl/>
        </w:rPr>
      </w:pPr>
      <w:r>
        <w:rPr>
          <w:rFonts w:ascii="Arial" w:hAnsi="Arial"/>
          <w:rtl/>
        </w:rPr>
        <w:t>6.</w:t>
      </w:r>
      <w:r>
        <w:rPr>
          <w:rFonts w:ascii="Arial" w:hAnsi="Arial"/>
          <w:rtl/>
        </w:rPr>
        <w:tab/>
        <w:t xml:space="preserve">הסניגור, בפתח טיעוניו לעונש, טען כי הפסיקה אליה הפנתה המאשימה כוללת ענישה קלה יותר מזו העולה ממתחם העונש ההולם המתבקש ע"י המאשימה בהתאם להנחיית פרקליט המדינה. עוד ציין הסניגור את הודאת הנאשם בהזדמנות הראשונה בעובדות כתב האישום המתוקן אשר חסכה זמן שיפוטי יקר והעדת 24 עדי תביעה. ב"כ הנאשם חלק על טיעוני המאשימה וטען, כי לא קדם תכנון למעשיו של הנאשם. הסנגור הפנה לדו"ח המשל"ט </w:t>
      </w:r>
      <w:r>
        <w:rPr>
          <w:rFonts w:ascii="Miriam" w:hAnsi="Miriam" w:cs="Miriam"/>
          <w:rtl/>
        </w:rPr>
        <w:t>(נע/1)</w:t>
      </w:r>
      <w:r>
        <w:rPr>
          <w:rFonts w:ascii="Arial" w:hAnsi="Arial"/>
          <w:rtl/>
        </w:rPr>
        <w:t xml:space="preserve"> המלמד, כי למשטרה נמסר דיווח על ירי מנשקים בשכונת מגוריו של הנאשם, והוסיף וטען כי מדובר בנשיאת נשק ספונטנית וקצרת טווח ע"י הנאשם בשכונת מגוריו ולא הרחק מביתו. כאן יובהר כי ב"כ המאשימה אישר כי מכתב האישום המתוקן אכן עולה נשיאה קצרה של הנשק. עוד נטען ע"י ההגנה, כי כאשר הבין הנאשם שדולקת אחריו המשטרה, הוא השליך את הנשק מתוך תגובה ספונטנית ונס מפני השוטרים מרחק קצר בלבד.</w:t>
      </w:r>
    </w:p>
    <w:p w14:paraId="5701A871" w14:textId="77777777" w:rsidR="004953EC" w:rsidRDefault="004953EC" w:rsidP="004953EC">
      <w:pPr>
        <w:jc w:val="both"/>
        <w:rPr>
          <w:rFonts w:ascii="Arial" w:hAnsi="Arial"/>
          <w:rtl/>
        </w:rPr>
      </w:pPr>
    </w:p>
    <w:p w14:paraId="75A7DFB9" w14:textId="77777777" w:rsidR="004953EC" w:rsidRDefault="004953EC" w:rsidP="004953EC">
      <w:pPr>
        <w:spacing w:line="360" w:lineRule="auto"/>
        <w:jc w:val="both"/>
        <w:rPr>
          <w:rFonts w:ascii="Arial" w:hAnsi="Arial"/>
          <w:rtl/>
        </w:rPr>
      </w:pPr>
      <w:r>
        <w:rPr>
          <w:rFonts w:ascii="Arial" w:hAnsi="Arial"/>
          <w:rtl/>
        </w:rPr>
        <w:t>7.</w:t>
      </w:r>
      <w:r>
        <w:rPr>
          <w:rFonts w:ascii="Arial" w:hAnsi="Arial"/>
          <w:rtl/>
        </w:rPr>
        <w:tab/>
        <w:t xml:space="preserve">הסניגור ציין עוד את התקופה הארוכה והקשה בה נתון הנאשם במעצר מאחורי סורג ובריח, מיום 17/1/20,  וזאת לטענת הסנגור משלא עלה בידי הנאשם, מפאת מצבו הכלכלי הקשה,  להציע חלופת מעצר הולמת. עוד נטען לעניין הקושי של הנאשם בשהייה במעצר, אשר הועצם נוכח מגפת הקורונה שהביאה לבידוד שלו  ולחשש מוגבר פן יידבק במחלה במקום שאין לו שליטה עליו. </w:t>
      </w:r>
    </w:p>
    <w:p w14:paraId="443EB2E5" w14:textId="77777777" w:rsidR="004953EC" w:rsidRDefault="004953EC" w:rsidP="004953EC">
      <w:pPr>
        <w:jc w:val="both"/>
        <w:rPr>
          <w:rFonts w:ascii="Arial" w:hAnsi="Arial"/>
          <w:rtl/>
        </w:rPr>
      </w:pPr>
    </w:p>
    <w:p w14:paraId="3461CA3E" w14:textId="77777777" w:rsidR="004953EC" w:rsidRDefault="004953EC" w:rsidP="004953EC">
      <w:pPr>
        <w:spacing w:line="360" w:lineRule="auto"/>
        <w:jc w:val="both"/>
        <w:rPr>
          <w:rFonts w:ascii="Arial" w:hAnsi="Arial"/>
          <w:rtl/>
        </w:rPr>
      </w:pPr>
      <w:r>
        <w:rPr>
          <w:rFonts w:ascii="Arial" w:hAnsi="Arial"/>
          <w:rtl/>
        </w:rPr>
        <w:t>8.</w:t>
      </w:r>
      <w:r>
        <w:rPr>
          <w:rFonts w:ascii="Arial" w:hAnsi="Arial"/>
          <w:rtl/>
        </w:rPr>
        <w:tab/>
        <w:t xml:space="preserve">בנוסף, ציין הסניגור את נסיבות חייו הקשות של הנאשם שגדל בדוחק ובעוני, ללא אב ובצל מחלת הסרטן של אמו. נטען כי לאחר שבגר, נאלץ הנאשם לשאת, בעל כורחו, בתפקיד ראש המשפחה ולפרנס את בנות המשפחה. ב"כ הנאשם הגיש תיעוד רפואי לעניין מצבה הבריאותי של אמו של הנאשם </w:t>
      </w:r>
      <w:r>
        <w:rPr>
          <w:rFonts w:ascii="Miriam" w:hAnsi="Miriam" w:cs="Miriam"/>
          <w:rtl/>
        </w:rPr>
        <w:t>(נע/2</w:t>
      </w:r>
      <w:r>
        <w:rPr>
          <w:rFonts w:ascii="Arial" w:hAnsi="Arial"/>
          <w:rtl/>
        </w:rPr>
        <w:t>) וכן אישור מהמועצה המקומית ג'ת לעניין מצבה הקשה של המשפחה (</w:t>
      </w:r>
      <w:r>
        <w:rPr>
          <w:rFonts w:ascii="Miriam" w:hAnsi="Miriam" w:cs="Miriam"/>
          <w:rtl/>
        </w:rPr>
        <w:t>נע/3</w:t>
      </w:r>
      <w:r>
        <w:rPr>
          <w:rFonts w:ascii="Arial" w:hAnsi="Arial"/>
          <w:rtl/>
        </w:rPr>
        <w:t>). כמו כן, הגיש הסניגור תלושי שכר של הנאשם (</w:t>
      </w:r>
      <w:r>
        <w:rPr>
          <w:rFonts w:ascii="Miriam" w:hAnsi="Miriam" w:cs="Miriam"/>
          <w:rtl/>
        </w:rPr>
        <w:t>נע/4)</w:t>
      </w:r>
      <w:r>
        <w:rPr>
          <w:rFonts w:ascii="Arial" w:hAnsi="Arial"/>
          <w:rtl/>
        </w:rPr>
        <w:t xml:space="preserve"> ללמד כי הנאשם עבד וניהל אורח חיים נורמטיבי. נטען עוד כי נסיבות חייו הקשות של הנאשם הן שהובילו אותו לקבלת החלטות שגויות והוא נשא את המחיר על כך. אשר לעברו הפלילי של הנאשם, נטען כי מדובר בעבירות שנעברו לפני פרקי זמן משמעותיים ואינן בתחום עבירות הנשק.</w:t>
      </w:r>
    </w:p>
    <w:p w14:paraId="26987834" w14:textId="77777777" w:rsidR="004953EC" w:rsidRDefault="004953EC" w:rsidP="004953EC">
      <w:pPr>
        <w:jc w:val="both"/>
        <w:rPr>
          <w:rFonts w:ascii="Arial" w:hAnsi="Arial"/>
          <w:rtl/>
        </w:rPr>
      </w:pPr>
    </w:p>
    <w:p w14:paraId="424827E6" w14:textId="77777777" w:rsidR="004953EC" w:rsidRDefault="004953EC" w:rsidP="004953EC">
      <w:pPr>
        <w:spacing w:line="360" w:lineRule="auto"/>
        <w:jc w:val="both"/>
        <w:rPr>
          <w:rFonts w:ascii="Arial" w:hAnsi="Arial"/>
          <w:rtl/>
        </w:rPr>
      </w:pPr>
      <w:r>
        <w:rPr>
          <w:rFonts w:ascii="Arial" w:hAnsi="Arial"/>
          <w:rtl/>
        </w:rPr>
        <w:t>9.</w:t>
      </w:r>
      <w:r>
        <w:rPr>
          <w:rFonts w:ascii="Arial" w:hAnsi="Arial"/>
          <w:rtl/>
        </w:rPr>
        <w:tab/>
        <w:t>לסיכום, ולאחר שהפנה לפסיקה מטעמו (</w:t>
      </w:r>
      <w:r>
        <w:rPr>
          <w:rFonts w:ascii="Miriam" w:hAnsi="Miriam" w:cs="Miriam"/>
          <w:rtl/>
        </w:rPr>
        <w:t>נע/5</w:t>
      </w:r>
      <w:r>
        <w:rPr>
          <w:rFonts w:ascii="Arial" w:hAnsi="Arial"/>
          <w:rtl/>
        </w:rPr>
        <w:t>) ביקש הסניגור לקבוע בתיק זה, מתחם עונש הולם הנע בין 30-7 חודשי מאסר בפועל וביקש להסתפק בתיק זה בתקופת מעצרו של הנאשם.</w:t>
      </w:r>
    </w:p>
    <w:p w14:paraId="652F878E" w14:textId="77777777" w:rsidR="004953EC" w:rsidRDefault="004953EC" w:rsidP="004953EC">
      <w:pPr>
        <w:jc w:val="both"/>
        <w:rPr>
          <w:rFonts w:ascii="Arial" w:hAnsi="Arial"/>
          <w:rtl/>
        </w:rPr>
      </w:pPr>
    </w:p>
    <w:p w14:paraId="6B704D17" w14:textId="77777777" w:rsidR="004953EC" w:rsidRDefault="004953EC" w:rsidP="004953EC">
      <w:pPr>
        <w:spacing w:line="360" w:lineRule="auto"/>
        <w:jc w:val="both"/>
        <w:rPr>
          <w:rFonts w:ascii="Arial" w:hAnsi="Arial"/>
          <w:rtl/>
        </w:rPr>
      </w:pPr>
      <w:r>
        <w:rPr>
          <w:rFonts w:ascii="Arial" w:hAnsi="Arial"/>
          <w:rtl/>
        </w:rPr>
        <w:t xml:space="preserve">10. </w:t>
      </w:r>
      <w:r>
        <w:rPr>
          <w:rFonts w:ascii="Arial" w:hAnsi="Arial"/>
          <w:rtl/>
        </w:rPr>
        <w:tab/>
        <w:t xml:space="preserve">הנאשם בדיון לפניי אמר את הדברים הבאים, כהאי לישנא: </w:t>
      </w:r>
      <w:r>
        <w:rPr>
          <w:rFonts w:ascii="Miriam" w:hAnsi="Miriam" w:cs="Miriam"/>
          <w:rtl/>
        </w:rPr>
        <w:t>"רציתי להגיד שאני מצטער על המעשה. אני יודע שעשיתי טעות שאספתי את הנשק, חשבתי שמישהו ירה עלי עד שהבנתי שזה המשטרה ובסוף עצרתי. קשה לי במעצר, אני לא ישן בלילה, אם מישהו משתעל לידי אני בלחץ כי אני פוחד להידבק בקורונה".</w:t>
      </w:r>
    </w:p>
    <w:p w14:paraId="4E4A6AE2" w14:textId="77777777" w:rsidR="004953EC" w:rsidRDefault="004953EC" w:rsidP="004953EC">
      <w:pPr>
        <w:spacing w:line="360" w:lineRule="auto"/>
        <w:jc w:val="both"/>
        <w:rPr>
          <w:rFonts w:ascii="Arial" w:hAnsi="Arial"/>
          <w:u w:val="single"/>
          <w:rtl/>
        </w:rPr>
      </w:pPr>
      <w:r>
        <w:rPr>
          <w:rFonts w:ascii="Arial" w:hAnsi="Arial"/>
          <w:rtl/>
        </w:rPr>
        <w:t xml:space="preserve"> </w:t>
      </w:r>
    </w:p>
    <w:p w14:paraId="17F33FF0" w14:textId="77777777" w:rsidR="004953EC" w:rsidRDefault="004953EC" w:rsidP="004953EC">
      <w:pPr>
        <w:spacing w:line="360" w:lineRule="auto"/>
        <w:jc w:val="both"/>
        <w:rPr>
          <w:rFonts w:ascii="Miriam" w:hAnsi="Miriam" w:cs="Miriam"/>
          <w:u w:val="single"/>
          <w:rtl/>
        </w:rPr>
      </w:pPr>
    </w:p>
    <w:p w14:paraId="69E899E0" w14:textId="77777777" w:rsidR="004953EC" w:rsidRDefault="004953EC" w:rsidP="004953EC">
      <w:pPr>
        <w:spacing w:line="360" w:lineRule="auto"/>
        <w:jc w:val="both"/>
        <w:rPr>
          <w:rFonts w:ascii="Miriam" w:hAnsi="Miriam" w:cs="Miriam"/>
          <w:u w:val="single"/>
          <w:rtl/>
        </w:rPr>
      </w:pPr>
    </w:p>
    <w:p w14:paraId="1B640F5A" w14:textId="77777777" w:rsidR="004953EC" w:rsidRDefault="004953EC" w:rsidP="004953EC">
      <w:pPr>
        <w:spacing w:line="360" w:lineRule="auto"/>
        <w:jc w:val="both"/>
        <w:rPr>
          <w:rFonts w:ascii="Miriam" w:hAnsi="Miriam" w:cs="Miriam"/>
          <w:u w:val="single"/>
          <w:rtl/>
        </w:rPr>
      </w:pPr>
    </w:p>
    <w:p w14:paraId="68ADB587" w14:textId="77777777" w:rsidR="004953EC" w:rsidRDefault="004953EC" w:rsidP="004953EC">
      <w:pPr>
        <w:spacing w:line="360" w:lineRule="auto"/>
        <w:jc w:val="both"/>
        <w:rPr>
          <w:rFonts w:ascii="Miriam" w:hAnsi="Miriam" w:cs="Miriam"/>
          <w:u w:val="single"/>
          <w:rtl/>
        </w:rPr>
      </w:pPr>
      <w:r>
        <w:rPr>
          <w:rFonts w:ascii="Miriam" w:hAnsi="Miriam" w:cs="Miriam"/>
          <w:u w:val="single"/>
          <w:rtl/>
        </w:rPr>
        <w:t>דיון והכרעה</w:t>
      </w:r>
    </w:p>
    <w:p w14:paraId="6B19E0F8" w14:textId="77777777" w:rsidR="004953EC" w:rsidRDefault="004953EC" w:rsidP="004953EC">
      <w:pPr>
        <w:spacing w:line="360" w:lineRule="auto"/>
        <w:jc w:val="both"/>
        <w:rPr>
          <w:rFonts w:ascii="Miriam" w:hAnsi="Miriam" w:cs="Miriam"/>
          <w:u w:val="single"/>
          <w:rtl/>
        </w:rPr>
      </w:pPr>
    </w:p>
    <w:p w14:paraId="5AD87DA2" w14:textId="77777777" w:rsidR="004953EC" w:rsidRDefault="004953EC" w:rsidP="004953EC">
      <w:pPr>
        <w:spacing w:line="360" w:lineRule="auto"/>
        <w:jc w:val="both"/>
        <w:rPr>
          <w:rtl/>
        </w:rPr>
      </w:pPr>
      <w:r w:rsidRPr="004953EC">
        <w:rPr>
          <w:rFonts w:ascii="Calibri" w:hAnsi="Calibri"/>
          <w:rtl/>
        </w:rPr>
        <w:t>11.</w:t>
      </w:r>
      <w:r w:rsidRPr="004953EC">
        <w:rPr>
          <w:rFonts w:ascii="Calibri" w:hAnsi="Calibri"/>
          <w:rtl/>
        </w:rPr>
        <w:tab/>
        <w:t>תיקון מס' 113 ל</w:t>
      </w:r>
      <w:hyperlink r:id="rId19"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rtl/>
        </w:rPr>
        <w:t xml:space="preserve"> מתווה את העיקרון המנחה זה מכבר את ביהמ"ש בבואו לגזור דינו של נאשם שהינו לפי סעיף </w:t>
      </w:r>
      <w:hyperlink r:id="rId20" w:history="1">
        <w:r w:rsidR="008216A6" w:rsidRPr="008216A6">
          <w:rPr>
            <w:rStyle w:val="Hyperlink"/>
            <w:rFonts w:ascii="Calibri" w:hAnsi="Calibri"/>
            <w:rtl/>
          </w:rPr>
          <w:t xml:space="preserve">40 </w:t>
        </w:r>
        <w:r w:rsidR="008216A6" w:rsidRPr="008216A6">
          <w:rPr>
            <w:rStyle w:val="Hyperlink"/>
            <w:rFonts w:ascii="Calibri" w:hAnsi="Calibri" w:hint="eastAsia"/>
            <w:rtl/>
          </w:rPr>
          <w:t>ב</w:t>
        </w:r>
      </w:hyperlink>
      <w:r w:rsidRPr="004953EC">
        <w:rPr>
          <w:rFonts w:ascii="Calibri" w:hAnsi="Calibri"/>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1" w:history="1">
        <w:r w:rsidR="00C701C1" w:rsidRPr="00C701C1">
          <w:rPr>
            <w:rFonts w:ascii="Calibri" w:hAnsi="Calibri" w:hint="eastAsia"/>
            <w:color w:val="0000FF"/>
            <w:u w:val="single"/>
            <w:rtl/>
          </w:rPr>
          <w:t>ע</w:t>
        </w:r>
        <w:r w:rsidR="00C701C1" w:rsidRPr="00C701C1">
          <w:rPr>
            <w:rFonts w:ascii="Calibri" w:hAnsi="Calibri"/>
            <w:color w:val="0000FF"/>
            <w:u w:val="single"/>
            <w:rtl/>
          </w:rPr>
          <w:t>.</w:t>
        </w:r>
        <w:r w:rsidR="00C701C1" w:rsidRPr="00C701C1">
          <w:rPr>
            <w:rFonts w:ascii="Calibri" w:hAnsi="Calibri" w:hint="eastAsia"/>
            <w:color w:val="0000FF"/>
            <w:u w:val="single"/>
            <w:rtl/>
          </w:rPr>
          <w:t>פ</w:t>
        </w:r>
        <w:r w:rsidR="00C701C1" w:rsidRPr="00C701C1">
          <w:rPr>
            <w:rFonts w:ascii="Calibri" w:hAnsi="Calibri"/>
            <w:color w:val="0000FF"/>
            <w:u w:val="single"/>
            <w:rtl/>
          </w:rPr>
          <w:t>. 1523/10</w:t>
        </w:r>
      </w:hyperlink>
      <w:r w:rsidRPr="004953EC">
        <w:rPr>
          <w:rFonts w:ascii="Calibri" w:hAnsi="Calibri"/>
          <w:rtl/>
        </w:rPr>
        <w:t xml:space="preserve"> </w:t>
      </w:r>
      <w:r w:rsidRPr="004953EC">
        <w:rPr>
          <w:rFonts w:ascii="Calibri" w:hAnsi="Calibri" w:cs="Miriam"/>
          <w:rtl/>
        </w:rPr>
        <w:t>פלוני נ' מדינת ישראל</w:t>
      </w:r>
      <w:r w:rsidRPr="004953EC">
        <w:rPr>
          <w:rFonts w:ascii="Calibri" w:hAnsi="Calibri"/>
          <w:rtl/>
        </w:rPr>
        <w:t xml:space="preserve">, 18/4/12). סעיף </w:t>
      </w:r>
      <w:hyperlink r:id="rId22" w:history="1">
        <w:r w:rsidR="008216A6" w:rsidRPr="008216A6">
          <w:rPr>
            <w:rStyle w:val="Hyperlink"/>
            <w:rFonts w:ascii="Calibri" w:hAnsi="Calibri"/>
            <w:rtl/>
          </w:rPr>
          <w:t xml:space="preserve">40 </w:t>
        </w:r>
        <w:r w:rsidR="008216A6" w:rsidRPr="008216A6">
          <w:rPr>
            <w:rStyle w:val="Hyperlink"/>
            <w:rFonts w:ascii="Calibri" w:hAnsi="Calibri" w:hint="eastAsia"/>
            <w:rtl/>
          </w:rPr>
          <w:t>ג</w:t>
        </w:r>
        <w:r w:rsidR="008216A6" w:rsidRPr="008216A6">
          <w:rPr>
            <w:rStyle w:val="Hyperlink"/>
            <w:rFonts w:ascii="Calibri" w:hAnsi="Calibri"/>
            <w:rtl/>
          </w:rPr>
          <w:t>'</w:t>
        </w:r>
      </w:hyperlink>
      <w:r w:rsidRPr="004953EC">
        <w:rPr>
          <w:rFonts w:ascii="Calibri" w:hAnsi="Calibri"/>
          <w:rtl/>
        </w:rPr>
        <w:t xml:space="preserve"> ל</w:t>
      </w:r>
      <w:hyperlink r:id="rId23"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24" w:history="1">
        <w:r w:rsidR="008216A6" w:rsidRPr="008216A6">
          <w:rPr>
            <w:rStyle w:val="Hyperlink"/>
            <w:rFonts w:ascii="Calibri" w:hAnsi="Calibri"/>
            <w:rtl/>
          </w:rPr>
          <w:t xml:space="preserve">40 </w:t>
        </w:r>
        <w:r w:rsidR="008216A6" w:rsidRPr="008216A6">
          <w:rPr>
            <w:rStyle w:val="Hyperlink"/>
            <w:rFonts w:ascii="Calibri" w:hAnsi="Calibri" w:hint="eastAsia"/>
            <w:rtl/>
          </w:rPr>
          <w:t>ט</w:t>
        </w:r>
        <w:r w:rsidR="008216A6" w:rsidRPr="008216A6">
          <w:rPr>
            <w:rStyle w:val="Hyperlink"/>
            <w:rFonts w:ascii="Calibri" w:hAnsi="Calibri"/>
            <w:rtl/>
          </w:rPr>
          <w:t>'</w:t>
        </w:r>
      </w:hyperlink>
      <w:r w:rsidRPr="004953EC">
        <w:rPr>
          <w:rFonts w:ascii="Calibri" w:hAnsi="Calibri"/>
          <w:rtl/>
        </w:rPr>
        <w:t xml:space="preserve"> ל</w:t>
      </w:r>
      <w:hyperlink r:id="rId25"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sz w:val="22"/>
          <w:szCs w:val="22"/>
          <w:rtl/>
        </w:rPr>
        <w:t>.</w:t>
      </w:r>
      <w:r>
        <w:rPr>
          <w:rtl/>
        </w:rPr>
        <w:t xml:space="preserve"> על בית המשפט, בשלב הראשון של יישום תיקון 113 ל</w:t>
      </w:r>
      <w:hyperlink r:id="rId26" w:history="1">
        <w:r w:rsidR="00C701C1" w:rsidRPr="00C701C1">
          <w:rPr>
            <w:color w:val="0000FF"/>
            <w:u w:val="single"/>
            <w:rtl/>
          </w:rPr>
          <w:t>חוק העונשין</w:t>
        </w:r>
      </w:hyperlink>
      <w:r>
        <w:rPr>
          <w:rtl/>
        </w:rPr>
        <w:t>, לבדוק האם העבירות בהן הורשע הנאשם מהוות אירוע אחד או כמה אירועים נפרדים, לצורך קביעת מתחם העונש ההולם (</w:t>
      </w:r>
      <w:hyperlink r:id="rId27" w:history="1">
        <w:r w:rsidR="008216A6" w:rsidRPr="008216A6">
          <w:rPr>
            <w:rStyle w:val="Hyperlink"/>
            <w:rtl/>
          </w:rPr>
          <w:t>סעיף 40יג(ב)</w:t>
        </w:r>
      </w:hyperlink>
      <w:r>
        <w:rPr>
          <w:rtl/>
        </w:rPr>
        <w:t xml:space="preserve"> לחוק העונשין) (ראו </w:t>
      </w:r>
      <w:hyperlink r:id="rId28" w:history="1">
        <w:r w:rsidR="00C701C1" w:rsidRPr="00C701C1">
          <w:rPr>
            <w:color w:val="0000FF"/>
            <w:u w:val="single"/>
            <w:rtl/>
          </w:rPr>
          <w:t>ע"פ 8641/12</w:t>
        </w:r>
      </w:hyperlink>
      <w:r>
        <w:rPr>
          <w:rtl/>
        </w:rPr>
        <w:t xml:space="preserve"> </w:t>
      </w:r>
      <w:r>
        <w:rPr>
          <w:rFonts w:ascii="Miriam" w:hAnsi="Miriam" w:cs="Miriam"/>
          <w:rtl/>
        </w:rPr>
        <w:t>סעד נ' מדינת ישראל</w:t>
      </w:r>
      <w:r>
        <w:rPr>
          <w:rtl/>
        </w:rPr>
        <w:t xml:space="preserve"> (5.8.2013)). ב</w:t>
      </w:r>
      <w:hyperlink r:id="rId29" w:history="1">
        <w:r w:rsidR="00C701C1" w:rsidRPr="00C701C1">
          <w:rPr>
            <w:color w:val="0000FF"/>
            <w:u w:val="single"/>
            <w:rtl/>
          </w:rPr>
          <w:t>ע"פ 4910/13</w:t>
        </w:r>
      </w:hyperlink>
      <w:r>
        <w:rPr>
          <w:rtl/>
        </w:rPr>
        <w:t xml:space="preserve"> </w:t>
      </w:r>
      <w:r>
        <w:rPr>
          <w:rFonts w:ascii="Miriam" w:hAnsi="Miriam" w:cs="Miriam"/>
          <w:rtl/>
        </w:rPr>
        <w:t>ג'אבר נ' מדינת ישראל</w:t>
      </w:r>
      <w:r>
        <w:rPr>
          <w:rtl/>
        </w:rPr>
        <w:t xml:space="preserve"> (29.10.2014) (להלן: </w:t>
      </w:r>
      <w:r>
        <w:rPr>
          <w:rFonts w:ascii="Miriam" w:hAnsi="Miriam" w:cs="Miriam"/>
          <w:rtl/>
        </w:rPr>
        <w:t>עניין ג'אבר</w:t>
      </w:r>
      <w:r>
        <w:rPr>
          <w:rtl/>
        </w:rPr>
        <w:t xml:space="preserve">) קבע בית המשפט העליון, כי עבירות שיש ביניהן קשר ענייני הדוק ושניתן להשקיף עליהן כמסכת עבריינית אחת ייחשבו לאירוע אחד (ראו בעניין זה פסקה 5 לחוות דעתה של כב' השופטת ברק ארז בעניין ג'אבר ופסקה 2 לחוות דעתו של כב' השופט פוגלמן). במקרה דנן קיים קשר הדוק בין העבירות מושא כתב האישום המתוקן והן מהוות מסכת עבריינית אחת ומשכך יש לראותן כאירוע אחד בגינו ייקבע מתחם העונש ההולם, מה גם שאין חולק על כך. </w:t>
      </w:r>
    </w:p>
    <w:p w14:paraId="3E588D4A" w14:textId="77777777" w:rsidR="004953EC" w:rsidRDefault="004953EC" w:rsidP="004953EC">
      <w:pPr>
        <w:spacing w:after="160"/>
        <w:jc w:val="both"/>
        <w:rPr>
          <w:noProof/>
        </w:rPr>
      </w:pPr>
    </w:p>
    <w:p w14:paraId="663116C3" w14:textId="77777777" w:rsidR="004953EC" w:rsidRDefault="004953EC" w:rsidP="004953EC">
      <w:pPr>
        <w:spacing w:after="160" w:line="360" w:lineRule="auto"/>
        <w:jc w:val="both"/>
        <w:rPr>
          <w:rtl/>
        </w:rPr>
      </w:pPr>
      <w:r>
        <w:rPr>
          <w:rtl/>
        </w:rPr>
        <w:t>12.</w:t>
      </w:r>
      <w:r>
        <w:rPr>
          <w:rtl/>
        </w:rPr>
        <w:tab/>
        <w:t>הערך המוגן הנפגע כתוצאה מביצוע העבירות של נשיאת והובלת נשק, שלא כדין, הוא שלום הציבור ובטחונו. "</w:t>
      </w:r>
      <w:r>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0" w:history="1">
        <w:r w:rsidR="00C701C1" w:rsidRPr="00C701C1">
          <w:rPr>
            <w:color w:val="0000FF"/>
            <w:u w:val="single"/>
            <w:rtl/>
          </w:rPr>
          <w:t>ע"פ 7502/12</w:t>
        </w:r>
      </w:hyperlink>
      <w:r>
        <w:rPr>
          <w:rtl/>
        </w:rPr>
        <w:t xml:space="preserve"> ‏</w:t>
      </w:r>
      <w:r>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בנשיאת נשק ללא היתר ועל התוצאות הקשות והרות-הגורל שעלולות להיגרם מביצוע עבירות אלה שהן, לדאבון הלב, עבירות נפוצות. </w:t>
      </w:r>
    </w:p>
    <w:p w14:paraId="0443309A" w14:textId="77777777" w:rsidR="004953EC" w:rsidRDefault="004953EC" w:rsidP="004953EC">
      <w:pPr>
        <w:spacing w:after="160"/>
        <w:jc w:val="both"/>
        <w:rPr>
          <w:rtl/>
        </w:rPr>
      </w:pPr>
    </w:p>
    <w:p w14:paraId="20AC3DCB" w14:textId="77777777" w:rsidR="004953EC" w:rsidRDefault="004953EC" w:rsidP="004953EC">
      <w:pPr>
        <w:spacing w:after="160" w:line="360" w:lineRule="auto"/>
        <w:jc w:val="both"/>
        <w:rPr>
          <w:rtl/>
        </w:rPr>
      </w:pPr>
      <w:r>
        <w:rPr>
          <w:rtl/>
        </w:rPr>
        <w:t xml:space="preserve">13. </w:t>
      </w:r>
      <w:r>
        <w:rPr>
          <w:rtl/>
        </w:rPr>
        <w:tab/>
      </w:r>
      <w:r w:rsidRPr="006B48C5">
        <w:rPr>
          <w:rFonts w:ascii="David" w:hAnsi="David"/>
          <w:rtl/>
        </w:rPr>
        <w:t>ב</w:t>
      </w:r>
      <w:hyperlink r:id="rId31" w:history="1">
        <w:r w:rsidR="00C701C1" w:rsidRPr="00C701C1">
          <w:rPr>
            <w:rFonts w:ascii="David" w:hAnsi="David"/>
            <w:color w:val="0000FF"/>
            <w:u w:val="single"/>
            <w:rtl/>
          </w:rPr>
          <w:t>ע"פ 1323/13</w:t>
        </w:r>
      </w:hyperlink>
      <w:r w:rsidRPr="006B48C5">
        <w:rPr>
          <w:rtl/>
        </w:rPr>
        <w:t xml:space="preserve"> </w:t>
      </w:r>
      <w:r w:rsidRPr="006B48C5">
        <w:rPr>
          <w:rFonts w:cs="Miriam"/>
          <w:rtl/>
        </w:rPr>
        <w:t>ר</w:t>
      </w:r>
      <w:r>
        <w:rPr>
          <w:rFonts w:cs="Miriam"/>
          <w:rtl/>
        </w:rPr>
        <w:t>ך חסן נ' מדינת ישראל</w:t>
      </w:r>
      <w:r>
        <w:rPr>
          <w:rtl/>
        </w:rPr>
        <w:t xml:space="preserve"> (5.6.13) (להלן: </w:t>
      </w:r>
      <w:r>
        <w:rPr>
          <w:rFonts w:cs="Miriam"/>
          <w:rtl/>
        </w:rPr>
        <w:t>עניין חסן</w:t>
      </w:r>
      <w:r>
        <w:rPr>
          <w:rtl/>
        </w:rPr>
        <w:t>) ציינה כב' השופטת ארבל את המגמה הנדרשת של החמרה בענישה בעבירות נשק, לצד הצורך להקפיד על ענישה אינדיבידואלית, בהתאם לכל מקרה ונסיבותיו, וזאת כהאי לישנא:</w:t>
      </w:r>
    </w:p>
    <w:p w14:paraId="0ACB50EB" w14:textId="77777777" w:rsidR="004953EC" w:rsidRDefault="004953EC" w:rsidP="004953EC">
      <w:pPr>
        <w:spacing w:line="360" w:lineRule="auto"/>
        <w:ind w:left="720" w:hanging="720"/>
        <w:jc w:val="both"/>
        <w:rPr>
          <w:rtl/>
        </w:rPr>
      </w:pPr>
    </w:p>
    <w:p w14:paraId="34EBF561" w14:textId="77777777" w:rsidR="004953EC" w:rsidRDefault="004953EC" w:rsidP="004953EC">
      <w:pPr>
        <w:spacing w:line="360" w:lineRule="auto"/>
        <w:ind w:left="1440" w:right="1134"/>
        <w:jc w:val="both"/>
        <w:rPr>
          <w:rFonts w:cs="Miriam"/>
        </w:rPr>
      </w:pPr>
      <w:r>
        <w:rPr>
          <w:rtl/>
        </w:rPr>
        <w:t>"</w:t>
      </w:r>
      <w:r>
        <w:rPr>
          <w:rFonts w:cs="Miriam"/>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5B3151F1" w14:textId="77777777" w:rsidR="004953EC" w:rsidRDefault="004953EC" w:rsidP="004953EC">
      <w:pPr>
        <w:spacing w:line="360" w:lineRule="auto"/>
        <w:jc w:val="both"/>
        <w:rPr>
          <w:rFonts w:ascii="Arial" w:hAnsi="Arial"/>
          <w:u w:val="single"/>
          <w:rtl/>
        </w:rPr>
      </w:pPr>
      <w:r>
        <w:rPr>
          <w:rFonts w:ascii="Arial" w:hAnsi="Arial"/>
          <w:u w:val="single"/>
          <w:rtl/>
        </w:rPr>
        <w:t xml:space="preserve"> </w:t>
      </w:r>
    </w:p>
    <w:p w14:paraId="0E21843D" w14:textId="77777777" w:rsidR="004953EC" w:rsidRDefault="004953EC" w:rsidP="004953EC">
      <w:pPr>
        <w:spacing w:line="360" w:lineRule="auto"/>
        <w:jc w:val="both"/>
        <w:rPr>
          <w:rFonts w:ascii="Arial" w:hAnsi="Arial"/>
          <w:rtl/>
        </w:rPr>
      </w:pPr>
      <w:r>
        <w:rPr>
          <w:rFonts w:ascii="Arial" w:hAnsi="Arial"/>
          <w:rtl/>
        </w:rPr>
        <w:t>14.</w:t>
      </w:r>
      <w:r>
        <w:rPr>
          <w:rFonts w:ascii="Arial" w:hAnsi="Arial"/>
          <w:rtl/>
        </w:rPr>
        <w:tab/>
        <w:t>לעבירת הנשק נלוותה, כאמור, גם עבירה של שיבוש מהלכי משפט נוכח השלכת הנשק אל מעבר לחומה שתחמה שטח פרטי ונוכח הימלטותו של הנאשם מהשוטר אנואר כמתואר בכתב האישום המתוקן. עבירה זו מגלמת בחובה פגיעה בשלטון החוק במדינתנו ובאנשי המשטרה הפועלים לצורך שמירה על הסדר החברתי ושלטון החוק.</w:t>
      </w:r>
    </w:p>
    <w:p w14:paraId="36DACB0A" w14:textId="77777777" w:rsidR="004953EC" w:rsidRDefault="004953EC" w:rsidP="004953EC">
      <w:pPr>
        <w:spacing w:line="360" w:lineRule="auto"/>
        <w:jc w:val="both"/>
        <w:rPr>
          <w:rFonts w:ascii="Arial" w:hAnsi="Arial"/>
          <w:rtl/>
        </w:rPr>
      </w:pPr>
    </w:p>
    <w:p w14:paraId="02ABFEED" w14:textId="77777777" w:rsidR="004953EC" w:rsidRDefault="004953EC" w:rsidP="004953EC">
      <w:pPr>
        <w:spacing w:line="360" w:lineRule="auto"/>
        <w:jc w:val="both"/>
        <w:rPr>
          <w:rFonts w:ascii="Arial" w:hAnsi="Arial"/>
          <w:rtl/>
        </w:rPr>
      </w:pPr>
      <w:r>
        <w:rPr>
          <w:rFonts w:ascii="Arial" w:hAnsi="Arial"/>
          <w:rtl/>
        </w:rPr>
        <w:t>15.</w:t>
      </w:r>
      <w:r>
        <w:rPr>
          <w:rFonts w:ascii="Arial" w:hAnsi="Arial"/>
          <w:rtl/>
        </w:rPr>
        <w:tab/>
        <w:t xml:space="preserve">במסגרת בחינת נסיבות ביצוע העבירה אציין, לחובת הנאשם, כי הוא נשא והוביל על גופו תת מקלע מאולתר מסוג "קרלו" בקוטר 9 מ"מ וכן מחסנית ריקה המתאימה לתת מקלע מסוג "עוזי" שהוסבה לשימוש בנשק המאולתר. עוד אציין כי העובדה שהנאשם ביצע לצד עבירת הנשק גם עבירה של שיבוש מהלכי משפט, מוסיפה נופך של חומרה למעשיו, מה גם שהתנהלות הנאשם הביאה לכך שהשוטר נאלץ לבצע פעמיים ירי באוויר עד שהלה נעצר לאחר שמעד ונפל במנוסתו. זאת ועוד,  השלכת הנשק למתחם פרטי של מגורים טומנת בחובה מסוכנות פוטנציאלית ועלולה להוביל להעברת הנשק לידיים עוינות. עם זאת, לקולה, אציין כי עסקינן, עפ"י כתב האישום, בנשיאת והובלת נשק קצרת טווח שארכה פרק זמן קצר, ועל כך אין חולק שהרי ב"כ המאשימה אישר עובדה זו בדיון לפניי. עוד אציין כי לא ברורות הנסיבות המדויקות שהביאו את הנאשם לנשיאת והובלת הנשק בשכונת מגוריו ומה הקשר שלהן לירי שבוצע באותה שכונה המתואר בכתב האישום. </w:t>
      </w:r>
    </w:p>
    <w:p w14:paraId="1B5F77BB" w14:textId="77777777" w:rsidR="004953EC" w:rsidRDefault="004953EC" w:rsidP="004953EC">
      <w:pPr>
        <w:spacing w:line="360" w:lineRule="auto"/>
        <w:jc w:val="both"/>
        <w:rPr>
          <w:rFonts w:ascii="Arial" w:hAnsi="Arial"/>
          <w:rtl/>
        </w:rPr>
      </w:pPr>
    </w:p>
    <w:p w14:paraId="38810C2A" w14:textId="77777777" w:rsidR="004953EC" w:rsidRDefault="004953EC" w:rsidP="004953EC">
      <w:pPr>
        <w:spacing w:line="360" w:lineRule="auto"/>
        <w:jc w:val="both"/>
        <w:rPr>
          <w:rFonts w:ascii="Arial" w:hAnsi="Arial"/>
          <w:rtl/>
        </w:rPr>
      </w:pPr>
      <w:r>
        <w:rPr>
          <w:rFonts w:ascii="Arial" w:hAnsi="Arial"/>
          <w:rtl/>
        </w:rPr>
        <w:t>16.</w:t>
      </w:r>
      <w:r>
        <w:rPr>
          <w:rFonts w:ascii="Arial" w:hAnsi="Arial"/>
          <w:rtl/>
        </w:rPr>
        <w:tab/>
        <w:t xml:space="preserve">במסגרת סקירת מדיניות הענישה הנהוגה בעבירה של נשיאת והובלת נשק שלא כדין אביא את הפסיקה הבאה: </w:t>
      </w:r>
    </w:p>
    <w:p w14:paraId="49BC7FD3"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 xml:space="preserve"> ב</w:t>
      </w:r>
      <w:hyperlink r:id="rId32" w:history="1">
        <w:r w:rsidR="00C701C1" w:rsidRPr="00C701C1">
          <w:rPr>
            <w:rFonts w:ascii="Arial" w:hAnsi="Arial"/>
            <w:noProof w:val="0"/>
            <w:color w:val="0000FF"/>
            <w:u w:val="single"/>
            <w:rtl/>
          </w:rPr>
          <w:t>ת"פ (מחוזי באר שבע) 4338-04-13</w:t>
        </w:r>
      </w:hyperlink>
      <w:r>
        <w:rPr>
          <w:rFonts w:ascii="Arial" w:hAnsi="Arial"/>
          <w:noProof w:val="0"/>
          <w:rtl/>
        </w:rPr>
        <w:t xml:space="preserve"> </w:t>
      </w:r>
      <w:r>
        <w:rPr>
          <w:rFonts w:ascii="Miriam" w:hAnsi="Miriam" w:cs="Miriam"/>
          <w:noProof w:val="0"/>
          <w:rtl/>
        </w:rPr>
        <w:t>מדינת ישראל נ' אביעוז</w:t>
      </w:r>
      <w:r>
        <w:rPr>
          <w:rFonts w:ascii="Arial" w:hAnsi="Arial"/>
          <w:noProof w:val="0"/>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5F808FF3" w14:textId="77777777" w:rsidR="004953EC" w:rsidRDefault="004953EC" w:rsidP="004953EC">
      <w:pPr>
        <w:pStyle w:val="a9"/>
        <w:spacing w:line="360" w:lineRule="auto"/>
        <w:jc w:val="both"/>
        <w:rPr>
          <w:rFonts w:ascii="Arial" w:hAnsi="Arial"/>
          <w:noProof w:val="0"/>
        </w:rPr>
      </w:pPr>
    </w:p>
    <w:p w14:paraId="621F565C"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ב</w:t>
      </w:r>
      <w:hyperlink r:id="rId33" w:history="1">
        <w:r w:rsidR="00C701C1" w:rsidRPr="00C701C1">
          <w:rPr>
            <w:rFonts w:ascii="Arial" w:hAnsi="Arial"/>
            <w:noProof w:val="0"/>
            <w:color w:val="0000FF"/>
            <w:u w:val="single"/>
            <w:rtl/>
          </w:rPr>
          <w:t>ת"פ (מחוזי חיפה) 31862-05-13</w:t>
        </w:r>
      </w:hyperlink>
      <w:r>
        <w:rPr>
          <w:rFonts w:ascii="Arial" w:hAnsi="Arial"/>
          <w:noProof w:val="0"/>
          <w:rtl/>
        </w:rPr>
        <w:t xml:space="preserve"> </w:t>
      </w:r>
      <w:r>
        <w:rPr>
          <w:rFonts w:ascii="Miriam" w:hAnsi="Miriam" w:cs="Miriam"/>
          <w:noProof w:val="0"/>
          <w:rtl/>
        </w:rPr>
        <w:t>מדינת ישראל נ' מוחמד מחאמיד</w:t>
      </w:r>
      <w:r>
        <w:rPr>
          <w:rFonts w:ascii="Arial" w:hAnsi="Arial"/>
          <w:noProof w:val="0"/>
          <w:rtl/>
        </w:rPr>
        <w:t xml:space="preserve"> (1/10/13) הוטל על נאשם צעיר, בן פחות מ- 21, עונש של 21 חודשי מאסר בפועל בגין עבירה של נשיאת נשק (אקדח) שלא כדין לצד עבירה של הפרעה לשוטר בשעת מילוי תפקידו כדין. </w:t>
      </w:r>
    </w:p>
    <w:p w14:paraId="6740F5A4" w14:textId="77777777" w:rsidR="004953EC" w:rsidRDefault="004953EC" w:rsidP="004953EC">
      <w:pPr>
        <w:pStyle w:val="a9"/>
        <w:rPr>
          <w:rFonts w:ascii="Arial" w:hAnsi="Arial"/>
          <w:noProof w:val="0"/>
        </w:rPr>
      </w:pPr>
    </w:p>
    <w:p w14:paraId="421C75D6"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ב</w:t>
      </w:r>
      <w:hyperlink r:id="rId34" w:history="1">
        <w:r w:rsidR="00C701C1" w:rsidRPr="00C701C1">
          <w:rPr>
            <w:rFonts w:ascii="Arial" w:hAnsi="Arial"/>
            <w:noProof w:val="0"/>
            <w:color w:val="0000FF"/>
            <w:u w:val="single"/>
            <w:rtl/>
          </w:rPr>
          <w:t>ת"פ (מחוזי חיפה) 3451-02-14</w:t>
        </w:r>
      </w:hyperlink>
      <w:r>
        <w:rPr>
          <w:rFonts w:ascii="Arial" w:hAnsi="Arial"/>
          <w:noProof w:val="0"/>
          <w:rtl/>
        </w:rPr>
        <w:t xml:space="preserve"> </w:t>
      </w:r>
      <w:r>
        <w:rPr>
          <w:rFonts w:ascii="Miriam" w:hAnsi="Miriam" w:cs="Miriam"/>
          <w:noProof w:val="0"/>
          <w:rtl/>
        </w:rPr>
        <w:t>מדינת ישראל נ' עבד אלעאל</w:t>
      </w:r>
      <w:r>
        <w:rPr>
          <w:rFonts w:ascii="Arial" w:hAnsi="Arial"/>
          <w:noProof w:val="0"/>
          <w:rtl/>
        </w:rPr>
        <w:t xml:space="preserve"> (23/9/14)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מאסר בפועל, וכן ענישה נלווית. </w:t>
      </w:r>
    </w:p>
    <w:p w14:paraId="58E163BD" w14:textId="77777777" w:rsidR="004953EC" w:rsidRDefault="004953EC" w:rsidP="004953EC">
      <w:pPr>
        <w:pStyle w:val="a9"/>
        <w:rPr>
          <w:rFonts w:ascii="Arial" w:hAnsi="Arial"/>
          <w:noProof w:val="0"/>
        </w:rPr>
      </w:pPr>
    </w:p>
    <w:p w14:paraId="59BC310F"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ב</w:t>
      </w:r>
      <w:hyperlink r:id="rId35" w:history="1">
        <w:r w:rsidR="00C701C1" w:rsidRPr="00C701C1">
          <w:rPr>
            <w:rFonts w:ascii="Arial" w:hAnsi="Arial"/>
            <w:noProof w:val="0"/>
            <w:color w:val="0000FF"/>
            <w:u w:val="single"/>
            <w:rtl/>
          </w:rPr>
          <w:t>ת"פ 31034-06-17</w:t>
        </w:r>
      </w:hyperlink>
      <w:r>
        <w:rPr>
          <w:rFonts w:ascii="Arial" w:hAnsi="Arial"/>
          <w:noProof w:val="0"/>
          <w:rtl/>
        </w:rPr>
        <w:t xml:space="preserve"> (מחוזי חיפה) </w:t>
      </w:r>
      <w:r>
        <w:rPr>
          <w:rFonts w:ascii="Miriam" w:hAnsi="Miriam" w:cs="Miriam"/>
          <w:noProof w:val="0"/>
          <w:rtl/>
        </w:rPr>
        <w:t>מדינת ישראל נ' מסרי</w:t>
      </w:r>
      <w:r>
        <w:rPr>
          <w:rFonts w:ascii="Arial" w:hAnsi="Arial"/>
          <w:noProof w:val="0"/>
          <w:rtl/>
        </w:rPr>
        <w:t xml:space="preserve"> (17/4/18)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p>
    <w:p w14:paraId="23B2FFC4" w14:textId="77777777" w:rsidR="004953EC" w:rsidRDefault="004953EC" w:rsidP="004953EC">
      <w:pPr>
        <w:rPr>
          <w:rFonts w:ascii="Arial" w:hAnsi="Arial"/>
        </w:rPr>
      </w:pPr>
    </w:p>
    <w:p w14:paraId="250ACA96" w14:textId="77777777" w:rsidR="004953EC" w:rsidRDefault="004953EC" w:rsidP="004953EC">
      <w:pPr>
        <w:spacing w:line="360" w:lineRule="auto"/>
        <w:jc w:val="both"/>
        <w:rPr>
          <w:rFonts w:ascii="Arial" w:hAnsi="Arial"/>
          <w:rtl/>
        </w:rPr>
      </w:pPr>
      <w:r>
        <w:rPr>
          <w:rFonts w:ascii="Arial" w:hAnsi="Arial"/>
          <w:rtl/>
        </w:rPr>
        <w:t>17.</w:t>
      </w:r>
      <w:r>
        <w:rPr>
          <w:rFonts w:ascii="Arial" w:hAnsi="Arial"/>
          <w:rtl/>
        </w:rPr>
        <w:tab/>
        <w:t>לאחר שסקרתי, כאמור, את הערכים שנפגעו כתוצאה מביצוע העבירות על ידי הנאשם, כמו גם את נסיבות ביצוע העבירות ואת מדיניות הענישה הנהוגה, לרבות הפסיקה אליה הפנו הצדדים,  ובתיתי את הדעת לכך שלצד עבירת הנשק, ביצע הנאשם גם עבירה של שיבוש מהלכי משפט, הגעתי לכלל מסקנה כי מתחם העונש ההולם בתיק זה נע בין עונש של 16 חודשי מאסר בפועל לבין עונש של 36 חודשי מאסר בפועל.</w:t>
      </w:r>
    </w:p>
    <w:p w14:paraId="2A0AA1CD" w14:textId="77777777" w:rsidR="004953EC" w:rsidRDefault="004953EC" w:rsidP="004953EC">
      <w:pPr>
        <w:spacing w:line="360" w:lineRule="auto"/>
        <w:ind w:firstLine="720"/>
        <w:jc w:val="both"/>
        <w:rPr>
          <w:rFonts w:ascii="Arial" w:hAnsi="Arial"/>
          <w:rtl/>
        </w:rPr>
      </w:pPr>
    </w:p>
    <w:p w14:paraId="74EE0FFC" w14:textId="77777777" w:rsidR="004953EC" w:rsidRDefault="004953EC" w:rsidP="004953EC">
      <w:pPr>
        <w:spacing w:line="360" w:lineRule="auto"/>
        <w:jc w:val="both"/>
        <w:rPr>
          <w:rFonts w:ascii="Arial" w:hAnsi="Arial"/>
          <w:rtl/>
        </w:rPr>
      </w:pPr>
      <w:r>
        <w:rPr>
          <w:rFonts w:ascii="Arial" w:hAnsi="Arial"/>
          <w:rtl/>
        </w:rPr>
        <w:t>18.</w:t>
      </w:r>
      <w:r>
        <w:rPr>
          <w:rFonts w:ascii="Arial" w:hAnsi="Arial"/>
          <w:rtl/>
        </w:rPr>
        <w:tab/>
        <w:t>במסגרת הנסיבות שאינן קשורות בביצוע העבירות, אציין לטובת הנאשם את הודאתו בעובדות כתב האישום המתוקן במסגרת של הסדר הטיעון, הודאה אשר חסכה הן את העדת העדים והן מזמנו היקר של בית המשפט ומגלמת בחובה נטילת אחריות למעשים. עוד אציין, לקולה, את נסיבותיו האישיות הקשות של הנאשם, כפי שעולה מראיות ההגנה לעונש ומטיעוניה לעונש. לכך אוסיף כי בעברו הפלילי של הנאשם אמנם קיימות הרשעות קודמות בעבירות שונות. אולם,  אין בעברו הרשעות בעבירות נשק. עוד אזקוף לטובת הנאשם את היותו נתון תקופה של חצי שנה במעצר של ממש בתנאים קשים במיוחד נוכח מגפת הקורונה והמשבר שהתהווה כתוצאה מכך, כנטען ע"י הסנגור ובצדק.</w:t>
      </w:r>
    </w:p>
    <w:p w14:paraId="6BE82091" w14:textId="77777777" w:rsidR="004953EC" w:rsidRDefault="004953EC" w:rsidP="004953EC">
      <w:pPr>
        <w:spacing w:line="360" w:lineRule="auto"/>
        <w:jc w:val="both"/>
        <w:rPr>
          <w:rFonts w:ascii="Arial" w:hAnsi="Arial"/>
          <w:rtl/>
        </w:rPr>
      </w:pPr>
      <w:r>
        <w:rPr>
          <w:rFonts w:ascii="Arial" w:hAnsi="Arial"/>
          <w:rtl/>
        </w:rPr>
        <w:t>19.</w:t>
      </w:r>
      <w:r>
        <w:rPr>
          <w:rFonts w:ascii="Arial" w:hAnsi="Arial"/>
          <w:rtl/>
        </w:rPr>
        <w:tab/>
        <w:t>שקלול מכלול הטעמים הנ"ל מביא אותי לידי מסקנה כי יש להשית על הנאשם עונש של מאסר בפועל לתקופה של 18 חודשים בניכוי ימי מעצרו, וזאת  לצד רכיב ענישה של מאסר מותנה משמעותי ומרתיע.</w:t>
      </w:r>
    </w:p>
    <w:p w14:paraId="43365BC7" w14:textId="77777777" w:rsidR="004953EC" w:rsidRDefault="004953EC" w:rsidP="004953EC">
      <w:pPr>
        <w:spacing w:line="360" w:lineRule="auto"/>
        <w:jc w:val="both"/>
        <w:rPr>
          <w:rFonts w:ascii="Arial" w:hAnsi="Arial"/>
          <w:rtl/>
        </w:rPr>
      </w:pPr>
    </w:p>
    <w:p w14:paraId="176BB9F0" w14:textId="77777777" w:rsidR="004953EC" w:rsidRDefault="004953EC" w:rsidP="004953EC">
      <w:pPr>
        <w:spacing w:line="360" w:lineRule="auto"/>
        <w:jc w:val="both"/>
        <w:rPr>
          <w:rFonts w:ascii="Arial" w:hAnsi="Arial"/>
          <w:rtl/>
        </w:rPr>
      </w:pPr>
      <w:r>
        <w:rPr>
          <w:rFonts w:ascii="Arial" w:hAnsi="Arial"/>
          <w:rtl/>
        </w:rPr>
        <w:t>20.</w:t>
      </w:r>
      <w:r>
        <w:rPr>
          <w:rFonts w:ascii="Arial" w:hAnsi="Arial"/>
          <w:rtl/>
        </w:rPr>
        <w:tab/>
        <w:t>בסיכומו של דבר, אני דנה את הנאשם, כדלקמן:</w:t>
      </w:r>
    </w:p>
    <w:p w14:paraId="1AC8DB18" w14:textId="77777777" w:rsidR="004953EC" w:rsidRDefault="004953EC" w:rsidP="004953EC">
      <w:pPr>
        <w:spacing w:line="360" w:lineRule="auto"/>
        <w:jc w:val="both"/>
        <w:rPr>
          <w:rFonts w:ascii="Arial" w:hAnsi="Arial"/>
          <w:rtl/>
        </w:rPr>
      </w:pPr>
    </w:p>
    <w:p w14:paraId="2689F652"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 xml:space="preserve"> למאסר בפועל לתקופה של 18 חודשים, בניכוי ימי מעצרו- מיום 17/1/20 עד כה.</w:t>
      </w:r>
    </w:p>
    <w:p w14:paraId="15BB7006" w14:textId="77777777" w:rsidR="004953EC" w:rsidRDefault="004953EC" w:rsidP="004953EC">
      <w:pPr>
        <w:pStyle w:val="a9"/>
        <w:spacing w:line="360" w:lineRule="auto"/>
        <w:jc w:val="both"/>
        <w:rPr>
          <w:rFonts w:ascii="Arial" w:hAnsi="Arial"/>
          <w:noProof w:val="0"/>
        </w:rPr>
      </w:pPr>
    </w:p>
    <w:p w14:paraId="52C54D8D"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 xml:space="preserve">למאסר על תנאי לתקופה של 12 חודשים למשך 3 שנים, והתנאי הוא לבל יבצע הנאשם עבירה מסוג פשע לפי </w:t>
      </w:r>
      <w:hyperlink r:id="rId36" w:history="1">
        <w:r w:rsidR="008216A6" w:rsidRPr="008216A6">
          <w:rPr>
            <w:rStyle w:val="Hyperlink"/>
            <w:rFonts w:ascii="Arial" w:hAnsi="Arial"/>
            <w:noProof w:val="0"/>
            <w:rtl/>
          </w:rPr>
          <w:t>סעיף 144</w:t>
        </w:r>
      </w:hyperlink>
      <w:r>
        <w:rPr>
          <w:rFonts w:ascii="Arial" w:hAnsi="Arial"/>
          <w:noProof w:val="0"/>
          <w:rtl/>
        </w:rPr>
        <w:t xml:space="preserve"> ל</w:t>
      </w:r>
      <w:hyperlink r:id="rId37" w:history="1">
        <w:r w:rsidR="00C701C1" w:rsidRPr="00C701C1">
          <w:rPr>
            <w:rFonts w:ascii="Arial" w:hAnsi="Arial"/>
            <w:noProof w:val="0"/>
            <w:color w:val="0000FF"/>
            <w:u w:val="single"/>
            <w:rtl/>
          </w:rPr>
          <w:t>חוק העונשין</w:t>
        </w:r>
      </w:hyperlink>
      <w:r>
        <w:rPr>
          <w:rFonts w:ascii="Arial" w:hAnsi="Arial"/>
          <w:noProof w:val="0"/>
          <w:rtl/>
        </w:rPr>
        <w:t xml:space="preserve"> התשל"ז-1977. </w:t>
      </w:r>
    </w:p>
    <w:p w14:paraId="763CFCFA" w14:textId="77777777" w:rsidR="004953EC" w:rsidRDefault="004953EC" w:rsidP="004953EC">
      <w:pPr>
        <w:pStyle w:val="a9"/>
        <w:rPr>
          <w:rFonts w:ascii="Arial" w:hAnsi="Arial"/>
          <w:noProof w:val="0"/>
        </w:rPr>
      </w:pPr>
    </w:p>
    <w:p w14:paraId="1CC1EC19"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 xml:space="preserve">למאסר על תנאי לתקופה של 6 חודשים למשך 3 שנים, והתנאי הוא לבל יבצע הנאשם עבירה מסוג עוון לפי </w:t>
      </w:r>
      <w:hyperlink r:id="rId38" w:history="1">
        <w:r w:rsidR="008216A6" w:rsidRPr="008216A6">
          <w:rPr>
            <w:rStyle w:val="Hyperlink"/>
            <w:rFonts w:ascii="Arial" w:hAnsi="Arial"/>
            <w:noProof w:val="0"/>
            <w:rtl/>
          </w:rPr>
          <w:t>סעיף 144</w:t>
        </w:r>
      </w:hyperlink>
      <w:r>
        <w:rPr>
          <w:rFonts w:ascii="Arial" w:hAnsi="Arial"/>
          <w:noProof w:val="0"/>
          <w:rtl/>
        </w:rPr>
        <w:t xml:space="preserve"> ל</w:t>
      </w:r>
      <w:hyperlink r:id="rId39" w:history="1">
        <w:r w:rsidR="00C701C1" w:rsidRPr="00C701C1">
          <w:rPr>
            <w:rFonts w:ascii="Arial" w:hAnsi="Arial"/>
            <w:noProof w:val="0"/>
            <w:color w:val="0000FF"/>
            <w:u w:val="single"/>
            <w:rtl/>
          </w:rPr>
          <w:t>חוק העונשין</w:t>
        </w:r>
      </w:hyperlink>
      <w:r>
        <w:rPr>
          <w:rFonts w:ascii="Arial" w:hAnsi="Arial"/>
          <w:noProof w:val="0"/>
          <w:rtl/>
        </w:rPr>
        <w:t xml:space="preserve"> התשל"ז-1977 או עבירה לפי </w:t>
      </w:r>
      <w:hyperlink r:id="rId40" w:history="1">
        <w:r w:rsidR="008216A6" w:rsidRPr="008216A6">
          <w:rPr>
            <w:rStyle w:val="Hyperlink"/>
            <w:rFonts w:ascii="Arial" w:hAnsi="Arial"/>
            <w:noProof w:val="0"/>
            <w:rtl/>
          </w:rPr>
          <w:t>סימן א'</w:t>
        </w:r>
      </w:hyperlink>
      <w:r>
        <w:rPr>
          <w:rFonts w:ascii="Arial" w:hAnsi="Arial"/>
          <w:noProof w:val="0"/>
          <w:rtl/>
        </w:rPr>
        <w:t xml:space="preserve"> לפרק ט' לחוק הנ"ל.</w:t>
      </w:r>
    </w:p>
    <w:p w14:paraId="568B3680" w14:textId="77777777" w:rsidR="004953EC" w:rsidRDefault="004953EC" w:rsidP="004953EC">
      <w:pPr>
        <w:pStyle w:val="a9"/>
        <w:spacing w:line="360" w:lineRule="auto"/>
        <w:jc w:val="both"/>
        <w:rPr>
          <w:rFonts w:ascii="Arial" w:hAnsi="Arial"/>
          <w:noProof w:val="0"/>
        </w:rPr>
      </w:pPr>
    </w:p>
    <w:p w14:paraId="35B6A7EA" w14:textId="77777777" w:rsidR="004953EC" w:rsidRDefault="004953EC" w:rsidP="004953EC">
      <w:pPr>
        <w:pStyle w:val="a9"/>
        <w:spacing w:line="360" w:lineRule="auto"/>
        <w:ind w:left="0"/>
        <w:rPr>
          <w:rFonts w:ascii="Arial" w:hAnsi="Arial"/>
          <w:noProof w:val="0"/>
          <w:rtl/>
        </w:rPr>
      </w:pPr>
      <w:r>
        <w:rPr>
          <w:rFonts w:ascii="Arial" w:hAnsi="Arial"/>
          <w:noProof w:val="0"/>
          <w:rtl/>
        </w:rPr>
        <w:t>בשולי גזר הדין ניתן, לבקשת המאשימה, צו לחילוט הנשק והמחסנית.</w:t>
      </w:r>
    </w:p>
    <w:p w14:paraId="3B548690" w14:textId="77777777" w:rsidR="004953EC" w:rsidRDefault="004953EC" w:rsidP="004953EC">
      <w:pPr>
        <w:pStyle w:val="a9"/>
        <w:ind w:left="0"/>
        <w:jc w:val="both"/>
        <w:rPr>
          <w:rFonts w:ascii="Arial" w:hAnsi="Arial"/>
          <w:noProof w:val="0"/>
        </w:rPr>
      </w:pPr>
    </w:p>
    <w:p w14:paraId="34BB11E3" w14:textId="77777777" w:rsidR="004953EC" w:rsidRDefault="004953EC" w:rsidP="004953EC">
      <w:pPr>
        <w:pStyle w:val="a9"/>
        <w:spacing w:line="360" w:lineRule="auto"/>
        <w:ind w:left="0"/>
        <w:jc w:val="both"/>
        <w:rPr>
          <w:rFonts w:ascii="Arial" w:hAnsi="Arial"/>
          <w:b/>
          <w:bCs/>
          <w:noProof w:val="0"/>
          <w:rtl/>
        </w:rPr>
      </w:pPr>
      <w:r>
        <w:rPr>
          <w:rFonts w:ascii="Arial" w:hAnsi="Arial"/>
          <w:b/>
          <w:bCs/>
          <w:noProof w:val="0"/>
          <w:rtl/>
        </w:rPr>
        <w:t>זכות ערעור לבית המשפט העליון תוך 45 יום.</w:t>
      </w:r>
    </w:p>
    <w:p w14:paraId="07AA0790" w14:textId="77777777" w:rsidR="004953EC" w:rsidRDefault="004953EC" w:rsidP="004953EC">
      <w:pPr>
        <w:spacing w:line="360" w:lineRule="auto"/>
        <w:jc w:val="both"/>
        <w:rPr>
          <w:rFonts w:ascii="Arial" w:hAnsi="Arial"/>
          <w:rtl/>
        </w:rPr>
      </w:pPr>
    </w:p>
    <w:p w14:paraId="20F0C77A" w14:textId="77777777" w:rsidR="004953EC" w:rsidRDefault="004953EC" w:rsidP="004953EC">
      <w:pPr>
        <w:spacing w:line="360" w:lineRule="auto"/>
        <w:jc w:val="both"/>
        <w:rPr>
          <w:rFonts w:ascii="Arial" w:hAnsi="Arial"/>
          <w:rtl/>
        </w:rPr>
      </w:pPr>
    </w:p>
    <w:p w14:paraId="50215495" w14:textId="77777777" w:rsidR="004953EC" w:rsidRDefault="00C701C1" w:rsidP="004953EC">
      <w:pPr>
        <w:spacing w:line="360" w:lineRule="auto"/>
        <w:jc w:val="both"/>
        <w:rPr>
          <w:rFonts w:ascii="Arial" w:hAnsi="Arial"/>
          <w:rtl/>
        </w:rPr>
      </w:pPr>
      <w:bookmarkStart w:id="8" w:name="Nitan"/>
      <w:r>
        <w:rPr>
          <w:rFonts w:ascii="Arial" w:hAnsi="Arial"/>
          <w:rtl/>
        </w:rPr>
        <w:t xml:space="preserve">ניתן היום, ב' אב תש"פ, 23 יולי 2020, במעמד ב"כ המאשימה, עו"ד בני פסקל, ב"כ הנאשם, עו"ד </w:t>
      </w:r>
      <w:bookmarkEnd w:id="8"/>
      <w:r w:rsidR="004953EC">
        <w:rPr>
          <w:rFonts w:ascii="Arial" w:hAnsi="Arial" w:hint="cs"/>
          <w:rtl/>
        </w:rPr>
        <w:t xml:space="preserve">מסארווה </w:t>
      </w:r>
      <w:r w:rsidR="004953EC">
        <w:rPr>
          <w:rFonts w:ascii="Arial" w:hAnsi="Arial"/>
          <w:rtl/>
        </w:rPr>
        <w:t>והנאשם</w:t>
      </w:r>
      <w:r w:rsidR="004953EC">
        <w:rPr>
          <w:rFonts w:ascii="Arial" w:hAnsi="Arial" w:hint="cs"/>
          <w:rtl/>
        </w:rPr>
        <w:t xml:space="preserve"> שהובא ע"י שב"ס.</w:t>
      </w:r>
    </w:p>
    <w:p w14:paraId="29B6B9FD" w14:textId="77777777" w:rsidR="004953EC" w:rsidRDefault="004953EC" w:rsidP="004953EC">
      <w:pPr>
        <w:tabs>
          <w:tab w:val="left" w:pos="2553"/>
        </w:tabs>
        <w:ind w:left="5040"/>
        <w:jc w:val="both"/>
        <w:rPr>
          <w:noProof/>
          <w:rtl/>
        </w:rPr>
      </w:pPr>
      <w:r>
        <w:rPr>
          <w:rtl/>
        </w:rPr>
        <w:t xml:space="preserve">     </w:t>
      </w:r>
    </w:p>
    <w:p w14:paraId="6209DAED" w14:textId="77777777" w:rsidR="004953EC" w:rsidRDefault="004953EC" w:rsidP="00C701C1">
      <w:pPr>
        <w:tabs>
          <w:tab w:val="left" w:pos="2553"/>
        </w:tabs>
        <w:jc w:val="both"/>
      </w:pPr>
      <w:r>
        <w:rPr>
          <w:rtl/>
        </w:rPr>
        <w:tab/>
      </w:r>
      <w:r>
        <w:rPr>
          <w:rtl/>
        </w:rPr>
        <w:tab/>
      </w:r>
      <w:r>
        <w:rPr>
          <w:rtl/>
        </w:rPr>
        <w:tab/>
      </w:r>
      <w:r>
        <w:rPr>
          <w:rtl/>
        </w:rPr>
        <w:tab/>
        <w:t xml:space="preserve">        </w:t>
      </w:r>
    </w:p>
    <w:p w14:paraId="2F20A2E5" w14:textId="77777777" w:rsidR="004953EC" w:rsidRPr="00C701C1" w:rsidRDefault="00C701C1" w:rsidP="004953EC">
      <w:pPr>
        <w:tabs>
          <w:tab w:val="left" w:pos="2553"/>
        </w:tabs>
        <w:jc w:val="both"/>
        <w:rPr>
          <w:rFonts w:ascii="Arial" w:hAnsi="Arial"/>
          <w:color w:val="FFFFFF"/>
          <w:sz w:val="2"/>
          <w:szCs w:val="2"/>
          <w:rtl/>
        </w:rPr>
      </w:pPr>
      <w:r w:rsidRPr="00C701C1">
        <w:rPr>
          <w:rFonts w:ascii="Arial" w:hAnsi="Arial"/>
          <w:color w:val="FFFFFF"/>
          <w:sz w:val="2"/>
          <w:szCs w:val="2"/>
          <w:rtl/>
        </w:rPr>
        <w:t>5129371</w:t>
      </w:r>
    </w:p>
    <w:p w14:paraId="1215FB25" w14:textId="77777777" w:rsidR="004953EC" w:rsidRPr="00C701C1" w:rsidRDefault="00C701C1" w:rsidP="004953EC">
      <w:pPr>
        <w:rPr>
          <w:rFonts w:ascii="Arial" w:hAnsi="Arial"/>
          <w:color w:val="FFFFFF"/>
          <w:sz w:val="2"/>
          <w:szCs w:val="2"/>
          <w:rtl/>
        </w:rPr>
      </w:pPr>
      <w:r w:rsidRPr="00C701C1">
        <w:rPr>
          <w:rFonts w:ascii="Arial" w:hAnsi="Arial"/>
          <w:color w:val="FFFFFF"/>
          <w:sz w:val="2"/>
          <w:szCs w:val="2"/>
          <w:rtl/>
        </w:rPr>
        <w:t>54678313</w:t>
      </w:r>
    </w:p>
    <w:p w14:paraId="705066A5" w14:textId="77777777" w:rsidR="004953EC" w:rsidRPr="00B05847" w:rsidRDefault="004953EC" w:rsidP="004953EC">
      <w:pPr>
        <w:rPr>
          <w:rtl/>
        </w:rPr>
      </w:pPr>
    </w:p>
    <w:p w14:paraId="577ECE96" w14:textId="77777777" w:rsidR="004953EC" w:rsidRPr="00B05847" w:rsidRDefault="004953EC" w:rsidP="004953EC">
      <w:pPr>
        <w:rPr>
          <w:rtl/>
        </w:rPr>
      </w:pPr>
    </w:p>
    <w:p w14:paraId="36C83A11" w14:textId="77777777" w:rsidR="004953EC" w:rsidRPr="00B05847" w:rsidRDefault="004953EC" w:rsidP="004953EC">
      <w:pPr>
        <w:rPr>
          <w:rtl/>
        </w:rPr>
      </w:pPr>
    </w:p>
    <w:p w14:paraId="3A687565" w14:textId="77777777" w:rsidR="004953EC" w:rsidRPr="00B05847" w:rsidRDefault="004953EC" w:rsidP="004953EC">
      <w:pPr>
        <w:rPr>
          <w:rtl/>
        </w:rPr>
      </w:pPr>
    </w:p>
    <w:p w14:paraId="546C67A7" w14:textId="77777777" w:rsidR="00AA3A8A" w:rsidRPr="00C701C1" w:rsidRDefault="00AA3A8A" w:rsidP="00C701C1">
      <w:pPr>
        <w:keepNext/>
        <w:rPr>
          <w:rFonts w:ascii="David" w:hAnsi="David" w:hint="cs"/>
          <w:color w:val="000000"/>
          <w:sz w:val="22"/>
          <w:szCs w:val="22"/>
          <w:rtl/>
        </w:rPr>
      </w:pPr>
    </w:p>
    <w:p w14:paraId="5DD141D7" w14:textId="77777777" w:rsidR="00C701C1" w:rsidRPr="00C701C1" w:rsidRDefault="00C701C1" w:rsidP="00C701C1">
      <w:pPr>
        <w:keepNext/>
        <w:rPr>
          <w:rFonts w:ascii="David" w:hAnsi="David"/>
          <w:color w:val="000000"/>
          <w:sz w:val="22"/>
          <w:szCs w:val="22"/>
          <w:rtl/>
        </w:rPr>
      </w:pPr>
      <w:r w:rsidRPr="00C701C1">
        <w:rPr>
          <w:rFonts w:ascii="David" w:hAnsi="David"/>
          <w:color w:val="000000"/>
          <w:sz w:val="22"/>
          <w:szCs w:val="22"/>
          <w:rtl/>
        </w:rPr>
        <w:t>רונית בש 54678313</w:t>
      </w:r>
    </w:p>
    <w:p w14:paraId="3FD7BC95" w14:textId="77777777" w:rsidR="00C701C1" w:rsidRDefault="00C701C1" w:rsidP="00C701C1">
      <w:r w:rsidRPr="00C701C1">
        <w:rPr>
          <w:color w:val="000000"/>
          <w:rtl/>
        </w:rPr>
        <w:t>נוסח מסמך זה כפוף לשינויי ניסוח ועריכה</w:t>
      </w:r>
    </w:p>
    <w:p w14:paraId="526A740C" w14:textId="77777777" w:rsidR="00C701C1" w:rsidRDefault="00C701C1" w:rsidP="00C701C1">
      <w:pPr>
        <w:rPr>
          <w:rtl/>
        </w:rPr>
      </w:pPr>
    </w:p>
    <w:p w14:paraId="58F2DAFB" w14:textId="77777777" w:rsidR="00C701C1" w:rsidRDefault="00C701C1" w:rsidP="00C701C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7C7BB3A" w14:textId="77777777" w:rsidR="00C701C1" w:rsidRPr="00C701C1" w:rsidRDefault="00C701C1" w:rsidP="00C701C1">
      <w:pPr>
        <w:jc w:val="center"/>
        <w:rPr>
          <w:rFonts w:hint="cs"/>
          <w:color w:val="0000FF"/>
          <w:u w:val="single"/>
        </w:rPr>
      </w:pPr>
    </w:p>
    <w:sectPr w:rsidR="00C701C1" w:rsidRPr="00C701C1" w:rsidSect="00C701C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8A6BD" w14:textId="77777777" w:rsidR="006916AB" w:rsidRDefault="006916AB" w:rsidP="001A72FA">
      <w:r>
        <w:separator/>
      </w:r>
    </w:p>
  </w:endnote>
  <w:endnote w:type="continuationSeparator" w:id="0">
    <w:p w14:paraId="51920239" w14:textId="77777777" w:rsidR="006916AB" w:rsidRDefault="006916AB" w:rsidP="001A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59A82" w14:textId="77777777" w:rsidR="00C701C1" w:rsidRDefault="00C701C1" w:rsidP="00C701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F52A11" w14:textId="77777777" w:rsidR="008C1778" w:rsidRPr="00C701C1" w:rsidRDefault="00C701C1" w:rsidP="00C701C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D29D" w14:textId="77777777" w:rsidR="00C701C1" w:rsidRDefault="00C701C1" w:rsidP="00C701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962">
      <w:rPr>
        <w:rFonts w:ascii="FrankRuehl" w:hAnsi="FrankRuehl" w:cs="FrankRuehl"/>
        <w:noProof/>
        <w:rtl/>
      </w:rPr>
      <w:t>1</w:t>
    </w:r>
    <w:r>
      <w:rPr>
        <w:rFonts w:ascii="FrankRuehl" w:hAnsi="FrankRuehl" w:cs="FrankRuehl"/>
        <w:rtl/>
      </w:rPr>
      <w:fldChar w:fldCharType="end"/>
    </w:r>
  </w:p>
  <w:p w14:paraId="58258868" w14:textId="77777777" w:rsidR="008C1778" w:rsidRPr="00C701C1" w:rsidRDefault="00C701C1" w:rsidP="00C701C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E87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23418" w14:textId="77777777" w:rsidR="006916AB" w:rsidRDefault="006916AB" w:rsidP="001A72FA">
      <w:r>
        <w:separator/>
      </w:r>
    </w:p>
  </w:footnote>
  <w:footnote w:type="continuationSeparator" w:id="0">
    <w:p w14:paraId="2C098F28" w14:textId="77777777" w:rsidR="006916AB" w:rsidRDefault="006916AB" w:rsidP="001A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2B296" w14:textId="77777777" w:rsidR="00C701C1" w:rsidRPr="00C701C1" w:rsidRDefault="00C701C1" w:rsidP="00C70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58511-01-20</w:t>
    </w:r>
    <w:r>
      <w:rPr>
        <w:rFonts w:ascii="David" w:hAnsi="David"/>
        <w:color w:val="000000"/>
        <w:sz w:val="22"/>
        <w:szCs w:val="22"/>
        <w:rtl/>
      </w:rPr>
      <w:tab/>
      <w:t xml:space="preserve"> מדינת ישראל נ' סאמר בידס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C966B" w14:textId="77777777" w:rsidR="00C701C1" w:rsidRPr="00C701C1" w:rsidRDefault="00C701C1" w:rsidP="00C70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58511-01-20</w:t>
    </w:r>
    <w:r>
      <w:rPr>
        <w:rFonts w:ascii="David" w:hAnsi="David"/>
        <w:color w:val="000000"/>
        <w:sz w:val="22"/>
        <w:szCs w:val="22"/>
        <w:rtl/>
      </w:rPr>
      <w:tab/>
      <w:t xml:space="preserve"> מדינת ישראל נ' סאמר בידס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210C"/>
    <w:multiLevelType w:val="hybridMultilevel"/>
    <w:tmpl w:val="CE5A00DC"/>
    <w:lvl w:ilvl="0" w:tplc="C6D8E0AC">
      <w:start w:val="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093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53EC"/>
    <w:rsid w:val="001A72FA"/>
    <w:rsid w:val="003C2902"/>
    <w:rsid w:val="004953EC"/>
    <w:rsid w:val="006916AB"/>
    <w:rsid w:val="008216A6"/>
    <w:rsid w:val="008900EE"/>
    <w:rsid w:val="008C1778"/>
    <w:rsid w:val="00AA3A8A"/>
    <w:rsid w:val="00C501AB"/>
    <w:rsid w:val="00C701C1"/>
    <w:rsid w:val="00DA29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376D6C"/>
  <w15:chartTrackingRefBased/>
  <w15:docId w15:val="{D3DA8407-3BC8-4F0D-B2A2-28BDC298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53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53EC"/>
    <w:pPr>
      <w:tabs>
        <w:tab w:val="center" w:pos="4153"/>
        <w:tab w:val="right" w:pos="8306"/>
      </w:tabs>
    </w:pPr>
  </w:style>
  <w:style w:type="character" w:customStyle="1" w:styleId="a4">
    <w:name w:val="כותרת עליונה תו"/>
    <w:link w:val="a3"/>
    <w:rsid w:val="004953EC"/>
    <w:rPr>
      <w:rFonts w:ascii="Times New Roman" w:eastAsia="Times New Roman" w:hAnsi="Times New Roman" w:cs="David"/>
      <w:sz w:val="24"/>
      <w:szCs w:val="24"/>
    </w:rPr>
  </w:style>
  <w:style w:type="paragraph" w:styleId="a5">
    <w:name w:val="footer"/>
    <w:basedOn w:val="a"/>
    <w:link w:val="a6"/>
    <w:rsid w:val="004953EC"/>
    <w:pPr>
      <w:tabs>
        <w:tab w:val="center" w:pos="4153"/>
        <w:tab w:val="right" w:pos="8306"/>
      </w:tabs>
    </w:pPr>
  </w:style>
  <w:style w:type="character" w:customStyle="1" w:styleId="a6">
    <w:name w:val="כותרת תחתונה תו"/>
    <w:link w:val="a5"/>
    <w:rsid w:val="004953EC"/>
    <w:rPr>
      <w:rFonts w:ascii="Times New Roman" w:eastAsia="Times New Roman" w:hAnsi="Times New Roman" w:cs="David"/>
      <w:sz w:val="24"/>
      <w:szCs w:val="24"/>
    </w:rPr>
  </w:style>
  <w:style w:type="table" w:styleId="a7">
    <w:name w:val="Table Grid"/>
    <w:basedOn w:val="a1"/>
    <w:rsid w:val="004953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53EC"/>
  </w:style>
  <w:style w:type="character" w:styleId="Hyperlink">
    <w:name w:val="Hyperlink"/>
    <w:rsid w:val="004953EC"/>
    <w:rPr>
      <w:color w:val="0000FF"/>
      <w:u w:val="single"/>
    </w:rPr>
  </w:style>
  <w:style w:type="paragraph" w:styleId="a9">
    <w:name w:val="List Paragraph"/>
    <w:basedOn w:val="a"/>
    <w:qFormat/>
    <w:rsid w:val="004953EC"/>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243627" TargetMode="External"/><Relationship Id="rId34" Type="http://schemas.openxmlformats.org/officeDocument/2006/relationships/hyperlink" Target="http://www.nevo.co.il/case/1128954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686432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iCa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iCaS"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73417"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47303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40c" TargetMode="External"/><Relationship Id="rId27" Type="http://schemas.openxmlformats.org/officeDocument/2006/relationships/hyperlink" Target="http://www.nevo.co.il/law/70301/40jc.b" TargetMode="External"/><Relationship Id="rId30" Type="http://schemas.openxmlformats.org/officeDocument/2006/relationships/hyperlink" Target="http://www.nevo.co.il/case/5601503" TargetMode="External"/><Relationship Id="rId35" Type="http://schemas.openxmlformats.org/officeDocument/2006/relationships/hyperlink" Target="http://www.nevo.co.il/case/22733878"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840699" TargetMode="External"/><Relationship Id="rId38" Type="http://schemas.openxmlformats.org/officeDocument/2006/relationships/hyperlink" Target="http://www.nevo.co.il/law/70301/144" TargetMode="External"/><Relationship Id="rId46" Type="http://schemas.openxmlformats.org/officeDocument/2006/relationships/fontTable" Target="fontTable.xml"/><Relationship Id="rId20" Type="http://schemas.openxmlformats.org/officeDocument/2006/relationships/hyperlink" Target="http://www.nevo.co.il/law/70301/40b"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2510</Words>
  <Characters>12555</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15035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4522077</vt:i4>
      </vt:variant>
      <vt:variant>
        <vt:i4>99</vt:i4>
      </vt:variant>
      <vt:variant>
        <vt:i4>0</vt:i4>
      </vt:variant>
      <vt:variant>
        <vt:i4>5</vt:i4>
      </vt:variant>
      <vt:variant>
        <vt:lpwstr>http://www.nevo.co.il/law/70301/iCaS</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3211389</vt:i4>
      </vt:variant>
      <vt:variant>
        <vt:i4>84</vt:i4>
      </vt:variant>
      <vt:variant>
        <vt:i4>0</vt:i4>
      </vt:variant>
      <vt:variant>
        <vt:i4>5</vt:i4>
      </vt:variant>
      <vt:variant>
        <vt:lpwstr>http://www.nevo.co.il/case/22733878</vt:lpwstr>
      </vt:variant>
      <vt:variant>
        <vt:lpwstr/>
      </vt:variant>
      <vt:variant>
        <vt:i4>4063352</vt:i4>
      </vt:variant>
      <vt:variant>
        <vt:i4>81</vt:i4>
      </vt:variant>
      <vt:variant>
        <vt:i4>0</vt:i4>
      </vt:variant>
      <vt:variant>
        <vt:i4>5</vt:i4>
      </vt:variant>
      <vt:variant>
        <vt:lpwstr>http://www.nevo.co.il/case/11289545</vt:lpwstr>
      </vt:variant>
      <vt:variant>
        <vt:lpwstr/>
      </vt:variant>
      <vt:variant>
        <vt:i4>3932277</vt:i4>
      </vt:variant>
      <vt:variant>
        <vt:i4>78</vt:i4>
      </vt:variant>
      <vt:variant>
        <vt:i4>0</vt:i4>
      </vt:variant>
      <vt:variant>
        <vt:i4>5</vt:i4>
      </vt:variant>
      <vt:variant>
        <vt:lpwstr>http://www.nevo.co.il/case/7840699</vt:lpwstr>
      </vt:variant>
      <vt:variant>
        <vt:lpwstr/>
      </vt:variant>
      <vt:variant>
        <vt:i4>3801210</vt:i4>
      </vt:variant>
      <vt:variant>
        <vt:i4>75</vt:i4>
      </vt:variant>
      <vt:variant>
        <vt:i4>0</vt:i4>
      </vt:variant>
      <vt:variant>
        <vt:i4>5</vt:i4>
      </vt:variant>
      <vt:variant>
        <vt:lpwstr>http://www.nevo.co.il/case/6864329</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3342451</vt:i4>
      </vt:variant>
      <vt:variant>
        <vt:i4>69</vt:i4>
      </vt:variant>
      <vt:variant>
        <vt:i4>0</vt:i4>
      </vt:variant>
      <vt:variant>
        <vt:i4>5</vt:i4>
      </vt:variant>
      <vt:variant>
        <vt:lpwstr>http://www.nevo.co.il/case/5601503</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3342455</vt:i4>
      </vt:variant>
      <vt:variant>
        <vt:i4>42</vt:i4>
      </vt:variant>
      <vt:variant>
        <vt:i4>0</vt:i4>
      </vt:variant>
      <vt:variant>
        <vt:i4>5</vt:i4>
      </vt:variant>
      <vt:variant>
        <vt:lpwstr>http://www.nevo.co.il/case/6243627</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4522077</vt:i4>
      </vt:variant>
      <vt:variant>
        <vt:i4>24</vt:i4>
      </vt:variant>
      <vt:variant>
        <vt:i4>0</vt:i4>
      </vt:variant>
      <vt:variant>
        <vt:i4>5</vt:i4>
      </vt:variant>
      <vt:variant>
        <vt:lpwstr>http://www.nevo.co.il/law/70301/iCaS</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58511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סאמר בידס</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20200723</vt:lpwstr>
  </property>
  <property fmtid="{D5CDD505-2E9C-101B-9397-08002B2CF9AE}" pid="13" name="TYPE_N_DATE">
    <vt:lpwstr>39020200723</vt:lpwstr>
  </property>
  <property fmtid="{D5CDD505-2E9C-101B-9397-08002B2CF9AE}" pid="14" name="CASESLISTTMP1">
    <vt:lpwstr>6243627;5573417;13093721;5601503;6473037;6864329;7840699;11289545;22733878</vt:lpwstr>
  </property>
  <property fmtid="{D5CDD505-2E9C-101B-9397-08002B2CF9AE}" pid="15" name="WORDNUMPAGES">
    <vt:lpwstr>8</vt:lpwstr>
  </property>
  <property fmtid="{D5CDD505-2E9C-101B-9397-08002B2CF9AE}" pid="16" name="TYPE_ABS_DATE">
    <vt:lpwstr>390020200723</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70301/144.b;244;040b;040c;040i;40jc.b;144:2;iCaS</vt:lpwstr>
  </property>
</Properties>
</file>