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815DED" w:rsidRPr="0060220A" w14:paraId="1D3846F7" w14:textId="77777777" w:rsidTr="008E23F3">
        <w:trPr>
          <w:trHeight w:hRule="exact" w:val="418"/>
          <w:jc w:val="center"/>
        </w:trPr>
        <w:tc>
          <w:tcPr>
            <w:tcW w:w="8721" w:type="dxa"/>
            <w:gridSpan w:val="2"/>
          </w:tcPr>
          <w:p w14:paraId="682CE41E" w14:textId="77777777" w:rsidR="00815DED" w:rsidRPr="0060220A" w:rsidRDefault="00815DED" w:rsidP="001B32F5">
            <w:pPr>
              <w:pStyle w:val="a3"/>
              <w:jc w:val="center"/>
              <w:rPr>
                <w:rFonts w:ascii="Tahoma" w:hAnsi="Tahoma" w:cs="Tahoma"/>
                <w:color w:val="000080"/>
                <w:rtl/>
              </w:rPr>
            </w:pPr>
            <w:bookmarkStart w:id="0" w:name="LastJudge"/>
            <w:r w:rsidRPr="0060220A">
              <w:rPr>
                <w:rFonts w:ascii="Tahoma" w:hAnsi="Tahoma" w:cs="Tahoma"/>
                <w:b/>
                <w:bCs/>
                <w:color w:val="000080"/>
                <w:rtl/>
              </w:rPr>
              <w:t>בית המשפט המחוזי בחיפה</w:t>
            </w:r>
          </w:p>
        </w:tc>
      </w:tr>
      <w:tr w:rsidR="00815DED" w:rsidRPr="0060220A" w14:paraId="53375325" w14:textId="77777777" w:rsidTr="008E23F3">
        <w:trPr>
          <w:trHeight w:val="337"/>
          <w:jc w:val="center"/>
        </w:trPr>
        <w:tc>
          <w:tcPr>
            <w:tcW w:w="5058" w:type="dxa"/>
          </w:tcPr>
          <w:p w14:paraId="13073312" w14:textId="77777777" w:rsidR="00815DED" w:rsidRPr="0060220A" w:rsidRDefault="00815DED" w:rsidP="001B32F5">
            <w:pPr>
              <w:rPr>
                <w:rFonts w:cs="FrankRuehl"/>
                <w:sz w:val="28"/>
                <w:szCs w:val="28"/>
                <w:rtl/>
              </w:rPr>
            </w:pPr>
            <w:r w:rsidRPr="0060220A">
              <w:rPr>
                <w:rFonts w:cs="FrankRuehl"/>
                <w:sz w:val="28"/>
                <w:szCs w:val="28"/>
                <w:rtl/>
              </w:rPr>
              <w:t>ת"פ</w:t>
            </w:r>
            <w:r w:rsidRPr="0060220A">
              <w:rPr>
                <w:rFonts w:cs="FrankRuehl" w:hint="cs"/>
                <w:sz w:val="28"/>
                <w:szCs w:val="28"/>
                <w:rtl/>
              </w:rPr>
              <w:t xml:space="preserve"> </w:t>
            </w:r>
            <w:r w:rsidRPr="0060220A">
              <w:rPr>
                <w:rFonts w:cs="FrankRuehl"/>
                <w:sz w:val="28"/>
                <w:szCs w:val="28"/>
                <w:rtl/>
              </w:rPr>
              <w:t>58701-01-20</w:t>
            </w:r>
            <w:r w:rsidRPr="0060220A">
              <w:rPr>
                <w:rFonts w:cs="FrankRuehl" w:hint="cs"/>
                <w:sz w:val="28"/>
                <w:szCs w:val="28"/>
                <w:rtl/>
              </w:rPr>
              <w:t xml:space="preserve"> </w:t>
            </w:r>
            <w:r w:rsidRPr="0060220A">
              <w:rPr>
                <w:rFonts w:cs="FrankRuehl"/>
                <w:sz w:val="28"/>
                <w:szCs w:val="28"/>
                <w:rtl/>
              </w:rPr>
              <w:t>מדינת ישראל נ' דרויש(עציר) ואח'</w:t>
            </w:r>
          </w:p>
          <w:p w14:paraId="163EFC01" w14:textId="77777777" w:rsidR="00815DED" w:rsidRPr="0060220A" w:rsidRDefault="00815DED" w:rsidP="001B32F5">
            <w:pPr>
              <w:pStyle w:val="a3"/>
              <w:rPr>
                <w:rFonts w:cs="FrankRuehl"/>
                <w:sz w:val="28"/>
                <w:szCs w:val="28"/>
                <w:rtl/>
              </w:rPr>
            </w:pPr>
          </w:p>
        </w:tc>
        <w:tc>
          <w:tcPr>
            <w:tcW w:w="3663" w:type="dxa"/>
          </w:tcPr>
          <w:p w14:paraId="09566A43" w14:textId="77777777" w:rsidR="00815DED" w:rsidRPr="0060220A" w:rsidRDefault="00815DED" w:rsidP="001B32F5">
            <w:pPr>
              <w:pStyle w:val="a3"/>
              <w:jc w:val="right"/>
              <w:rPr>
                <w:rFonts w:cs="FrankRuehl"/>
                <w:sz w:val="28"/>
                <w:szCs w:val="28"/>
                <w:rtl/>
              </w:rPr>
            </w:pPr>
          </w:p>
        </w:tc>
      </w:tr>
    </w:tbl>
    <w:p w14:paraId="0C7DA53C" w14:textId="77777777" w:rsidR="00815DED" w:rsidRPr="0060220A" w:rsidRDefault="00815DED" w:rsidP="00815DED">
      <w:pPr>
        <w:pStyle w:val="a3"/>
        <w:rPr>
          <w:rtl/>
        </w:rPr>
      </w:pPr>
      <w:r w:rsidRPr="0060220A">
        <w:rPr>
          <w:rFonts w:hint="cs"/>
          <w:rtl/>
        </w:rPr>
        <w:t xml:space="preserve"> </w:t>
      </w:r>
    </w:p>
    <w:p w14:paraId="4B38ACC3" w14:textId="77777777" w:rsidR="00815DED" w:rsidRPr="0060220A" w:rsidRDefault="00815DED" w:rsidP="00815DED">
      <w:pPr>
        <w:suppressLineNumbers/>
        <w:rPr>
          <w:rFonts w:ascii="Arial" w:hAnsi="Arial"/>
          <w:rtl/>
        </w:rPr>
      </w:pPr>
    </w:p>
    <w:p w14:paraId="584896FF" w14:textId="77777777" w:rsidR="00815DED" w:rsidRPr="0060220A" w:rsidRDefault="00815DED" w:rsidP="00815DED">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815DED" w:rsidRPr="0060220A" w14:paraId="6E90BB81" w14:textId="77777777" w:rsidTr="00815DED">
        <w:trPr>
          <w:gridAfter w:val="1"/>
          <w:wAfter w:w="56" w:type="dxa"/>
        </w:trPr>
        <w:tc>
          <w:tcPr>
            <w:tcW w:w="8718" w:type="dxa"/>
            <w:gridSpan w:val="2"/>
            <w:shd w:val="clear" w:color="auto" w:fill="auto"/>
          </w:tcPr>
          <w:p w14:paraId="73D58C86" w14:textId="77777777" w:rsidR="00815DED" w:rsidRPr="0060220A" w:rsidRDefault="00815DED" w:rsidP="001B32F5">
            <w:pPr>
              <w:rPr>
                <w:rStyle w:val="TimesNewRomanTimesNewRoman"/>
                <w:rtl/>
              </w:rPr>
            </w:pPr>
            <w:r w:rsidRPr="0060220A">
              <w:rPr>
                <w:rFonts w:hint="cs"/>
                <w:b/>
                <w:bCs/>
                <w:sz w:val="26"/>
                <w:szCs w:val="26"/>
                <w:rtl/>
              </w:rPr>
              <w:t>לפני כבוד ה</w:t>
            </w:r>
            <w:r w:rsidRPr="0060220A">
              <w:rPr>
                <w:b/>
                <w:bCs/>
                <w:sz w:val="26"/>
                <w:szCs w:val="26"/>
                <w:rtl/>
              </w:rPr>
              <w:t>שופטת תמר שרון נתנאל</w:t>
            </w:r>
            <w:r w:rsidRPr="0060220A">
              <w:rPr>
                <w:rStyle w:val="TimesNewRomanTimesNewRoman"/>
                <w:rtl/>
              </w:rPr>
              <w:t xml:space="preserve"> </w:t>
            </w:r>
          </w:p>
          <w:p w14:paraId="627CF35A" w14:textId="77777777" w:rsidR="00815DED" w:rsidRPr="0060220A" w:rsidRDefault="00815DED" w:rsidP="001B32F5">
            <w:pPr>
              <w:rPr>
                <w:rtl/>
              </w:rPr>
            </w:pPr>
          </w:p>
        </w:tc>
      </w:tr>
      <w:tr w:rsidR="00815DED" w:rsidRPr="0060220A" w14:paraId="6541681F" w14:textId="77777777" w:rsidTr="00815DED">
        <w:trPr>
          <w:cantSplit/>
          <w:trHeight w:val="563"/>
        </w:trPr>
        <w:tc>
          <w:tcPr>
            <w:tcW w:w="2880" w:type="dxa"/>
            <w:shd w:val="clear" w:color="auto" w:fill="auto"/>
          </w:tcPr>
          <w:p w14:paraId="41762EB6" w14:textId="77777777" w:rsidR="00815DED" w:rsidRPr="0060220A" w:rsidRDefault="00815DED" w:rsidP="00815DED">
            <w:pPr>
              <w:ind w:left="26"/>
              <w:rPr>
                <w:b/>
                <w:bCs/>
                <w:sz w:val="26"/>
                <w:szCs w:val="26"/>
                <w:rtl/>
              </w:rPr>
            </w:pPr>
            <w:bookmarkStart w:id="1" w:name="FirstAppellant"/>
            <w:r w:rsidRPr="0060220A">
              <w:rPr>
                <w:rFonts w:hint="cs"/>
                <w:b/>
                <w:bCs/>
                <w:sz w:val="26"/>
                <w:szCs w:val="26"/>
                <w:rtl/>
              </w:rPr>
              <w:t>ה</w:t>
            </w:r>
            <w:r w:rsidRPr="0060220A">
              <w:rPr>
                <w:b/>
                <w:bCs/>
                <w:sz w:val="26"/>
                <w:szCs w:val="26"/>
                <w:rtl/>
              </w:rPr>
              <w:t>מאשימה</w:t>
            </w:r>
          </w:p>
        </w:tc>
        <w:tc>
          <w:tcPr>
            <w:tcW w:w="5922" w:type="dxa"/>
            <w:gridSpan w:val="2"/>
            <w:shd w:val="clear" w:color="auto" w:fill="auto"/>
          </w:tcPr>
          <w:p w14:paraId="6DEAD6DA" w14:textId="77777777" w:rsidR="00815DED" w:rsidRPr="0060220A" w:rsidRDefault="00815DED" w:rsidP="001B32F5">
            <w:pPr>
              <w:rPr>
                <w:b/>
                <w:bCs/>
                <w:sz w:val="26"/>
                <w:szCs w:val="26"/>
                <w:rtl/>
              </w:rPr>
            </w:pPr>
            <w:r w:rsidRPr="0060220A">
              <w:rPr>
                <w:b/>
                <w:bCs/>
                <w:sz w:val="26"/>
                <w:szCs w:val="26"/>
                <w:rtl/>
              </w:rPr>
              <w:t>מדינת ישראל</w:t>
            </w:r>
          </w:p>
        </w:tc>
      </w:tr>
      <w:bookmarkEnd w:id="1"/>
      <w:tr w:rsidR="00815DED" w:rsidRPr="0060220A" w14:paraId="21CDB82E" w14:textId="77777777" w:rsidTr="00815DED">
        <w:tc>
          <w:tcPr>
            <w:tcW w:w="8802" w:type="dxa"/>
            <w:gridSpan w:val="3"/>
            <w:shd w:val="clear" w:color="auto" w:fill="auto"/>
            <w:vAlign w:val="center"/>
          </w:tcPr>
          <w:p w14:paraId="19446214" w14:textId="77777777" w:rsidR="00815DED" w:rsidRPr="0060220A" w:rsidRDefault="00815DED" w:rsidP="00815DED">
            <w:pPr>
              <w:jc w:val="center"/>
              <w:rPr>
                <w:rFonts w:ascii="Arial" w:hAnsi="Arial"/>
                <w:b/>
                <w:bCs/>
                <w:sz w:val="26"/>
                <w:szCs w:val="26"/>
                <w:rtl/>
              </w:rPr>
            </w:pPr>
          </w:p>
          <w:p w14:paraId="6F73538F" w14:textId="77777777" w:rsidR="00815DED" w:rsidRPr="0060220A" w:rsidRDefault="00815DED" w:rsidP="00815DED">
            <w:pPr>
              <w:jc w:val="center"/>
              <w:rPr>
                <w:rFonts w:ascii="Arial" w:hAnsi="Arial"/>
                <w:b/>
                <w:bCs/>
                <w:sz w:val="26"/>
                <w:szCs w:val="26"/>
                <w:rtl/>
              </w:rPr>
            </w:pPr>
            <w:r w:rsidRPr="0060220A">
              <w:rPr>
                <w:rFonts w:ascii="Arial" w:hAnsi="Arial" w:hint="cs"/>
                <w:b/>
                <w:bCs/>
                <w:sz w:val="26"/>
                <w:szCs w:val="26"/>
                <w:rtl/>
              </w:rPr>
              <w:t>נגד</w:t>
            </w:r>
          </w:p>
          <w:p w14:paraId="36597AED" w14:textId="77777777" w:rsidR="00815DED" w:rsidRPr="0060220A" w:rsidRDefault="00815DED" w:rsidP="001B32F5">
            <w:pPr>
              <w:rPr>
                <w:rFonts w:ascii="Arial" w:hAnsi="Arial"/>
                <w:b/>
                <w:bCs/>
                <w:sz w:val="26"/>
                <w:szCs w:val="26"/>
                <w:rtl/>
              </w:rPr>
            </w:pPr>
          </w:p>
        </w:tc>
      </w:tr>
      <w:tr w:rsidR="00815DED" w:rsidRPr="0060220A" w14:paraId="25C317E1" w14:textId="77777777" w:rsidTr="00815DED">
        <w:tc>
          <w:tcPr>
            <w:tcW w:w="2880" w:type="dxa"/>
            <w:shd w:val="clear" w:color="auto" w:fill="auto"/>
          </w:tcPr>
          <w:p w14:paraId="6C1F8DA2" w14:textId="77777777" w:rsidR="00815DED" w:rsidRPr="0060220A" w:rsidRDefault="00815DED" w:rsidP="00815DED">
            <w:pPr>
              <w:ind w:left="26"/>
              <w:rPr>
                <w:b/>
                <w:bCs/>
                <w:sz w:val="26"/>
                <w:szCs w:val="26"/>
              </w:rPr>
            </w:pPr>
            <w:r w:rsidRPr="0060220A">
              <w:rPr>
                <w:rFonts w:hint="cs"/>
                <w:b/>
                <w:bCs/>
                <w:sz w:val="26"/>
                <w:szCs w:val="26"/>
                <w:rtl/>
              </w:rPr>
              <w:t>ה</w:t>
            </w:r>
            <w:r w:rsidRPr="0060220A">
              <w:rPr>
                <w:b/>
                <w:bCs/>
                <w:sz w:val="26"/>
                <w:szCs w:val="26"/>
                <w:rtl/>
              </w:rPr>
              <w:t>נאשמים</w:t>
            </w:r>
          </w:p>
        </w:tc>
        <w:tc>
          <w:tcPr>
            <w:tcW w:w="5922" w:type="dxa"/>
            <w:gridSpan w:val="2"/>
            <w:shd w:val="clear" w:color="auto" w:fill="auto"/>
          </w:tcPr>
          <w:p w14:paraId="1189604A" w14:textId="77777777" w:rsidR="00815DED" w:rsidRPr="0060220A" w:rsidRDefault="00815DED" w:rsidP="001B32F5">
            <w:pPr>
              <w:rPr>
                <w:b/>
                <w:bCs/>
                <w:sz w:val="26"/>
                <w:szCs w:val="26"/>
                <w:rtl/>
              </w:rPr>
            </w:pPr>
            <w:r w:rsidRPr="0060220A">
              <w:rPr>
                <w:b/>
                <w:bCs/>
                <w:sz w:val="26"/>
                <w:szCs w:val="26"/>
              </w:rPr>
              <w:t>.1</w:t>
            </w:r>
            <w:r w:rsidRPr="0060220A">
              <w:rPr>
                <w:rtl/>
              </w:rPr>
              <w:t xml:space="preserve"> </w:t>
            </w:r>
            <w:r w:rsidRPr="0060220A">
              <w:rPr>
                <w:b/>
                <w:bCs/>
                <w:sz w:val="26"/>
                <w:szCs w:val="26"/>
                <w:rtl/>
              </w:rPr>
              <w:t>פאדי דרויש (עציר)</w:t>
            </w:r>
            <w:r w:rsidRPr="0060220A">
              <w:rPr>
                <w:rtl/>
              </w:rPr>
              <w:t xml:space="preserve"> </w:t>
            </w:r>
            <w:r w:rsidRPr="0060220A">
              <w:rPr>
                <w:b/>
                <w:bCs/>
                <w:sz w:val="26"/>
                <w:szCs w:val="26"/>
                <w:rtl/>
              </w:rPr>
              <w:t>ת"ז</w:t>
            </w:r>
            <w:r w:rsidRPr="0060220A">
              <w:rPr>
                <w:rFonts w:hint="cs"/>
                <w:b/>
                <w:bCs/>
                <w:sz w:val="26"/>
                <w:szCs w:val="26"/>
                <w:rtl/>
              </w:rPr>
              <w:t xml:space="preserve">  </w:t>
            </w:r>
            <w:r w:rsidR="0060220A">
              <w:rPr>
                <w:b/>
                <w:bCs/>
                <w:sz w:val="26"/>
                <w:szCs w:val="26"/>
              </w:rPr>
              <w:t>xxxxxxxxxx</w:t>
            </w:r>
          </w:p>
          <w:p w14:paraId="5E3FA1AA" w14:textId="77777777" w:rsidR="00815DED" w:rsidRPr="0060220A" w:rsidRDefault="00815DED" w:rsidP="001B32F5">
            <w:pPr>
              <w:rPr>
                <w:b/>
                <w:bCs/>
                <w:sz w:val="26"/>
                <w:szCs w:val="26"/>
                <w:rtl/>
              </w:rPr>
            </w:pPr>
          </w:p>
          <w:p w14:paraId="4A29EC18" w14:textId="77777777" w:rsidR="00815DED" w:rsidRPr="0060220A" w:rsidRDefault="00815DED" w:rsidP="001B32F5">
            <w:pPr>
              <w:rPr>
                <w:b/>
                <w:bCs/>
                <w:sz w:val="26"/>
                <w:szCs w:val="26"/>
                <w:rtl/>
              </w:rPr>
            </w:pPr>
            <w:r w:rsidRPr="0060220A">
              <w:rPr>
                <w:b/>
                <w:bCs/>
                <w:sz w:val="26"/>
                <w:szCs w:val="26"/>
              </w:rPr>
              <w:t>.2</w:t>
            </w:r>
            <w:r w:rsidRPr="0060220A">
              <w:rPr>
                <w:rtl/>
              </w:rPr>
              <w:t xml:space="preserve"> </w:t>
            </w:r>
            <w:r w:rsidRPr="0060220A">
              <w:rPr>
                <w:b/>
                <w:bCs/>
                <w:sz w:val="26"/>
                <w:szCs w:val="26"/>
                <w:rtl/>
              </w:rPr>
              <w:t>רעד יאסין (עצור/אסיר בפיקוח)</w:t>
            </w:r>
            <w:r w:rsidRPr="0060220A">
              <w:rPr>
                <w:rtl/>
              </w:rPr>
              <w:t xml:space="preserve"> </w:t>
            </w:r>
            <w:r w:rsidRPr="0060220A">
              <w:rPr>
                <w:b/>
                <w:bCs/>
                <w:sz w:val="26"/>
                <w:szCs w:val="26"/>
                <w:rtl/>
              </w:rPr>
              <w:t>ת"ז</w:t>
            </w:r>
            <w:r w:rsidRPr="0060220A">
              <w:rPr>
                <w:rFonts w:hint="cs"/>
                <w:b/>
                <w:bCs/>
                <w:sz w:val="26"/>
                <w:szCs w:val="26"/>
                <w:rtl/>
              </w:rPr>
              <w:t xml:space="preserve">  </w:t>
            </w:r>
            <w:r w:rsidR="0060220A">
              <w:rPr>
                <w:b/>
                <w:bCs/>
                <w:sz w:val="26"/>
                <w:szCs w:val="26"/>
              </w:rPr>
              <w:t>xxxxxxxxxx</w:t>
            </w:r>
          </w:p>
          <w:p w14:paraId="45533FCB" w14:textId="77777777" w:rsidR="00815DED" w:rsidRPr="0060220A" w:rsidRDefault="00815DED" w:rsidP="001B32F5">
            <w:pPr>
              <w:rPr>
                <w:b/>
                <w:bCs/>
                <w:sz w:val="26"/>
                <w:szCs w:val="26"/>
                <w:rtl/>
              </w:rPr>
            </w:pPr>
          </w:p>
        </w:tc>
      </w:tr>
    </w:tbl>
    <w:p w14:paraId="4877D101" w14:textId="77777777" w:rsidR="00815DED" w:rsidRPr="0060220A" w:rsidRDefault="00815DED" w:rsidP="00815DED">
      <w:pPr>
        <w:suppressLineNumbers/>
        <w:rPr>
          <w:rFonts w:ascii="Arial" w:hAnsi="Arial"/>
          <w:rtl/>
        </w:rPr>
      </w:pPr>
    </w:p>
    <w:p w14:paraId="3799EB08" w14:textId="77777777" w:rsidR="00815DED" w:rsidRPr="0060220A" w:rsidRDefault="00815DED" w:rsidP="00815DED">
      <w:pPr>
        <w:suppressLineNumbers/>
        <w:rPr>
          <w:rFonts w:ascii="Arial" w:hAnsi="Arial"/>
          <w:b/>
          <w:bCs/>
          <w:rtl/>
        </w:rPr>
      </w:pPr>
      <w:r w:rsidRPr="0060220A">
        <w:rPr>
          <w:rFonts w:ascii="Arial" w:hAnsi="Arial" w:hint="cs"/>
          <w:b/>
          <w:bCs/>
          <w:rtl/>
        </w:rPr>
        <w:t>נוכחים:</w:t>
      </w:r>
    </w:p>
    <w:p w14:paraId="26DA5951" w14:textId="77777777" w:rsidR="00815DED" w:rsidRPr="0060220A" w:rsidRDefault="00815DED" w:rsidP="00815DED">
      <w:pPr>
        <w:suppressLineNumbers/>
        <w:rPr>
          <w:rFonts w:ascii="Arial" w:hAnsi="Arial"/>
          <w:rtl/>
        </w:rPr>
      </w:pPr>
      <w:bookmarkStart w:id="2" w:name="FirstLawyer"/>
      <w:r w:rsidRPr="0060220A">
        <w:rPr>
          <w:rFonts w:ascii="Arial" w:hAnsi="Arial" w:hint="cs"/>
          <w:rtl/>
        </w:rPr>
        <w:t>ב"כ</w:t>
      </w:r>
      <w:bookmarkEnd w:id="2"/>
      <w:r w:rsidRPr="0060220A">
        <w:rPr>
          <w:rFonts w:ascii="Arial" w:hAnsi="Arial" w:hint="cs"/>
          <w:rtl/>
        </w:rPr>
        <w:t xml:space="preserve">  המאשימה: עו"ד אדם סרי </w:t>
      </w:r>
    </w:p>
    <w:p w14:paraId="21A12FE0" w14:textId="77777777" w:rsidR="00815DED" w:rsidRPr="0060220A" w:rsidRDefault="00815DED" w:rsidP="00815DED">
      <w:pPr>
        <w:suppressLineNumbers/>
        <w:rPr>
          <w:rFonts w:ascii="Arial" w:hAnsi="Arial"/>
        </w:rPr>
      </w:pPr>
      <w:r w:rsidRPr="0060220A">
        <w:rPr>
          <w:rFonts w:ascii="Arial" w:hAnsi="Arial" w:hint="cs"/>
          <w:rtl/>
        </w:rPr>
        <w:t xml:space="preserve">ב"כ הנאשם 1: עו"ד כאמיל עודה ועו"ד ג'ריס ברהום </w:t>
      </w:r>
    </w:p>
    <w:p w14:paraId="3FB667BC" w14:textId="77777777" w:rsidR="00815DED" w:rsidRPr="0060220A" w:rsidRDefault="00815DED" w:rsidP="00815DED">
      <w:pPr>
        <w:suppressLineNumbers/>
        <w:rPr>
          <w:rFonts w:ascii="Arial" w:hAnsi="Arial"/>
        </w:rPr>
      </w:pPr>
      <w:r w:rsidRPr="0060220A">
        <w:rPr>
          <w:rFonts w:ascii="Arial" w:hAnsi="Arial" w:hint="cs"/>
          <w:rtl/>
        </w:rPr>
        <w:t xml:space="preserve">ב"כ הנאשם 2: עו"ד חאתם סעב </w:t>
      </w:r>
    </w:p>
    <w:p w14:paraId="53B67C73" w14:textId="77777777" w:rsidR="00815DED" w:rsidRPr="0060220A" w:rsidRDefault="00815DED" w:rsidP="00815DED">
      <w:pPr>
        <w:suppressLineNumbers/>
        <w:rPr>
          <w:rFonts w:ascii="Arial" w:hAnsi="Arial"/>
          <w:rtl/>
        </w:rPr>
      </w:pPr>
      <w:r w:rsidRPr="0060220A">
        <w:rPr>
          <w:rFonts w:ascii="Arial" w:hAnsi="Arial" w:hint="cs"/>
          <w:rtl/>
        </w:rPr>
        <w:t xml:space="preserve">הנאשם 1 באמצעות שב"ס </w:t>
      </w:r>
    </w:p>
    <w:p w14:paraId="1AD129DC" w14:textId="77777777" w:rsidR="00815DED" w:rsidRPr="0060220A" w:rsidRDefault="00815DED" w:rsidP="00815DED">
      <w:pPr>
        <w:suppressLineNumbers/>
        <w:rPr>
          <w:rFonts w:ascii="Arial" w:hAnsi="Arial"/>
          <w:rtl/>
        </w:rPr>
      </w:pPr>
      <w:r w:rsidRPr="0060220A">
        <w:rPr>
          <w:rFonts w:ascii="Arial" w:hAnsi="Arial" w:hint="cs"/>
          <w:rtl/>
        </w:rPr>
        <w:t>הנאשם 2 בעצמו</w:t>
      </w:r>
    </w:p>
    <w:p w14:paraId="653FADD8" w14:textId="77777777" w:rsidR="008E23F3" w:rsidRPr="008E23F3" w:rsidRDefault="008E23F3" w:rsidP="008E23F3">
      <w:pPr>
        <w:spacing w:before="120" w:after="120" w:line="240" w:lineRule="exact"/>
        <w:ind w:left="283" w:hanging="283"/>
        <w:jc w:val="both"/>
        <w:rPr>
          <w:rFonts w:ascii="FrankRuehl" w:hAnsi="FrankRuehl" w:cs="FrankRuehl"/>
          <w:rtl/>
        </w:rPr>
      </w:pPr>
    </w:p>
    <w:p w14:paraId="56FD17E6" w14:textId="77777777" w:rsidR="00BB1F35" w:rsidRDefault="00BB1F35" w:rsidP="00BB1F35">
      <w:pPr>
        <w:jc w:val="center"/>
        <w:rPr>
          <w:rFonts w:ascii="Arial" w:hAnsi="Arial" w:cs="FrankRuehl"/>
          <w:sz w:val="32"/>
          <w:szCs w:val="32"/>
          <w:rtl/>
        </w:rPr>
      </w:pPr>
      <w:bookmarkStart w:id="3" w:name="LawTable"/>
      <w:bookmarkEnd w:id="3"/>
    </w:p>
    <w:p w14:paraId="468AC9FE" w14:textId="77777777" w:rsidR="00BB1F35" w:rsidRPr="00BB1F35" w:rsidRDefault="00BB1F35" w:rsidP="00BB1F35">
      <w:pPr>
        <w:spacing w:before="120" w:after="120" w:line="240" w:lineRule="exact"/>
        <w:ind w:left="283" w:hanging="283"/>
        <w:jc w:val="both"/>
        <w:rPr>
          <w:rFonts w:ascii="FrankRuehl" w:hAnsi="FrankRuehl" w:cs="FrankRuehl"/>
          <w:rtl/>
        </w:rPr>
      </w:pPr>
    </w:p>
    <w:p w14:paraId="5573DD47" w14:textId="77777777" w:rsidR="00BB1F35" w:rsidRPr="00BB1F35" w:rsidRDefault="00BB1F35" w:rsidP="00BB1F35">
      <w:pPr>
        <w:spacing w:before="120" w:after="120" w:line="240" w:lineRule="exact"/>
        <w:ind w:left="283" w:hanging="283"/>
        <w:jc w:val="both"/>
        <w:rPr>
          <w:rFonts w:ascii="FrankRuehl" w:hAnsi="FrankRuehl" w:cs="FrankRuehl"/>
          <w:rtl/>
        </w:rPr>
      </w:pPr>
    </w:p>
    <w:p w14:paraId="58FCDBFC" w14:textId="77777777" w:rsidR="00BB1F35" w:rsidRPr="00BB1F35" w:rsidRDefault="00BB1F35" w:rsidP="00BB1F35">
      <w:pPr>
        <w:spacing w:before="120" w:after="120" w:line="240" w:lineRule="exact"/>
        <w:ind w:left="283" w:hanging="283"/>
        <w:jc w:val="both"/>
        <w:rPr>
          <w:rFonts w:ascii="FrankRuehl" w:hAnsi="FrankRuehl" w:cs="FrankRuehl"/>
          <w:rtl/>
        </w:rPr>
      </w:pPr>
      <w:r w:rsidRPr="00BB1F35">
        <w:rPr>
          <w:rFonts w:ascii="FrankRuehl" w:hAnsi="FrankRuehl" w:cs="FrankRuehl"/>
          <w:rtl/>
        </w:rPr>
        <w:t xml:space="preserve">חקיקה שאוזכרה: </w:t>
      </w:r>
    </w:p>
    <w:p w14:paraId="779041AA" w14:textId="77777777" w:rsidR="00BB1F35" w:rsidRPr="00BB1F35" w:rsidRDefault="00BB1F35" w:rsidP="00BB1F35">
      <w:pPr>
        <w:spacing w:before="120" w:after="120" w:line="240" w:lineRule="exact"/>
        <w:ind w:left="283" w:hanging="283"/>
        <w:jc w:val="both"/>
        <w:rPr>
          <w:rFonts w:ascii="FrankRuehl" w:hAnsi="FrankRuehl" w:cs="FrankRuehl"/>
          <w:rtl/>
        </w:rPr>
      </w:pPr>
      <w:hyperlink r:id="rId6" w:history="1">
        <w:r w:rsidRPr="00BB1F35">
          <w:rPr>
            <w:rFonts w:ascii="FrankRuehl" w:hAnsi="FrankRuehl" w:cs="FrankRuehl"/>
            <w:color w:val="0000FF"/>
            <w:rtl/>
          </w:rPr>
          <w:t>חוק העונשין, תשל"ז-1977</w:t>
        </w:r>
      </w:hyperlink>
      <w:r w:rsidRPr="00BB1F35">
        <w:rPr>
          <w:rFonts w:ascii="FrankRuehl" w:hAnsi="FrankRuehl" w:cs="FrankRuehl"/>
          <w:rtl/>
        </w:rPr>
        <w:t xml:space="preserve">: סע'  </w:t>
      </w:r>
      <w:hyperlink r:id="rId7" w:history="1">
        <w:r w:rsidRPr="00BB1F35">
          <w:rPr>
            <w:rFonts w:ascii="FrankRuehl" w:hAnsi="FrankRuehl" w:cs="FrankRuehl"/>
            <w:color w:val="0000FF"/>
            <w:rtl/>
          </w:rPr>
          <w:t>40ב'</w:t>
        </w:r>
      </w:hyperlink>
      <w:r w:rsidRPr="00BB1F35">
        <w:rPr>
          <w:rFonts w:ascii="FrankRuehl" w:hAnsi="FrankRuehl" w:cs="FrankRuehl"/>
          <w:rtl/>
        </w:rPr>
        <w:t xml:space="preserve">, </w:t>
      </w:r>
      <w:hyperlink r:id="rId8" w:history="1">
        <w:r w:rsidRPr="00BB1F35">
          <w:rPr>
            <w:rFonts w:ascii="FrankRuehl" w:hAnsi="FrankRuehl" w:cs="FrankRuehl"/>
            <w:color w:val="0000FF"/>
            <w:rtl/>
          </w:rPr>
          <w:t>144(א)</w:t>
        </w:r>
      </w:hyperlink>
      <w:r w:rsidRPr="00BB1F35">
        <w:rPr>
          <w:rFonts w:ascii="FrankRuehl" w:hAnsi="FrankRuehl" w:cs="FrankRuehl"/>
          <w:rtl/>
        </w:rPr>
        <w:t xml:space="preserve">, </w:t>
      </w:r>
      <w:hyperlink r:id="rId9" w:history="1">
        <w:r w:rsidRPr="00BB1F35">
          <w:rPr>
            <w:rFonts w:ascii="FrankRuehl" w:hAnsi="FrankRuehl" w:cs="FrankRuehl"/>
            <w:color w:val="0000FF"/>
            <w:rtl/>
          </w:rPr>
          <w:t>40יא(4)</w:t>
        </w:r>
      </w:hyperlink>
      <w:r w:rsidRPr="00BB1F35">
        <w:rPr>
          <w:rFonts w:ascii="FrankRuehl" w:hAnsi="FrankRuehl" w:cs="FrankRuehl"/>
          <w:rtl/>
        </w:rPr>
        <w:t xml:space="preserve">, </w:t>
      </w:r>
      <w:hyperlink r:id="rId10" w:history="1">
        <w:r w:rsidRPr="00BB1F35">
          <w:rPr>
            <w:rFonts w:ascii="FrankRuehl" w:hAnsi="FrankRuehl" w:cs="FrankRuehl"/>
            <w:color w:val="0000FF"/>
            <w:rtl/>
          </w:rPr>
          <w:t>40יא(6)</w:t>
        </w:r>
      </w:hyperlink>
      <w:r w:rsidRPr="00BB1F35">
        <w:rPr>
          <w:rFonts w:ascii="FrankRuehl" w:hAnsi="FrankRuehl" w:cs="FrankRuehl"/>
          <w:rtl/>
        </w:rPr>
        <w:t xml:space="preserve">, </w:t>
      </w:r>
      <w:hyperlink r:id="rId11" w:history="1">
        <w:r w:rsidRPr="00BB1F35">
          <w:rPr>
            <w:rFonts w:ascii="FrankRuehl" w:hAnsi="FrankRuehl" w:cs="FrankRuehl"/>
            <w:color w:val="0000FF"/>
            <w:rtl/>
          </w:rPr>
          <w:t>499</w:t>
        </w:r>
      </w:hyperlink>
    </w:p>
    <w:p w14:paraId="7433FEE8" w14:textId="77777777" w:rsidR="00BB1F35" w:rsidRPr="00BB1F35" w:rsidRDefault="00BB1F35" w:rsidP="00BB1F35">
      <w:pPr>
        <w:jc w:val="center"/>
        <w:rPr>
          <w:rFonts w:ascii="Arial" w:hAnsi="Arial" w:cs="FrankRuehl"/>
          <w:sz w:val="32"/>
          <w:szCs w:val="32"/>
          <w:rtl/>
        </w:rPr>
      </w:pPr>
      <w:bookmarkStart w:id="4" w:name="LawTable_End"/>
      <w:bookmarkEnd w:id="4"/>
    </w:p>
    <w:p w14:paraId="09C6F6B5" w14:textId="77777777" w:rsidR="008E23F3" w:rsidRPr="008E23F3" w:rsidRDefault="008E23F3" w:rsidP="008E23F3">
      <w:pPr>
        <w:jc w:val="center"/>
        <w:rPr>
          <w:rFonts w:ascii="Arial" w:hAnsi="Arial" w:cs="FrankRuehl"/>
          <w:sz w:val="32"/>
          <w:szCs w:val="32"/>
          <w:rtl/>
        </w:rPr>
      </w:pPr>
    </w:p>
    <w:p w14:paraId="30F32AF0" w14:textId="77777777" w:rsidR="008E23F3" w:rsidRPr="0060220A" w:rsidRDefault="008E23F3" w:rsidP="0060220A">
      <w:pPr>
        <w:jc w:val="center"/>
        <w:rPr>
          <w:rFonts w:ascii="Arial" w:hAnsi="Arial" w:cs="FrankRuehl"/>
          <w:b/>
          <w:bCs/>
          <w:sz w:val="32"/>
          <w:szCs w:val="32"/>
          <w:u w:val="single"/>
          <w:rtl/>
        </w:rPr>
      </w:pPr>
      <w:bookmarkStart w:id="5" w:name="PsakDin"/>
      <w:r w:rsidRPr="0060220A">
        <w:rPr>
          <w:rFonts w:ascii="Arial" w:hAnsi="Arial" w:cs="FrankRuehl"/>
          <w:b/>
          <w:bCs/>
          <w:sz w:val="32"/>
          <w:szCs w:val="32"/>
          <w:u w:val="single"/>
          <w:rtl/>
        </w:rPr>
        <w:t>גזר דין</w:t>
      </w:r>
    </w:p>
    <w:bookmarkEnd w:id="5"/>
    <w:p w14:paraId="7BC300F7" w14:textId="77777777" w:rsidR="008E23F3" w:rsidRPr="00815DED" w:rsidRDefault="008E23F3" w:rsidP="00815DED">
      <w:pPr>
        <w:jc w:val="center"/>
        <w:rPr>
          <w:rFonts w:ascii="Arial" w:hAnsi="Arial" w:cs="FrankRuehl"/>
          <w:u w:val="single"/>
          <w:rtl/>
        </w:rPr>
      </w:pPr>
      <w:r w:rsidRPr="00815DED">
        <w:rPr>
          <w:rFonts w:ascii="Arial" w:hAnsi="Arial" w:cs="FrankRuehl" w:hint="cs"/>
          <w:u w:val="single"/>
          <w:rtl/>
        </w:rPr>
        <w:t>(בתיקון טעות קולמוס)</w:t>
      </w:r>
    </w:p>
    <w:bookmarkEnd w:id="0"/>
    <w:p w14:paraId="03090463" w14:textId="77777777" w:rsidR="00815DED" w:rsidRDefault="00815DED" w:rsidP="00815DED">
      <w:pPr>
        <w:rPr>
          <w:rFonts w:ascii="Arial" w:hAnsi="Arial"/>
          <w:rtl/>
        </w:rPr>
      </w:pPr>
    </w:p>
    <w:p w14:paraId="0BF9F8CC" w14:textId="77777777" w:rsidR="00815DED" w:rsidRDefault="00815DED" w:rsidP="00815DED">
      <w:pPr>
        <w:spacing w:after="160" w:line="360" w:lineRule="auto"/>
        <w:jc w:val="both"/>
        <w:rPr>
          <w:rFonts w:ascii="Calibri" w:hAnsi="Calibri"/>
          <w:rtl/>
        </w:rPr>
      </w:pPr>
      <w:r>
        <w:rPr>
          <w:rtl/>
        </w:rPr>
        <w:t>1.</w:t>
      </w:r>
      <w:r>
        <w:rPr>
          <w:rtl/>
        </w:rPr>
        <w:tab/>
      </w:r>
      <w:bookmarkStart w:id="6" w:name="ABSTRACT_START"/>
      <w:bookmarkEnd w:id="6"/>
      <w:r>
        <w:rPr>
          <w:rtl/>
        </w:rPr>
        <w:t xml:space="preserve">בהכרעת דין שניתנה על ידי בתיק זה, ביום 08.09.2020, לאחר ניהול הוכחות, זיכיתי את הנאשמים מחלק מהעבירות בהן הם הואשמו, אך הרשעתי אותם בעבירות של </w:t>
      </w:r>
      <w:r>
        <w:rPr>
          <w:rFonts w:ascii="Calibri" w:hAnsi="Calibri"/>
          <w:b/>
          <w:bCs/>
          <w:rtl/>
        </w:rPr>
        <w:t xml:space="preserve">קשירת קשר לביצוע עבירה </w:t>
      </w:r>
      <w:r>
        <w:rPr>
          <w:rFonts w:ascii="Calibri" w:hAnsi="Calibri"/>
          <w:rtl/>
        </w:rPr>
        <w:t xml:space="preserve">- עבירה לפי </w:t>
      </w:r>
      <w:hyperlink r:id="rId12" w:history="1">
        <w:r w:rsidR="008E23F3" w:rsidRPr="008E23F3">
          <w:rPr>
            <w:rStyle w:val="Hyperlink"/>
            <w:rFonts w:ascii="Calibri" w:hAnsi="Calibri" w:hint="eastAsia"/>
            <w:b/>
            <w:bCs/>
            <w:rtl/>
          </w:rPr>
          <w:t>סעיף</w:t>
        </w:r>
        <w:r w:rsidR="008E23F3" w:rsidRPr="008E23F3">
          <w:rPr>
            <w:rStyle w:val="Hyperlink"/>
            <w:rFonts w:ascii="Calibri" w:hAnsi="Calibri"/>
            <w:b/>
            <w:bCs/>
            <w:rtl/>
          </w:rPr>
          <w:t xml:space="preserve"> 499</w:t>
        </w:r>
      </w:hyperlink>
      <w:r>
        <w:rPr>
          <w:rFonts w:ascii="Calibri" w:hAnsi="Calibri"/>
          <w:rtl/>
        </w:rPr>
        <w:t xml:space="preserve"> ל</w:t>
      </w:r>
      <w:hyperlink r:id="rId13" w:history="1">
        <w:r w:rsidR="0060220A" w:rsidRPr="0060220A">
          <w:rPr>
            <w:rFonts w:ascii="Calibri" w:hAnsi="Calibri" w:hint="eastAsia"/>
            <w:color w:val="0000FF"/>
            <w:u w:val="single"/>
            <w:rtl/>
          </w:rPr>
          <w:t>חוק</w:t>
        </w:r>
        <w:r w:rsidR="0060220A" w:rsidRPr="0060220A">
          <w:rPr>
            <w:rFonts w:ascii="Calibri" w:hAnsi="Calibri"/>
            <w:color w:val="0000FF"/>
            <w:u w:val="single"/>
            <w:rtl/>
          </w:rPr>
          <w:t xml:space="preserve"> </w:t>
        </w:r>
        <w:r w:rsidR="0060220A" w:rsidRPr="0060220A">
          <w:rPr>
            <w:rFonts w:ascii="Calibri" w:hAnsi="Calibri" w:hint="eastAsia"/>
            <w:color w:val="0000FF"/>
            <w:u w:val="single"/>
            <w:rtl/>
          </w:rPr>
          <w:t>העונשין</w:t>
        </w:r>
      </w:hyperlink>
      <w:r>
        <w:rPr>
          <w:rFonts w:ascii="Calibri" w:hAnsi="Calibri"/>
          <w:rtl/>
        </w:rPr>
        <w:t>, התשל"ז-1977 (להלן: "</w:t>
      </w:r>
      <w:r>
        <w:rPr>
          <w:rFonts w:ascii="Calibri" w:hAnsi="Calibri"/>
          <w:b/>
          <w:bCs/>
          <w:rtl/>
        </w:rPr>
        <w:t>החוק</w:t>
      </w:r>
      <w:r>
        <w:rPr>
          <w:rFonts w:ascii="Calibri" w:hAnsi="Calibri"/>
          <w:rtl/>
        </w:rPr>
        <w:t xml:space="preserve">") שהיא סחר בנשק. </w:t>
      </w:r>
    </w:p>
    <w:p w14:paraId="0FCA71BF" w14:textId="77777777" w:rsidR="00815DED" w:rsidRDefault="00815DED" w:rsidP="00815DED">
      <w:pPr>
        <w:spacing w:after="160" w:line="360" w:lineRule="auto"/>
        <w:jc w:val="both"/>
        <w:rPr>
          <w:rFonts w:ascii="Calibri" w:hAnsi="Calibri"/>
          <w:rtl/>
        </w:rPr>
      </w:pPr>
      <w:bookmarkStart w:id="7" w:name="ABSTRACT_END"/>
      <w:bookmarkEnd w:id="7"/>
      <w:r>
        <w:rPr>
          <w:rFonts w:ascii="Calibri" w:hAnsi="Calibri"/>
          <w:rtl/>
        </w:rPr>
        <w:t>2.</w:t>
      </w:r>
      <w:r>
        <w:rPr>
          <w:rFonts w:ascii="Calibri" w:hAnsi="Calibri"/>
          <w:rtl/>
        </w:rPr>
        <w:tab/>
        <w:t xml:space="preserve">בנוסף, הורשע נאשם 2 גם בעבירה של </w:t>
      </w:r>
      <w:r>
        <w:rPr>
          <w:rFonts w:ascii="Calibri" w:hAnsi="Calibri"/>
          <w:b/>
          <w:bCs/>
          <w:rtl/>
        </w:rPr>
        <w:t xml:space="preserve">החזקת נשק </w:t>
      </w:r>
      <w:r>
        <w:rPr>
          <w:rFonts w:ascii="Calibri" w:hAnsi="Calibri"/>
          <w:rtl/>
        </w:rPr>
        <w:t xml:space="preserve">- עבירה לפי </w:t>
      </w:r>
      <w:hyperlink r:id="rId14" w:history="1">
        <w:r w:rsidR="008E23F3" w:rsidRPr="008E23F3">
          <w:rPr>
            <w:rStyle w:val="Hyperlink"/>
            <w:rFonts w:ascii="Calibri" w:hAnsi="Calibri" w:hint="eastAsia"/>
            <w:b/>
            <w:bCs/>
            <w:rtl/>
          </w:rPr>
          <w:t>סעיף</w:t>
        </w:r>
        <w:r w:rsidR="008E23F3" w:rsidRPr="008E23F3">
          <w:rPr>
            <w:rStyle w:val="Hyperlink"/>
            <w:rFonts w:ascii="Calibri" w:hAnsi="Calibri"/>
            <w:b/>
            <w:bCs/>
            <w:rtl/>
          </w:rPr>
          <w:t xml:space="preserve"> 144(</w:t>
        </w:r>
        <w:r w:rsidR="008E23F3" w:rsidRPr="008E23F3">
          <w:rPr>
            <w:rStyle w:val="Hyperlink"/>
            <w:rFonts w:ascii="Calibri" w:hAnsi="Calibri" w:hint="eastAsia"/>
            <w:b/>
            <w:bCs/>
            <w:rtl/>
          </w:rPr>
          <w:t>א</w:t>
        </w:r>
        <w:r w:rsidR="008E23F3" w:rsidRPr="008E23F3">
          <w:rPr>
            <w:rStyle w:val="Hyperlink"/>
            <w:rFonts w:ascii="Calibri" w:hAnsi="Calibri"/>
            <w:b/>
            <w:bCs/>
            <w:rtl/>
          </w:rPr>
          <w:t>)</w:t>
        </w:r>
      </w:hyperlink>
      <w:r>
        <w:rPr>
          <w:rFonts w:ascii="Calibri" w:hAnsi="Calibri"/>
          <w:b/>
          <w:bCs/>
          <w:rtl/>
        </w:rPr>
        <w:t xml:space="preserve"> רישא + סיפא</w:t>
      </w:r>
      <w:r>
        <w:rPr>
          <w:rFonts w:ascii="Calibri" w:hAnsi="Calibri"/>
          <w:rtl/>
        </w:rPr>
        <w:t xml:space="preserve"> ל</w:t>
      </w:r>
      <w:hyperlink r:id="rId15" w:history="1">
        <w:r w:rsidR="0060220A" w:rsidRPr="0060220A">
          <w:rPr>
            <w:rFonts w:ascii="Calibri" w:hAnsi="Calibri" w:hint="eastAsia"/>
            <w:color w:val="0000FF"/>
            <w:u w:val="single"/>
            <w:rtl/>
          </w:rPr>
          <w:t>חוק</w:t>
        </w:r>
        <w:r w:rsidR="0060220A" w:rsidRPr="0060220A">
          <w:rPr>
            <w:rFonts w:ascii="Calibri" w:hAnsi="Calibri"/>
            <w:color w:val="0000FF"/>
            <w:u w:val="single"/>
            <w:rtl/>
          </w:rPr>
          <w:t xml:space="preserve"> </w:t>
        </w:r>
        <w:r w:rsidR="0060220A" w:rsidRPr="0060220A">
          <w:rPr>
            <w:rFonts w:ascii="Calibri" w:hAnsi="Calibri" w:hint="eastAsia"/>
            <w:color w:val="0000FF"/>
            <w:u w:val="single"/>
            <w:rtl/>
          </w:rPr>
          <w:t>העונשין</w:t>
        </w:r>
      </w:hyperlink>
      <w:r>
        <w:rPr>
          <w:rFonts w:ascii="Calibri" w:hAnsi="Calibri"/>
          <w:rtl/>
        </w:rPr>
        <w:t>, המתייחסת לארבעה כדורים בקוטר 9 מ"מ המהווים תחמושת לנשק, אשר נמצאו בחדרו של נאשם 2 ובחזקתו.</w:t>
      </w:r>
    </w:p>
    <w:p w14:paraId="647A695E" w14:textId="77777777" w:rsidR="00815DED" w:rsidRDefault="00815DED" w:rsidP="00815DED">
      <w:pPr>
        <w:spacing w:after="160" w:line="360" w:lineRule="auto"/>
        <w:jc w:val="both"/>
        <w:rPr>
          <w:rFonts w:ascii="Calibri" w:hAnsi="Calibri"/>
          <w:rtl/>
        </w:rPr>
      </w:pPr>
      <w:r>
        <w:rPr>
          <w:rFonts w:ascii="Calibri" w:hAnsi="Calibri"/>
          <w:rtl/>
        </w:rPr>
        <w:lastRenderedPageBreak/>
        <w:t>3.</w:t>
      </w:r>
      <w:r>
        <w:rPr>
          <w:rFonts w:ascii="Calibri" w:hAnsi="Calibri"/>
          <w:rtl/>
        </w:rPr>
        <w:tab/>
        <w:t xml:space="preserve">העובדות מפורטות בהכרעת הדין ולא אחזור עליהן. אציין רק, בקצרה, כי בין הנאשמים קיימת היכרות מוקדמת וביום 6.1.2020 או בסמוך לכך הם קשרו קשר לבצע עסקה בנשק (להלן: </w:t>
      </w:r>
      <w:r>
        <w:rPr>
          <w:rFonts w:ascii="Calibri" w:hAnsi="Calibri"/>
          <w:b/>
          <w:bCs/>
          <w:rtl/>
        </w:rPr>
        <w:t>"העסקה"</w:t>
      </w:r>
      <w:r>
        <w:rPr>
          <w:rFonts w:ascii="Calibri" w:hAnsi="Calibri"/>
          <w:rtl/>
        </w:rPr>
        <w:t xml:space="preserve">). </w:t>
      </w:r>
    </w:p>
    <w:p w14:paraId="4729268F" w14:textId="77777777" w:rsidR="00815DED" w:rsidRDefault="00815DED" w:rsidP="00815DED">
      <w:pPr>
        <w:spacing w:before="240" w:after="160" w:line="360" w:lineRule="auto"/>
        <w:ind w:firstLine="720"/>
        <w:jc w:val="both"/>
        <w:rPr>
          <w:rFonts w:ascii="Calibri" w:hAnsi="Calibri"/>
          <w:rtl/>
        </w:rPr>
      </w:pPr>
      <w:r>
        <w:rPr>
          <w:rFonts w:ascii="Calibri" w:hAnsi="Calibri"/>
          <w:rtl/>
        </w:rPr>
        <w:t>קשירת הקשר נעשתה באמצעות מסרונים, מהם עולה שהנאשמים קשרו קשר למכור נשק תמורת סך של 5,500 ₪. במסרונים לא צוין סוג הנשק, אך הועברה ביניהם תמונה של נשק הנראה כתת-מקלע.</w:t>
      </w:r>
    </w:p>
    <w:p w14:paraId="10B91139" w14:textId="77777777" w:rsidR="00815DED" w:rsidRDefault="00815DED" w:rsidP="00815DED">
      <w:pPr>
        <w:spacing w:line="360" w:lineRule="auto"/>
        <w:jc w:val="both"/>
        <w:rPr>
          <w:rFonts w:ascii="Calibri" w:hAnsi="Calibri"/>
          <w:b/>
          <w:bCs/>
          <w:u w:val="single"/>
          <w:rtl/>
        </w:rPr>
      </w:pPr>
    </w:p>
    <w:p w14:paraId="26D65FF2" w14:textId="77777777" w:rsidR="00815DED" w:rsidRDefault="00815DED" w:rsidP="00815DED">
      <w:pPr>
        <w:spacing w:line="360" w:lineRule="auto"/>
        <w:jc w:val="both"/>
        <w:rPr>
          <w:rFonts w:ascii="Calibri" w:hAnsi="Calibri"/>
          <w:b/>
          <w:bCs/>
          <w:u w:val="single"/>
          <w:rtl/>
        </w:rPr>
      </w:pPr>
    </w:p>
    <w:p w14:paraId="092B8F26" w14:textId="77777777" w:rsidR="00815DED" w:rsidRDefault="00815DED" w:rsidP="00815DED">
      <w:pPr>
        <w:spacing w:line="360" w:lineRule="auto"/>
        <w:jc w:val="both"/>
        <w:rPr>
          <w:rFonts w:ascii="Calibri" w:hAnsi="Calibri"/>
          <w:b/>
          <w:bCs/>
          <w:u w:val="single"/>
          <w:rtl/>
        </w:rPr>
      </w:pPr>
    </w:p>
    <w:p w14:paraId="671F5C2D" w14:textId="77777777" w:rsidR="00815DED" w:rsidRDefault="00815DED" w:rsidP="00815DED">
      <w:pPr>
        <w:spacing w:line="360" w:lineRule="auto"/>
        <w:jc w:val="both"/>
        <w:rPr>
          <w:rFonts w:ascii="Calibri" w:hAnsi="Calibri"/>
          <w:b/>
          <w:bCs/>
          <w:u w:val="single"/>
          <w:rtl/>
        </w:rPr>
      </w:pPr>
      <w:r>
        <w:rPr>
          <w:rFonts w:ascii="Calibri" w:hAnsi="Calibri"/>
          <w:b/>
          <w:bCs/>
          <w:u w:val="single"/>
          <w:rtl/>
        </w:rPr>
        <w:t>ראיות לעונש לגבי נאשם 1</w:t>
      </w:r>
    </w:p>
    <w:p w14:paraId="39200D1B" w14:textId="77777777" w:rsidR="00815DED" w:rsidRDefault="00815DED" w:rsidP="00815DED">
      <w:pPr>
        <w:spacing w:line="360" w:lineRule="auto"/>
        <w:jc w:val="both"/>
        <w:rPr>
          <w:rtl/>
        </w:rPr>
      </w:pPr>
    </w:p>
    <w:p w14:paraId="1DA387B9" w14:textId="77777777" w:rsidR="00815DED" w:rsidRDefault="00815DED" w:rsidP="00815DED">
      <w:pPr>
        <w:spacing w:line="360" w:lineRule="auto"/>
        <w:jc w:val="both"/>
        <w:rPr>
          <w:rtl/>
        </w:rPr>
      </w:pPr>
      <w:r>
        <w:rPr>
          <w:rtl/>
        </w:rPr>
        <w:t>4.</w:t>
      </w:r>
      <w:r>
        <w:rPr>
          <w:rtl/>
        </w:rPr>
        <w:tab/>
        <w:t xml:space="preserve">המאשימה הגישה גיליון הרשעות קודמות של נאשם 1 (סומן </w:t>
      </w:r>
      <w:r>
        <w:rPr>
          <w:b/>
          <w:bCs/>
          <w:rtl/>
        </w:rPr>
        <w:t>ע/1</w:t>
      </w:r>
      <w:r>
        <w:rPr>
          <w:rtl/>
        </w:rPr>
        <w:t xml:space="preserve">) ממנו עולה, כי לחובתו הרשעות קודמות בעבירות של החזקה/שימוש בסמים לצריכה עצמית, היזק לרכוש במזיד, איומים, תקיפה סתם, גניבה, פריצה לבניין שאינו דירה וביצוע גניבה, סיכון אדם בנתיב תחבורה בירי/ זריקה, סיכון אדם בנתיב תחבורה בטיפול מסוכן, ביצוע עסקה אחרת בנשק, יצור, יבוא ויצוא נשק בלי רשות, נשיאת/הובלת נשק שלא כדין וסיוע לייצור נשק ונשיאת נשק. בגין העבירות, נגזרו עליו הן מאסרים בפועל, והן מאסרים מותנים, צו מבחן, צו של"צ, התחייבות עצמית, פסילת רישיון, וקנס. </w:t>
      </w:r>
    </w:p>
    <w:p w14:paraId="259A7F8D" w14:textId="77777777" w:rsidR="00815DED" w:rsidRDefault="00815DED" w:rsidP="00815DED">
      <w:pPr>
        <w:spacing w:line="360" w:lineRule="auto"/>
        <w:jc w:val="both"/>
        <w:rPr>
          <w:rtl/>
        </w:rPr>
      </w:pPr>
    </w:p>
    <w:p w14:paraId="331C18AB" w14:textId="77777777" w:rsidR="00815DED" w:rsidRDefault="00815DED" w:rsidP="00815DED">
      <w:pPr>
        <w:spacing w:after="240" w:line="360" w:lineRule="auto"/>
        <w:ind w:left="720" w:hanging="720"/>
        <w:jc w:val="both"/>
        <w:rPr>
          <w:b/>
          <w:bCs/>
          <w:u w:val="single"/>
          <w:rtl/>
        </w:rPr>
      </w:pPr>
      <w:r>
        <w:rPr>
          <w:b/>
          <w:bCs/>
          <w:u w:val="single"/>
          <w:rtl/>
        </w:rPr>
        <w:t>ראיות לעונש לגבי אשם 2</w:t>
      </w:r>
    </w:p>
    <w:p w14:paraId="57EB26CB" w14:textId="77777777" w:rsidR="00815DED" w:rsidRDefault="00815DED" w:rsidP="00815DED">
      <w:pPr>
        <w:spacing w:after="240" w:line="360" w:lineRule="auto"/>
        <w:jc w:val="both"/>
        <w:rPr>
          <w:rtl/>
        </w:rPr>
      </w:pPr>
      <w:r>
        <w:rPr>
          <w:rtl/>
        </w:rPr>
        <w:t>5.</w:t>
      </w:r>
      <w:r>
        <w:rPr>
          <w:rtl/>
        </w:rPr>
        <w:tab/>
        <w:t xml:space="preserve">המאשימה הגישה גיליון הרשעות קודמות של נאשם 2 (סומן </w:t>
      </w:r>
      <w:r>
        <w:rPr>
          <w:b/>
          <w:bCs/>
          <w:rtl/>
        </w:rPr>
        <w:t>ע/2</w:t>
      </w:r>
      <w:r>
        <w:rPr>
          <w:rtl/>
        </w:rPr>
        <w:t xml:space="preserve">) ממנו עולה, כי לחובתו הרשעה קודמת אחת בעבירת גניבה, בגינה הוטל עליו קנס והתחייבות עצמית, בבית המשפט לנוער. </w:t>
      </w:r>
    </w:p>
    <w:p w14:paraId="733C2F4E" w14:textId="77777777" w:rsidR="00815DED" w:rsidRDefault="00815DED" w:rsidP="00815DED">
      <w:pPr>
        <w:spacing w:after="240" w:line="360" w:lineRule="auto"/>
        <w:ind w:left="720" w:hanging="720"/>
        <w:jc w:val="both"/>
        <w:rPr>
          <w:rtl/>
        </w:rPr>
      </w:pPr>
      <w:r>
        <w:rPr>
          <w:rtl/>
        </w:rPr>
        <w:t>6.</w:t>
      </w:r>
      <w:r>
        <w:rPr>
          <w:rtl/>
        </w:rPr>
        <w:tab/>
        <w:t>הנאשמים לא הביאו ראיות לעונש.</w:t>
      </w:r>
    </w:p>
    <w:p w14:paraId="66EFC350" w14:textId="77777777" w:rsidR="00815DED" w:rsidRDefault="00815DED" w:rsidP="00815DED">
      <w:pPr>
        <w:spacing w:line="360" w:lineRule="auto"/>
        <w:jc w:val="both"/>
        <w:rPr>
          <w:b/>
          <w:bCs/>
          <w:u w:val="single"/>
          <w:rtl/>
        </w:rPr>
      </w:pPr>
      <w:r>
        <w:rPr>
          <w:b/>
          <w:bCs/>
          <w:u w:val="single"/>
          <w:rtl/>
        </w:rPr>
        <w:t>טיעוני המאשימה לעונש</w:t>
      </w:r>
    </w:p>
    <w:p w14:paraId="1724B732" w14:textId="77777777" w:rsidR="00815DED" w:rsidRDefault="00815DED" w:rsidP="00815DED">
      <w:pPr>
        <w:spacing w:line="360" w:lineRule="auto"/>
        <w:jc w:val="both"/>
        <w:rPr>
          <w:rtl/>
        </w:rPr>
      </w:pPr>
    </w:p>
    <w:p w14:paraId="7694B88D" w14:textId="77777777" w:rsidR="00815DED" w:rsidRDefault="00815DED" w:rsidP="00815DED">
      <w:pPr>
        <w:spacing w:line="360" w:lineRule="auto"/>
        <w:ind w:left="720" w:hanging="720"/>
        <w:jc w:val="both"/>
        <w:rPr>
          <w:rtl/>
        </w:rPr>
      </w:pPr>
      <w:r>
        <w:rPr>
          <w:rtl/>
        </w:rPr>
        <w:t>7.</w:t>
      </w:r>
      <w:r>
        <w:rPr>
          <w:rtl/>
        </w:rPr>
        <w:tab/>
        <w:t xml:space="preserve">מטעם המאשימה, הוגשו טיעונים בכתב ובישיבת יום 13.09.2020 הוספו דגשים בעל פה. </w:t>
      </w:r>
    </w:p>
    <w:p w14:paraId="4278ECB0" w14:textId="77777777" w:rsidR="00815DED" w:rsidRDefault="00815DED" w:rsidP="00815DED">
      <w:pPr>
        <w:spacing w:line="360" w:lineRule="auto"/>
        <w:ind w:firstLine="720"/>
        <w:jc w:val="both"/>
        <w:rPr>
          <w:rtl/>
        </w:rPr>
      </w:pPr>
    </w:p>
    <w:p w14:paraId="341CF255" w14:textId="77777777" w:rsidR="00815DED" w:rsidRDefault="00815DED" w:rsidP="00815DED">
      <w:pPr>
        <w:spacing w:line="360" w:lineRule="auto"/>
        <w:ind w:firstLine="720"/>
        <w:jc w:val="both"/>
        <w:rPr>
          <w:rtl/>
        </w:rPr>
      </w:pPr>
      <w:r>
        <w:rPr>
          <w:rtl/>
        </w:rPr>
        <w:t>ראשית, פירט ב"כ המאשימה, את חומרת העבירות שביצעו הנאשמים ואת הנזקים החמורים וארוכי הטווח, הנגרמים מביצוע עבירות נשק.</w:t>
      </w:r>
    </w:p>
    <w:p w14:paraId="55896AEA" w14:textId="77777777" w:rsidR="00815DED" w:rsidRDefault="00815DED" w:rsidP="00815DED">
      <w:pPr>
        <w:spacing w:line="360" w:lineRule="auto"/>
        <w:jc w:val="both"/>
        <w:rPr>
          <w:rtl/>
        </w:rPr>
      </w:pPr>
    </w:p>
    <w:p w14:paraId="13D76A27" w14:textId="77777777" w:rsidR="00815DED" w:rsidRDefault="00815DED" w:rsidP="00815DED">
      <w:pPr>
        <w:spacing w:line="360" w:lineRule="auto"/>
        <w:ind w:firstLine="720"/>
        <w:jc w:val="both"/>
        <w:rPr>
          <w:rtl/>
        </w:rPr>
      </w:pPr>
      <w:r>
        <w:rPr>
          <w:rtl/>
        </w:rPr>
        <w:lastRenderedPageBreak/>
        <w:t>כן הדגיש ב"כ המאשימה, את הפגיעה החמורה של העבירות דנן במעגלים נרחבים, פגיעה אשר חושפת את החברה והציבור כולו לסכנה, אשר עשויה להתרחש תוך שימוש בנשק במקומות ציבוריים, בהם נמצאים עוברי אורח חפים מפשע העלולים להיפגע.</w:t>
      </w:r>
    </w:p>
    <w:p w14:paraId="4A101729" w14:textId="77777777" w:rsidR="00815DED" w:rsidRDefault="00815DED" w:rsidP="00815DED">
      <w:pPr>
        <w:spacing w:line="360" w:lineRule="auto"/>
        <w:ind w:left="720"/>
        <w:jc w:val="both"/>
        <w:rPr>
          <w:rtl/>
        </w:rPr>
      </w:pPr>
    </w:p>
    <w:p w14:paraId="66555430" w14:textId="77777777" w:rsidR="00815DED" w:rsidRDefault="00815DED" w:rsidP="00815DED">
      <w:pPr>
        <w:spacing w:line="360" w:lineRule="auto"/>
        <w:ind w:firstLine="720"/>
        <w:jc w:val="both"/>
        <w:rPr>
          <w:rtl/>
        </w:rPr>
      </w:pPr>
      <w:r>
        <w:rPr>
          <w:rtl/>
        </w:rPr>
        <w:t xml:space="preserve">ב"כ המאשימה הפנה לפסיקה, הקובעת, כי יש צורך להחמיר בענישה בעבירות מסוג זה, על מנת להוקיע את התופעה המתרחבת ולהרתיע את הנאשמים שהורשעו ועבריינים פוטנציאלים, מביצוע מעשים דומים. </w:t>
      </w:r>
    </w:p>
    <w:p w14:paraId="728B9C89" w14:textId="77777777" w:rsidR="00815DED" w:rsidRDefault="00815DED" w:rsidP="00815DED">
      <w:pPr>
        <w:spacing w:line="360" w:lineRule="auto"/>
        <w:ind w:left="720"/>
        <w:jc w:val="both"/>
        <w:rPr>
          <w:rtl/>
        </w:rPr>
      </w:pPr>
    </w:p>
    <w:p w14:paraId="71013192" w14:textId="77777777" w:rsidR="00815DED" w:rsidRDefault="00815DED" w:rsidP="00815DED">
      <w:pPr>
        <w:spacing w:line="360" w:lineRule="auto"/>
        <w:jc w:val="both"/>
        <w:rPr>
          <w:rtl/>
        </w:rPr>
      </w:pPr>
      <w:r>
        <w:rPr>
          <w:rtl/>
        </w:rPr>
        <w:t>8.</w:t>
      </w:r>
      <w:r>
        <w:rPr>
          <w:rtl/>
        </w:rPr>
        <w:tab/>
        <w:t xml:space="preserve">ב"כ המאשימה הבהיר, כי במקרה דנן, עסקינן </w:t>
      </w:r>
      <w:r>
        <w:rPr>
          <w:u w:val="single"/>
          <w:rtl/>
        </w:rPr>
        <w:t>ברף הגבוה</w:t>
      </w:r>
      <w:r>
        <w:rPr>
          <w:rtl/>
        </w:rPr>
        <w:t xml:space="preserve"> של עבירת הקשר, שכן, מדובר בקשר לביצוע עבירת פשע חמורה (סחר בנשק), והנשק בו מדובר הוא תת מקלע, שהוא נשק שאינו משמש להגנה עצמית וכל שימושו הוא פגיעה בפרט. </w:t>
      </w:r>
    </w:p>
    <w:p w14:paraId="55D7AD57" w14:textId="77777777" w:rsidR="00815DED" w:rsidRDefault="00815DED" w:rsidP="00815DED">
      <w:pPr>
        <w:spacing w:line="360" w:lineRule="auto"/>
        <w:jc w:val="both"/>
        <w:rPr>
          <w:rtl/>
        </w:rPr>
      </w:pPr>
      <w:r>
        <w:rPr>
          <w:rtl/>
        </w:rPr>
        <w:t>9.</w:t>
      </w:r>
      <w:r>
        <w:rPr>
          <w:rtl/>
        </w:rPr>
        <w:tab/>
        <w:t xml:space="preserve">ב"כ המאשימה ציין כי הערכים החברתיים המוגנים הנפגעים מעבירות בנשק (הן בעבירת הקשר והן בעבירת ההחזקה) הם שלמות גופו ונפשו של אדם ושלטון החוק. </w:t>
      </w:r>
    </w:p>
    <w:p w14:paraId="4E21D3D2" w14:textId="77777777" w:rsidR="00815DED" w:rsidRDefault="00815DED" w:rsidP="00815DED">
      <w:pPr>
        <w:spacing w:line="360" w:lineRule="auto"/>
        <w:jc w:val="both"/>
        <w:rPr>
          <w:rtl/>
        </w:rPr>
      </w:pPr>
    </w:p>
    <w:p w14:paraId="02C80ABE" w14:textId="77777777" w:rsidR="00815DED" w:rsidRDefault="00815DED" w:rsidP="00815DED">
      <w:pPr>
        <w:spacing w:line="360" w:lineRule="auto"/>
        <w:ind w:firstLine="720"/>
        <w:jc w:val="both"/>
        <w:rPr>
          <w:rtl/>
        </w:rPr>
      </w:pPr>
      <w:r>
        <w:rPr>
          <w:rtl/>
        </w:rPr>
        <w:t>ב"כ המאשימה הדגיש את חשיבותם הרבה של ערכים אלה לחברה ופירט את מידת הפגיעה, את נסיבות ביצוע העבירה ואת מדיניות הענישה הנוהגת במקרים דומים.</w:t>
      </w:r>
    </w:p>
    <w:p w14:paraId="4F50BA45" w14:textId="77777777" w:rsidR="00815DED" w:rsidRDefault="00815DED" w:rsidP="00815DED">
      <w:pPr>
        <w:spacing w:line="360" w:lineRule="auto"/>
        <w:ind w:firstLine="720"/>
        <w:jc w:val="both"/>
        <w:rPr>
          <w:rtl/>
        </w:rPr>
      </w:pPr>
    </w:p>
    <w:p w14:paraId="6706B917" w14:textId="77777777" w:rsidR="00815DED" w:rsidRDefault="00815DED" w:rsidP="00815DED">
      <w:pPr>
        <w:spacing w:line="360" w:lineRule="auto"/>
        <w:jc w:val="both"/>
        <w:rPr>
          <w:rtl/>
        </w:rPr>
      </w:pPr>
      <w:r>
        <w:rPr>
          <w:rtl/>
        </w:rPr>
        <w:t xml:space="preserve"> 10.</w:t>
      </w:r>
      <w:r>
        <w:rPr>
          <w:rtl/>
        </w:rPr>
        <w:tab/>
        <w:t>בהתייחס לנזק שנגרם ושהיה צפוי להיגרם מביצוע העבירות, נטען, כי אמנם, במזל, לא נפגעו אנשים כתוצאה מהעבירות, אך יש להביא בחשבון את הנזק הפוטנציאלי, הרב והקטלני, אשר טמון בעבירות נשק.</w:t>
      </w:r>
    </w:p>
    <w:p w14:paraId="07F797E7" w14:textId="77777777" w:rsidR="00815DED" w:rsidRDefault="00815DED" w:rsidP="00815DED">
      <w:pPr>
        <w:spacing w:line="360" w:lineRule="auto"/>
        <w:ind w:left="720" w:hanging="720"/>
        <w:jc w:val="both"/>
        <w:rPr>
          <w:rtl/>
        </w:rPr>
      </w:pPr>
      <w:r>
        <w:rPr>
          <w:rtl/>
        </w:rPr>
        <w:tab/>
      </w:r>
    </w:p>
    <w:p w14:paraId="408B25A7" w14:textId="77777777" w:rsidR="00815DED" w:rsidRDefault="00815DED" w:rsidP="00815DED">
      <w:pPr>
        <w:spacing w:line="360" w:lineRule="auto"/>
        <w:jc w:val="both"/>
        <w:rPr>
          <w:rtl/>
        </w:rPr>
      </w:pPr>
      <w:r>
        <w:rPr>
          <w:rtl/>
        </w:rPr>
        <w:t>11.</w:t>
      </w:r>
      <w:r>
        <w:rPr>
          <w:rtl/>
        </w:rPr>
        <w:tab/>
      </w:r>
      <w:r>
        <w:rPr>
          <w:b/>
          <w:bCs/>
          <w:u w:val="single"/>
          <w:rtl/>
        </w:rPr>
        <w:t>ב"כ המאשימה עתר לקביעת מתחמי ענישה נפרדים</w:t>
      </w:r>
      <w:r>
        <w:rPr>
          <w:rtl/>
        </w:rPr>
        <w:t xml:space="preserve"> והבהיר, כי מדובר במעשים נפרדים, ללא תכנית עבריינית משותפת, וכי עבירת ההחזקה, בוצעה על ידי נאשם 2 בלבד. </w:t>
      </w:r>
    </w:p>
    <w:p w14:paraId="35303C01" w14:textId="77777777" w:rsidR="00815DED" w:rsidRDefault="00815DED" w:rsidP="00815DED">
      <w:pPr>
        <w:spacing w:line="360" w:lineRule="auto"/>
        <w:ind w:left="720"/>
        <w:jc w:val="both"/>
        <w:rPr>
          <w:u w:val="single"/>
          <w:rtl/>
        </w:rPr>
      </w:pPr>
    </w:p>
    <w:p w14:paraId="167ABF05" w14:textId="77777777" w:rsidR="00815DED" w:rsidRDefault="00815DED" w:rsidP="00815DED">
      <w:pPr>
        <w:spacing w:line="360" w:lineRule="auto"/>
        <w:jc w:val="both"/>
        <w:rPr>
          <w:rtl/>
        </w:rPr>
      </w:pPr>
      <w:r>
        <w:rPr>
          <w:rtl/>
        </w:rPr>
        <w:t>12.</w:t>
      </w:r>
      <w:r>
        <w:rPr>
          <w:rtl/>
        </w:rPr>
        <w:tab/>
        <w:t>בהתייחס ל</w:t>
      </w:r>
      <w:r>
        <w:rPr>
          <w:b/>
          <w:bCs/>
          <w:u w:val="single"/>
          <w:rtl/>
        </w:rPr>
        <w:t>עבירת הקשר</w:t>
      </w:r>
      <w:r>
        <w:rPr>
          <w:rtl/>
        </w:rPr>
        <w:t xml:space="preserve"> בה הורשעו שני הנאשמים, עתר ב"כ המאשימה למתחם עונש הולם </w:t>
      </w:r>
      <w:r>
        <w:rPr>
          <w:u w:val="single"/>
          <w:rtl/>
        </w:rPr>
        <w:t xml:space="preserve">הנע בין </w:t>
      </w:r>
      <w:r>
        <w:rPr>
          <w:b/>
          <w:bCs/>
          <w:u w:val="single"/>
          <w:rtl/>
        </w:rPr>
        <w:t xml:space="preserve">7 ל- 15 </w:t>
      </w:r>
      <w:r>
        <w:rPr>
          <w:u w:val="single"/>
          <w:rtl/>
        </w:rPr>
        <w:t>חודשי מאסר</w:t>
      </w:r>
      <w:r>
        <w:rPr>
          <w:rtl/>
        </w:rPr>
        <w:t>, תוך שהפנה ל</w:t>
      </w:r>
      <w:hyperlink r:id="rId16" w:history="1">
        <w:r w:rsidR="0060220A" w:rsidRPr="0060220A">
          <w:rPr>
            <w:color w:val="0000FF"/>
            <w:u w:val="single"/>
            <w:rtl/>
          </w:rPr>
          <w:t>ע"פ 5295/15</w:t>
        </w:r>
      </w:hyperlink>
      <w:r>
        <w:rPr>
          <w:rtl/>
        </w:rPr>
        <w:t xml:space="preserve"> </w:t>
      </w:r>
      <w:r>
        <w:rPr>
          <w:rFonts w:ascii="Miriam" w:hAnsi="Miriam" w:cs="Miriam"/>
          <w:rtl/>
        </w:rPr>
        <w:t xml:space="preserve">פלוני נ' מדינת ישראל </w:t>
      </w:r>
      <w:r>
        <w:rPr>
          <w:rFonts w:ascii="David" w:hAnsi="David"/>
          <w:rtl/>
        </w:rPr>
        <w:t>(23.12.2015</w:t>
      </w:r>
      <w:r>
        <w:rPr>
          <w:rFonts w:ascii="Miriam" w:hAnsi="Miriam" w:cs="Miriam"/>
          <w:rtl/>
        </w:rPr>
        <w:t>).</w:t>
      </w:r>
      <w:r>
        <w:rPr>
          <w:rtl/>
        </w:rPr>
        <w:t xml:space="preserve"> </w:t>
      </w:r>
    </w:p>
    <w:p w14:paraId="7DFECF52" w14:textId="77777777" w:rsidR="00815DED" w:rsidRDefault="00815DED" w:rsidP="00815DED">
      <w:pPr>
        <w:spacing w:line="360" w:lineRule="auto"/>
        <w:ind w:left="720" w:hanging="720"/>
        <w:jc w:val="both"/>
        <w:rPr>
          <w:rtl/>
        </w:rPr>
      </w:pPr>
    </w:p>
    <w:p w14:paraId="336478F2" w14:textId="77777777" w:rsidR="00815DED" w:rsidRDefault="00815DED" w:rsidP="00815DED">
      <w:pPr>
        <w:spacing w:line="360" w:lineRule="auto"/>
        <w:jc w:val="both"/>
        <w:rPr>
          <w:rtl/>
        </w:rPr>
      </w:pPr>
      <w:r>
        <w:rPr>
          <w:rtl/>
        </w:rPr>
        <w:t>13.</w:t>
      </w:r>
      <w:r>
        <w:rPr>
          <w:rtl/>
        </w:rPr>
        <w:tab/>
        <w:t>בהתייחס ל</w:t>
      </w:r>
      <w:r>
        <w:rPr>
          <w:b/>
          <w:bCs/>
          <w:u w:val="single"/>
          <w:rtl/>
        </w:rPr>
        <w:t>עבירת החזקת התחמושת</w:t>
      </w:r>
      <w:r>
        <w:rPr>
          <w:rtl/>
        </w:rPr>
        <w:t xml:space="preserve">, (בה הורשע, כאמור, נאשם 2 בלבד) עתר ב"כ המאשימה למתחם עונש הולם </w:t>
      </w:r>
      <w:r>
        <w:rPr>
          <w:u w:val="single"/>
          <w:rtl/>
        </w:rPr>
        <w:t>הנע בין</w:t>
      </w:r>
      <w:r>
        <w:rPr>
          <w:b/>
          <w:bCs/>
          <w:u w:val="single"/>
          <w:rtl/>
        </w:rPr>
        <w:t xml:space="preserve"> 6 </w:t>
      </w:r>
      <w:r>
        <w:rPr>
          <w:u w:val="single"/>
          <w:rtl/>
        </w:rPr>
        <w:t xml:space="preserve">חודשי מאסר (אשר יכול שירוצו בעבודות שירות) </w:t>
      </w:r>
      <w:r>
        <w:rPr>
          <w:b/>
          <w:bCs/>
          <w:u w:val="single"/>
          <w:rtl/>
        </w:rPr>
        <w:t xml:space="preserve">לבין  6 </w:t>
      </w:r>
      <w:r>
        <w:rPr>
          <w:u w:val="single"/>
          <w:rtl/>
        </w:rPr>
        <w:t>חודשי מאסר ממש</w:t>
      </w:r>
      <w:r>
        <w:rPr>
          <w:rtl/>
        </w:rPr>
        <w:t>, תוך שהפנה לפסיקה בנושא אשר תומכת, לדידו, במתחם שהציע.</w:t>
      </w:r>
    </w:p>
    <w:p w14:paraId="3080B501" w14:textId="77777777" w:rsidR="00815DED" w:rsidRDefault="00815DED" w:rsidP="00815DED">
      <w:pPr>
        <w:spacing w:line="360" w:lineRule="auto"/>
        <w:jc w:val="both"/>
        <w:rPr>
          <w:rtl/>
        </w:rPr>
      </w:pPr>
    </w:p>
    <w:p w14:paraId="54ACC014" w14:textId="77777777" w:rsidR="00815DED" w:rsidRDefault="00815DED" w:rsidP="00815DED">
      <w:pPr>
        <w:spacing w:line="360" w:lineRule="auto"/>
        <w:jc w:val="both"/>
        <w:rPr>
          <w:rtl/>
        </w:rPr>
      </w:pPr>
      <w:r>
        <w:rPr>
          <w:rtl/>
        </w:rPr>
        <w:t>14.</w:t>
      </w:r>
      <w:r>
        <w:rPr>
          <w:rtl/>
        </w:rPr>
        <w:tab/>
        <w:t>בהתייחס לנסיבות שאינן קשורות לביצוע העבירה, טען ב"כ המאשימה, כי העובדה שלחובת נאשם 1, שש עבירות קודמות במגוון תחומים (נשק, רכוש, סמים, אלימות) מעידה כי אין מדובר במעידה חד פעמית, אלא במי שמו</w:t>
      </w:r>
      <w:r>
        <w:rPr>
          <w:rFonts w:ascii="David" w:hAnsi="David"/>
          <w:rtl/>
        </w:rPr>
        <w:t>ּ</w:t>
      </w:r>
      <w:r>
        <w:rPr>
          <w:rtl/>
        </w:rPr>
        <w:t>ע</w:t>
      </w:r>
      <w:r>
        <w:rPr>
          <w:rFonts w:ascii="David" w:hAnsi="David"/>
          <w:rtl/>
        </w:rPr>
        <w:t>ַ</w:t>
      </w:r>
      <w:r>
        <w:rPr>
          <w:rtl/>
        </w:rPr>
        <w:t>ד לפורענות, אשר חוזר פעם אחר פעם על דפוס התנהגות שיטתי אלים, וכי יש לתת לכך משקל לחומרה.</w:t>
      </w:r>
    </w:p>
    <w:p w14:paraId="02519B82" w14:textId="77777777" w:rsidR="00815DED" w:rsidRDefault="00815DED" w:rsidP="00815DED">
      <w:pPr>
        <w:spacing w:line="360" w:lineRule="auto"/>
        <w:ind w:left="720" w:hanging="720"/>
        <w:jc w:val="both"/>
        <w:rPr>
          <w:rtl/>
        </w:rPr>
      </w:pPr>
      <w:r>
        <w:rPr>
          <w:rtl/>
        </w:rPr>
        <w:tab/>
      </w:r>
    </w:p>
    <w:p w14:paraId="0FC76E58" w14:textId="77777777" w:rsidR="00815DED" w:rsidRDefault="00815DED" w:rsidP="00815DED">
      <w:pPr>
        <w:spacing w:line="360" w:lineRule="auto"/>
        <w:ind w:firstLine="720"/>
        <w:jc w:val="both"/>
        <w:rPr>
          <w:rtl/>
        </w:rPr>
      </w:pPr>
      <w:r>
        <w:rPr>
          <w:rtl/>
        </w:rPr>
        <w:t xml:space="preserve">ב"כ המאשימה הוסיף וציין, כי שני הנאשמים לא לקחו אחריות על מעשיהם, ולא הכירו בחומרת המעשים, ולכן הם אינם זכאים ליהנות מהקלה בעונש, בניגוד לנאשמים אשר נוטלים אחריות, מודים במעשיהם וחוסכים זמן שיפוטי יקר.  </w:t>
      </w:r>
    </w:p>
    <w:p w14:paraId="70E0EE93" w14:textId="77777777" w:rsidR="00815DED" w:rsidRDefault="00815DED" w:rsidP="00815DED">
      <w:pPr>
        <w:spacing w:line="360" w:lineRule="auto"/>
        <w:jc w:val="both"/>
        <w:rPr>
          <w:rtl/>
        </w:rPr>
      </w:pPr>
    </w:p>
    <w:p w14:paraId="002D6EA0" w14:textId="77777777" w:rsidR="00815DED" w:rsidRDefault="00815DED" w:rsidP="00815DED">
      <w:pPr>
        <w:spacing w:line="360" w:lineRule="auto"/>
        <w:jc w:val="both"/>
        <w:rPr>
          <w:rtl/>
        </w:rPr>
      </w:pPr>
      <w:r>
        <w:rPr>
          <w:rtl/>
        </w:rPr>
        <w:t>15.</w:t>
      </w:r>
      <w:r>
        <w:rPr>
          <w:rtl/>
        </w:rPr>
        <w:tab/>
        <w:t xml:space="preserve">לאור האמור לעיל, עתר ב"כ המאשימה להשית על נאשם 1 עונש </w:t>
      </w:r>
      <w:r>
        <w:rPr>
          <w:b/>
          <w:bCs/>
          <w:u w:val="single"/>
          <w:rtl/>
        </w:rPr>
        <w:t>ברף בינוני - גבוה</w:t>
      </w:r>
      <w:r>
        <w:rPr>
          <w:rtl/>
        </w:rPr>
        <w:t xml:space="preserve"> בתוך מתחם הענישה שהוצע על ידו, ובנוסף ביקש להטיל עליו מאסר על תנאי משמעותי ומרתיע.</w:t>
      </w:r>
    </w:p>
    <w:p w14:paraId="69F98EEB" w14:textId="77777777" w:rsidR="00815DED" w:rsidRDefault="00815DED" w:rsidP="00815DED">
      <w:pPr>
        <w:spacing w:line="360" w:lineRule="auto"/>
        <w:ind w:left="720" w:hanging="720"/>
        <w:jc w:val="both"/>
        <w:rPr>
          <w:rtl/>
        </w:rPr>
      </w:pPr>
    </w:p>
    <w:p w14:paraId="25ECC051" w14:textId="77777777" w:rsidR="00815DED" w:rsidRDefault="00815DED" w:rsidP="00815DED">
      <w:pPr>
        <w:spacing w:line="360" w:lineRule="auto"/>
        <w:ind w:firstLine="720"/>
        <w:jc w:val="both"/>
        <w:rPr>
          <w:rtl/>
        </w:rPr>
      </w:pPr>
      <w:r>
        <w:rPr>
          <w:rtl/>
        </w:rPr>
        <w:t xml:space="preserve">בהתייחס לנאשם 2 עתר ב"כ המאשימה </w:t>
      </w:r>
      <w:r>
        <w:rPr>
          <w:b/>
          <w:bCs/>
          <w:u w:val="single"/>
          <w:rtl/>
        </w:rPr>
        <w:t>להשית עליו עונש ברף בינוני - נמוך</w:t>
      </w:r>
      <w:r>
        <w:rPr>
          <w:rtl/>
        </w:rPr>
        <w:t>, בתוך מתחם הענישה שהוצע על ידו, וזאת לאור גילו הצעיר והרשעה אחת בלבד בעברו, בגינה נדון לקנס בלבד. בנוסף ביקש ב"כ המאשימה, להטיל על נאשם זה, מאסר מותנה וקנס.</w:t>
      </w:r>
    </w:p>
    <w:p w14:paraId="069A975B" w14:textId="77777777" w:rsidR="00815DED" w:rsidRDefault="00815DED" w:rsidP="00815DED">
      <w:pPr>
        <w:spacing w:line="360" w:lineRule="auto"/>
        <w:ind w:left="720" w:hanging="720"/>
        <w:jc w:val="both"/>
        <w:rPr>
          <w:rtl/>
        </w:rPr>
      </w:pPr>
      <w:r>
        <w:rPr>
          <w:rtl/>
        </w:rPr>
        <w:tab/>
      </w:r>
    </w:p>
    <w:p w14:paraId="73AD2CD0" w14:textId="77777777" w:rsidR="00815DED" w:rsidRDefault="00815DED" w:rsidP="00815DED">
      <w:pPr>
        <w:spacing w:line="360" w:lineRule="auto"/>
        <w:jc w:val="both"/>
        <w:rPr>
          <w:b/>
          <w:bCs/>
          <w:u w:val="single"/>
          <w:rtl/>
        </w:rPr>
      </w:pPr>
      <w:r>
        <w:rPr>
          <w:b/>
          <w:bCs/>
          <w:u w:val="single"/>
          <w:rtl/>
        </w:rPr>
        <w:t>טיעוני נאשם 1 לעונש</w:t>
      </w:r>
    </w:p>
    <w:p w14:paraId="559D0E97" w14:textId="77777777" w:rsidR="00815DED" w:rsidRDefault="00815DED" w:rsidP="00815DED">
      <w:pPr>
        <w:spacing w:line="360" w:lineRule="auto"/>
        <w:ind w:left="360"/>
        <w:jc w:val="both"/>
        <w:rPr>
          <w:rFonts w:ascii="David" w:hAnsi="David"/>
          <w:rtl/>
        </w:rPr>
      </w:pPr>
    </w:p>
    <w:p w14:paraId="05458768" w14:textId="77777777" w:rsidR="00815DED" w:rsidRDefault="00815DED" w:rsidP="00815DED">
      <w:pPr>
        <w:spacing w:line="360" w:lineRule="auto"/>
        <w:ind w:left="720" w:hanging="720"/>
        <w:jc w:val="both"/>
        <w:rPr>
          <w:rFonts w:ascii="David" w:hAnsi="David"/>
          <w:rtl/>
        </w:rPr>
      </w:pPr>
      <w:r>
        <w:rPr>
          <w:rFonts w:ascii="David" w:hAnsi="David"/>
          <w:rtl/>
        </w:rPr>
        <w:t>16.</w:t>
      </w:r>
      <w:r>
        <w:rPr>
          <w:rFonts w:ascii="David" w:hAnsi="David"/>
          <w:rtl/>
        </w:rPr>
        <w:tab/>
        <w:t xml:space="preserve">הסנגור השמיע טיעוניו, בעל פה, בישיבת יום 13.09.2020. </w:t>
      </w:r>
    </w:p>
    <w:p w14:paraId="57685E5F" w14:textId="77777777" w:rsidR="00815DED" w:rsidRDefault="00815DED" w:rsidP="00815DED">
      <w:pPr>
        <w:spacing w:line="360" w:lineRule="auto"/>
        <w:ind w:left="720" w:hanging="720"/>
        <w:jc w:val="both"/>
        <w:rPr>
          <w:rFonts w:ascii="David" w:hAnsi="David"/>
          <w:rtl/>
        </w:rPr>
      </w:pPr>
    </w:p>
    <w:p w14:paraId="59F94830" w14:textId="77777777" w:rsidR="00815DED" w:rsidRDefault="00815DED" w:rsidP="00815DED">
      <w:pPr>
        <w:spacing w:line="360" w:lineRule="auto"/>
        <w:jc w:val="both"/>
        <w:rPr>
          <w:rFonts w:ascii="David" w:hAnsi="David"/>
          <w:rtl/>
        </w:rPr>
      </w:pPr>
      <w:r>
        <w:rPr>
          <w:rFonts w:ascii="David" w:hAnsi="David"/>
          <w:rtl/>
        </w:rPr>
        <w:t>17.</w:t>
      </w:r>
      <w:r>
        <w:rPr>
          <w:rFonts w:ascii="David" w:hAnsi="David"/>
          <w:rtl/>
        </w:rPr>
        <w:tab/>
        <w:t xml:space="preserve">ראשית, מחה הסנגור, על חלקים מסוימים בטיעוני המאשימה. לטענתו, ההנחה "הכאילו מוסכמת" ממנה יוצאת המאשימה, לפיה, הנשק המדובר בעניינינו, הוא נשק </w:t>
      </w:r>
      <w:r>
        <w:rPr>
          <w:rFonts w:ascii="David" w:hAnsi="David"/>
          <w:u w:val="single"/>
          <w:rtl/>
        </w:rPr>
        <w:t>תת מקלע</w:t>
      </w:r>
      <w:r>
        <w:rPr>
          <w:rFonts w:ascii="David" w:hAnsi="David"/>
          <w:rtl/>
        </w:rPr>
        <w:t>, היא הנחה בלתי נכונה ומנוגדת להכרעת הדין.</w:t>
      </w:r>
    </w:p>
    <w:p w14:paraId="4B5345EF" w14:textId="77777777" w:rsidR="00815DED" w:rsidRDefault="00815DED" w:rsidP="00815DED">
      <w:pPr>
        <w:spacing w:line="360" w:lineRule="auto"/>
        <w:ind w:left="720" w:hanging="720"/>
        <w:jc w:val="both"/>
        <w:rPr>
          <w:rFonts w:ascii="David" w:hAnsi="David"/>
          <w:rtl/>
        </w:rPr>
      </w:pPr>
    </w:p>
    <w:p w14:paraId="54AEBC43" w14:textId="77777777" w:rsidR="00815DED" w:rsidRDefault="00815DED" w:rsidP="00815DED">
      <w:pPr>
        <w:spacing w:line="360" w:lineRule="auto"/>
        <w:ind w:firstLine="720"/>
        <w:jc w:val="both"/>
        <w:rPr>
          <w:rFonts w:ascii="David" w:hAnsi="David"/>
          <w:rtl/>
        </w:rPr>
      </w:pPr>
      <w:r>
        <w:rPr>
          <w:rFonts w:ascii="David" w:hAnsi="David"/>
          <w:rtl/>
        </w:rPr>
        <w:t xml:space="preserve">הודגש, כי בסופו של דבר, הרשיע בית המשפט את הנאשם בעבירה של קשירת קשר לפשע, כאשר הפשע הוא סחר בנשק, אך בשום מקום בהכרעת הדין, לא קבע בית המשפט, שהנשק המדובר הוא תת מקלע. </w:t>
      </w:r>
    </w:p>
    <w:p w14:paraId="4E793965" w14:textId="77777777" w:rsidR="00815DED" w:rsidRDefault="00815DED" w:rsidP="00815DED">
      <w:pPr>
        <w:spacing w:line="360" w:lineRule="auto"/>
        <w:ind w:left="720"/>
        <w:jc w:val="both"/>
        <w:rPr>
          <w:rFonts w:ascii="David" w:hAnsi="David"/>
          <w:rtl/>
        </w:rPr>
      </w:pPr>
    </w:p>
    <w:p w14:paraId="1B9BB67A" w14:textId="77777777" w:rsidR="00815DED" w:rsidRDefault="00815DED" w:rsidP="00815DED">
      <w:pPr>
        <w:spacing w:line="360" w:lineRule="auto"/>
        <w:ind w:firstLine="720"/>
        <w:jc w:val="both"/>
        <w:rPr>
          <w:rFonts w:ascii="David" w:hAnsi="David"/>
          <w:rtl/>
        </w:rPr>
      </w:pPr>
      <w:r>
        <w:rPr>
          <w:rFonts w:ascii="David" w:hAnsi="David"/>
          <w:rtl/>
        </w:rPr>
        <w:t>הסנגור הבהיר, כי טיעונו של ב"כ המאשימה, לפיו הנשק אליו התכוונו הנאשמים במסרונים מהם עולה קשירת הקשר הוא התת המקלע שנתפס, הוא טיעון שנדחה שוב ושוב בהכרעת הדין והמאשימה אף זנחה טיעון זה בסיכומיה.</w:t>
      </w:r>
    </w:p>
    <w:p w14:paraId="3FB4378B" w14:textId="77777777" w:rsidR="00815DED" w:rsidRDefault="00815DED" w:rsidP="00815DED">
      <w:pPr>
        <w:spacing w:line="360" w:lineRule="auto"/>
        <w:ind w:left="720"/>
        <w:jc w:val="both"/>
        <w:rPr>
          <w:rFonts w:ascii="David" w:hAnsi="David"/>
          <w:rtl/>
        </w:rPr>
      </w:pPr>
    </w:p>
    <w:p w14:paraId="7FC3A56F" w14:textId="77777777" w:rsidR="00815DED" w:rsidRDefault="00815DED" w:rsidP="00815DED">
      <w:pPr>
        <w:spacing w:line="360" w:lineRule="auto"/>
        <w:jc w:val="both"/>
        <w:rPr>
          <w:rFonts w:ascii="David" w:hAnsi="David"/>
          <w:rtl/>
        </w:rPr>
      </w:pPr>
      <w:r>
        <w:rPr>
          <w:rFonts w:ascii="David" w:hAnsi="David"/>
          <w:rtl/>
        </w:rPr>
        <w:t>18.</w:t>
      </w:r>
      <w:r>
        <w:rPr>
          <w:rFonts w:ascii="David" w:hAnsi="David"/>
          <w:rtl/>
        </w:rPr>
        <w:tab/>
        <w:t>שנית, מחה הסנגור, על ניסיונה של המאשימה "לתור אחר מדרגי ענישה" שהבסיס הרעיוני שלהם שאוב מהפסיקה הנוהגת בעבירות של החזקת נשק, סחר, וירי בנשק. לטענתו, מדובר בניסיון חסר תום לב, שאין לקבלו, שכן, לא ניתן ואף אין זה הגיוני, ליצור במסגרת עבירת הקשר "מדרגי ענישה" המתאימים לעבירת הפשע שבבסיס הקשר.</w:t>
      </w:r>
    </w:p>
    <w:p w14:paraId="0FAEA0A4" w14:textId="77777777" w:rsidR="00815DED" w:rsidRDefault="00815DED" w:rsidP="00815DED">
      <w:pPr>
        <w:spacing w:line="360" w:lineRule="auto"/>
        <w:ind w:left="720"/>
        <w:jc w:val="both"/>
        <w:rPr>
          <w:rFonts w:ascii="David" w:hAnsi="David"/>
          <w:rtl/>
        </w:rPr>
      </w:pPr>
    </w:p>
    <w:p w14:paraId="39557D3C" w14:textId="77777777" w:rsidR="00815DED" w:rsidRDefault="00815DED" w:rsidP="00815DED">
      <w:pPr>
        <w:spacing w:line="360" w:lineRule="auto"/>
        <w:ind w:firstLine="720"/>
        <w:jc w:val="both"/>
        <w:rPr>
          <w:rFonts w:ascii="David" w:hAnsi="David"/>
          <w:rtl/>
        </w:rPr>
      </w:pPr>
      <w:r>
        <w:rPr>
          <w:rFonts w:ascii="David" w:hAnsi="David"/>
          <w:rtl/>
        </w:rPr>
        <w:t>הוסיף הסנגור וטען, כי גם במקרים בהם עבירת הפשע נמצאת בראש מדרג סולם החומרה, עדיין אי אפשר לצקת לתוך עבירת הקשר, כעבירה נפרדת, את מדרגי הענישה הרלבנטיים לעבירת הפשע. הסנגור הפנה, בעניין זה, ל</w:t>
      </w:r>
      <w:hyperlink r:id="rId17" w:history="1">
        <w:r w:rsidR="0060220A" w:rsidRPr="0060220A">
          <w:rPr>
            <w:rFonts w:ascii="David" w:hAnsi="David"/>
            <w:color w:val="0000FF"/>
            <w:u w:val="single"/>
            <w:rtl/>
          </w:rPr>
          <w:t>ע"פ 6637/17</w:t>
        </w:r>
      </w:hyperlink>
      <w:r>
        <w:rPr>
          <w:rFonts w:ascii="David" w:hAnsi="David"/>
          <w:rtl/>
        </w:rPr>
        <w:t xml:space="preserve"> </w:t>
      </w:r>
      <w:r>
        <w:rPr>
          <w:rFonts w:ascii="Miriam" w:hAnsi="Miriam" w:cs="Miriam"/>
          <w:rtl/>
        </w:rPr>
        <w:t>אליזבת קרנדל נ' מדינת ישראל</w:t>
      </w:r>
      <w:r>
        <w:rPr>
          <w:rFonts w:ascii="David" w:hAnsi="David"/>
          <w:rtl/>
        </w:rPr>
        <w:t xml:space="preserve"> (18.04.2018). </w:t>
      </w:r>
    </w:p>
    <w:p w14:paraId="1FB22F7B" w14:textId="77777777" w:rsidR="00815DED" w:rsidRDefault="00815DED" w:rsidP="00815DED">
      <w:pPr>
        <w:spacing w:line="360" w:lineRule="auto"/>
        <w:ind w:left="720"/>
        <w:jc w:val="both"/>
        <w:rPr>
          <w:rFonts w:ascii="David" w:hAnsi="David"/>
          <w:rtl/>
        </w:rPr>
      </w:pPr>
    </w:p>
    <w:p w14:paraId="11D43C81" w14:textId="77777777" w:rsidR="00815DED" w:rsidRDefault="00815DED" w:rsidP="00815DED">
      <w:pPr>
        <w:spacing w:line="360" w:lineRule="auto"/>
        <w:ind w:firstLine="720"/>
        <w:jc w:val="both"/>
        <w:rPr>
          <w:rFonts w:ascii="David" w:hAnsi="David"/>
          <w:rtl/>
        </w:rPr>
      </w:pPr>
      <w:r>
        <w:rPr>
          <w:rFonts w:ascii="David" w:hAnsi="David"/>
          <w:rtl/>
        </w:rPr>
        <w:t>לדבריו, כמעט אין בנמצא פסיקה המלמדת על רמת הענישה הנוהגת, שכן, רק במקרים נדירים עבירת הקשר עומדת בפני עצמה כעבירה בודדת.</w:t>
      </w:r>
    </w:p>
    <w:p w14:paraId="1621EAE5" w14:textId="77777777" w:rsidR="00815DED" w:rsidRDefault="00815DED" w:rsidP="00815DED">
      <w:pPr>
        <w:spacing w:line="360" w:lineRule="auto"/>
        <w:jc w:val="both"/>
        <w:rPr>
          <w:rFonts w:ascii="David" w:hAnsi="David"/>
          <w:rtl/>
        </w:rPr>
      </w:pPr>
    </w:p>
    <w:p w14:paraId="2E3D185A" w14:textId="77777777" w:rsidR="00815DED" w:rsidRDefault="00815DED" w:rsidP="00815DED">
      <w:pPr>
        <w:spacing w:line="360" w:lineRule="auto"/>
        <w:jc w:val="both"/>
        <w:rPr>
          <w:rFonts w:ascii="David" w:hAnsi="David"/>
          <w:rtl/>
        </w:rPr>
      </w:pPr>
      <w:r>
        <w:rPr>
          <w:rFonts w:ascii="David" w:hAnsi="David"/>
          <w:rtl/>
        </w:rPr>
        <w:t>19.</w:t>
      </w:r>
      <w:r>
        <w:rPr>
          <w:rFonts w:ascii="David" w:hAnsi="David"/>
          <w:rtl/>
        </w:rPr>
        <w:tab/>
        <w:t xml:space="preserve">בהתייחס לנסיבות הקשורות לביצוע העבירה, ביקש הסנגור להתחשב לקולה בכך שעבירת הקשר, בה הורשעו הנאשמים, הסתכמה בהודעות כתובות, ללא שיוחסו להם מעשים פיזיים. בנוסף, ביקש הסנגור, להתחשב בכך, שלא הוכח בפני בית משפט, שהנאשמים החזיקו בנשק או שהייתה להם שליטה על נשק, אפילו מרחוק ושאין נזק לקורבנות עבירה. </w:t>
      </w:r>
    </w:p>
    <w:p w14:paraId="78DC0145" w14:textId="77777777" w:rsidR="00815DED" w:rsidRDefault="00815DED" w:rsidP="00815DED">
      <w:pPr>
        <w:spacing w:line="360" w:lineRule="auto"/>
        <w:ind w:left="720"/>
        <w:jc w:val="both"/>
        <w:rPr>
          <w:rFonts w:ascii="David" w:hAnsi="David"/>
          <w:rtl/>
        </w:rPr>
      </w:pPr>
    </w:p>
    <w:p w14:paraId="2B29A655" w14:textId="77777777" w:rsidR="00815DED" w:rsidRDefault="00815DED" w:rsidP="00815DED">
      <w:pPr>
        <w:spacing w:line="360" w:lineRule="auto"/>
        <w:jc w:val="both"/>
        <w:rPr>
          <w:rFonts w:ascii="David" w:hAnsi="David"/>
          <w:rtl/>
        </w:rPr>
      </w:pPr>
      <w:r>
        <w:rPr>
          <w:rFonts w:ascii="David" w:hAnsi="David"/>
          <w:rtl/>
        </w:rPr>
        <w:t>20.</w:t>
      </w:r>
      <w:r>
        <w:rPr>
          <w:rFonts w:ascii="David" w:hAnsi="David"/>
          <w:rtl/>
        </w:rPr>
        <w:tab/>
        <w:t xml:space="preserve">בהתייחס למתחם העונש ההולם, סבור הסנגור, כי בנסיבות העניין </w:t>
      </w:r>
      <w:r>
        <w:rPr>
          <w:rFonts w:ascii="David" w:hAnsi="David"/>
          <w:b/>
          <w:bCs/>
          <w:u w:val="single"/>
          <w:rtl/>
        </w:rPr>
        <w:t xml:space="preserve">המתחם נע בין חודשי מאסר ספורים </w:t>
      </w:r>
      <w:r>
        <w:rPr>
          <w:rFonts w:ascii="David" w:hAnsi="David"/>
          <w:u w:val="single"/>
          <w:rtl/>
        </w:rPr>
        <w:t>(שניתן לרצותם בעבודות שירות)</w:t>
      </w:r>
      <w:r>
        <w:rPr>
          <w:rFonts w:ascii="David" w:hAnsi="David"/>
          <w:b/>
          <w:bCs/>
          <w:u w:val="single"/>
          <w:rtl/>
        </w:rPr>
        <w:t xml:space="preserve"> לבין 10 חודשי מאסר</w:t>
      </w:r>
      <w:r>
        <w:rPr>
          <w:rFonts w:ascii="David" w:hAnsi="David"/>
          <w:b/>
          <w:bCs/>
          <w:rtl/>
        </w:rPr>
        <w:t>.</w:t>
      </w:r>
    </w:p>
    <w:p w14:paraId="77DEE4DD" w14:textId="77777777" w:rsidR="00815DED" w:rsidRDefault="00815DED" w:rsidP="00815DED">
      <w:pPr>
        <w:spacing w:line="360" w:lineRule="auto"/>
        <w:ind w:firstLine="720"/>
        <w:jc w:val="both"/>
        <w:rPr>
          <w:rFonts w:ascii="David" w:hAnsi="David"/>
          <w:rtl/>
        </w:rPr>
      </w:pPr>
    </w:p>
    <w:p w14:paraId="3CFEF842" w14:textId="77777777" w:rsidR="00815DED" w:rsidRDefault="00815DED" w:rsidP="00815DED">
      <w:pPr>
        <w:spacing w:line="360" w:lineRule="auto"/>
        <w:ind w:firstLine="720"/>
        <w:jc w:val="both"/>
        <w:rPr>
          <w:rFonts w:ascii="David" w:hAnsi="David"/>
          <w:rtl/>
        </w:rPr>
      </w:pPr>
    </w:p>
    <w:p w14:paraId="1C86CD20" w14:textId="77777777" w:rsidR="00815DED" w:rsidRDefault="00815DED" w:rsidP="00815DED">
      <w:pPr>
        <w:spacing w:line="360" w:lineRule="auto"/>
        <w:ind w:firstLine="720"/>
        <w:jc w:val="both"/>
        <w:rPr>
          <w:rFonts w:ascii="David" w:hAnsi="David"/>
          <w:rtl/>
        </w:rPr>
      </w:pPr>
      <w:r>
        <w:rPr>
          <w:rFonts w:ascii="David" w:hAnsi="David"/>
          <w:rtl/>
        </w:rPr>
        <w:t xml:space="preserve">בהתייחס למידת העונש סבור הסנגור, כי עליו להיות </w:t>
      </w:r>
      <w:r>
        <w:rPr>
          <w:rFonts w:ascii="David" w:hAnsi="David"/>
          <w:b/>
          <w:bCs/>
          <w:u w:val="single"/>
          <w:rtl/>
        </w:rPr>
        <w:t>קרוב לאמצע המתחם</w:t>
      </w:r>
      <w:r>
        <w:rPr>
          <w:rFonts w:ascii="David" w:hAnsi="David"/>
          <w:rtl/>
        </w:rPr>
        <w:t xml:space="preserve"> (מהצד התחתון), רק בשל עברו הפלילי של הנאשם.</w:t>
      </w:r>
    </w:p>
    <w:p w14:paraId="7A781399" w14:textId="77777777" w:rsidR="00815DED" w:rsidRDefault="00815DED" w:rsidP="00815DED">
      <w:pPr>
        <w:spacing w:line="360" w:lineRule="auto"/>
        <w:jc w:val="both"/>
        <w:rPr>
          <w:rFonts w:ascii="David" w:hAnsi="David"/>
          <w:b/>
          <w:bCs/>
          <w:u w:val="single"/>
          <w:rtl/>
        </w:rPr>
      </w:pPr>
    </w:p>
    <w:p w14:paraId="6B94BFA7" w14:textId="77777777" w:rsidR="00815DED" w:rsidRDefault="00815DED" w:rsidP="00815DED">
      <w:pPr>
        <w:spacing w:line="360" w:lineRule="auto"/>
        <w:jc w:val="both"/>
        <w:rPr>
          <w:rFonts w:ascii="David" w:hAnsi="David"/>
          <w:b/>
          <w:bCs/>
          <w:rtl/>
        </w:rPr>
      </w:pPr>
      <w:r>
        <w:rPr>
          <w:rFonts w:ascii="David" w:hAnsi="David"/>
          <w:rtl/>
        </w:rPr>
        <w:t>21.</w:t>
      </w:r>
      <w:r>
        <w:rPr>
          <w:rFonts w:ascii="David" w:hAnsi="David"/>
          <w:rtl/>
        </w:rPr>
        <w:tab/>
        <w:t>לאור כך, ביקש הסנגור לקבוע, כי נאשם 1 סיים, זה מכבר, לרצות את עונשו בגין העבירה בה הורשע, והדגיש, כי הוא יושב במעצר מזה 8 חודשים ארוכים – החל מיום 14.01.2020, וכי תנאי מעצר קשים מתנאי כליאה של אסיר.</w:t>
      </w:r>
    </w:p>
    <w:p w14:paraId="4489593C" w14:textId="77777777" w:rsidR="00815DED" w:rsidRDefault="00815DED" w:rsidP="00815DED">
      <w:pPr>
        <w:spacing w:line="360" w:lineRule="auto"/>
        <w:jc w:val="both"/>
        <w:rPr>
          <w:rFonts w:ascii="David" w:hAnsi="David"/>
          <w:rtl/>
        </w:rPr>
      </w:pPr>
    </w:p>
    <w:p w14:paraId="64313E78" w14:textId="77777777" w:rsidR="00815DED" w:rsidRDefault="00815DED" w:rsidP="00815DED">
      <w:pPr>
        <w:spacing w:line="360" w:lineRule="auto"/>
        <w:ind w:firstLine="720"/>
        <w:jc w:val="both"/>
        <w:rPr>
          <w:rFonts w:ascii="David" w:hAnsi="David"/>
          <w:rtl/>
        </w:rPr>
      </w:pPr>
      <w:r>
        <w:rPr>
          <w:rFonts w:ascii="David" w:hAnsi="David"/>
          <w:rtl/>
        </w:rPr>
        <w:t>לטענתו, יש להתחשב גם בכך שנאשם 1 הוא בן 25 ושהוא גדל במשפחה קשת יום. הוא התייתם מאמו בגיל צעיר, ומאביו התייתם לפני כשלוש-ארבע שנים. לדבריו, לא בכדי לדיונים שהתקיימו בתיק זה, לא התייצבה משפחה מצדו של נאשם 1, שכן אין לנאשם 1 משפחה למעט אח אחד נשוי, אשר היחסים עמו אינם טובים. לדבריו, בטרם מעצרו, עבד נאשם 1 בחברת י.ד מזגנים במעלות תרשיחא.</w:t>
      </w:r>
    </w:p>
    <w:p w14:paraId="50365C1B" w14:textId="77777777" w:rsidR="00815DED" w:rsidRDefault="00815DED" w:rsidP="00815DED">
      <w:pPr>
        <w:spacing w:line="360" w:lineRule="auto"/>
        <w:ind w:left="720"/>
        <w:jc w:val="both"/>
        <w:rPr>
          <w:rFonts w:ascii="David" w:hAnsi="David"/>
          <w:rtl/>
        </w:rPr>
      </w:pPr>
    </w:p>
    <w:p w14:paraId="507861D5" w14:textId="77777777" w:rsidR="00815DED" w:rsidRDefault="00815DED" w:rsidP="00815DED">
      <w:pPr>
        <w:spacing w:line="360" w:lineRule="auto"/>
        <w:jc w:val="both"/>
        <w:rPr>
          <w:rFonts w:ascii="David" w:hAnsi="David"/>
          <w:rtl/>
        </w:rPr>
      </w:pPr>
      <w:r>
        <w:rPr>
          <w:rFonts w:ascii="David" w:hAnsi="David"/>
          <w:rtl/>
        </w:rPr>
        <w:t>22.</w:t>
      </w:r>
      <w:r>
        <w:rPr>
          <w:rFonts w:ascii="David" w:hAnsi="David"/>
          <w:rtl/>
        </w:rPr>
        <w:tab/>
        <w:t>בניגוד לטענת המאשימה, סבור הסנגור, כי לא ניתן לזקוף לחובתו של נאשם 1 את ניהול ההליך הפלילי ואי קבלת אחריות, וזאת לאור הכרעת הדין בה הוא זוכה מעיקר האישומים נגדו.</w:t>
      </w:r>
    </w:p>
    <w:p w14:paraId="354E030B" w14:textId="77777777" w:rsidR="00815DED" w:rsidRDefault="00815DED" w:rsidP="00815DED">
      <w:pPr>
        <w:spacing w:line="360" w:lineRule="auto"/>
        <w:ind w:left="720"/>
        <w:jc w:val="both"/>
        <w:rPr>
          <w:rFonts w:ascii="David" w:hAnsi="David"/>
          <w:rtl/>
        </w:rPr>
      </w:pPr>
    </w:p>
    <w:p w14:paraId="0CD78E99" w14:textId="77777777" w:rsidR="00815DED" w:rsidRDefault="00815DED" w:rsidP="00815DED">
      <w:pPr>
        <w:spacing w:line="360" w:lineRule="auto"/>
        <w:ind w:firstLine="720"/>
        <w:jc w:val="both"/>
        <w:rPr>
          <w:rFonts w:ascii="David" w:hAnsi="David"/>
          <w:rtl/>
        </w:rPr>
      </w:pPr>
      <w:r>
        <w:rPr>
          <w:rFonts w:ascii="David" w:hAnsi="David"/>
          <w:rtl/>
        </w:rPr>
        <w:t xml:space="preserve">לדבריו, נאשם 1 שיתף פעולה לאורך על הדרך, לא הערים קשיים בחקירתו, ולא ניסה לבצע תחבולות. עוד ציין, כי נאשם 1 מתחרט על מעשיו, </w:t>
      </w:r>
      <w:r>
        <w:rPr>
          <w:rFonts w:ascii="David" w:hAnsi="David"/>
          <w:u w:val="single"/>
          <w:rtl/>
        </w:rPr>
        <w:t>עד כמה שאין משמעות החרטה לקיחת אחריות פלילית אשר עלולה לנגוס בזכויותיו להגיש ערעור</w:t>
      </w:r>
      <w:r>
        <w:rPr>
          <w:rFonts w:ascii="David" w:hAnsi="David"/>
          <w:rtl/>
        </w:rPr>
        <w:t xml:space="preserve">. </w:t>
      </w:r>
    </w:p>
    <w:p w14:paraId="44862FA4" w14:textId="77777777" w:rsidR="00815DED" w:rsidRDefault="00815DED" w:rsidP="00815DED">
      <w:pPr>
        <w:spacing w:line="360" w:lineRule="auto"/>
        <w:jc w:val="both"/>
        <w:rPr>
          <w:rFonts w:ascii="David" w:hAnsi="David"/>
          <w:rtl/>
        </w:rPr>
      </w:pPr>
    </w:p>
    <w:p w14:paraId="6ADE78EC" w14:textId="77777777" w:rsidR="00815DED" w:rsidRDefault="00815DED" w:rsidP="00815DED">
      <w:pPr>
        <w:spacing w:line="360" w:lineRule="auto"/>
        <w:ind w:left="720" w:hanging="720"/>
        <w:jc w:val="both"/>
        <w:rPr>
          <w:rFonts w:ascii="David" w:hAnsi="David"/>
          <w:b/>
          <w:bCs/>
          <w:u w:val="single"/>
          <w:rtl/>
        </w:rPr>
      </w:pPr>
      <w:r>
        <w:rPr>
          <w:rFonts w:ascii="David" w:hAnsi="David"/>
          <w:b/>
          <w:bCs/>
          <w:u w:val="single"/>
          <w:rtl/>
        </w:rPr>
        <w:t>טיעוני נאשם 2 לעונש</w:t>
      </w:r>
    </w:p>
    <w:p w14:paraId="73D1E779" w14:textId="77777777" w:rsidR="00815DED" w:rsidRDefault="00815DED" w:rsidP="00815DED">
      <w:pPr>
        <w:spacing w:line="360" w:lineRule="auto"/>
        <w:ind w:left="720" w:hanging="720"/>
        <w:jc w:val="both"/>
        <w:rPr>
          <w:rFonts w:ascii="David" w:hAnsi="David"/>
          <w:b/>
          <w:bCs/>
          <w:u w:val="single"/>
          <w:rtl/>
        </w:rPr>
      </w:pPr>
    </w:p>
    <w:p w14:paraId="56AA02F8" w14:textId="77777777" w:rsidR="00815DED" w:rsidRDefault="00815DED" w:rsidP="00815DED">
      <w:pPr>
        <w:spacing w:line="360" w:lineRule="auto"/>
        <w:ind w:left="720" w:hanging="720"/>
        <w:jc w:val="both"/>
        <w:rPr>
          <w:rFonts w:ascii="David" w:hAnsi="David"/>
          <w:rtl/>
        </w:rPr>
      </w:pPr>
      <w:r>
        <w:rPr>
          <w:rFonts w:ascii="David" w:hAnsi="David"/>
          <w:rtl/>
        </w:rPr>
        <w:t>23.</w:t>
      </w:r>
      <w:r>
        <w:rPr>
          <w:rFonts w:ascii="David" w:hAnsi="David"/>
          <w:rtl/>
        </w:rPr>
        <w:tab/>
        <w:t>הסנגור הגיש טיעונים בכתב  והוסיף טיעונים בעל פה בישיבת יום 13.09.2020.</w:t>
      </w:r>
    </w:p>
    <w:p w14:paraId="5340C13B" w14:textId="77777777" w:rsidR="00815DED" w:rsidRDefault="00815DED" w:rsidP="00815DED">
      <w:pPr>
        <w:spacing w:line="360" w:lineRule="auto"/>
        <w:jc w:val="both"/>
        <w:rPr>
          <w:rFonts w:ascii="David" w:hAnsi="David"/>
          <w:rtl/>
        </w:rPr>
      </w:pPr>
    </w:p>
    <w:p w14:paraId="7641C5CD" w14:textId="77777777" w:rsidR="00815DED" w:rsidRDefault="00815DED" w:rsidP="00815DED">
      <w:pPr>
        <w:spacing w:line="360" w:lineRule="auto"/>
        <w:ind w:firstLine="720"/>
        <w:jc w:val="both"/>
        <w:rPr>
          <w:rFonts w:ascii="David" w:hAnsi="David"/>
          <w:rtl/>
        </w:rPr>
      </w:pPr>
      <w:r>
        <w:rPr>
          <w:rFonts w:ascii="David" w:hAnsi="David"/>
          <w:rtl/>
        </w:rPr>
        <w:t>הוא הצטרף לטיעוני סנגורו של נאשם 1, אשר רלוונטיים גם לגבי נאשם 2, בהתייחס לעבירת הקשר בה הורשעו שניהם.</w:t>
      </w:r>
    </w:p>
    <w:p w14:paraId="544E53B7" w14:textId="77777777" w:rsidR="00815DED" w:rsidRDefault="00815DED" w:rsidP="00815DED">
      <w:pPr>
        <w:spacing w:line="360" w:lineRule="auto"/>
        <w:jc w:val="both"/>
        <w:rPr>
          <w:rFonts w:ascii="David" w:hAnsi="David"/>
          <w:rtl/>
        </w:rPr>
      </w:pPr>
    </w:p>
    <w:p w14:paraId="5BEE7243" w14:textId="77777777" w:rsidR="00815DED" w:rsidRDefault="00815DED" w:rsidP="00815DED">
      <w:pPr>
        <w:spacing w:line="360" w:lineRule="auto"/>
        <w:jc w:val="both"/>
        <w:rPr>
          <w:rFonts w:ascii="David" w:hAnsi="David"/>
          <w:rtl/>
        </w:rPr>
      </w:pPr>
      <w:r>
        <w:rPr>
          <w:rFonts w:ascii="David" w:hAnsi="David"/>
          <w:rtl/>
        </w:rPr>
        <w:t>24.</w:t>
      </w:r>
      <w:r>
        <w:rPr>
          <w:rFonts w:ascii="David" w:hAnsi="David"/>
          <w:rtl/>
        </w:rPr>
        <w:tab/>
        <w:t>הסנגור הדגיש, כי מדובר בצעיר, בן 21, אשר עצור מזה 8 חודשים בפיקוח אלקטרוני. הוא בן למשפחה נורמטיבית ולחובתו הרשעה אחת בלבד,  מבית משפט לנוער, בגינה קיבל עונש של קנס בלבד.  לדבריו, הגשת כתב האישום נגדו שינתה את חייו והקשתה עליו מבחינה כלכלית, נפשית וחברתית.</w:t>
      </w:r>
    </w:p>
    <w:p w14:paraId="65A26BEC" w14:textId="77777777" w:rsidR="00815DED" w:rsidRDefault="00815DED" w:rsidP="00815DED">
      <w:pPr>
        <w:spacing w:line="360" w:lineRule="auto"/>
        <w:jc w:val="both"/>
        <w:rPr>
          <w:rFonts w:ascii="David" w:hAnsi="David"/>
          <w:rtl/>
        </w:rPr>
      </w:pPr>
    </w:p>
    <w:p w14:paraId="2313390B" w14:textId="77777777" w:rsidR="00815DED" w:rsidRDefault="00815DED" w:rsidP="00815DED">
      <w:pPr>
        <w:spacing w:line="360" w:lineRule="auto"/>
        <w:ind w:firstLine="720"/>
        <w:jc w:val="both"/>
        <w:rPr>
          <w:rFonts w:ascii="David" w:hAnsi="David"/>
          <w:rtl/>
        </w:rPr>
      </w:pPr>
      <w:r>
        <w:rPr>
          <w:rFonts w:ascii="David" w:hAnsi="David"/>
          <w:rtl/>
        </w:rPr>
        <w:t>לטענתו, הנאשם מודע לנזק שנגרם לו כתוצאה "ממעשה שטות" בו היה מעורב והוא מבקש מבית המשפט לסלוח לו ולסייע לו לחזור לאורח חיים נורמטיבי.</w:t>
      </w:r>
    </w:p>
    <w:p w14:paraId="33801B96" w14:textId="77777777" w:rsidR="00815DED" w:rsidRDefault="00815DED" w:rsidP="00815DED">
      <w:pPr>
        <w:spacing w:line="360" w:lineRule="auto"/>
        <w:jc w:val="both"/>
        <w:rPr>
          <w:rFonts w:ascii="David" w:hAnsi="David"/>
          <w:rtl/>
        </w:rPr>
      </w:pPr>
    </w:p>
    <w:p w14:paraId="54AF12FF" w14:textId="77777777" w:rsidR="00815DED" w:rsidRDefault="00815DED" w:rsidP="00815DED">
      <w:pPr>
        <w:spacing w:line="360" w:lineRule="auto"/>
        <w:jc w:val="both"/>
        <w:rPr>
          <w:rFonts w:ascii="David" w:hAnsi="David"/>
          <w:rtl/>
        </w:rPr>
      </w:pPr>
      <w:r>
        <w:rPr>
          <w:rFonts w:ascii="David" w:hAnsi="David"/>
          <w:rtl/>
        </w:rPr>
        <w:t>25.</w:t>
      </w:r>
      <w:r>
        <w:rPr>
          <w:rFonts w:ascii="David" w:hAnsi="David"/>
          <w:rtl/>
        </w:rPr>
        <w:tab/>
        <w:t>הסנגור מדגיש, שלאורך כל תקופת מעצרו, הקפיד נאשם 2 להגיע לפגישות עם העובדת הסוציאלית. בתקופת המעצר הוגשו לגביו תסקירים חיוביים מטעם שירות המבחן והוא אף השתתף בקבוצות טיפול. עד היום הוא נמצא בקשר עם שירות המבחן ומוכן לכל הליך שיקומי.</w:t>
      </w:r>
    </w:p>
    <w:p w14:paraId="5B78A1BE" w14:textId="77777777" w:rsidR="00815DED" w:rsidRDefault="00815DED" w:rsidP="00815DED">
      <w:pPr>
        <w:spacing w:line="360" w:lineRule="auto"/>
        <w:jc w:val="both"/>
        <w:rPr>
          <w:rFonts w:ascii="David" w:hAnsi="David"/>
          <w:rtl/>
        </w:rPr>
      </w:pPr>
    </w:p>
    <w:p w14:paraId="3DE1DF73" w14:textId="77777777" w:rsidR="00815DED" w:rsidRDefault="00815DED" w:rsidP="00815DED">
      <w:pPr>
        <w:spacing w:line="360" w:lineRule="auto"/>
        <w:jc w:val="both"/>
        <w:rPr>
          <w:rFonts w:ascii="David" w:hAnsi="David"/>
          <w:rtl/>
        </w:rPr>
      </w:pPr>
      <w:r>
        <w:rPr>
          <w:rFonts w:ascii="David" w:hAnsi="David"/>
          <w:rtl/>
        </w:rPr>
        <w:t>26.</w:t>
      </w:r>
      <w:r>
        <w:rPr>
          <w:rFonts w:ascii="David" w:hAnsi="David"/>
          <w:rtl/>
        </w:rPr>
        <w:tab/>
        <w:t>הסנגור מבקש להתחשב בגילו הצעיר ולהימנע במקרה זה, מהטלת עונש מאסר מאחורי סורג ובריח.</w:t>
      </w:r>
    </w:p>
    <w:p w14:paraId="1D46080F" w14:textId="77777777" w:rsidR="00815DED" w:rsidRDefault="00815DED" w:rsidP="00815DED">
      <w:pPr>
        <w:spacing w:line="360" w:lineRule="auto"/>
        <w:jc w:val="both"/>
        <w:rPr>
          <w:rFonts w:ascii="David" w:hAnsi="David"/>
          <w:rtl/>
        </w:rPr>
      </w:pPr>
    </w:p>
    <w:p w14:paraId="22AFF3A7" w14:textId="77777777" w:rsidR="00815DED" w:rsidRDefault="00815DED" w:rsidP="00815DED">
      <w:pPr>
        <w:spacing w:line="360" w:lineRule="auto"/>
        <w:ind w:firstLine="720"/>
        <w:jc w:val="both"/>
        <w:rPr>
          <w:rFonts w:ascii="David" w:hAnsi="David"/>
          <w:rtl/>
        </w:rPr>
      </w:pPr>
      <w:r>
        <w:rPr>
          <w:rFonts w:ascii="David" w:hAnsi="David"/>
          <w:rtl/>
        </w:rPr>
        <w:t>לדבריו, אם יוטל על נאשם 2 עונש מאסר מאחורי סורג ובריח, הוא יפגוש בכלא גורמים עבריינים שישפיעו עליו לרעה, עלול הדבר לגרום נזק לשיקומו ולהוביל לתוצאות הרסניות. בנוסף, עונש חמור שכזה יפגע בצורה דרסטית במשפחתו של נאשם 2, שכן, בטרם מעצרו עבד במפעל אריזה במושב שלומי, וסייע לפרנסת המשפחה, אשר נתונה בקשיים כלכליים חמורים.</w:t>
      </w:r>
    </w:p>
    <w:p w14:paraId="53231D17" w14:textId="77777777" w:rsidR="00815DED" w:rsidRDefault="00815DED" w:rsidP="00815DED">
      <w:pPr>
        <w:spacing w:line="360" w:lineRule="auto"/>
        <w:jc w:val="both"/>
        <w:rPr>
          <w:rFonts w:ascii="David" w:hAnsi="David"/>
          <w:rtl/>
        </w:rPr>
      </w:pPr>
    </w:p>
    <w:p w14:paraId="051FE9E1" w14:textId="77777777" w:rsidR="00815DED" w:rsidRDefault="00815DED" w:rsidP="00815DED">
      <w:pPr>
        <w:spacing w:line="360" w:lineRule="auto"/>
        <w:jc w:val="both"/>
        <w:rPr>
          <w:rFonts w:ascii="David" w:hAnsi="David"/>
          <w:rtl/>
        </w:rPr>
      </w:pPr>
      <w:r>
        <w:rPr>
          <w:rFonts w:ascii="David" w:hAnsi="David"/>
          <w:rtl/>
        </w:rPr>
        <w:t>27.</w:t>
      </w:r>
      <w:r>
        <w:rPr>
          <w:rFonts w:ascii="David" w:hAnsi="David"/>
          <w:rtl/>
        </w:rPr>
        <w:tab/>
        <w:t>עוד מבקש הסנגור להביא בחשבון, שבתשעת החודשים האחרונים, כבר הוגבלה חירותו של נאשם 2 בצורה ניכרת. הוא היה עצור כחודשיים מאחורי סורג ובריח ולאחר מכן היה נתון, כאמור, בפיקוח אלקטרוני מוקפד, למשך שבעה חודשים נוספים.</w:t>
      </w:r>
    </w:p>
    <w:p w14:paraId="345C0D25" w14:textId="77777777" w:rsidR="00815DED" w:rsidRDefault="00815DED" w:rsidP="00815DED">
      <w:pPr>
        <w:spacing w:line="360" w:lineRule="auto"/>
        <w:jc w:val="both"/>
        <w:rPr>
          <w:rFonts w:ascii="David" w:hAnsi="David"/>
          <w:rtl/>
        </w:rPr>
      </w:pPr>
    </w:p>
    <w:p w14:paraId="4A7104F4" w14:textId="77777777" w:rsidR="00815DED" w:rsidRDefault="00815DED" w:rsidP="00815DED">
      <w:pPr>
        <w:spacing w:line="360" w:lineRule="auto"/>
        <w:jc w:val="both"/>
        <w:rPr>
          <w:rFonts w:ascii="David" w:hAnsi="David"/>
          <w:rtl/>
        </w:rPr>
      </w:pPr>
      <w:r>
        <w:rPr>
          <w:rFonts w:ascii="David" w:hAnsi="David"/>
          <w:rtl/>
        </w:rPr>
        <w:t>28.</w:t>
      </w:r>
      <w:r>
        <w:rPr>
          <w:rFonts w:ascii="David" w:hAnsi="David"/>
          <w:rtl/>
        </w:rPr>
        <w:tab/>
        <w:t>הסנגור מבקש,  לסטות ממתחם העונש לצורך שיקומו של נאשם 2 ומציין כי קיים גם אינטרס ציבורי לשקמו.</w:t>
      </w:r>
    </w:p>
    <w:p w14:paraId="6CD7ED8A" w14:textId="77777777" w:rsidR="00815DED" w:rsidRDefault="00815DED" w:rsidP="00815DED">
      <w:pPr>
        <w:spacing w:line="360" w:lineRule="auto"/>
        <w:jc w:val="both"/>
        <w:rPr>
          <w:rFonts w:ascii="David" w:hAnsi="David"/>
          <w:rtl/>
        </w:rPr>
      </w:pPr>
    </w:p>
    <w:p w14:paraId="32C0AC5D" w14:textId="77777777" w:rsidR="00815DED" w:rsidRDefault="00815DED" w:rsidP="00815DED">
      <w:pPr>
        <w:spacing w:line="360" w:lineRule="auto"/>
        <w:jc w:val="both"/>
        <w:rPr>
          <w:rFonts w:ascii="David" w:hAnsi="David"/>
          <w:rtl/>
        </w:rPr>
      </w:pPr>
      <w:r>
        <w:rPr>
          <w:rFonts w:ascii="David" w:hAnsi="David"/>
          <w:rtl/>
        </w:rPr>
        <w:t>29.</w:t>
      </w:r>
      <w:r>
        <w:rPr>
          <w:rFonts w:ascii="David" w:hAnsi="David"/>
          <w:rtl/>
        </w:rPr>
        <w:tab/>
      </w:r>
      <w:r>
        <w:rPr>
          <w:rFonts w:ascii="David" w:hAnsi="David"/>
          <w:u w:val="single"/>
          <w:rtl/>
        </w:rPr>
        <w:t>בהתייחס למתחם העונש ההולם</w:t>
      </w:r>
      <w:r>
        <w:rPr>
          <w:rFonts w:ascii="David" w:hAnsi="David"/>
          <w:rtl/>
        </w:rPr>
        <w:t>, בגין עבירת החזקת התחמושת, טוען ב"כ נאשם 2, כי בניגוד למתחם שביקשה המאשימה, יש להסתפק, בנסיבות העניין, במאסר מותנה, עד מספר ימים של עבודות שירות, ולא מעבר לכך. הוא השאיר לשיקול דעת בית המשפט הטלת עונש נוסף כגון קנס או עונש אחר.</w:t>
      </w:r>
    </w:p>
    <w:p w14:paraId="24A12E8C" w14:textId="77777777" w:rsidR="00815DED" w:rsidRDefault="00815DED" w:rsidP="00815DED">
      <w:pPr>
        <w:spacing w:line="360" w:lineRule="auto"/>
        <w:jc w:val="both"/>
        <w:rPr>
          <w:rFonts w:ascii="David" w:hAnsi="David"/>
          <w:rtl/>
        </w:rPr>
      </w:pPr>
      <w:r>
        <w:rPr>
          <w:rFonts w:ascii="David" w:hAnsi="David"/>
          <w:rtl/>
        </w:rPr>
        <w:t>30.</w:t>
      </w:r>
      <w:r>
        <w:rPr>
          <w:rFonts w:ascii="David" w:hAnsi="David"/>
          <w:rtl/>
        </w:rPr>
        <w:tab/>
      </w:r>
      <w:r>
        <w:rPr>
          <w:rFonts w:ascii="David" w:hAnsi="David"/>
          <w:b/>
          <w:bCs/>
          <w:rtl/>
        </w:rPr>
        <w:t>לאור כל האמור לעיל</w:t>
      </w:r>
      <w:r>
        <w:rPr>
          <w:rFonts w:ascii="David" w:hAnsi="David"/>
          <w:rtl/>
        </w:rPr>
        <w:t>, ביקש הסנגור להתחשב בנאשם 2, להסתפק בחודשי המעצר ובפיקוח האלקטרוני, ולקבוע שהוא כבר סיים לרצות את עונשו בגין העבירות בהן הורשע.</w:t>
      </w:r>
    </w:p>
    <w:p w14:paraId="568384A1" w14:textId="77777777" w:rsidR="00815DED" w:rsidRDefault="00815DED" w:rsidP="00815DED">
      <w:pPr>
        <w:spacing w:line="360" w:lineRule="auto"/>
        <w:jc w:val="both"/>
        <w:rPr>
          <w:rFonts w:ascii="David" w:hAnsi="David"/>
          <w:b/>
          <w:bCs/>
          <w:sz w:val="10"/>
          <w:szCs w:val="10"/>
          <w:u w:val="single"/>
          <w:rtl/>
        </w:rPr>
      </w:pPr>
    </w:p>
    <w:p w14:paraId="0E83F12E" w14:textId="77777777" w:rsidR="00815DED" w:rsidRDefault="00815DED" w:rsidP="00815DED">
      <w:pPr>
        <w:jc w:val="both"/>
        <w:rPr>
          <w:b/>
          <w:bCs/>
          <w:u w:val="single"/>
          <w:rtl/>
        </w:rPr>
      </w:pPr>
      <w:r>
        <w:rPr>
          <w:b/>
          <w:bCs/>
          <w:u w:val="single"/>
          <w:rtl/>
        </w:rPr>
        <w:t>דברי הנאשמים</w:t>
      </w:r>
    </w:p>
    <w:p w14:paraId="76C81945" w14:textId="77777777" w:rsidR="00815DED" w:rsidRDefault="00815DED" w:rsidP="00815DED">
      <w:pPr>
        <w:jc w:val="both"/>
        <w:rPr>
          <w:b/>
          <w:bCs/>
          <w:u w:val="single"/>
          <w:rtl/>
        </w:rPr>
      </w:pPr>
    </w:p>
    <w:p w14:paraId="757E68AB" w14:textId="77777777" w:rsidR="00815DED" w:rsidRDefault="00815DED" w:rsidP="00815DED">
      <w:pPr>
        <w:spacing w:line="360" w:lineRule="auto"/>
        <w:ind w:left="720" w:hanging="720"/>
        <w:jc w:val="both"/>
        <w:rPr>
          <w:rtl/>
        </w:rPr>
      </w:pPr>
      <w:r>
        <w:rPr>
          <w:rtl/>
        </w:rPr>
        <w:t>31.</w:t>
      </w:r>
      <w:r>
        <w:rPr>
          <w:rtl/>
        </w:rPr>
        <w:tab/>
        <w:t>נאשם 1 אמר שאין לו מה להגיד.</w:t>
      </w:r>
    </w:p>
    <w:p w14:paraId="0D826B06" w14:textId="77777777" w:rsidR="00815DED" w:rsidRDefault="00815DED" w:rsidP="00815DED">
      <w:pPr>
        <w:spacing w:before="240" w:line="360" w:lineRule="auto"/>
        <w:jc w:val="both"/>
        <w:rPr>
          <w:rtl/>
        </w:rPr>
      </w:pPr>
      <w:r>
        <w:rPr>
          <w:rtl/>
        </w:rPr>
        <w:t>32.</w:t>
      </w:r>
      <w:r>
        <w:rPr>
          <w:rtl/>
        </w:rPr>
        <w:tab/>
        <w:t>נאשם 2 אמר שהוא מצטער על מעשיו ולא רצה לעשות את אשר עשה.</w:t>
      </w:r>
    </w:p>
    <w:p w14:paraId="5F50853E" w14:textId="77777777" w:rsidR="00815DED" w:rsidRDefault="00815DED" w:rsidP="00815DED">
      <w:pPr>
        <w:jc w:val="both"/>
        <w:rPr>
          <w:rtl/>
        </w:rPr>
      </w:pPr>
    </w:p>
    <w:p w14:paraId="2F1480FA" w14:textId="77777777" w:rsidR="00815DED" w:rsidRDefault="00815DED" w:rsidP="00815DED">
      <w:pPr>
        <w:spacing w:line="360" w:lineRule="auto"/>
        <w:rPr>
          <w:rFonts w:ascii="Arial" w:hAnsi="Arial"/>
          <w:b/>
          <w:bCs/>
          <w:u w:val="single"/>
          <w:rtl/>
        </w:rPr>
      </w:pPr>
      <w:r>
        <w:rPr>
          <w:rFonts w:ascii="Arial" w:hAnsi="Arial"/>
          <w:b/>
          <w:bCs/>
          <w:u w:val="single"/>
          <w:rtl/>
        </w:rPr>
        <w:t>דיון וגזירת הדין</w:t>
      </w:r>
    </w:p>
    <w:p w14:paraId="40A4CE69" w14:textId="77777777" w:rsidR="00815DED" w:rsidRDefault="00815DED" w:rsidP="00815DED">
      <w:pPr>
        <w:spacing w:line="360" w:lineRule="auto"/>
        <w:jc w:val="both"/>
        <w:rPr>
          <w:u w:val="single"/>
          <w:rtl/>
        </w:rPr>
      </w:pPr>
      <w:r>
        <w:rPr>
          <w:u w:val="single"/>
          <w:rtl/>
        </w:rPr>
        <w:t>קביעת מתחם העונש ההולם</w:t>
      </w:r>
    </w:p>
    <w:p w14:paraId="0D8F78F3" w14:textId="77777777" w:rsidR="00815DED" w:rsidRDefault="00815DED" w:rsidP="00815DED">
      <w:pPr>
        <w:spacing w:line="360" w:lineRule="auto"/>
        <w:jc w:val="both"/>
        <w:rPr>
          <w:u w:val="single"/>
          <w:rtl/>
        </w:rPr>
      </w:pPr>
    </w:p>
    <w:p w14:paraId="541FBDD8" w14:textId="77777777" w:rsidR="00815DED" w:rsidRDefault="00815DED" w:rsidP="00815DED">
      <w:pPr>
        <w:spacing w:line="360" w:lineRule="auto"/>
        <w:jc w:val="both"/>
        <w:rPr>
          <w:u w:val="single"/>
          <w:rtl/>
        </w:rPr>
      </w:pPr>
      <w:r>
        <w:rPr>
          <w:rtl/>
        </w:rPr>
        <w:t>33.</w:t>
      </w:r>
      <w:r>
        <w:rPr>
          <w:rtl/>
        </w:rPr>
        <w:tab/>
        <w:t>בבוא בית המשפט לקבוע את מתחם העונש ההולם לעבירות שבוצעו בתיק, עליו לנהוג על פי תיקון 113 ל</w:t>
      </w:r>
      <w:hyperlink r:id="rId18" w:history="1">
        <w:r w:rsidR="0060220A" w:rsidRPr="0060220A">
          <w:rPr>
            <w:color w:val="0000FF"/>
            <w:u w:val="single"/>
            <w:rtl/>
          </w:rPr>
          <w:t>חוק העונשין</w:t>
        </w:r>
      </w:hyperlink>
      <w:r>
        <w:rPr>
          <w:rtl/>
        </w:rPr>
        <w:t xml:space="preserve"> הקובע כי</w:t>
      </w:r>
      <w:r>
        <w:rPr>
          <w:b/>
          <w:bCs/>
          <w:rtl/>
        </w:rPr>
        <w:t xml:space="preserve"> </w:t>
      </w:r>
      <w:r>
        <w:rPr>
          <w:rFonts w:cs="Miriam"/>
          <w:color w:val="000000"/>
          <w:rtl/>
        </w:rPr>
        <w:t>"</w:t>
      </w:r>
      <w:r>
        <w:rPr>
          <w:rFonts w:cs="Miriam"/>
          <w:rtl/>
        </w:rPr>
        <w:t>העיקרון המנחה בענישה הוא קיומו של יחס הולם בין חומרת מעשה העבירה בנסיבותיו ומידת אשמו של הנאשם ובין סוג ומידת העונש המוטל עלי</w:t>
      </w:r>
      <w:r>
        <w:rPr>
          <w:rFonts w:cs="Miriam"/>
          <w:color w:val="000000"/>
          <w:rtl/>
        </w:rPr>
        <w:t>ו"</w:t>
      </w:r>
      <w:r>
        <w:rPr>
          <w:rFonts w:cs="Miriam"/>
          <w:rtl/>
        </w:rPr>
        <w:t xml:space="preserve"> </w:t>
      </w:r>
      <w:r>
        <w:rPr>
          <w:color w:val="000000"/>
          <w:rtl/>
        </w:rPr>
        <w:t>(</w:t>
      </w:r>
      <w:hyperlink r:id="rId19" w:history="1">
        <w:r w:rsidR="008E23F3" w:rsidRPr="008E23F3">
          <w:rPr>
            <w:rStyle w:val="Hyperlink"/>
            <w:rtl/>
          </w:rPr>
          <w:t>סעיף 40ב'</w:t>
        </w:r>
      </w:hyperlink>
      <w:r>
        <w:rPr>
          <w:rtl/>
        </w:rPr>
        <w:t xml:space="preserve"> לחוק </w:t>
      </w:r>
      <w:r>
        <w:rPr>
          <w:color w:val="000000"/>
          <w:rtl/>
        </w:rPr>
        <w:t>העונשין).</w:t>
      </w:r>
    </w:p>
    <w:p w14:paraId="60C2F0D1" w14:textId="77777777" w:rsidR="00815DED" w:rsidRDefault="00815DED" w:rsidP="00815DED">
      <w:pPr>
        <w:tabs>
          <w:tab w:val="left" w:pos="567"/>
          <w:tab w:val="left" w:pos="1134"/>
          <w:tab w:val="left" w:pos="1701"/>
        </w:tabs>
        <w:spacing w:line="360" w:lineRule="auto"/>
        <w:jc w:val="both"/>
        <w:rPr>
          <w:rtl/>
        </w:rPr>
      </w:pPr>
      <w:r>
        <w:rPr>
          <w:rtl/>
        </w:rPr>
        <w:tab/>
      </w:r>
      <w:r>
        <w:t xml:space="preserve">        </w:t>
      </w:r>
    </w:p>
    <w:p w14:paraId="319D6A9A" w14:textId="77777777" w:rsidR="00815DED" w:rsidRDefault="00815DED" w:rsidP="00815DED">
      <w:pPr>
        <w:tabs>
          <w:tab w:val="left" w:pos="567"/>
          <w:tab w:val="left" w:pos="1134"/>
          <w:tab w:val="left" w:pos="1701"/>
        </w:tabs>
        <w:spacing w:line="360" w:lineRule="auto"/>
        <w:jc w:val="both"/>
        <w:rPr>
          <w:rtl/>
        </w:rPr>
      </w:pPr>
      <w:r>
        <w:rPr>
          <w:rtl/>
        </w:rPr>
        <w:tab/>
        <w:t xml:space="preserve">על פי תכליתו של תיקון 113, "עקרון ההלימה" מנחה את בית המשפט לשמור על יחס הולם וראוי בין מעשה העבירה, לבין מידת העונש שייגזר על הנאשם. כלומר, על העונש שייגזר על הנאשם להתאים לחומרת העבירה, למידת אשמתו של הנאשם והכל תוך התחשבות </w:t>
      </w:r>
      <w:r>
        <w:rPr>
          <w:rFonts w:ascii="Calibri" w:hAnsi="Calibri"/>
          <w:rtl/>
        </w:rPr>
        <w:t>בערכים החברתיים המוגנים שנפגעו כתוצאה מביצוע המעשים ובמידת הפגיעה בהם; בנסיבות הקשורות בביצוע המעשים; בנזק שנגרם ושהיה עלול להיגרם כתוצאה מהם ובמדיניות הענישה הנוהגת במקרים דומים.</w:t>
      </w:r>
    </w:p>
    <w:p w14:paraId="7F0F6644" w14:textId="77777777" w:rsidR="00815DED" w:rsidRDefault="00815DED" w:rsidP="00815DED">
      <w:pPr>
        <w:tabs>
          <w:tab w:val="left" w:pos="567"/>
          <w:tab w:val="left" w:pos="1134"/>
          <w:tab w:val="left" w:pos="1701"/>
        </w:tabs>
        <w:spacing w:line="360" w:lineRule="auto"/>
        <w:ind w:left="720"/>
        <w:jc w:val="both"/>
        <w:rPr>
          <w:rtl/>
        </w:rPr>
      </w:pPr>
    </w:p>
    <w:p w14:paraId="0CD3341F" w14:textId="77777777" w:rsidR="00815DED" w:rsidRDefault="00815DED" w:rsidP="00815DED">
      <w:pPr>
        <w:spacing w:line="360" w:lineRule="auto"/>
        <w:jc w:val="both"/>
        <w:rPr>
          <w:rFonts w:ascii="Arial" w:hAnsi="Arial"/>
          <w:noProof/>
          <w:highlight w:val="magenta"/>
          <w:rtl/>
        </w:rPr>
      </w:pPr>
      <w:r>
        <w:rPr>
          <w:rFonts w:ascii="Arial" w:hAnsi="Arial"/>
          <w:noProof/>
          <w:rtl/>
        </w:rPr>
        <w:t>34.</w:t>
      </w:r>
      <w:r>
        <w:rPr>
          <w:rFonts w:ascii="Arial" w:hAnsi="Arial"/>
          <w:noProof/>
          <w:rtl/>
        </w:rPr>
        <w:tab/>
        <w:t>במצב של ריבוי מעשים ועבירות על בית המשפט לקבוע, תחילה, האם יש להתייחס לאישומים כאל "אירוע אחד" או שמא מדובר "במספר אירועים".</w:t>
      </w:r>
    </w:p>
    <w:p w14:paraId="1D832EA7" w14:textId="77777777" w:rsidR="00815DED" w:rsidRDefault="00815DED" w:rsidP="00815DED">
      <w:pPr>
        <w:spacing w:line="360" w:lineRule="auto"/>
        <w:ind w:left="720" w:hanging="720"/>
        <w:jc w:val="both"/>
        <w:rPr>
          <w:rFonts w:ascii="Arial" w:hAnsi="Arial"/>
          <w:noProof/>
          <w:highlight w:val="magenta"/>
          <w:rtl/>
        </w:rPr>
      </w:pPr>
    </w:p>
    <w:p w14:paraId="4CA188A5" w14:textId="77777777" w:rsidR="00815DED" w:rsidRDefault="00815DED" w:rsidP="00815DED">
      <w:pPr>
        <w:spacing w:line="360" w:lineRule="auto"/>
        <w:ind w:firstLine="720"/>
        <w:jc w:val="both"/>
        <w:rPr>
          <w:rFonts w:ascii="Arial" w:hAnsi="Arial"/>
          <w:noProof/>
          <w:rtl/>
        </w:rPr>
      </w:pPr>
      <w:r>
        <w:rPr>
          <w:rFonts w:ascii="Arial" w:hAnsi="Arial"/>
          <w:noProof/>
          <w:rtl/>
        </w:rPr>
        <w:t xml:space="preserve">בענייננו הדברים פשוטים ואינם צריכים הסבר רב; </w:t>
      </w:r>
      <w:r>
        <w:rPr>
          <w:rFonts w:ascii="Arial" w:hAnsi="Arial"/>
          <w:b/>
          <w:bCs/>
          <w:noProof/>
          <w:u w:val="single"/>
          <w:rtl/>
        </w:rPr>
        <w:t>יש לראות בעבירת הקשר אשר יוחסה לשני הנאשמים, עבירה נפרדת, מעבירת החזקת התחמושת אשר יוחסה לנאשם 2 בלבד</w:t>
      </w:r>
      <w:r>
        <w:rPr>
          <w:rFonts w:ascii="Arial" w:hAnsi="Arial"/>
          <w:noProof/>
          <w:rtl/>
        </w:rPr>
        <w:t xml:space="preserve"> שכן על אף נסיונו של ב"כ המאשימה לטעון לקשר בין הכדורים שנמצאו בחדרו של נאשם 2 (אשר נאשם 1 כלל לא הואשם בהחזקתם) לבין קשירת הקשר, אין </w:t>
      </w:r>
      <w:r>
        <w:rPr>
          <w:rFonts w:ascii="Arial" w:hAnsi="Arial"/>
          <w:b/>
          <w:bCs/>
          <w:noProof/>
          <w:rtl/>
        </w:rPr>
        <w:t xml:space="preserve">כל </w:t>
      </w:r>
      <w:r>
        <w:rPr>
          <w:rFonts w:ascii="Arial" w:hAnsi="Arial"/>
          <w:noProof/>
          <w:rtl/>
        </w:rPr>
        <w:t>הוכחה לקשר שכזה. ברי כי מדובר בשני אירועים נפרדים לחלוטין ו</w:t>
      </w:r>
      <w:r>
        <w:rPr>
          <w:spacing w:val="8"/>
          <w:rtl/>
        </w:rPr>
        <w:t xml:space="preserve">לפיכך </w:t>
      </w:r>
      <w:r>
        <w:rPr>
          <w:rFonts w:ascii="Arial" w:hAnsi="Arial"/>
          <w:noProof/>
          <w:rtl/>
        </w:rPr>
        <w:t xml:space="preserve">אקבע, במקרה זה, מתחם עונש הולם </w:t>
      </w:r>
      <w:r>
        <w:rPr>
          <w:rFonts w:ascii="Arial" w:hAnsi="Arial"/>
          <w:b/>
          <w:bCs/>
          <w:noProof/>
          <w:u w:val="single"/>
          <w:rtl/>
        </w:rPr>
        <w:t>נפרד</w:t>
      </w:r>
      <w:r>
        <w:rPr>
          <w:rFonts w:ascii="Arial" w:hAnsi="Arial"/>
          <w:noProof/>
          <w:rtl/>
        </w:rPr>
        <w:t xml:space="preserve"> לעבירת הקשר, בה הורשעו שני הנאשמים, ומתחם עונש הולם </w:t>
      </w:r>
      <w:r>
        <w:rPr>
          <w:rFonts w:ascii="Arial" w:hAnsi="Arial"/>
          <w:b/>
          <w:bCs/>
          <w:noProof/>
          <w:u w:val="single"/>
          <w:rtl/>
        </w:rPr>
        <w:t>נפרד</w:t>
      </w:r>
      <w:r>
        <w:rPr>
          <w:rFonts w:ascii="Arial" w:hAnsi="Arial"/>
          <w:noProof/>
          <w:rtl/>
        </w:rPr>
        <w:t xml:space="preserve"> לעבירת החזקת התחמושת, בה הורשע נאשם 2 בלבד.</w:t>
      </w:r>
    </w:p>
    <w:p w14:paraId="6C0402D2" w14:textId="77777777" w:rsidR="00815DED" w:rsidRDefault="00815DED" w:rsidP="00815DED">
      <w:pPr>
        <w:spacing w:line="360" w:lineRule="auto"/>
        <w:jc w:val="both"/>
        <w:rPr>
          <w:rFonts w:ascii="Arial" w:hAnsi="Arial"/>
          <w:b/>
          <w:bCs/>
          <w:noProof/>
          <w:u w:val="single"/>
          <w:rtl/>
        </w:rPr>
      </w:pPr>
    </w:p>
    <w:p w14:paraId="70ED2D2B" w14:textId="77777777" w:rsidR="00815DED" w:rsidRDefault="00815DED" w:rsidP="00815DED">
      <w:pPr>
        <w:spacing w:line="360" w:lineRule="auto"/>
        <w:jc w:val="both"/>
        <w:rPr>
          <w:rFonts w:ascii="Arial" w:hAnsi="Arial"/>
          <w:b/>
          <w:bCs/>
          <w:noProof/>
          <w:u w:val="single"/>
          <w:rtl/>
        </w:rPr>
      </w:pPr>
    </w:p>
    <w:p w14:paraId="55EAC6A0" w14:textId="77777777" w:rsidR="00815DED" w:rsidRDefault="00815DED" w:rsidP="00815DED">
      <w:pPr>
        <w:spacing w:line="360" w:lineRule="auto"/>
        <w:jc w:val="both"/>
        <w:rPr>
          <w:rFonts w:ascii="Arial" w:hAnsi="Arial"/>
          <w:b/>
          <w:bCs/>
          <w:noProof/>
          <w:u w:val="single"/>
          <w:rtl/>
        </w:rPr>
      </w:pPr>
      <w:r>
        <w:rPr>
          <w:rFonts w:ascii="Arial" w:hAnsi="Arial"/>
          <w:b/>
          <w:bCs/>
          <w:noProof/>
          <w:u w:val="single"/>
          <w:rtl/>
        </w:rPr>
        <w:t>המתחם לעבירת הקשר</w:t>
      </w:r>
    </w:p>
    <w:p w14:paraId="2AD2D9A5" w14:textId="77777777" w:rsidR="00815DED" w:rsidRDefault="00815DED" w:rsidP="00815DED">
      <w:pPr>
        <w:spacing w:line="360" w:lineRule="auto"/>
        <w:jc w:val="both"/>
        <w:rPr>
          <w:rFonts w:ascii="Arial" w:hAnsi="Arial"/>
          <w:b/>
          <w:bCs/>
          <w:noProof/>
          <w:u w:val="single"/>
          <w:rtl/>
        </w:rPr>
      </w:pPr>
    </w:p>
    <w:p w14:paraId="75F44988" w14:textId="77777777" w:rsidR="00815DED" w:rsidRDefault="00815DED" w:rsidP="00815DED">
      <w:pPr>
        <w:spacing w:line="360" w:lineRule="auto"/>
        <w:jc w:val="both"/>
        <w:rPr>
          <w:rFonts w:ascii="David" w:hAnsi="David"/>
          <w:rtl/>
        </w:rPr>
      </w:pPr>
      <w:r>
        <w:rPr>
          <w:rFonts w:ascii="David" w:hAnsi="David"/>
          <w:rtl/>
        </w:rPr>
        <w:t>35.</w:t>
      </w:r>
      <w:r>
        <w:rPr>
          <w:rFonts w:ascii="David" w:hAnsi="David"/>
          <w:rtl/>
        </w:rPr>
        <w:tab/>
        <w:t xml:space="preserve">אין כל ספק, </w:t>
      </w:r>
      <w:r>
        <w:rPr>
          <w:rtl/>
        </w:rPr>
        <w:t xml:space="preserve">כי העבירה של קשירת קשר לסחר בנשק </w:t>
      </w:r>
      <w:r>
        <w:rPr>
          <w:rFonts w:ascii="Calibri" w:hAnsi="Calibri"/>
          <w:rtl/>
        </w:rPr>
        <w:t>היא עבירה חמורה</w:t>
      </w:r>
      <w:r>
        <w:rPr>
          <w:rFonts w:ascii="David" w:hAnsi="David"/>
          <w:rtl/>
        </w:rPr>
        <w:t>. הערכים החברתיים המוגנים בעבירה זו הם שלום הציבור, שמירת החיים והגוף, תחושת הביטחון של הפרט, ושלטון החוק.</w:t>
      </w:r>
    </w:p>
    <w:p w14:paraId="37B5E842" w14:textId="77777777" w:rsidR="00815DED" w:rsidRDefault="00815DED" w:rsidP="00815DED">
      <w:pPr>
        <w:spacing w:line="360" w:lineRule="auto"/>
        <w:jc w:val="both"/>
        <w:rPr>
          <w:rFonts w:ascii="David" w:hAnsi="David"/>
          <w:rtl/>
        </w:rPr>
      </w:pPr>
    </w:p>
    <w:p w14:paraId="589BFD93" w14:textId="77777777" w:rsidR="00815DED" w:rsidRDefault="00815DED" w:rsidP="00815DED">
      <w:pPr>
        <w:spacing w:line="360" w:lineRule="auto"/>
        <w:ind w:firstLine="720"/>
        <w:jc w:val="both"/>
        <w:rPr>
          <w:rFonts w:ascii="David" w:hAnsi="David"/>
          <w:rtl/>
        </w:rPr>
      </w:pPr>
      <w:r>
        <w:rPr>
          <w:rFonts w:ascii="David" w:hAnsi="David"/>
          <w:rtl/>
        </w:rPr>
        <w:t>בקביעת מתחמי ענישה הולמים לעבירת קשירת הקשר יש בהחלט משמעות לשאלה מהי העבירה שלשם ביצועה נקשר הקשר. ברי כי אין דינו של קשר לבצע עבירת שוד, כדינו של קשר לביצוע עבירת סחר בנשק או כדינו של קשר לביצוע עבירת רצח. חומרתו של כל קשר נמדדת על פי עניינו ועל פי נסיבות ביצועו.</w:t>
      </w:r>
    </w:p>
    <w:p w14:paraId="735BC2D2" w14:textId="77777777" w:rsidR="00815DED" w:rsidRDefault="00815DED" w:rsidP="00815DED">
      <w:pPr>
        <w:spacing w:line="360" w:lineRule="auto"/>
        <w:ind w:left="720" w:hanging="720"/>
        <w:jc w:val="both"/>
        <w:rPr>
          <w:rFonts w:ascii="David" w:hAnsi="David"/>
          <w:rtl/>
        </w:rPr>
      </w:pPr>
      <w:r>
        <w:rPr>
          <w:rFonts w:ascii="David" w:hAnsi="David"/>
          <w:rtl/>
        </w:rPr>
        <w:tab/>
      </w:r>
    </w:p>
    <w:p w14:paraId="224DEB00" w14:textId="77777777" w:rsidR="00815DED" w:rsidRDefault="00815DED" w:rsidP="00815DED">
      <w:pPr>
        <w:spacing w:line="360" w:lineRule="auto"/>
        <w:jc w:val="both"/>
        <w:rPr>
          <w:rtl/>
        </w:rPr>
      </w:pPr>
      <w:r>
        <w:rPr>
          <w:rFonts w:ascii="David" w:hAnsi="David"/>
          <w:rtl/>
        </w:rPr>
        <w:t>36.</w:t>
      </w:r>
      <w:r>
        <w:rPr>
          <w:rFonts w:ascii="David" w:hAnsi="David"/>
          <w:rtl/>
        </w:rPr>
        <w:tab/>
        <w:t>על אף שהקשר לא יצא אל הפועל, יש בעצם קשירת קשר לסחר בנשק משום פוטנציאל לפגיעה משמעותית בציבור. בענייננו עלה מהמסרונים שהוחלפו בין הנאשמים, כי כבר יש להם קונה לנשק בתמורה ל</w:t>
      </w:r>
      <w:r>
        <w:rPr>
          <w:rtl/>
        </w:rPr>
        <w:t>סך של 5,500 ₪</w:t>
      </w:r>
      <w:r>
        <w:rPr>
          <w:rFonts w:ascii="David" w:hAnsi="David"/>
          <w:rtl/>
        </w:rPr>
        <w:t xml:space="preserve">. זהותו של קונה זה </w:t>
      </w:r>
      <w:r>
        <w:rPr>
          <w:rtl/>
        </w:rPr>
        <w:t xml:space="preserve">אינה ידועה למאשימה. </w:t>
      </w:r>
      <w:r>
        <w:rPr>
          <w:rFonts w:ascii="David" w:hAnsi="David"/>
          <w:rtl/>
        </w:rPr>
        <w:t xml:space="preserve">הנאשמים הבינו היטב את מעשיהם והייתה להם שליטה מלאה על התנהלותם. </w:t>
      </w:r>
      <w:r>
        <w:rPr>
          <w:rtl/>
        </w:rPr>
        <w:t>מהמסרונים עולה כי שני הנאשמים נטלו חלק בקשר וכי סוכם כי נאשם 1 יביא את הנשק ונאשם 2 יביא את הקונה, אך מכל אשר הובא בפניי עולה, כי נאשם 1 היה "הרוח החיה" מאחורי ביצוע העבירה וכי נאשם 2 נגרר אחריו.</w:t>
      </w:r>
    </w:p>
    <w:p w14:paraId="223D2A74" w14:textId="77777777" w:rsidR="00815DED" w:rsidRDefault="00815DED" w:rsidP="00815DED">
      <w:pPr>
        <w:spacing w:line="360" w:lineRule="auto"/>
        <w:jc w:val="both"/>
        <w:rPr>
          <w:rFonts w:ascii="David" w:hAnsi="David"/>
          <w:rtl/>
        </w:rPr>
      </w:pPr>
    </w:p>
    <w:p w14:paraId="1F927A9C" w14:textId="77777777" w:rsidR="00815DED" w:rsidRDefault="00815DED" w:rsidP="00815DED">
      <w:pPr>
        <w:spacing w:after="160" w:line="360" w:lineRule="auto"/>
        <w:contextualSpacing/>
        <w:jc w:val="both"/>
        <w:rPr>
          <w:rFonts w:ascii="Calibri" w:hAnsi="Calibri"/>
          <w:rtl/>
        </w:rPr>
      </w:pPr>
      <w:r>
        <w:rPr>
          <w:rFonts w:ascii="David" w:hAnsi="David"/>
          <w:rtl/>
        </w:rPr>
        <w:t>37.</w:t>
      </w:r>
      <w:r>
        <w:rPr>
          <w:rFonts w:ascii="David" w:hAnsi="David"/>
          <w:rtl/>
        </w:rPr>
        <w:tab/>
        <w:t xml:space="preserve">בהתייחס לנזק שנגרם כתוצאה ממעשי הנאשמים, </w:t>
      </w:r>
      <w:r>
        <w:rPr>
          <w:rFonts w:ascii="Calibri" w:hAnsi="Calibri"/>
          <w:rtl/>
        </w:rPr>
        <w:t xml:space="preserve">יש לציין, כי על אף שלא הוכחה עסקת נשק או ניסיון לסחר בנשק ולא התרחשה פגיעה פיזית באנשים, יש להביא בחשבון את הנזק הפוטנציאלי אשר טמון בעצם קשירת קשר לביצוע עבירה חמורה כסחר בנשק.  </w:t>
      </w:r>
    </w:p>
    <w:p w14:paraId="51767DAD" w14:textId="77777777" w:rsidR="00815DED" w:rsidRDefault="00815DED" w:rsidP="00815DED">
      <w:pPr>
        <w:spacing w:after="160" w:line="360" w:lineRule="auto"/>
        <w:ind w:left="570" w:hanging="570"/>
        <w:contextualSpacing/>
        <w:jc w:val="both"/>
        <w:rPr>
          <w:rFonts w:ascii="Calibri" w:hAnsi="Calibri"/>
          <w:rtl/>
        </w:rPr>
      </w:pPr>
    </w:p>
    <w:p w14:paraId="49C028DE" w14:textId="77777777" w:rsidR="00815DED" w:rsidRDefault="00815DED" w:rsidP="00815DED">
      <w:pPr>
        <w:spacing w:line="360" w:lineRule="auto"/>
        <w:jc w:val="both"/>
        <w:rPr>
          <w:rFonts w:ascii="David" w:hAnsi="David"/>
          <w:rtl/>
        </w:rPr>
      </w:pPr>
      <w:r>
        <w:rPr>
          <w:rFonts w:ascii="David" w:hAnsi="David"/>
          <w:rtl/>
        </w:rPr>
        <w:t>38.</w:t>
      </w:r>
      <w:r>
        <w:rPr>
          <w:rFonts w:ascii="David" w:hAnsi="David"/>
          <w:rtl/>
        </w:rPr>
        <w:tab/>
        <w:t>בהתייחס למדיניות הענישה הנוהגת אומר, כי הפסיקה מציינת את החשיבות הרבה בענישה מחמירה ומרתיעה בעבירות בנשק וזאת במטרה לעקור מן השורש את התופעה של עסקאות בנשק, המבוצעות ללא כל מורא מהחוק. קיימת סכנה ממשית שעסקאות שכאלו, הנעשות ללא כל בקרה ובמחשכים, עשויות לגלגל את הנשק לידיים מסוכנות ולהביא לפגיעה בחיי אדם או בגופם.</w:t>
      </w:r>
    </w:p>
    <w:p w14:paraId="6BECB060" w14:textId="77777777" w:rsidR="00815DED" w:rsidRDefault="00815DED" w:rsidP="00815DED">
      <w:pPr>
        <w:spacing w:line="360" w:lineRule="auto"/>
        <w:ind w:left="720" w:hanging="720"/>
        <w:jc w:val="both"/>
        <w:rPr>
          <w:rFonts w:ascii="David" w:hAnsi="David"/>
          <w:rtl/>
        </w:rPr>
      </w:pPr>
    </w:p>
    <w:p w14:paraId="72374A02" w14:textId="77777777" w:rsidR="00815DED" w:rsidRDefault="00815DED" w:rsidP="00815DED">
      <w:pPr>
        <w:spacing w:after="160" w:line="360" w:lineRule="auto"/>
        <w:contextualSpacing/>
        <w:jc w:val="both"/>
        <w:rPr>
          <w:rFonts w:ascii="Calibri" w:hAnsi="Calibri"/>
          <w:rtl/>
        </w:rPr>
      </w:pPr>
      <w:r>
        <w:rPr>
          <w:rFonts w:ascii="David" w:hAnsi="David"/>
          <w:rtl/>
        </w:rPr>
        <w:t>39.</w:t>
      </w:r>
      <w:r>
        <w:rPr>
          <w:rFonts w:ascii="David" w:hAnsi="David"/>
          <w:rtl/>
        </w:rPr>
        <w:tab/>
        <w:t>חומרת העבירה אף משתקפת מהענישה אותה קבע המחוקק בצד העבירה של קשירת קשר לפשע - 7 שנות מאסר</w:t>
      </w:r>
      <w:r>
        <w:rPr>
          <w:rFonts w:ascii="Calibri" w:hAnsi="Calibri"/>
          <w:rtl/>
        </w:rPr>
        <w:t>. בפסיקה ניתן למצוא מנעד רחב של ענישה בעבירות נשק (כמו גם בעבירות אחרות) אולם ניכרת מדיניות של גזירת עונשי מאסר בפועל בעבירות מסוג זה, גם כאשר מדובר "רק" בקשירת קשר, שהיא החוליה הראשונה בעבירה של סחר בנשק.</w:t>
      </w:r>
    </w:p>
    <w:p w14:paraId="4E1F27BC" w14:textId="77777777" w:rsidR="00815DED" w:rsidRDefault="00815DED" w:rsidP="00815DED">
      <w:pPr>
        <w:spacing w:after="160" w:line="360" w:lineRule="auto"/>
        <w:ind w:left="570"/>
        <w:contextualSpacing/>
        <w:jc w:val="both"/>
        <w:rPr>
          <w:rFonts w:ascii="Calibri" w:hAnsi="Calibri"/>
          <w:rtl/>
        </w:rPr>
      </w:pPr>
    </w:p>
    <w:p w14:paraId="1C443EA0" w14:textId="77777777" w:rsidR="00815DED" w:rsidRDefault="00815DED" w:rsidP="00815DED">
      <w:pPr>
        <w:spacing w:after="160" w:line="360" w:lineRule="auto"/>
        <w:ind w:firstLine="570"/>
        <w:contextualSpacing/>
        <w:jc w:val="both"/>
        <w:rPr>
          <w:rFonts w:ascii="David" w:hAnsi="David"/>
          <w:rtl/>
        </w:rPr>
      </w:pPr>
      <w:r>
        <w:rPr>
          <w:rFonts w:ascii="Calibri" w:hAnsi="Calibri"/>
          <w:rtl/>
        </w:rPr>
        <w:t>ב</w:t>
      </w:r>
      <w:hyperlink r:id="rId20" w:history="1">
        <w:r w:rsidR="0060220A" w:rsidRPr="0060220A">
          <w:rPr>
            <w:rFonts w:ascii="Calibri" w:hAnsi="Calibri" w:hint="eastAsia"/>
            <w:color w:val="0000FF"/>
            <w:u w:val="single"/>
            <w:rtl/>
          </w:rPr>
          <w:t>ע</w:t>
        </w:r>
        <w:r w:rsidR="0060220A" w:rsidRPr="0060220A">
          <w:rPr>
            <w:rFonts w:ascii="Calibri" w:hAnsi="Calibri"/>
            <w:color w:val="0000FF"/>
            <w:u w:val="single"/>
            <w:rtl/>
          </w:rPr>
          <w:t>"</w:t>
        </w:r>
        <w:r w:rsidR="0060220A" w:rsidRPr="0060220A">
          <w:rPr>
            <w:rFonts w:ascii="Calibri" w:hAnsi="Calibri" w:hint="eastAsia"/>
            <w:color w:val="0000FF"/>
            <w:u w:val="single"/>
            <w:rtl/>
          </w:rPr>
          <w:t>פ</w:t>
        </w:r>
        <w:r w:rsidR="0060220A" w:rsidRPr="0060220A">
          <w:rPr>
            <w:rFonts w:ascii="Calibri" w:hAnsi="Calibri"/>
            <w:color w:val="0000FF"/>
            <w:u w:val="single"/>
            <w:rtl/>
          </w:rPr>
          <w:t xml:space="preserve"> 6371/11</w:t>
        </w:r>
      </w:hyperlink>
      <w:r>
        <w:rPr>
          <w:rFonts w:ascii="Calibri" w:hAnsi="Calibri"/>
          <w:rtl/>
        </w:rPr>
        <w:t xml:space="preserve"> </w:t>
      </w:r>
      <w:r>
        <w:rPr>
          <w:rFonts w:ascii="Miriam" w:hAnsi="Miriam" w:cs="Miriam"/>
          <w:rtl/>
        </w:rPr>
        <w:t>מדינת ישראל נ' אנס הייבי</w:t>
      </w:r>
      <w:r>
        <w:rPr>
          <w:rFonts w:ascii="Calibri" w:hAnsi="Calibri"/>
          <w:rtl/>
        </w:rPr>
        <w:t xml:space="preserve">, פסקה כ"ג, (18.12.2011) נאמר כי: </w:t>
      </w:r>
      <w:r>
        <w:rPr>
          <w:rFonts w:ascii="David" w:hAnsi="David"/>
          <w:rtl/>
        </w:rPr>
        <w:t>"</w:t>
      </w:r>
      <w:r>
        <w:rPr>
          <w:rFonts w:ascii="Miriam" w:hAnsi="Miriam" w:cs="Miriam"/>
          <w:rtl/>
        </w:rPr>
        <w:t>עבירות בנשק חומרתן מכופלת, הן בעצם המעבר על החוק והן ובמוטעם במאטריה הספציפית; נשק שאינו כדין, קרי - ברישיון כדבעי, מועד לפורענות. זכורה האמירה, אם ראית במחזה תיאטרון אקדח במערכה הראשונה, סופו שיירה במערכה השנייה או השלישית. הימצאו של נשק בידיים לא נכונות, עלול להביא בסופו של יום אף לקיפוד חיי אדם ר"ל. ב</w:t>
      </w:r>
      <w:hyperlink r:id="rId21" w:history="1">
        <w:r w:rsidR="0060220A" w:rsidRPr="0060220A">
          <w:rPr>
            <w:rFonts w:ascii="Miriam" w:hAnsi="Miriam" w:cs="Miriam"/>
            <w:color w:val="0000FF"/>
            <w:u w:val="single"/>
            <w:rtl/>
          </w:rPr>
          <w:t>ע"פ 2251/11</w:t>
        </w:r>
      </w:hyperlink>
      <w:r>
        <w:rPr>
          <w:rFonts w:ascii="Miriam" w:hAnsi="Miriam" w:cs="Miriam"/>
          <w:rtl/>
        </w:rPr>
        <w:t xml:space="preserve"> נפאע נ' מדינת ישראל ([פורסם בנבו], 4.12.11) שעסק בפרשה זו עצמה לגבי נאשם אחר, ציינה השופטת חיות (פסקה 5), כי 'סחר בלתי חוקי בנשק סולל את הדרך לפעילות אלימה ובלתי חוקית, והדבר חמור שבעתיים במציאות הישראלית בה קיים חשש תמיד כי נשק המוחזק באופן בלתי חוקי יתגלגל לא רק לידיים עברייניות, עניין חמור לעצמו, כי אם לידיהם של אלה המבקשים להוציא אל הפועל פעילות חבלנית עוינת </w:t>
      </w:r>
      <w:r>
        <w:rPr>
          <w:rFonts w:ascii="David" w:hAnsi="David"/>
          <w:rtl/>
        </w:rPr>
        <w:t>[...]</w:t>
      </w:r>
      <w:r>
        <w:rPr>
          <w:rFonts w:ascii="Miriam" w:hAnsi="Miriam" w:cs="Miriam"/>
          <w:rtl/>
        </w:rPr>
        <w:t xml:space="preserve"> על כן, כל מי שהופך עצמו </w:t>
      </w:r>
      <w:r>
        <w:rPr>
          <w:rFonts w:ascii="Miriam" w:hAnsi="Miriam" w:cs="Miriam"/>
          <w:b/>
          <w:bCs/>
          <w:u w:val="single"/>
          <w:rtl/>
        </w:rPr>
        <w:t>לחוליה</w:t>
      </w:r>
      <w:r>
        <w:rPr>
          <w:rFonts w:ascii="Miriam" w:hAnsi="Miriam" w:cs="Miriam"/>
          <w:rtl/>
        </w:rPr>
        <w:t xml:space="preserve"> במנגנון זה של סחר בלתי חוקי בנשק, מוחזק כמי שמבין ויודע אל נכון מה עלולות להיות התוצאות הנובעות ממעשיו ומהן הסכנות הנשקפות ממעשים אלה לחברה כולה</w:t>
      </w:r>
      <w:r>
        <w:rPr>
          <w:rFonts w:ascii="David" w:hAnsi="David"/>
          <w:rtl/>
        </w:rPr>
        <w:t>"</w:t>
      </w:r>
      <w:r>
        <w:rPr>
          <w:rFonts w:ascii="Miriam" w:hAnsi="Miriam" w:cs="Miriam"/>
          <w:rtl/>
        </w:rPr>
        <w:t>; וראו גם האסמכתאות שם. דברים אלה, שאנו מצטרפים אליהם, ודומיהם שנכתבו לאורך השנים, משקפים את מדיניות הענישה המבקשת להחמיר עם העבריינים כדי להגן על הציבור באמצעות הרתעה וגמול, ולתרום את חלקם של בתי המשפט במאבק בכך</w:t>
      </w:r>
      <w:r>
        <w:rPr>
          <w:rFonts w:ascii="David" w:hAnsi="David"/>
          <w:rtl/>
        </w:rPr>
        <w:t>" (ההדגשה אינה במקור). קשירת קשר גם היא חוליה במנגנון של סחר בנשק, גם אם חוליה ראשונית בלבד.</w:t>
      </w:r>
    </w:p>
    <w:p w14:paraId="0123461D" w14:textId="77777777" w:rsidR="00815DED" w:rsidRDefault="00815DED" w:rsidP="00815DED">
      <w:pPr>
        <w:spacing w:after="160" w:line="360" w:lineRule="auto"/>
        <w:ind w:left="570"/>
        <w:contextualSpacing/>
        <w:jc w:val="both"/>
        <w:rPr>
          <w:rFonts w:ascii="Calibri" w:hAnsi="Calibri"/>
          <w:rtl/>
        </w:rPr>
      </w:pPr>
    </w:p>
    <w:p w14:paraId="41456CAD" w14:textId="77777777" w:rsidR="00815DED" w:rsidRDefault="00815DED" w:rsidP="00815DED">
      <w:pPr>
        <w:spacing w:after="160" w:line="360" w:lineRule="auto"/>
        <w:ind w:firstLine="570"/>
        <w:contextualSpacing/>
        <w:jc w:val="both"/>
        <w:rPr>
          <w:rFonts w:ascii="Calibri" w:hAnsi="Calibri"/>
          <w:rtl/>
        </w:rPr>
      </w:pPr>
      <w:r>
        <w:rPr>
          <w:rFonts w:ascii="Calibri" w:hAnsi="Calibri"/>
          <w:rtl/>
        </w:rPr>
        <w:t>ב</w:t>
      </w:r>
      <w:hyperlink r:id="rId22" w:history="1">
        <w:r w:rsidR="0060220A" w:rsidRPr="0060220A">
          <w:rPr>
            <w:rFonts w:ascii="Calibri" w:hAnsi="Calibri" w:hint="eastAsia"/>
            <w:color w:val="0000FF"/>
            <w:u w:val="single"/>
            <w:rtl/>
          </w:rPr>
          <w:t>ע</w:t>
        </w:r>
        <w:r w:rsidR="0060220A" w:rsidRPr="0060220A">
          <w:rPr>
            <w:rFonts w:ascii="Calibri" w:hAnsi="Calibri"/>
            <w:color w:val="0000FF"/>
            <w:u w:val="single"/>
            <w:rtl/>
          </w:rPr>
          <w:t>"</w:t>
        </w:r>
        <w:r w:rsidR="0060220A" w:rsidRPr="0060220A">
          <w:rPr>
            <w:rFonts w:ascii="Calibri" w:hAnsi="Calibri" w:hint="eastAsia"/>
            <w:color w:val="0000FF"/>
            <w:u w:val="single"/>
            <w:rtl/>
          </w:rPr>
          <w:t>פ</w:t>
        </w:r>
        <w:r w:rsidR="0060220A" w:rsidRPr="0060220A">
          <w:rPr>
            <w:rFonts w:ascii="Calibri" w:hAnsi="Calibri"/>
            <w:color w:val="0000FF"/>
            <w:u w:val="single"/>
            <w:rtl/>
          </w:rPr>
          <w:t xml:space="preserve"> 4460/11</w:t>
        </w:r>
      </w:hyperlink>
      <w:r>
        <w:rPr>
          <w:rFonts w:ascii="Calibri" w:hAnsi="Calibri"/>
          <w:rtl/>
        </w:rPr>
        <w:t xml:space="preserve"> </w:t>
      </w:r>
      <w:r>
        <w:rPr>
          <w:rFonts w:ascii="Miriam" w:hAnsi="Miriam" w:cs="Miriam"/>
          <w:rtl/>
        </w:rPr>
        <w:t>מדינת ישראל נ' פאיד,</w:t>
      </w:r>
      <w:r>
        <w:rPr>
          <w:rFonts w:ascii="Calibri" w:hAnsi="Calibri"/>
          <w:rtl/>
        </w:rPr>
        <w:t xml:space="preserve"> פסקה 9 (28.11.2011) (המתייחס אמנם להחזקת נשק) נאמר כי: "</w:t>
      </w:r>
      <w:r>
        <w:rPr>
          <w:rFonts w:ascii="Miriam" w:hAnsi="Miriam" w:cs="Miriam"/>
          <w:rtl/>
        </w:rPr>
        <w:t>אכן נראה לנו כי הגיעה השעה להחמיר בעבירות של החזקת נשק ושימוש בו. נשק המוחזק שלא כדין עלול למצוא דרכו לידים עוינות ועלול גם לשמש למטרות פליליות</w:t>
      </w:r>
      <w:r>
        <w:rPr>
          <w:rFonts w:ascii="David" w:hAnsi="David"/>
          <w:rtl/>
        </w:rPr>
        <w:t>".</w:t>
      </w:r>
      <w:r>
        <w:rPr>
          <w:rFonts w:ascii="Miriam" w:hAnsi="Miriam" w:cs="Miriam"/>
          <w:rtl/>
        </w:rPr>
        <w:t xml:space="preserve"> </w:t>
      </w:r>
      <w:r>
        <w:rPr>
          <w:rFonts w:ascii="Calibri" w:hAnsi="Calibri"/>
          <w:rtl/>
        </w:rPr>
        <w:t xml:space="preserve">וראו גם: </w:t>
      </w:r>
      <w:hyperlink r:id="rId23" w:history="1">
        <w:r w:rsidR="0060220A" w:rsidRPr="0060220A">
          <w:rPr>
            <w:rFonts w:ascii="Calibri" w:hAnsi="Calibri" w:hint="eastAsia"/>
            <w:color w:val="0000FF"/>
            <w:u w:val="single"/>
            <w:rtl/>
          </w:rPr>
          <w:t>ע</w:t>
        </w:r>
        <w:r w:rsidR="0060220A" w:rsidRPr="0060220A">
          <w:rPr>
            <w:rFonts w:ascii="Calibri" w:hAnsi="Calibri"/>
            <w:color w:val="0000FF"/>
            <w:u w:val="single"/>
            <w:rtl/>
          </w:rPr>
          <w:t>"</w:t>
        </w:r>
        <w:r w:rsidR="0060220A" w:rsidRPr="0060220A">
          <w:rPr>
            <w:rFonts w:ascii="Calibri" w:hAnsi="Calibri" w:hint="eastAsia"/>
            <w:color w:val="0000FF"/>
            <w:u w:val="single"/>
            <w:rtl/>
          </w:rPr>
          <w:t>פ</w:t>
        </w:r>
        <w:r w:rsidR="0060220A" w:rsidRPr="0060220A">
          <w:rPr>
            <w:rFonts w:ascii="Calibri" w:hAnsi="Calibri"/>
            <w:color w:val="0000FF"/>
            <w:u w:val="single"/>
            <w:rtl/>
          </w:rPr>
          <w:t xml:space="preserve"> 3138/11</w:t>
        </w:r>
      </w:hyperlink>
      <w:r>
        <w:rPr>
          <w:rFonts w:ascii="Calibri" w:hAnsi="Calibri"/>
          <w:rtl/>
        </w:rPr>
        <w:t xml:space="preserve"> </w:t>
      </w:r>
      <w:r>
        <w:rPr>
          <w:rFonts w:ascii="Miriam" w:hAnsi="Miriam" w:cs="Miriam"/>
          <w:rtl/>
        </w:rPr>
        <w:t>עפיף הייבי נ' מדינת ישראל</w:t>
      </w:r>
      <w:r>
        <w:rPr>
          <w:rFonts w:ascii="Calibri" w:hAnsi="Calibri"/>
          <w:rtl/>
        </w:rPr>
        <w:t xml:space="preserve"> (מיום 06.03.2012) שם נאמר</w:t>
      </w:r>
      <w:r>
        <w:rPr>
          <w:rFonts w:ascii="David" w:hAnsi="David"/>
          <w:rtl/>
        </w:rPr>
        <w:t>: "</w:t>
      </w:r>
      <w:r>
        <w:rPr>
          <w:rFonts w:ascii="Miriam" w:hAnsi="Miriam" w:cs="Miriam"/>
          <w:rtl/>
        </w:rPr>
        <w:t>אין ערוך למסוכנות הסחר הבלתי חוקי בנשק. נשק שכזה עושה את דרכו בדרך לא דרך לידיים עברייניות, לגורמים עויינים, לשימוש פלילי ולפעילות טרור. סכנת נפשות ליחידים ולציבור. בשיקולי הענישה בכגון דא יש לבכּר את האינטרס החברתי הכולל, על פני נסיבותיו האישיות של נאשם</w:t>
      </w:r>
      <w:r>
        <w:rPr>
          <w:rFonts w:ascii="David" w:hAnsi="David"/>
          <w:rtl/>
        </w:rPr>
        <w:t>"</w:t>
      </w:r>
      <w:r>
        <w:rPr>
          <w:rFonts w:ascii="Miriam" w:hAnsi="Miriam" w:cs="Miriam"/>
          <w:rtl/>
        </w:rPr>
        <w:t xml:space="preserve">. </w:t>
      </w:r>
    </w:p>
    <w:p w14:paraId="1F66EDC9" w14:textId="77777777" w:rsidR="00815DED" w:rsidRDefault="00815DED" w:rsidP="00815DED">
      <w:pPr>
        <w:spacing w:after="160" w:line="360" w:lineRule="auto"/>
        <w:ind w:firstLine="570"/>
        <w:contextualSpacing/>
        <w:jc w:val="both"/>
        <w:rPr>
          <w:rFonts w:ascii="Calibri" w:hAnsi="Calibri"/>
          <w:rtl/>
        </w:rPr>
      </w:pPr>
    </w:p>
    <w:p w14:paraId="4ABCFB28" w14:textId="77777777" w:rsidR="00815DED" w:rsidRDefault="00815DED" w:rsidP="00815DED">
      <w:pPr>
        <w:spacing w:after="160" w:line="360" w:lineRule="auto"/>
        <w:contextualSpacing/>
        <w:jc w:val="both"/>
        <w:rPr>
          <w:rFonts w:ascii="Calibri" w:hAnsi="Calibri"/>
          <w:rtl/>
        </w:rPr>
      </w:pPr>
      <w:r>
        <w:rPr>
          <w:rFonts w:ascii="Calibri" w:hAnsi="Calibri"/>
          <w:rtl/>
        </w:rPr>
        <w:t>40.</w:t>
      </w:r>
      <w:r>
        <w:rPr>
          <w:rFonts w:ascii="Calibri" w:hAnsi="Calibri"/>
          <w:rtl/>
        </w:rPr>
        <w:tab/>
        <w:t xml:space="preserve">בהתייחס לעבירת </w:t>
      </w:r>
      <w:r>
        <w:rPr>
          <w:rFonts w:ascii="Calibri" w:hAnsi="Calibri"/>
          <w:b/>
          <w:bCs/>
          <w:u w:val="single"/>
          <w:rtl/>
        </w:rPr>
        <w:t>קשירת קשר</w:t>
      </w:r>
      <w:r>
        <w:rPr>
          <w:rFonts w:ascii="Calibri" w:hAnsi="Calibri"/>
          <w:u w:val="single"/>
          <w:rtl/>
        </w:rPr>
        <w:t xml:space="preserve"> לסחר בנשק</w:t>
      </w:r>
      <w:r>
        <w:rPr>
          <w:rFonts w:ascii="Calibri" w:hAnsi="Calibri"/>
          <w:rtl/>
        </w:rPr>
        <w:t>, נקבע ב</w:t>
      </w:r>
      <w:hyperlink r:id="rId24" w:history="1">
        <w:r w:rsidR="0060220A" w:rsidRPr="0060220A">
          <w:rPr>
            <w:rFonts w:ascii="Calibri" w:hAnsi="Calibri" w:hint="eastAsia"/>
            <w:color w:val="0000FF"/>
            <w:u w:val="single"/>
            <w:rtl/>
          </w:rPr>
          <w:t>ת</w:t>
        </w:r>
        <w:r w:rsidR="0060220A" w:rsidRPr="0060220A">
          <w:rPr>
            <w:rFonts w:ascii="Calibri" w:hAnsi="Calibri"/>
            <w:color w:val="0000FF"/>
            <w:u w:val="single"/>
            <w:rtl/>
          </w:rPr>
          <w:t>"</w:t>
        </w:r>
        <w:r w:rsidR="0060220A" w:rsidRPr="0060220A">
          <w:rPr>
            <w:rFonts w:ascii="Calibri" w:hAnsi="Calibri" w:hint="eastAsia"/>
            <w:color w:val="0000FF"/>
            <w:u w:val="single"/>
            <w:rtl/>
          </w:rPr>
          <w:t>פ</w:t>
        </w:r>
        <w:r w:rsidR="0060220A" w:rsidRPr="0060220A">
          <w:rPr>
            <w:rFonts w:ascii="Calibri" w:hAnsi="Calibri"/>
            <w:color w:val="0000FF"/>
            <w:u w:val="single"/>
            <w:rtl/>
          </w:rPr>
          <w:t xml:space="preserve"> 33077-12-11</w:t>
        </w:r>
      </w:hyperlink>
      <w:r>
        <w:rPr>
          <w:rFonts w:ascii="Calibri" w:hAnsi="Calibri"/>
          <w:rtl/>
        </w:rPr>
        <w:t xml:space="preserve"> </w:t>
      </w:r>
      <w:r>
        <w:rPr>
          <w:rFonts w:ascii="Miriam" w:hAnsi="Miriam" w:cs="Miriam"/>
          <w:rtl/>
        </w:rPr>
        <w:t>מדינת ישראל נ' אחמד כאמל</w:t>
      </w:r>
      <w:r>
        <w:rPr>
          <w:rFonts w:ascii="Calibri" w:hAnsi="Calibri"/>
          <w:rtl/>
        </w:rPr>
        <w:t xml:space="preserve"> (מיום 03.09.2012) שם הורשע נאשם, </w:t>
      </w:r>
      <w:r>
        <w:rPr>
          <w:rFonts w:ascii="Calibri" w:hAnsi="Calibri"/>
          <w:u w:val="single"/>
          <w:rtl/>
        </w:rPr>
        <w:t>במסגרת הסדר טיעון</w:t>
      </w:r>
      <w:r>
        <w:rPr>
          <w:rFonts w:ascii="Calibri" w:hAnsi="Calibri"/>
          <w:rtl/>
        </w:rPr>
        <w:t xml:space="preserve"> בעבירה של קשירת קשר לביצוע פשע, שעניינו מכירת נשק לאחר שהוכח שהוא סיכם עם אדם אחר למכור לו נשק מסוג </w:t>
      </w:r>
      <w:r>
        <w:rPr>
          <w:rFonts w:ascii="Calibri" w:hAnsi="Calibri"/>
          <w:b/>
          <w:bCs/>
          <w:u w:val="single"/>
          <w:rtl/>
        </w:rPr>
        <w:t>אקדח</w:t>
      </w:r>
      <w:r>
        <w:rPr>
          <w:rFonts w:ascii="Calibri" w:hAnsi="Calibri"/>
          <w:rtl/>
        </w:rPr>
        <w:t xml:space="preserve">. בית המשפט השית עליו </w:t>
      </w:r>
      <w:r>
        <w:rPr>
          <w:rFonts w:ascii="Calibri" w:hAnsi="Calibri"/>
          <w:b/>
          <w:bCs/>
          <w:u w:val="single"/>
          <w:rtl/>
        </w:rPr>
        <w:t>עונש של 8 חודשי מאסר בפועל, מאסר מותנה של 26 חודשים, וקנס</w:t>
      </w:r>
      <w:r>
        <w:rPr>
          <w:rFonts w:ascii="Calibri" w:hAnsi="Calibri"/>
          <w:rtl/>
        </w:rPr>
        <w:t>, תוך שבית המשפט התחשב בגילו הצעיר של הנאשם ובכך שלא היו לו הרשעות קודמות. ערעור שהגיש הנאשם לבית המשפט העליון (</w:t>
      </w:r>
      <w:hyperlink r:id="rId25" w:history="1">
        <w:r w:rsidR="0060220A" w:rsidRPr="0060220A">
          <w:rPr>
            <w:rFonts w:ascii="Calibri" w:hAnsi="Calibri" w:hint="eastAsia"/>
            <w:color w:val="0000FF"/>
            <w:u w:val="single"/>
            <w:rtl/>
          </w:rPr>
          <w:t>ע</w:t>
        </w:r>
        <w:r w:rsidR="0060220A" w:rsidRPr="0060220A">
          <w:rPr>
            <w:rFonts w:ascii="Calibri" w:hAnsi="Calibri"/>
            <w:color w:val="0000FF"/>
            <w:u w:val="single"/>
            <w:rtl/>
          </w:rPr>
          <w:t>"</w:t>
        </w:r>
        <w:r w:rsidR="0060220A" w:rsidRPr="0060220A">
          <w:rPr>
            <w:rFonts w:ascii="Calibri" w:hAnsi="Calibri" w:hint="eastAsia"/>
            <w:color w:val="0000FF"/>
            <w:u w:val="single"/>
            <w:rtl/>
          </w:rPr>
          <w:t>פ</w:t>
        </w:r>
        <w:r w:rsidR="0060220A" w:rsidRPr="0060220A">
          <w:rPr>
            <w:rFonts w:ascii="Calibri" w:hAnsi="Calibri"/>
            <w:color w:val="0000FF"/>
            <w:u w:val="single"/>
            <w:rtl/>
          </w:rPr>
          <w:t xml:space="preserve"> 6985/12</w:t>
        </w:r>
      </w:hyperlink>
      <w:r>
        <w:rPr>
          <w:rFonts w:ascii="Calibri" w:hAnsi="Calibri"/>
          <w:rtl/>
        </w:rPr>
        <w:t xml:space="preserve"> </w:t>
      </w:r>
      <w:r>
        <w:rPr>
          <w:rFonts w:ascii="Miriam" w:hAnsi="Miriam" w:cs="Miriam"/>
          <w:rtl/>
        </w:rPr>
        <w:t>אחמד כמאל נפאפעה נ' מדינת ישראל</w:t>
      </w:r>
      <w:r>
        <w:rPr>
          <w:rFonts w:ascii="Calibri" w:hAnsi="Calibri"/>
          <w:rtl/>
        </w:rPr>
        <w:t xml:space="preserve"> (17.3.2013) (כבוד השופט א' רובינשטיין) נדחה, תוך שנקבע, כי </w:t>
      </w:r>
      <w:r>
        <w:rPr>
          <w:rFonts w:ascii="David" w:hAnsi="David"/>
          <w:rtl/>
        </w:rPr>
        <w:t>"</w:t>
      </w:r>
      <w:r>
        <w:rPr>
          <w:rFonts w:ascii="Miriam" w:hAnsi="Miriam" w:cs="Miriam"/>
          <w:rtl/>
        </w:rPr>
        <w:t>שותפים אנו לגישה המחמירה לעניין עבירות נשק שנקט בית משפט זה, במיוחד בתקופה האחרונה, ובמסר הכולל ענישה מכאיבה שעיקרה שיקולי הרתעה וגמול</w:t>
      </w:r>
      <w:r>
        <w:rPr>
          <w:rtl/>
        </w:rPr>
        <w:t>"</w:t>
      </w:r>
      <w:r>
        <w:rPr>
          <w:rFonts w:ascii="Calibri" w:hAnsi="Calibri"/>
          <w:rtl/>
        </w:rPr>
        <w:t>.</w:t>
      </w:r>
    </w:p>
    <w:p w14:paraId="4EFBFDC7" w14:textId="77777777" w:rsidR="00815DED" w:rsidRDefault="00815DED" w:rsidP="00815DED">
      <w:pPr>
        <w:spacing w:after="160" w:line="360" w:lineRule="auto"/>
        <w:ind w:left="570"/>
        <w:contextualSpacing/>
        <w:rPr>
          <w:rFonts w:ascii="Calibri" w:hAnsi="Calibri"/>
          <w:rtl/>
        </w:rPr>
      </w:pPr>
    </w:p>
    <w:p w14:paraId="3443A9BD" w14:textId="77777777" w:rsidR="00815DED" w:rsidRDefault="00815DED" w:rsidP="00815DED">
      <w:pPr>
        <w:spacing w:after="160" w:line="360" w:lineRule="auto"/>
        <w:ind w:firstLine="570"/>
        <w:contextualSpacing/>
        <w:jc w:val="both"/>
        <w:rPr>
          <w:rFonts w:ascii="Calibri" w:hAnsi="Calibri"/>
          <w:b/>
          <w:bCs/>
          <w:u w:val="single"/>
          <w:rtl/>
        </w:rPr>
      </w:pPr>
      <w:r>
        <w:rPr>
          <w:rtl/>
        </w:rPr>
        <w:t>ב</w:t>
      </w:r>
      <w:hyperlink r:id="rId26" w:history="1">
        <w:r w:rsidR="0060220A" w:rsidRPr="0060220A">
          <w:rPr>
            <w:color w:val="0000FF"/>
            <w:u w:val="single"/>
            <w:rtl/>
          </w:rPr>
          <w:t>ת"פ 388-05-10</w:t>
        </w:r>
      </w:hyperlink>
      <w:r>
        <w:rPr>
          <w:rtl/>
        </w:rPr>
        <w:t xml:space="preserve"> </w:t>
      </w:r>
      <w:r>
        <w:rPr>
          <w:rFonts w:ascii="Miriam" w:hAnsi="Miriam" w:cs="Miriam"/>
          <w:rtl/>
        </w:rPr>
        <w:t>מדינת ישראל נ' חאג'</w:t>
      </w:r>
      <w:r>
        <w:rPr>
          <w:rtl/>
        </w:rPr>
        <w:t xml:space="preserve"> (מיום 20.</w:t>
      </w:r>
      <w:r>
        <w:rPr>
          <w:rFonts w:ascii="Calibri" w:hAnsi="Calibri"/>
          <w:rtl/>
        </w:rPr>
        <w:t xml:space="preserve">11.2011) הורשע הנאשם </w:t>
      </w:r>
      <w:r>
        <w:rPr>
          <w:rFonts w:ascii="Calibri" w:hAnsi="Calibri"/>
          <w:u w:val="single"/>
          <w:rtl/>
        </w:rPr>
        <w:t>על-פי הודאתו</w:t>
      </w:r>
      <w:r>
        <w:rPr>
          <w:rFonts w:ascii="Calibri" w:hAnsi="Calibri"/>
          <w:rtl/>
        </w:rPr>
        <w:t xml:space="preserve"> </w:t>
      </w:r>
      <w:r>
        <w:rPr>
          <w:b/>
          <w:bCs/>
          <w:rtl/>
        </w:rPr>
        <w:t>בקשירת קשר לפשע ובניסיון לסיוע לסחר בנשק</w:t>
      </w:r>
      <w:r>
        <w:rPr>
          <w:rtl/>
        </w:rPr>
        <w:t xml:space="preserve"> שלא כדין.</w:t>
      </w:r>
      <w:r>
        <w:rPr>
          <w:rFonts w:ascii="Calibri" w:hAnsi="Calibri"/>
          <w:rtl/>
        </w:rPr>
        <w:t xml:space="preserve"> הנאשם נפגש עם סוכן משטרה, וסיכם עמו למכור לו רובה </w:t>
      </w:r>
      <w:r>
        <w:rPr>
          <w:rFonts w:ascii="Calibri" w:hAnsi="Calibri"/>
        </w:rPr>
        <w:t>M-16</w:t>
      </w:r>
      <w:r>
        <w:rPr>
          <w:rFonts w:ascii="Calibri" w:hAnsi="Calibri"/>
          <w:rtl/>
        </w:rPr>
        <w:t xml:space="preserve"> </w:t>
      </w:r>
      <w:r>
        <w:rPr>
          <w:rFonts w:ascii="Calibri" w:hAnsi="Calibri" w:hint="cs"/>
          <w:rtl/>
        </w:rPr>
        <w:t xml:space="preserve">תמורת 70,000 ₪, וכן שוחח אתו על אפשרות למכור לו כלי נשק נוספים. בית המשפט התחשב בכך, שהרשעותיו הקודמות של הנאשם לא כללו עבירות נשק ובמעצר הבית הממושך בו שהה, והשית עליו </w:t>
      </w:r>
      <w:r>
        <w:rPr>
          <w:rFonts w:ascii="Calibri" w:hAnsi="Calibri" w:hint="cs"/>
          <w:b/>
          <w:bCs/>
          <w:u w:val="single"/>
          <w:rtl/>
        </w:rPr>
        <w:t>עונש של 9 חודשי מאסר בפועל, מאסר מותנה, וקנס</w:t>
      </w:r>
      <w:r>
        <w:rPr>
          <w:rFonts w:ascii="Calibri" w:hAnsi="Calibri" w:hint="cs"/>
          <w:b/>
          <w:bCs/>
          <w:rtl/>
        </w:rPr>
        <w:t xml:space="preserve">. </w:t>
      </w:r>
      <w:r>
        <w:rPr>
          <w:rFonts w:ascii="Calibri" w:hAnsi="Calibri" w:hint="cs"/>
          <w:rtl/>
        </w:rPr>
        <w:t xml:space="preserve"> ערעור שהוגש (</w:t>
      </w:r>
      <w:hyperlink r:id="rId27" w:history="1">
        <w:r w:rsidR="0060220A" w:rsidRPr="0060220A">
          <w:rPr>
            <w:rFonts w:ascii="Calibri" w:hAnsi="Calibri" w:hint="eastAsia"/>
            <w:color w:val="0000FF"/>
            <w:u w:val="single"/>
            <w:rtl/>
          </w:rPr>
          <w:t>ע</w:t>
        </w:r>
        <w:r w:rsidR="0060220A" w:rsidRPr="0060220A">
          <w:rPr>
            <w:rFonts w:ascii="Calibri" w:hAnsi="Calibri"/>
            <w:color w:val="0000FF"/>
            <w:u w:val="single"/>
            <w:rtl/>
          </w:rPr>
          <w:t>"</w:t>
        </w:r>
        <w:r w:rsidR="0060220A" w:rsidRPr="0060220A">
          <w:rPr>
            <w:rFonts w:ascii="Calibri" w:hAnsi="Calibri" w:hint="eastAsia"/>
            <w:color w:val="0000FF"/>
            <w:u w:val="single"/>
            <w:rtl/>
          </w:rPr>
          <w:t>פ</w:t>
        </w:r>
        <w:r w:rsidR="0060220A" w:rsidRPr="0060220A">
          <w:rPr>
            <w:rFonts w:ascii="Calibri" w:hAnsi="Calibri"/>
            <w:color w:val="0000FF"/>
            <w:u w:val="single"/>
            <w:rtl/>
          </w:rPr>
          <w:t xml:space="preserve"> 8866/11</w:t>
        </w:r>
      </w:hyperlink>
      <w:r>
        <w:rPr>
          <w:rFonts w:ascii="Calibri" w:hAnsi="Calibri" w:hint="cs"/>
          <w:rtl/>
        </w:rPr>
        <w:t xml:space="preserve"> </w:t>
      </w:r>
      <w:r>
        <w:rPr>
          <w:rFonts w:ascii="Miriam" w:hAnsi="Miriam" w:cs="Miriam"/>
          <w:rtl/>
        </w:rPr>
        <w:t>חאג' נ' מדינת ישראל</w:t>
      </w:r>
      <w:r>
        <w:rPr>
          <w:rFonts w:ascii="Calibri" w:hAnsi="Calibri"/>
          <w:rtl/>
        </w:rPr>
        <w:t xml:space="preserve"> (22.3.2012) (כבוד השופט נ' סולברג)) נדחה.</w:t>
      </w:r>
    </w:p>
    <w:p w14:paraId="22D38776" w14:textId="77777777" w:rsidR="00815DED" w:rsidRDefault="00815DED" w:rsidP="00815DED">
      <w:pPr>
        <w:spacing w:after="160" w:line="360" w:lineRule="auto"/>
        <w:ind w:left="570"/>
        <w:contextualSpacing/>
        <w:rPr>
          <w:rFonts w:ascii="Calibri" w:hAnsi="Calibri"/>
          <w:rtl/>
        </w:rPr>
      </w:pPr>
    </w:p>
    <w:p w14:paraId="28007E81" w14:textId="77777777" w:rsidR="00815DED" w:rsidRDefault="00815DED" w:rsidP="00815DED">
      <w:pPr>
        <w:spacing w:after="160" w:line="360" w:lineRule="auto"/>
        <w:ind w:firstLine="570"/>
        <w:contextualSpacing/>
        <w:jc w:val="both"/>
        <w:rPr>
          <w:rFonts w:ascii="Calibri" w:hAnsi="Calibri"/>
          <w:b/>
          <w:bCs/>
          <w:u w:val="single"/>
          <w:rtl/>
        </w:rPr>
      </w:pPr>
      <w:r>
        <w:rPr>
          <w:rFonts w:ascii="Calibri" w:hAnsi="Calibri"/>
          <w:rtl/>
        </w:rPr>
        <w:t>ב</w:t>
      </w:r>
      <w:hyperlink r:id="rId28" w:history="1">
        <w:r w:rsidR="0060220A" w:rsidRPr="0060220A">
          <w:rPr>
            <w:rFonts w:ascii="Calibri" w:hAnsi="Calibri" w:hint="eastAsia"/>
            <w:color w:val="0000FF"/>
            <w:u w:val="single"/>
            <w:rtl/>
          </w:rPr>
          <w:t>ת</w:t>
        </w:r>
        <w:r w:rsidR="0060220A" w:rsidRPr="0060220A">
          <w:rPr>
            <w:rFonts w:ascii="Calibri" w:hAnsi="Calibri"/>
            <w:color w:val="0000FF"/>
            <w:u w:val="single"/>
            <w:rtl/>
          </w:rPr>
          <w:t>"</w:t>
        </w:r>
        <w:r w:rsidR="0060220A" w:rsidRPr="0060220A">
          <w:rPr>
            <w:rFonts w:ascii="Calibri" w:hAnsi="Calibri" w:hint="eastAsia"/>
            <w:color w:val="0000FF"/>
            <w:u w:val="single"/>
            <w:rtl/>
          </w:rPr>
          <w:t>פ</w:t>
        </w:r>
        <w:r w:rsidR="0060220A" w:rsidRPr="0060220A">
          <w:rPr>
            <w:rFonts w:ascii="Calibri" w:hAnsi="Calibri"/>
            <w:color w:val="0000FF"/>
            <w:u w:val="single"/>
            <w:rtl/>
          </w:rPr>
          <w:t xml:space="preserve"> (</w:t>
        </w:r>
        <w:r w:rsidR="0060220A" w:rsidRPr="0060220A">
          <w:rPr>
            <w:rFonts w:ascii="Calibri" w:hAnsi="Calibri" w:hint="eastAsia"/>
            <w:color w:val="0000FF"/>
            <w:u w:val="single"/>
            <w:rtl/>
          </w:rPr>
          <w:t>מחוזי</w:t>
        </w:r>
        <w:r w:rsidR="0060220A" w:rsidRPr="0060220A">
          <w:rPr>
            <w:rFonts w:ascii="Calibri" w:hAnsi="Calibri"/>
            <w:color w:val="0000FF"/>
            <w:u w:val="single"/>
            <w:rtl/>
          </w:rPr>
          <w:t xml:space="preserve"> </w:t>
        </w:r>
        <w:r w:rsidR="0060220A" w:rsidRPr="0060220A">
          <w:rPr>
            <w:rFonts w:ascii="Calibri" w:hAnsi="Calibri" w:hint="eastAsia"/>
            <w:color w:val="0000FF"/>
            <w:u w:val="single"/>
            <w:rtl/>
          </w:rPr>
          <w:t>באר</w:t>
        </w:r>
        <w:r w:rsidR="0060220A" w:rsidRPr="0060220A">
          <w:rPr>
            <w:rFonts w:ascii="Calibri" w:hAnsi="Calibri"/>
            <w:color w:val="0000FF"/>
            <w:u w:val="single"/>
            <w:rtl/>
          </w:rPr>
          <w:t>-</w:t>
        </w:r>
        <w:r w:rsidR="0060220A" w:rsidRPr="0060220A">
          <w:rPr>
            <w:rFonts w:ascii="Calibri" w:hAnsi="Calibri" w:hint="eastAsia"/>
            <w:color w:val="0000FF"/>
            <w:u w:val="single"/>
            <w:rtl/>
          </w:rPr>
          <w:t>שבע</w:t>
        </w:r>
        <w:r w:rsidR="0060220A" w:rsidRPr="0060220A">
          <w:rPr>
            <w:rFonts w:ascii="Calibri" w:hAnsi="Calibri"/>
            <w:color w:val="0000FF"/>
            <w:u w:val="single"/>
            <w:rtl/>
          </w:rPr>
          <w:t>) 7498-11-14</w:t>
        </w:r>
      </w:hyperlink>
      <w:r>
        <w:rPr>
          <w:rFonts w:ascii="Calibri" w:hAnsi="Calibri"/>
          <w:rtl/>
        </w:rPr>
        <w:t xml:space="preserve"> </w:t>
      </w:r>
      <w:r>
        <w:rPr>
          <w:rFonts w:ascii="Miriam" w:hAnsi="Miriam" w:cs="Miriam"/>
          <w:rtl/>
        </w:rPr>
        <w:t>מדינת ישראל נ' אלצראיעה</w:t>
      </w:r>
      <w:r>
        <w:rPr>
          <w:rFonts w:ascii="Calibri" w:hAnsi="Calibri"/>
          <w:rtl/>
        </w:rPr>
        <w:t xml:space="preserve"> (30.3.2017) הורשע הנאשם </w:t>
      </w:r>
      <w:r>
        <w:rPr>
          <w:rFonts w:ascii="Calibri" w:hAnsi="Calibri"/>
          <w:u w:val="single"/>
          <w:rtl/>
        </w:rPr>
        <w:t>על-פי הודאתו</w:t>
      </w:r>
      <w:r>
        <w:rPr>
          <w:rFonts w:ascii="Calibri" w:hAnsi="Calibri"/>
          <w:rtl/>
        </w:rPr>
        <w:t xml:space="preserve"> בעבירות הבאות: קשירת קשר לפשע, שתי עבירות של החזקת נשק, שתי עבירות של נשיאת נשק והובלתו, גניבה וניסיון לסחר בנשק. הנאשם צעיר בן 21, ללא עבר פלילי. נקבע שמתחם העונש ההולם נע בין 3 ל-6 שנות מאסר, אולם לאור נסיבותיו האישיות החריגות </w:t>
      </w:r>
      <w:r>
        <w:rPr>
          <w:rFonts w:ascii="Calibri" w:hAnsi="Calibri"/>
          <w:b/>
          <w:bCs/>
          <w:u w:val="single"/>
          <w:rtl/>
        </w:rPr>
        <w:t>הושת עליו עונש של 6 חודשי מאסר בעבודות שירות, מאסר מותנה, וקנס</w:t>
      </w:r>
      <w:r>
        <w:rPr>
          <w:rFonts w:ascii="Calibri" w:hAnsi="Calibri"/>
          <w:rtl/>
        </w:rPr>
        <w:t>. לפיכך אין להקיש ממקרה זה לענייננו.</w:t>
      </w:r>
    </w:p>
    <w:p w14:paraId="3601DD07" w14:textId="77777777" w:rsidR="00815DED" w:rsidRDefault="00815DED" w:rsidP="00815DED">
      <w:pPr>
        <w:spacing w:after="160" w:line="360" w:lineRule="auto"/>
        <w:ind w:left="570"/>
        <w:contextualSpacing/>
        <w:rPr>
          <w:rFonts w:ascii="Calibri" w:hAnsi="Calibri"/>
          <w:rtl/>
        </w:rPr>
      </w:pPr>
    </w:p>
    <w:p w14:paraId="008917EF" w14:textId="77777777" w:rsidR="00815DED" w:rsidRDefault="00815DED" w:rsidP="00815DED">
      <w:pPr>
        <w:spacing w:after="160" w:line="360" w:lineRule="auto"/>
        <w:contextualSpacing/>
        <w:jc w:val="both"/>
        <w:rPr>
          <w:rFonts w:ascii="Calibri" w:hAnsi="Calibri"/>
          <w:b/>
          <w:bCs/>
          <w:u w:val="single"/>
          <w:rtl/>
        </w:rPr>
      </w:pPr>
      <w:r>
        <w:rPr>
          <w:rFonts w:ascii="Calibri" w:hAnsi="Calibri"/>
          <w:rtl/>
        </w:rPr>
        <w:t>41.</w:t>
      </w:r>
      <w:r>
        <w:rPr>
          <w:rFonts w:ascii="Calibri" w:hAnsi="Calibri"/>
          <w:rtl/>
        </w:rPr>
        <w:tab/>
        <w:t>ב"כ המאשימה הפנה ל</w:t>
      </w:r>
      <w:hyperlink r:id="rId29" w:history="1">
        <w:r w:rsidR="0060220A" w:rsidRPr="0060220A">
          <w:rPr>
            <w:rFonts w:ascii="Calibri" w:hAnsi="Calibri" w:hint="eastAsia"/>
            <w:color w:val="0000FF"/>
            <w:u w:val="single"/>
            <w:rtl/>
          </w:rPr>
          <w:t>ע</w:t>
        </w:r>
        <w:r w:rsidR="0060220A" w:rsidRPr="0060220A">
          <w:rPr>
            <w:rFonts w:ascii="Calibri" w:hAnsi="Calibri"/>
            <w:color w:val="0000FF"/>
            <w:u w:val="single"/>
            <w:rtl/>
          </w:rPr>
          <w:t>"</w:t>
        </w:r>
        <w:r w:rsidR="0060220A" w:rsidRPr="0060220A">
          <w:rPr>
            <w:rFonts w:ascii="Calibri" w:hAnsi="Calibri" w:hint="eastAsia"/>
            <w:color w:val="0000FF"/>
            <w:u w:val="single"/>
            <w:rtl/>
          </w:rPr>
          <w:t>פ</w:t>
        </w:r>
        <w:r w:rsidR="0060220A" w:rsidRPr="0060220A">
          <w:rPr>
            <w:rFonts w:ascii="Calibri" w:hAnsi="Calibri"/>
            <w:color w:val="0000FF"/>
            <w:u w:val="single"/>
            <w:rtl/>
          </w:rPr>
          <w:t xml:space="preserve"> 5295/15</w:t>
        </w:r>
      </w:hyperlink>
      <w:r>
        <w:rPr>
          <w:rFonts w:ascii="Calibri" w:hAnsi="Calibri"/>
          <w:rtl/>
        </w:rPr>
        <w:t xml:space="preserve"> </w:t>
      </w:r>
      <w:r>
        <w:rPr>
          <w:rFonts w:ascii="Miriam" w:hAnsi="Miriam" w:cs="Miriam"/>
          <w:rtl/>
        </w:rPr>
        <w:t>פלוני נ' מדינת ישראל</w:t>
      </w:r>
      <w:r>
        <w:rPr>
          <w:rFonts w:ascii="Calibri" w:hAnsi="Calibri"/>
          <w:rtl/>
        </w:rPr>
        <w:t xml:space="preserve"> (מיום 23.12.2015) בנוגע לנאשם מחמוד לחאם (להלן: "</w:t>
      </w:r>
      <w:r>
        <w:rPr>
          <w:rFonts w:ascii="Miriam" w:hAnsi="Miriam" w:cs="Miriam"/>
          <w:rtl/>
        </w:rPr>
        <w:t>עניין לחאם</w:t>
      </w:r>
      <w:r>
        <w:rPr>
          <w:rFonts w:ascii="Calibri" w:hAnsi="Calibri"/>
          <w:rtl/>
        </w:rPr>
        <w:t xml:space="preserve">"), שם </w:t>
      </w:r>
      <w:r>
        <w:rPr>
          <w:rtl/>
        </w:rPr>
        <w:t xml:space="preserve">הורשע הנאשם במסגרת </w:t>
      </w:r>
      <w:r>
        <w:rPr>
          <w:u w:val="single"/>
          <w:rtl/>
        </w:rPr>
        <w:t>הסדר דיוני</w:t>
      </w:r>
      <w:r>
        <w:rPr>
          <w:rtl/>
        </w:rPr>
        <w:t xml:space="preserve"> בעבירה אחת של קשירת קשר לפשע (סחר בנשק), בכך שסיכם עם נאשם אחר בפרשה כי יאתר נשק שירכוש אותו הנאשם למטרות סחר, והוא אכן איתר אקדח בעלות של 11,000 ₪. נקבע כי </w:t>
      </w:r>
      <w:r>
        <w:rPr>
          <w:rFonts w:ascii="Calibri" w:hAnsi="Calibri"/>
          <w:u w:val="single"/>
          <w:rtl/>
        </w:rPr>
        <w:t>מתחם העונש נע בין 6 חודשי מאסר לבין 15 חודשי מאסר</w:t>
      </w:r>
      <w:r>
        <w:rPr>
          <w:rFonts w:ascii="Calibri" w:hAnsi="Calibri"/>
          <w:rtl/>
        </w:rPr>
        <w:t xml:space="preserve"> והוא נדון ל-8 חודשי מאסר בפועל, מאסר מותנה, וקנס. ערעורו נדחה.</w:t>
      </w:r>
    </w:p>
    <w:p w14:paraId="2667DCC1" w14:textId="77777777" w:rsidR="00815DED" w:rsidRDefault="00815DED" w:rsidP="00815DED">
      <w:pPr>
        <w:spacing w:after="160" w:line="360" w:lineRule="auto"/>
        <w:ind w:left="570"/>
        <w:contextualSpacing/>
        <w:rPr>
          <w:rFonts w:ascii="Calibri" w:hAnsi="Calibri"/>
          <w:b/>
          <w:bCs/>
          <w:u w:val="single"/>
          <w:rtl/>
        </w:rPr>
      </w:pPr>
    </w:p>
    <w:p w14:paraId="798CA30A" w14:textId="77777777" w:rsidR="00815DED" w:rsidRDefault="00815DED" w:rsidP="00815DED">
      <w:pPr>
        <w:spacing w:after="160" w:line="360" w:lineRule="auto"/>
        <w:ind w:firstLine="570"/>
        <w:contextualSpacing/>
        <w:jc w:val="both"/>
        <w:rPr>
          <w:rFonts w:ascii="Calibri" w:hAnsi="Calibri"/>
          <w:rtl/>
        </w:rPr>
      </w:pPr>
      <w:r>
        <w:rPr>
          <w:rFonts w:ascii="Calibri" w:hAnsi="Calibri"/>
          <w:rtl/>
        </w:rPr>
        <w:t xml:space="preserve">הסנגור טען כי, בשונה מהמקרה דנן, בעניין </w:t>
      </w:r>
      <w:r>
        <w:rPr>
          <w:rFonts w:ascii="Miriam" w:hAnsi="Miriam" w:cs="Miriam"/>
          <w:rtl/>
        </w:rPr>
        <w:t>לחאם</w:t>
      </w:r>
      <w:r>
        <w:rPr>
          <w:rFonts w:ascii="Calibri" w:hAnsi="Calibri"/>
          <w:rtl/>
        </w:rPr>
        <w:t xml:space="preserve"> הקשר הרעיוני הבשיל ל"מעשה בנשק" (של איתור האקדח) בעוד שבענייננו  לא הוכח שהייתה לנאשמים גישה לנשק.  </w:t>
      </w:r>
    </w:p>
    <w:p w14:paraId="2357B48D" w14:textId="77777777" w:rsidR="00815DED" w:rsidRDefault="00815DED" w:rsidP="00815DED">
      <w:pPr>
        <w:spacing w:after="160" w:line="360" w:lineRule="auto"/>
        <w:contextualSpacing/>
        <w:jc w:val="both"/>
        <w:rPr>
          <w:rFonts w:ascii="Calibri" w:hAnsi="Calibri"/>
          <w:rtl/>
        </w:rPr>
      </w:pPr>
    </w:p>
    <w:p w14:paraId="76B65578" w14:textId="77777777" w:rsidR="00815DED" w:rsidRDefault="00815DED" w:rsidP="00815DED">
      <w:pPr>
        <w:spacing w:after="160" w:line="360" w:lineRule="auto"/>
        <w:contextualSpacing/>
        <w:jc w:val="both"/>
        <w:rPr>
          <w:rFonts w:ascii="Calibri" w:hAnsi="Calibri"/>
          <w:rtl/>
        </w:rPr>
      </w:pPr>
      <w:r>
        <w:rPr>
          <w:rFonts w:ascii="Calibri" w:hAnsi="Calibri"/>
          <w:rtl/>
        </w:rPr>
        <w:t>42.</w:t>
      </w:r>
      <w:r>
        <w:rPr>
          <w:rFonts w:ascii="Calibri" w:hAnsi="Calibri"/>
          <w:rtl/>
        </w:rPr>
        <w:tab/>
        <w:t xml:space="preserve">לאחר שהבאתי בחשבון את כל האמור לעיל,  </w:t>
      </w:r>
      <w:r>
        <w:rPr>
          <w:rFonts w:ascii="Calibri" w:hAnsi="Calibri"/>
          <w:b/>
          <w:bCs/>
          <w:u w:val="single"/>
          <w:rtl/>
        </w:rPr>
        <w:t>אני קובעת כי, מתחם העונש ההולם, במקרה זה, את העבירה של קשירת קשר לסחר בנשק נע בין 6 ל- 15 חודשי מאסר בפועל</w:t>
      </w:r>
      <w:r>
        <w:rPr>
          <w:rFonts w:ascii="Calibri" w:hAnsi="Calibri"/>
          <w:rtl/>
        </w:rPr>
        <w:t>.</w:t>
      </w:r>
    </w:p>
    <w:p w14:paraId="4BF9CB0A" w14:textId="77777777" w:rsidR="00815DED" w:rsidRDefault="00815DED" w:rsidP="00815DED">
      <w:pPr>
        <w:spacing w:after="160" w:line="360" w:lineRule="auto"/>
        <w:contextualSpacing/>
        <w:jc w:val="both"/>
        <w:rPr>
          <w:rFonts w:ascii="Calibri" w:hAnsi="Calibri"/>
        </w:rPr>
      </w:pPr>
    </w:p>
    <w:p w14:paraId="48EF0E95" w14:textId="77777777" w:rsidR="00815DED" w:rsidRDefault="00815DED" w:rsidP="00815DED">
      <w:pPr>
        <w:spacing w:after="160" w:line="360" w:lineRule="auto"/>
        <w:ind w:left="570" w:hanging="570"/>
        <w:contextualSpacing/>
        <w:jc w:val="both"/>
        <w:rPr>
          <w:rFonts w:ascii="Calibri" w:hAnsi="Calibri"/>
          <w:b/>
          <w:bCs/>
          <w:u w:val="single"/>
          <w:rtl/>
        </w:rPr>
      </w:pPr>
    </w:p>
    <w:p w14:paraId="160F3CB4" w14:textId="77777777" w:rsidR="00815DED" w:rsidRDefault="00815DED" w:rsidP="00815DED">
      <w:pPr>
        <w:spacing w:after="160" w:line="360" w:lineRule="auto"/>
        <w:ind w:left="570" w:hanging="570"/>
        <w:contextualSpacing/>
        <w:jc w:val="both"/>
        <w:rPr>
          <w:rFonts w:ascii="Calibri" w:hAnsi="Calibri"/>
          <w:b/>
          <w:bCs/>
          <w:u w:val="single"/>
          <w:rtl/>
        </w:rPr>
      </w:pPr>
    </w:p>
    <w:p w14:paraId="61987F4F" w14:textId="77777777" w:rsidR="00815DED" w:rsidRDefault="00815DED" w:rsidP="00815DED">
      <w:pPr>
        <w:spacing w:after="160" w:line="360" w:lineRule="auto"/>
        <w:ind w:left="570" w:hanging="570"/>
        <w:contextualSpacing/>
        <w:jc w:val="both"/>
        <w:rPr>
          <w:rFonts w:ascii="Calibri" w:hAnsi="Calibri"/>
          <w:b/>
          <w:bCs/>
          <w:u w:val="single"/>
          <w:rtl/>
        </w:rPr>
      </w:pPr>
    </w:p>
    <w:p w14:paraId="3258E333" w14:textId="77777777" w:rsidR="00815DED" w:rsidRDefault="00815DED" w:rsidP="00815DED">
      <w:pPr>
        <w:spacing w:after="160" w:line="360" w:lineRule="auto"/>
        <w:ind w:left="570" w:hanging="570"/>
        <w:contextualSpacing/>
        <w:jc w:val="both"/>
        <w:rPr>
          <w:rFonts w:ascii="Calibri" w:hAnsi="Calibri"/>
          <w:b/>
          <w:bCs/>
          <w:u w:val="single"/>
          <w:rtl/>
        </w:rPr>
      </w:pPr>
    </w:p>
    <w:p w14:paraId="1710EBC7" w14:textId="77777777" w:rsidR="00815DED" w:rsidRDefault="00815DED" w:rsidP="00815DED">
      <w:pPr>
        <w:spacing w:after="160" w:line="360" w:lineRule="auto"/>
        <w:ind w:left="570" w:hanging="570"/>
        <w:contextualSpacing/>
        <w:jc w:val="both"/>
        <w:rPr>
          <w:rFonts w:ascii="Calibri" w:hAnsi="Calibri"/>
          <w:b/>
          <w:bCs/>
          <w:u w:val="single"/>
          <w:rtl/>
        </w:rPr>
      </w:pPr>
      <w:r>
        <w:rPr>
          <w:rFonts w:ascii="Calibri" w:hAnsi="Calibri"/>
          <w:b/>
          <w:bCs/>
          <w:u w:val="single"/>
          <w:rtl/>
        </w:rPr>
        <w:t>החזקת התחמושת</w:t>
      </w:r>
    </w:p>
    <w:p w14:paraId="7F31F95F" w14:textId="77777777" w:rsidR="00815DED" w:rsidRDefault="00815DED" w:rsidP="00815DED">
      <w:pPr>
        <w:spacing w:after="160" w:line="360" w:lineRule="auto"/>
        <w:contextualSpacing/>
        <w:jc w:val="both"/>
        <w:rPr>
          <w:rFonts w:ascii="Calibri" w:hAnsi="Calibri"/>
          <w:rtl/>
        </w:rPr>
      </w:pPr>
    </w:p>
    <w:p w14:paraId="3B38A7AD" w14:textId="77777777" w:rsidR="00815DED" w:rsidRDefault="00815DED" w:rsidP="00815DED">
      <w:pPr>
        <w:spacing w:after="160" w:line="360" w:lineRule="auto"/>
        <w:contextualSpacing/>
        <w:jc w:val="both"/>
        <w:rPr>
          <w:rFonts w:ascii="David" w:hAnsi="David"/>
          <w:rtl/>
        </w:rPr>
      </w:pPr>
      <w:r>
        <w:rPr>
          <w:rFonts w:ascii="Calibri" w:hAnsi="Calibri"/>
          <w:rtl/>
        </w:rPr>
        <w:t>43.</w:t>
      </w:r>
      <w:r>
        <w:rPr>
          <w:rFonts w:ascii="Calibri" w:hAnsi="Calibri"/>
          <w:rtl/>
        </w:rPr>
        <w:tab/>
        <w:t xml:space="preserve">כאמור, נאשם 2, הורשע בנוסף לעבירת הקשר, גם בעבירה של החזקת תחמושת, לאחר </w:t>
      </w:r>
      <w:r>
        <w:rPr>
          <w:rFonts w:ascii="David" w:hAnsi="David"/>
          <w:rtl/>
        </w:rPr>
        <w:t>שבמזוודה שבחדרו נמצאו ארבעה כדורים בקוטר 9 מ"מ, המהווים תחמושת לנשק, הכל כפי שפורט בהכרעת הדין, ולא אחזור על כך.</w:t>
      </w:r>
    </w:p>
    <w:p w14:paraId="07855C90" w14:textId="77777777" w:rsidR="00815DED" w:rsidRDefault="00815DED" w:rsidP="00815DED">
      <w:pPr>
        <w:spacing w:after="160" w:line="360" w:lineRule="auto"/>
        <w:ind w:left="570" w:hanging="570"/>
        <w:contextualSpacing/>
        <w:jc w:val="both"/>
        <w:rPr>
          <w:rFonts w:ascii="David" w:hAnsi="David"/>
          <w:rtl/>
        </w:rPr>
      </w:pPr>
    </w:p>
    <w:p w14:paraId="223CA315" w14:textId="77777777" w:rsidR="00815DED" w:rsidRDefault="00815DED" w:rsidP="00815DED">
      <w:pPr>
        <w:spacing w:after="160" w:line="360" w:lineRule="auto"/>
        <w:contextualSpacing/>
        <w:jc w:val="both"/>
        <w:rPr>
          <w:rFonts w:ascii="Calibri" w:hAnsi="Calibri"/>
          <w:rtl/>
        </w:rPr>
      </w:pPr>
      <w:r>
        <w:rPr>
          <w:rFonts w:ascii="Calibri" w:hAnsi="Calibri"/>
          <w:rtl/>
        </w:rPr>
        <w:t>44.</w:t>
      </w:r>
      <w:r>
        <w:rPr>
          <w:rFonts w:ascii="Calibri" w:hAnsi="Calibri"/>
          <w:rtl/>
        </w:rPr>
        <w:tab/>
        <w:t xml:space="preserve">העבירה של החזקת תחמושת (אשר בצדה קבוע </w:t>
      </w:r>
      <w:r>
        <w:rPr>
          <w:rFonts w:ascii="David" w:hAnsi="David"/>
          <w:rtl/>
        </w:rPr>
        <w:t xml:space="preserve">עונש של 3 שנות מאסר) </w:t>
      </w:r>
      <w:r>
        <w:rPr>
          <w:rFonts w:ascii="Calibri" w:hAnsi="Calibri"/>
          <w:rtl/>
        </w:rPr>
        <w:t xml:space="preserve">חמורה בפני עצמה, גם כאשר לא נמצא עמה כלי נשק. הערכים החברתיים המוגנים שנפגעים כתוצאה מעבירה של החזקת תחמושת הם שלום הציבור ושמירת החיים והגוף. עם זאת יש לציין, כי הפגיעה בערכים אלה איננה, בנסיבות העניין, בעוצמה גבוהה.  </w:t>
      </w:r>
    </w:p>
    <w:p w14:paraId="0B491AE6" w14:textId="77777777" w:rsidR="00815DED" w:rsidRDefault="00815DED" w:rsidP="00815DED">
      <w:pPr>
        <w:spacing w:after="160" w:line="360" w:lineRule="auto"/>
        <w:ind w:left="570"/>
        <w:contextualSpacing/>
        <w:jc w:val="both"/>
        <w:rPr>
          <w:rFonts w:ascii="Calibri" w:hAnsi="Calibri"/>
          <w:rtl/>
        </w:rPr>
      </w:pPr>
    </w:p>
    <w:p w14:paraId="0E999ADC" w14:textId="77777777" w:rsidR="00815DED" w:rsidRDefault="00815DED" w:rsidP="00815DED">
      <w:pPr>
        <w:spacing w:after="160" w:line="360" w:lineRule="auto"/>
        <w:contextualSpacing/>
        <w:jc w:val="both"/>
        <w:rPr>
          <w:rFonts w:ascii="Calibri" w:hAnsi="Calibri"/>
          <w:rtl/>
        </w:rPr>
      </w:pPr>
      <w:r>
        <w:rPr>
          <w:rFonts w:ascii="Calibri" w:hAnsi="Calibri"/>
          <w:rtl/>
        </w:rPr>
        <w:t>45.</w:t>
      </w:r>
      <w:r>
        <w:rPr>
          <w:rFonts w:ascii="Calibri" w:hAnsi="Calibri"/>
          <w:rtl/>
        </w:rPr>
        <w:tab/>
        <w:t xml:space="preserve">בסעיף 16(1) להנחיית פרקליט המדינה </w:t>
      </w:r>
      <w:r>
        <w:rPr>
          <w:rtl/>
        </w:rPr>
        <w:t xml:space="preserve">מס' 9.16 (מיום ג' אב תשע"ו - 07.08.2016) שפורסמה 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נקבע כי </w:t>
      </w:r>
      <w:r>
        <w:rPr>
          <w:rFonts w:ascii="Calibri" w:hAnsi="Calibri"/>
          <w:rtl/>
        </w:rPr>
        <w:t xml:space="preserve">בכל הנוגע להחזקת תחמושת בכמות של קליעים בודדים יש לטעון למתחם ענישה, הנע </w:t>
      </w:r>
      <w:r>
        <w:rPr>
          <w:rFonts w:ascii="Calibri" w:hAnsi="Calibri"/>
          <w:u w:val="single"/>
          <w:rtl/>
        </w:rPr>
        <w:t>מ- 6 חודשי מאסר בעבודות שירות עד ל- 6 חודשי מאסר בפועל</w:t>
      </w:r>
      <w:r>
        <w:rPr>
          <w:rFonts w:ascii="Calibri" w:hAnsi="Calibri"/>
          <w:rtl/>
        </w:rPr>
        <w:t xml:space="preserve"> (ככל שכמות התחמושת גבוהה יותר, כך בהתאמה גם מתחם העונש גבוה יותר).</w:t>
      </w:r>
    </w:p>
    <w:p w14:paraId="35D6B154" w14:textId="77777777" w:rsidR="00815DED" w:rsidRDefault="00815DED" w:rsidP="00815DED">
      <w:pPr>
        <w:spacing w:line="360" w:lineRule="auto"/>
        <w:ind w:left="720" w:hanging="720"/>
        <w:jc w:val="both"/>
        <w:rPr>
          <w:rFonts w:ascii="David" w:hAnsi="David"/>
          <w:rtl/>
        </w:rPr>
      </w:pPr>
    </w:p>
    <w:p w14:paraId="085DC154" w14:textId="77777777" w:rsidR="00815DED" w:rsidRDefault="00815DED" w:rsidP="00815DED">
      <w:pPr>
        <w:spacing w:line="360" w:lineRule="auto"/>
        <w:jc w:val="both"/>
        <w:rPr>
          <w:rFonts w:ascii="David" w:hAnsi="David"/>
          <w:rtl/>
        </w:rPr>
      </w:pPr>
      <w:r>
        <w:rPr>
          <w:rFonts w:ascii="David" w:hAnsi="David"/>
          <w:rtl/>
        </w:rPr>
        <w:t>46.</w:t>
      </w:r>
      <w:r>
        <w:rPr>
          <w:rFonts w:ascii="David" w:hAnsi="David"/>
          <w:rtl/>
        </w:rPr>
        <w:tab/>
        <w:t xml:space="preserve">המתחם הנ"ל הולם, לדעתי, את הנסיבות במקרה זה ולפיכך אני קובעת כי </w:t>
      </w:r>
      <w:r>
        <w:rPr>
          <w:rFonts w:ascii="David" w:hAnsi="David"/>
          <w:b/>
          <w:bCs/>
          <w:u w:val="single"/>
          <w:rtl/>
        </w:rPr>
        <w:t xml:space="preserve">מתחם העונש ההולם לעבירה של החזקת כדורי התחמושת </w:t>
      </w:r>
      <w:r>
        <w:rPr>
          <w:rFonts w:ascii="David" w:hAnsi="David"/>
          <w:b/>
          <w:bCs/>
          <w:color w:val="000000"/>
          <w:u w:val="single"/>
          <w:rtl/>
        </w:rPr>
        <w:t xml:space="preserve">נע בין </w:t>
      </w:r>
      <w:r>
        <w:rPr>
          <w:b/>
          <w:bCs/>
          <w:u w:val="single"/>
          <w:rtl/>
        </w:rPr>
        <w:t xml:space="preserve">6 </w:t>
      </w:r>
      <w:r>
        <w:rPr>
          <w:u w:val="single"/>
          <w:rtl/>
        </w:rPr>
        <w:t xml:space="preserve">חודשי מאסר (אשר יכול שירוצו בעבודות שירות) </w:t>
      </w:r>
      <w:r>
        <w:rPr>
          <w:b/>
          <w:bCs/>
          <w:u w:val="single"/>
          <w:rtl/>
        </w:rPr>
        <w:t xml:space="preserve">לבין  6 </w:t>
      </w:r>
      <w:r>
        <w:rPr>
          <w:u w:val="single"/>
          <w:rtl/>
        </w:rPr>
        <w:t>חודשי מאסר בפועל.</w:t>
      </w:r>
    </w:p>
    <w:p w14:paraId="0FCE76E1" w14:textId="77777777" w:rsidR="00815DED" w:rsidRDefault="00815DED" w:rsidP="00815DED">
      <w:pPr>
        <w:spacing w:line="360" w:lineRule="auto"/>
        <w:ind w:left="720" w:hanging="720"/>
        <w:jc w:val="both"/>
        <w:rPr>
          <w:rFonts w:ascii="David" w:hAnsi="David"/>
          <w:rtl/>
        </w:rPr>
      </w:pPr>
    </w:p>
    <w:p w14:paraId="7EB35486" w14:textId="77777777" w:rsidR="00815DED" w:rsidRDefault="00815DED" w:rsidP="00815DED">
      <w:pPr>
        <w:spacing w:line="360" w:lineRule="auto"/>
        <w:ind w:left="720" w:hanging="720"/>
        <w:jc w:val="both"/>
        <w:rPr>
          <w:rFonts w:ascii="David" w:hAnsi="David"/>
          <w:b/>
          <w:bCs/>
          <w:u w:val="single"/>
          <w:rtl/>
        </w:rPr>
      </w:pPr>
      <w:r>
        <w:rPr>
          <w:rFonts w:ascii="David" w:hAnsi="David"/>
          <w:b/>
          <w:bCs/>
          <w:u w:val="single"/>
          <w:rtl/>
        </w:rPr>
        <w:t>גזירת הדין בעניינו של נאשם 1</w:t>
      </w:r>
    </w:p>
    <w:p w14:paraId="40BEA120" w14:textId="77777777" w:rsidR="00815DED" w:rsidRDefault="00815DED" w:rsidP="00815DED">
      <w:pPr>
        <w:spacing w:line="360" w:lineRule="auto"/>
        <w:jc w:val="both"/>
        <w:rPr>
          <w:rtl/>
        </w:rPr>
      </w:pPr>
    </w:p>
    <w:p w14:paraId="6C38199F" w14:textId="77777777" w:rsidR="00815DED" w:rsidRDefault="00815DED" w:rsidP="00815DED">
      <w:pPr>
        <w:spacing w:line="360" w:lineRule="auto"/>
        <w:jc w:val="both"/>
        <w:rPr>
          <w:rtl/>
        </w:rPr>
      </w:pPr>
      <w:r>
        <w:rPr>
          <w:rtl/>
        </w:rPr>
        <w:t>47.</w:t>
      </w:r>
      <w:r>
        <w:rPr>
          <w:rtl/>
        </w:rPr>
        <w:tab/>
        <w:t xml:space="preserve">הענישה לעולם אינדיווידואלית וכאשר בית המשפט גוזר את עונשו של נאשם, בתוך מתחם העונש, עליו להתחשב גם בגורמים הקשורים בנאשם הספציפי העומד בפניו, כגון נסיבות חייו האישיות, החרטה שהביע (ככל שהביע) לקיחת אחריות על מעשיו, שיתוף פעולה עם הרשויות, גילו, עברו הפלילי, מידת הפגיעה בהטלת העונש על הנאשם עצמו וכן על משפחתו. </w:t>
      </w:r>
    </w:p>
    <w:p w14:paraId="3F3BD02A" w14:textId="77777777" w:rsidR="00815DED" w:rsidRDefault="00815DED" w:rsidP="00815DED">
      <w:pPr>
        <w:spacing w:line="360" w:lineRule="auto"/>
        <w:jc w:val="both"/>
        <w:rPr>
          <w:u w:val="single"/>
          <w:rtl/>
        </w:rPr>
      </w:pPr>
    </w:p>
    <w:p w14:paraId="74ADA835" w14:textId="77777777" w:rsidR="00815DED" w:rsidRDefault="00815DED" w:rsidP="00815DED">
      <w:pPr>
        <w:spacing w:line="360" w:lineRule="auto"/>
        <w:jc w:val="both"/>
        <w:rPr>
          <w:rtl/>
        </w:rPr>
      </w:pPr>
      <w:r>
        <w:rPr>
          <w:rtl/>
        </w:rPr>
        <w:t>48.</w:t>
      </w:r>
      <w:r>
        <w:rPr>
          <w:rtl/>
        </w:rPr>
        <w:tab/>
        <w:t>נאשם 1, בן 25 - יליד 23.3.1995, עצור מיום 14.01.20 ועד היום.</w:t>
      </w:r>
    </w:p>
    <w:p w14:paraId="451AE7FF" w14:textId="77777777" w:rsidR="00815DED" w:rsidRDefault="00815DED" w:rsidP="00815DED">
      <w:pPr>
        <w:spacing w:line="360" w:lineRule="auto"/>
        <w:ind w:firstLine="720"/>
        <w:jc w:val="both"/>
        <w:rPr>
          <w:rtl/>
        </w:rPr>
      </w:pPr>
    </w:p>
    <w:p w14:paraId="34430D76" w14:textId="77777777" w:rsidR="00815DED" w:rsidRDefault="00815DED" w:rsidP="00815DED">
      <w:pPr>
        <w:spacing w:line="360" w:lineRule="auto"/>
        <w:jc w:val="both"/>
        <w:rPr>
          <w:rtl/>
        </w:rPr>
      </w:pPr>
      <w:r>
        <w:rPr>
          <w:rtl/>
        </w:rPr>
        <w:t>49.</w:t>
      </w:r>
      <w:r>
        <w:rPr>
          <w:rtl/>
        </w:rPr>
        <w:tab/>
        <w:t xml:space="preserve">לחובתו יש לזקוף את עברו הפלילי, הכולל עבירות סמים, רכוש, אלימות וגם עבירות בנשק והוא אף ריצה מספר מאסרים. עבירת הנשק בה הורשע, שהיא סיוע לייצור נשק ונשיאת נשק, נעברה על ידו בשנת </w:t>
      </w:r>
      <w:r>
        <w:rPr>
          <w:b/>
          <w:bCs/>
          <w:rtl/>
        </w:rPr>
        <w:t>2010</w:t>
      </w:r>
      <w:r>
        <w:rPr>
          <w:rtl/>
        </w:rPr>
        <w:t>, בהיותו קטין והוא נדון בגינה לעבודות של"צ ולמאסר על תנאי והתחייבות והושם בצו מבחן למשך שנה וחצי.  העבירה האחרונה (החזקת סמים לצריכה עצמית) נעברה על ידו בינואר 2018 ודינו נגזר בשנת 2019 למאסר מותנה, קנס ופסילת רישיון.</w:t>
      </w:r>
    </w:p>
    <w:p w14:paraId="0B6829F5" w14:textId="77777777" w:rsidR="00815DED" w:rsidRDefault="00815DED" w:rsidP="00815DED">
      <w:pPr>
        <w:spacing w:line="360" w:lineRule="auto"/>
        <w:jc w:val="both"/>
        <w:rPr>
          <w:rtl/>
        </w:rPr>
      </w:pPr>
    </w:p>
    <w:p w14:paraId="361E576C" w14:textId="77777777" w:rsidR="00815DED" w:rsidRDefault="00815DED" w:rsidP="00815DED">
      <w:pPr>
        <w:spacing w:line="360" w:lineRule="auto"/>
        <w:ind w:firstLine="720"/>
        <w:jc w:val="both"/>
        <w:rPr>
          <w:rtl/>
        </w:rPr>
      </w:pPr>
      <w:r>
        <w:rPr>
          <w:rtl/>
        </w:rPr>
        <w:t>מדובר אפוא במי שעל אף גילו הצעיר יחסית, שולח ידו מזה שנים לא מעטות ובאופן רציף, בעבירות שונות, חמורות, ובכללם עבירה בנשק ועונשים שנגזרו עליו, כולל עונשי מאסר שלא הרתיעו אותו מביצוע העבירה בה הורשע בתיק זה.</w:t>
      </w:r>
    </w:p>
    <w:p w14:paraId="450CA5A6" w14:textId="77777777" w:rsidR="00815DED" w:rsidRDefault="00815DED" w:rsidP="00815DED">
      <w:pPr>
        <w:spacing w:line="360" w:lineRule="auto"/>
        <w:jc w:val="both"/>
        <w:rPr>
          <w:rtl/>
        </w:rPr>
      </w:pPr>
    </w:p>
    <w:p w14:paraId="113B9BDD" w14:textId="77777777" w:rsidR="00815DED" w:rsidRDefault="00815DED" w:rsidP="00815DED">
      <w:pPr>
        <w:spacing w:line="360" w:lineRule="auto"/>
        <w:jc w:val="both"/>
        <w:rPr>
          <w:rtl/>
        </w:rPr>
      </w:pPr>
      <w:r>
        <w:rPr>
          <w:rtl/>
        </w:rPr>
        <w:t>50.</w:t>
      </w:r>
      <w:r>
        <w:rPr>
          <w:rtl/>
        </w:rPr>
        <w:tab/>
        <w:t>עוד טרם תיקון 113 ל</w:t>
      </w:r>
      <w:hyperlink r:id="rId30" w:history="1">
        <w:r w:rsidR="0060220A" w:rsidRPr="0060220A">
          <w:rPr>
            <w:color w:val="0000FF"/>
            <w:u w:val="single"/>
            <w:rtl/>
          </w:rPr>
          <w:t>חוק העונשין</w:t>
        </w:r>
      </w:hyperlink>
      <w:r>
        <w:rPr>
          <w:rtl/>
        </w:rPr>
        <w:t xml:space="preserve"> נקבע בפסיקה, כי במסגרת שיקולי הענישה, יש לזקוף לזכות נאשם את הודייתו באשר עשה ואת העובדה שהוא מביע חרטה על מעשיו ועושה מאמצים לחזור למוטב וכי מנגד - </w:t>
      </w:r>
      <w:r>
        <w:rPr>
          <w:b/>
          <w:bCs/>
          <w:rtl/>
        </w:rPr>
        <w:t>אין</w:t>
      </w:r>
      <w:r>
        <w:rPr>
          <w:rtl/>
        </w:rPr>
        <w:t xml:space="preserve"> לזקוף לחובתו של נאשם את כפירתו ואת ניהול המשפט על ידו. מדיניות זו עוגנה בהוראותיו של תיקון 113 ל</w:t>
      </w:r>
      <w:hyperlink r:id="rId31" w:history="1">
        <w:r w:rsidR="0060220A" w:rsidRPr="0060220A">
          <w:rPr>
            <w:color w:val="0000FF"/>
            <w:u w:val="single"/>
            <w:rtl/>
          </w:rPr>
          <w:t>חוק העונשין</w:t>
        </w:r>
      </w:hyperlink>
      <w:r>
        <w:rPr>
          <w:rtl/>
        </w:rPr>
        <w:t xml:space="preserve">, הקובע, </w:t>
      </w:r>
      <w:hyperlink r:id="rId32" w:history="1">
        <w:r w:rsidR="008E23F3" w:rsidRPr="008E23F3">
          <w:rPr>
            <w:rStyle w:val="Hyperlink"/>
            <w:rtl/>
          </w:rPr>
          <w:t>בסעיף 40יא(4)</w:t>
        </w:r>
      </w:hyperlink>
      <w:r>
        <w:rPr>
          <w:rtl/>
        </w:rPr>
        <w:t xml:space="preserve"> לחוק העונשין, כי יש להביא בחשבון לעניין העונש, את "</w:t>
      </w:r>
      <w:r>
        <w:rPr>
          <w:b/>
          <w:bCs/>
          <w:rtl/>
        </w:rPr>
        <w:t>נטילת האחריות של הנאשם על מעשיו וחזרתו למוטב או מאמציו לחזור למוטב</w:t>
      </w:r>
      <w:r>
        <w:rPr>
          <w:rtl/>
        </w:rPr>
        <w:t xml:space="preserve">" ובסעיף </w:t>
      </w:r>
      <w:hyperlink r:id="rId33" w:history="1">
        <w:r w:rsidR="008E23F3" w:rsidRPr="008E23F3">
          <w:rPr>
            <w:rStyle w:val="Hyperlink"/>
            <w:rtl/>
          </w:rPr>
          <w:t>40יא(6)</w:t>
        </w:r>
      </w:hyperlink>
      <w:r>
        <w:rPr>
          <w:rtl/>
        </w:rPr>
        <w:t xml:space="preserve"> לחוק הקובע, כי: "</w:t>
      </w:r>
      <w:r>
        <w:rPr>
          <w:b/>
          <w:bCs/>
          <w:rtl/>
        </w:rPr>
        <w:t>... כפירה באשמה וניהול משפט על ידי הנאשם לא ייזקפו לחובתו</w:t>
      </w:r>
      <w:r>
        <w:rPr>
          <w:rtl/>
        </w:rPr>
        <w:t>".</w:t>
      </w:r>
    </w:p>
    <w:p w14:paraId="36D7167F" w14:textId="77777777" w:rsidR="00815DED" w:rsidRDefault="00815DED" w:rsidP="00815DED">
      <w:pPr>
        <w:spacing w:line="360" w:lineRule="auto"/>
        <w:jc w:val="both"/>
        <w:rPr>
          <w:rtl/>
        </w:rPr>
      </w:pPr>
    </w:p>
    <w:p w14:paraId="7486DC3A" w14:textId="77777777" w:rsidR="00815DED" w:rsidRDefault="00815DED" w:rsidP="00815DED">
      <w:pPr>
        <w:spacing w:line="360" w:lineRule="auto"/>
        <w:ind w:firstLine="720"/>
        <w:jc w:val="both"/>
        <w:rPr>
          <w:rtl/>
        </w:rPr>
      </w:pPr>
      <w:r>
        <w:rPr>
          <w:rtl/>
        </w:rPr>
        <w:t xml:space="preserve">בענייננו זוכה נאשם 1 מעיקר העבירות שיוחסו לו ובוודאי שאין לזקוף לחובתו את ניהול ההוכחות. עם זאת, יכול היה נאשם 1, אילו בחר בכך, להודות באשר </w:t>
      </w:r>
      <w:r>
        <w:rPr>
          <w:b/>
          <w:bCs/>
          <w:rtl/>
        </w:rPr>
        <w:t>כן</w:t>
      </w:r>
      <w:r>
        <w:rPr>
          <w:rtl/>
        </w:rPr>
        <w:t xml:space="preserve"> עשה, כלומר - בעבירה של קשירת קשר ולהביע חרטה על מעשיו אלה אך הוא בחר שלא לעשות כן. לפיכך, בגזירת העונש, הנגזר עליו בגין עבירת קשירת הקשר בה הורשע, אין נאשם 1 זכאי ליהנות מההנחה אשר נהוגה לגבי מי שמודה ונוטל אחריות על מעשיו.</w:t>
      </w:r>
    </w:p>
    <w:p w14:paraId="74BB91F5" w14:textId="77777777" w:rsidR="00815DED" w:rsidRDefault="00815DED" w:rsidP="00815DED">
      <w:pPr>
        <w:spacing w:line="360" w:lineRule="auto"/>
        <w:ind w:firstLine="720"/>
        <w:jc w:val="both"/>
        <w:rPr>
          <w:rtl/>
        </w:rPr>
      </w:pPr>
    </w:p>
    <w:p w14:paraId="5ADB4BA1" w14:textId="77777777" w:rsidR="00815DED" w:rsidRDefault="00815DED" w:rsidP="00815DED">
      <w:pPr>
        <w:spacing w:line="360" w:lineRule="auto"/>
        <w:jc w:val="both"/>
        <w:rPr>
          <w:rtl/>
        </w:rPr>
      </w:pPr>
      <w:r>
        <w:rPr>
          <w:rtl/>
        </w:rPr>
        <w:t>51.</w:t>
      </w:r>
      <w:r>
        <w:rPr>
          <w:rtl/>
        </w:rPr>
        <w:tab/>
        <w:t xml:space="preserve">לקולה אביא בחשבון את העובדה, שנאשם 1 הוא אדם צעיר, אשר גדל בנסיבות קשות ואת העובדה שאין לו משפחה היכולה לתמוך בו. סנגורו טען שהוא מנסה להשתקם, ולחזור לתלם, אך לא הוצגה כל ראיה לכך ולא שמעתי זאת מפי נאשם 1 עצמו. </w:t>
      </w:r>
    </w:p>
    <w:p w14:paraId="29F1416C" w14:textId="77777777" w:rsidR="00815DED" w:rsidRDefault="00815DED" w:rsidP="00815DED">
      <w:pPr>
        <w:spacing w:line="360" w:lineRule="auto"/>
        <w:ind w:left="720" w:hanging="720"/>
        <w:jc w:val="both"/>
        <w:rPr>
          <w:rtl/>
        </w:rPr>
      </w:pPr>
    </w:p>
    <w:p w14:paraId="27678F39" w14:textId="77777777" w:rsidR="00815DED" w:rsidRDefault="00815DED" w:rsidP="00815DED">
      <w:pPr>
        <w:spacing w:line="360" w:lineRule="auto"/>
        <w:jc w:val="both"/>
        <w:rPr>
          <w:rtl/>
        </w:rPr>
      </w:pPr>
      <w:r>
        <w:rPr>
          <w:rtl/>
        </w:rPr>
        <w:t>52.</w:t>
      </w:r>
      <w:r>
        <w:rPr>
          <w:rtl/>
        </w:rPr>
        <w:tab/>
      </w:r>
      <w:r w:rsidRPr="00113BA3">
        <w:rPr>
          <w:b/>
          <w:bCs/>
          <w:u w:val="single"/>
          <w:rtl/>
        </w:rPr>
        <w:t>לאור כל האמור, הנני גוזרת את עונשו של הנאשם 1 כדלקמן</w:t>
      </w:r>
      <w:r w:rsidRPr="00113BA3">
        <w:rPr>
          <w:b/>
          <w:bCs/>
          <w:rtl/>
        </w:rPr>
        <w:t>:</w:t>
      </w:r>
    </w:p>
    <w:p w14:paraId="4AEE4005" w14:textId="77777777" w:rsidR="00815DED" w:rsidRDefault="00815DED" w:rsidP="00815DED">
      <w:pPr>
        <w:spacing w:line="360" w:lineRule="auto"/>
        <w:jc w:val="both"/>
        <w:rPr>
          <w:rtl/>
        </w:rPr>
      </w:pPr>
    </w:p>
    <w:p w14:paraId="311AD024" w14:textId="77777777" w:rsidR="00815DED" w:rsidRDefault="00815DED" w:rsidP="00815DED">
      <w:pPr>
        <w:spacing w:line="360" w:lineRule="auto"/>
        <w:ind w:left="720"/>
        <w:jc w:val="both"/>
        <w:rPr>
          <w:rtl/>
        </w:rPr>
      </w:pPr>
      <w:r>
        <w:rPr>
          <w:rtl/>
        </w:rPr>
        <w:t>א.</w:t>
      </w:r>
      <w:r>
        <w:rPr>
          <w:rtl/>
        </w:rPr>
        <w:tab/>
        <w:t>מאסר בפועל למשך 9 חודשים, בניכוי ימי מעצרו בתיק זה - החל מיום 14.1.20 ועד היום.</w:t>
      </w:r>
    </w:p>
    <w:p w14:paraId="6CAFC420" w14:textId="77777777" w:rsidR="00815DED" w:rsidRDefault="00815DED" w:rsidP="00815DED">
      <w:pPr>
        <w:spacing w:line="360" w:lineRule="auto"/>
        <w:jc w:val="both"/>
        <w:rPr>
          <w:rtl/>
        </w:rPr>
      </w:pPr>
    </w:p>
    <w:p w14:paraId="2E03F1AB" w14:textId="77777777" w:rsidR="00815DED" w:rsidRPr="00BC78CF" w:rsidRDefault="00815DED" w:rsidP="00815DED">
      <w:pPr>
        <w:spacing w:line="360" w:lineRule="auto"/>
        <w:ind w:left="720"/>
        <w:jc w:val="both"/>
        <w:rPr>
          <w:rtl/>
        </w:rPr>
      </w:pPr>
      <w:r>
        <w:rPr>
          <w:rtl/>
        </w:rPr>
        <w:t>ב.</w:t>
      </w:r>
      <w:r>
        <w:rPr>
          <w:rtl/>
        </w:rPr>
        <w:tab/>
        <w:t>מאסר על תנאי למשך 12 חודשים, שלא יעבור בתוך 3 שנים מהיום בו ישוחרר ממאסרו הנ"ל, כל עבירה בנשק.</w:t>
      </w:r>
    </w:p>
    <w:p w14:paraId="685AF247" w14:textId="77777777" w:rsidR="00815DED" w:rsidRDefault="00815DED" w:rsidP="00815DED">
      <w:pPr>
        <w:rPr>
          <w:b/>
          <w:bCs/>
          <w:u w:val="single"/>
          <w:rtl/>
        </w:rPr>
      </w:pPr>
      <w:r>
        <w:rPr>
          <w:b/>
          <w:bCs/>
          <w:u w:val="single"/>
          <w:rtl/>
        </w:rPr>
        <w:t>גזירת הדין בעניינו של נאשם 2</w:t>
      </w:r>
    </w:p>
    <w:p w14:paraId="040D80BD" w14:textId="77777777" w:rsidR="00815DED" w:rsidRDefault="00815DED" w:rsidP="00815DED">
      <w:pPr>
        <w:rPr>
          <w:rtl/>
        </w:rPr>
      </w:pPr>
    </w:p>
    <w:p w14:paraId="15107834" w14:textId="77777777" w:rsidR="00815DED" w:rsidRDefault="00815DED" w:rsidP="00815DED">
      <w:pPr>
        <w:spacing w:line="360" w:lineRule="auto"/>
        <w:jc w:val="both"/>
        <w:rPr>
          <w:rtl/>
        </w:rPr>
      </w:pPr>
      <w:r>
        <w:rPr>
          <w:rtl/>
        </w:rPr>
        <w:t>53.</w:t>
      </w:r>
      <w:r>
        <w:rPr>
          <w:rtl/>
        </w:rPr>
        <w:tab/>
        <w:t xml:space="preserve">נאשם 2, יליד 2.9.1999 - </w:t>
      </w:r>
      <w:r>
        <w:rPr>
          <w:b/>
          <w:bCs/>
          <w:rtl/>
        </w:rPr>
        <w:t>בן 21 שנים ושישה ימים</w:t>
      </w:r>
      <w:r>
        <w:rPr>
          <w:rtl/>
        </w:rPr>
        <w:t xml:space="preserve"> בלבד, בעת ביצוע העבירות. הוא הורשע בעבירת הקשר וכן בעבירה של החזקת התחמושת. דינו של נאשם זה שונה מדינו של נאשם 1, באופן המצדיק פער בענישה ביניהם.</w:t>
      </w:r>
    </w:p>
    <w:p w14:paraId="33E01671" w14:textId="77777777" w:rsidR="00815DED" w:rsidRDefault="00815DED" w:rsidP="00815DED">
      <w:pPr>
        <w:spacing w:line="360" w:lineRule="auto"/>
        <w:jc w:val="both"/>
        <w:rPr>
          <w:rtl/>
        </w:rPr>
      </w:pPr>
    </w:p>
    <w:p w14:paraId="36C9C5B1" w14:textId="77777777" w:rsidR="00815DED" w:rsidRDefault="00815DED" w:rsidP="00815DED">
      <w:pPr>
        <w:spacing w:line="360" w:lineRule="auto"/>
        <w:ind w:firstLine="720"/>
        <w:jc w:val="both"/>
        <w:rPr>
          <w:rtl/>
        </w:rPr>
      </w:pPr>
      <w:r>
        <w:rPr>
          <w:rtl/>
        </w:rPr>
        <w:t>על אף שנאשם 2 הורשע בשני מעשים נפרדים, אגזור את דינו במאוחד, בשתי העבירות בהן הורשע.</w:t>
      </w:r>
    </w:p>
    <w:p w14:paraId="75B1EC91" w14:textId="77777777" w:rsidR="00815DED" w:rsidRDefault="00815DED" w:rsidP="00815DED">
      <w:pPr>
        <w:jc w:val="both"/>
        <w:rPr>
          <w:rtl/>
        </w:rPr>
      </w:pPr>
    </w:p>
    <w:p w14:paraId="45CD6BA4" w14:textId="77777777" w:rsidR="00815DED" w:rsidRDefault="00815DED" w:rsidP="00815DED">
      <w:pPr>
        <w:spacing w:line="360" w:lineRule="auto"/>
        <w:jc w:val="both"/>
        <w:rPr>
          <w:rtl/>
        </w:rPr>
      </w:pPr>
      <w:r>
        <w:rPr>
          <w:rtl/>
        </w:rPr>
        <w:t>54.</w:t>
      </w:r>
      <w:r>
        <w:rPr>
          <w:rtl/>
        </w:rPr>
        <w:tab/>
        <w:t xml:space="preserve">לקולה אביא בחשבון, את גילו הצעיר, ואת העובדה שמדובר באדם ממשפחה נורמטיבית שמעולם לא ריצה עונש מאסר. בעברו עבירה אחת בלבד של גניבה משנת 2017 בגינה נענש, בבית המשפט לנוער, בקנס בסך 500 ₪ וחתימה על התחייבות בסך 1,000 ₪.  </w:t>
      </w:r>
    </w:p>
    <w:p w14:paraId="74A73AE2" w14:textId="77777777" w:rsidR="00815DED" w:rsidRDefault="00815DED" w:rsidP="00815DED">
      <w:pPr>
        <w:spacing w:line="360" w:lineRule="auto"/>
        <w:jc w:val="both"/>
        <w:rPr>
          <w:rtl/>
        </w:rPr>
      </w:pPr>
    </w:p>
    <w:p w14:paraId="4E8AD4CE" w14:textId="77777777" w:rsidR="00815DED" w:rsidRDefault="00815DED" w:rsidP="00815DED">
      <w:pPr>
        <w:spacing w:line="360" w:lineRule="auto"/>
        <w:jc w:val="both"/>
        <w:rPr>
          <w:rtl/>
        </w:rPr>
      </w:pPr>
      <w:r>
        <w:rPr>
          <w:rtl/>
        </w:rPr>
        <w:t>55.</w:t>
      </w:r>
      <w:r>
        <w:rPr>
          <w:rtl/>
        </w:rPr>
        <w:tab/>
        <w:t>אתחשב בקשיים הכלכליים בהם נתונה משפחתו של נאשם 2 ובכך שטרם נעצר בתיק זה, הוא סייע בפרנסת המשפחה, כך ששליחתו למאסר בפועל עלולה לגרום למשפחתו נזק כלכלי.</w:t>
      </w:r>
    </w:p>
    <w:p w14:paraId="3F12C179" w14:textId="77777777" w:rsidR="00815DED" w:rsidRDefault="00815DED" w:rsidP="00815DED">
      <w:pPr>
        <w:spacing w:line="360" w:lineRule="auto"/>
        <w:jc w:val="both"/>
        <w:rPr>
          <w:rtl/>
        </w:rPr>
      </w:pPr>
    </w:p>
    <w:p w14:paraId="4D95023E" w14:textId="77777777" w:rsidR="00815DED" w:rsidRDefault="00815DED" w:rsidP="00815DED">
      <w:pPr>
        <w:spacing w:line="360" w:lineRule="auto"/>
        <w:jc w:val="both"/>
        <w:rPr>
          <w:rtl/>
        </w:rPr>
      </w:pPr>
      <w:r>
        <w:rPr>
          <w:rtl/>
        </w:rPr>
        <w:t>56.</w:t>
      </w:r>
      <w:r>
        <w:rPr>
          <w:rtl/>
        </w:rPr>
        <w:tab/>
        <w:t xml:space="preserve">לזכותו אזקוף גם את החרטה אשר הביע בפניי ואת דברי סנגורו לפיהם הוא מעוניין לחזור לחיים נורמטיביים ולדרך הישר.  סבורה אני כי, בנסיבות אלה, שליחתו של נאשם צעיר זה, למאסר מאחורי סורג ובריח, עלולה לחבל בשיקומו ואיננה משרתת את האינטרס הציבורי.  </w:t>
      </w:r>
    </w:p>
    <w:p w14:paraId="6883E2B5" w14:textId="77777777" w:rsidR="00815DED" w:rsidRDefault="00815DED" w:rsidP="00815DED">
      <w:pPr>
        <w:spacing w:line="360" w:lineRule="auto"/>
        <w:jc w:val="both"/>
        <w:rPr>
          <w:rtl/>
        </w:rPr>
      </w:pPr>
    </w:p>
    <w:p w14:paraId="269D1FF5" w14:textId="77777777" w:rsidR="00815DED" w:rsidRDefault="00815DED" w:rsidP="00815DED">
      <w:pPr>
        <w:spacing w:line="360" w:lineRule="auto"/>
        <w:ind w:firstLine="720"/>
        <w:jc w:val="both"/>
        <w:rPr>
          <w:rtl/>
        </w:rPr>
      </w:pPr>
      <w:r>
        <w:rPr>
          <w:rtl/>
        </w:rPr>
        <w:t xml:space="preserve">בשים לב לכך שבעת ביצוע העבירות היה נאשם 2 "בגיר צעיר", </w:t>
      </w:r>
      <w:r>
        <w:rPr>
          <w:u w:val="single"/>
          <w:rtl/>
        </w:rPr>
        <w:t>על גבול הגיל בו יש לקבל תסקיר שירות מבחן בטרם הטלת עונש של מאסר בפועל</w:t>
      </w:r>
      <w:r>
        <w:rPr>
          <w:rtl/>
        </w:rPr>
        <w:t xml:space="preserve"> ובשים לב לכל שאר האמור לעיל, ולכך שהוא שהה חודשיים במעצר (מיום 15.01.2020 ועד ליום 11.03.2020) ולאחר מכן (עד היום) תקופה של 6 חודשים ו-שבוע במעצר באזוק אלקטרוני וכן בשים לב לכך שהוא מעולם לא ריצה עונש מאסר ושליחתו למאסר כיום עלולה לחבל (כאמור) בסיכויי שיקומו ולדרדרו לעולם העברייני, החלטתי </w:t>
      </w:r>
      <w:r>
        <w:rPr>
          <w:b/>
          <w:bCs/>
          <w:u w:val="single"/>
          <w:rtl/>
        </w:rPr>
        <w:t>לחרוג לגביו ממתחם העונש ההולם</w:t>
      </w:r>
      <w:r>
        <w:rPr>
          <w:rtl/>
        </w:rPr>
        <w:t xml:space="preserve"> ולהסתפק בתקופת מאסר החופפת לימי מעצרו ובתקופת שהותו באיזוק אלקטרוני בצירוף מאסר על תנאי.</w:t>
      </w:r>
    </w:p>
    <w:p w14:paraId="74DFCA8D" w14:textId="77777777" w:rsidR="00815DED" w:rsidRDefault="00815DED" w:rsidP="00815DED">
      <w:pPr>
        <w:spacing w:line="360" w:lineRule="auto"/>
        <w:jc w:val="both"/>
        <w:rPr>
          <w:rtl/>
        </w:rPr>
      </w:pPr>
    </w:p>
    <w:p w14:paraId="486A672D" w14:textId="77777777" w:rsidR="00815DED" w:rsidRDefault="00815DED" w:rsidP="00815DED">
      <w:pPr>
        <w:spacing w:line="360" w:lineRule="auto"/>
        <w:rPr>
          <w:rtl/>
        </w:rPr>
      </w:pPr>
      <w:r>
        <w:rPr>
          <w:rtl/>
        </w:rPr>
        <w:t>57.</w:t>
      </w:r>
      <w:r>
        <w:rPr>
          <w:rtl/>
        </w:rPr>
        <w:tab/>
      </w:r>
      <w:r w:rsidRPr="00113BA3">
        <w:rPr>
          <w:b/>
          <w:bCs/>
          <w:u w:val="single"/>
          <w:rtl/>
        </w:rPr>
        <w:t>לאור כל האמור, הנני גוזרת את עונשו של הנאשם</w:t>
      </w:r>
      <w:r w:rsidRPr="00113BA3">
        <w:rPr>
          <w:rFonts w:hint="cs"/>
          <w:b/>
          <w:bCs/>
          <w:u w:val="single"/>
          <w:rtl/>
        </w:rPr>
        <w:t xml:space="preserve"> 2</w:t>
      </w:r>
      <w:r w:rsidRPr="00113BA3">
        <w:rPr>
          <w:b/>
          <w:bCs/>
          <w:u w:val="single"/>
          <w:rtl/>
        </w:rPr>
        <w:t xml:space="preserve"> כדלקמן</w:t>
      </w:r>
      <w:r>
        <w:rPr>
          <w:rtl/>
        </w:rPr>
        <w:t>:</w:t>
      </w:r>
    </w:p>
    <w:p w14:paraId="35050F2D" w14:textId="77777777" w:rsidR="00815DED" w:rsidRDefault="00815DED" w:rsidP="00815DED">
      <w:pPr>
        <w:spacing w:line="360" w:lineRule="auto"/>
        <w:rPr>
          <w:rtl/>
        </w:rPr>
      </w:pPr>
    </w:p>
    <w:p w14:paraId="1E24056B" w14:textId="77777777" w:rsidR="00815DED" w:rsidRDefault="00815DED" w:rsidP="00815DED">
      <w:pPr>
        <w:spacing w:line="360" w:lineRule="auto"/>
        <w:ind w:firstLine="720"/>
        <w:jc w:val="both"/>
        <w:rPr>
          <w:rtl/>
        </w:rPr>
      </w:pPr>
      <w:r>
        <w:rPr>
          <w:rtl/>
        </w:rPr>
        <w:t>א.</w:t>
      </w:r>
      <w:r>
        <w:rPr>
          <w:rtl/>
        </w:rPr>
        <w:tab/>
        <w:t xml:space="preserve">58 ימי מאסר בפועל, בניכוי ימי מעצרו – מיום 15.1.20 ועד ליום 11.3.20.  </w:t>
      </w:r>
    </w:p>
    <w:p w14:paraId="66F0AC11" w14:textId="77777777" w:rsidR="00815DED" w:rsidRDefault="00815DED" w:rsidP="00815DED">
      <w:pPr>
        <w:spacing w:line="360" w:lineRule="auto"/>
        <w:rPr>
          <w:rtl/>
        </w:rPr>
      </w:pPr>
    </w:p>
    <w:p w14:paraId="3A05EBFB" w14:textId="77777777" w:rsidR="00815DED" w:rsidRDefault="00815DED" w:rsidP="00815DED">
      <w:pPr>
        <w:spacing w:line="360" w:lineRule="auto"/>
        <w:ind w:left="720"/>
        <w:jc w:val="both"/>
        <w:rPr>
          <w:rtl/>
        </w:rPr>
      </w:pPr>
      <w:r>
        <w:rPr>
          <w:rtl/>
        </w:rPr>
        <w:t>ב.</w:t>
      </w:r>
      <w:r>
        <w:rPr>
          <w:rtl/>
        </w:rPr>
        <w:tab/>
        <w:t>מאסר על תנאי למשך 12 חודשים, שלא יעבור בתוך 3 שנים מהיום בו ישוחרר ממאסרו הנ"ל, כל עבירה בנשק.</w:t>
      </w:r>
    </w:p>
    <w:p w14:paraId="103AD3EE" w14:textId="77777777" w:rsidR="00815DED" w:rsidRDefault="00815DED" w:rsidP="00815DED">
      <w:pPr>
        <w:spacing w:line="360" w:lineRule="auto"/>
        <w:jc w:val="both"/>
        <w:rPr>
          <w:rtl/>
        </w:rPr>
      </w:pPr>
      <w:r>
        <w:rPr>
          <w:rtl/>
        </w:rPr>
        <w:t>58.</w:t>
      </w:r>
      <w:r>
        <w:rPr>
          <w:rtl/>
        </w:rPr>
        <w:tab/>
        <w:t>אבהיר, כי הפער בענישה בין הנאשמים נובע מכל אשר נאמר לעיל, לרבות מהפרש הגילאים ביניהם, מהפער הגדול בעברם הפלילי, כאשר לחובתו של נאשם 1 הרשעות מכבידות, כולל הרשעה בעבירת נשק והוא כבר ריצה עונשי מאסר, בעוד שלחובתו של נאשם 2 הרשעה אחת בלבד בעבירה שאיננה מאותו סוג וכן מההבדל בסיכויי השיקום - הכול כפי שפורט לעיל.</w:t>
      </w:r>
    </w:p>
    <w:p w14:paraId="3BE0F979" w14:textId="77777777" w:rsidR="00815DED" w:rsidRDefault="00815DED" w:rsidP="00815DED">
      <w:pPr>
        <w:spacing w:line="360" w:lineRule="auto"/>
        <w:jc w:val="both"/>
        <w:rPr>
          <w:rtl/>
        </w:rPr>
      </w:pPr>
    </w:p>
    <w:p w14:paraId="40CF70A5" w14:textId="77777777" w:rsidR="00815DED" w:rsidRDefault="00815DED" w:rsidP="00815DED">
      <w:pPr>
        <w:rPr>
          <w:rtl/>
        </w:rPr>
      </w:pPr>
      <w:r>
        <w:rPr>
          <w:b/>
          <w:bCs/>
          <w:u w:val="single"/>
          <w:rtl/>
        </w:rPr>
        <w:t>זכות ערעור לבית המשפט העליון בתוך 45 ימים מהיום</w:t>
      </w:r>
      <w:r>
        <w:rPr>
          <w:rtl/>
        </w:rPr>
        <w:t>.</w:t>
      </w:r>
    </w:p>
    <w:p w14:paraId="7121540A" w14:textId="77777777" w:rsidR="00815DED" w:rsidRDefault="00815DED" w:rsidP="00815DED">
      <w:pPr>
        <w:rPr>
          <w:rtl/>
        </w:rPr>
      </w:pPr>
    </w:p>
    <w:p w14:paraId="26A1E544" w14:textId="77777777" w:rsidR="00815DED" w:rsidRDefault="00815DED" w:rsidP="00815DED">
      <w:pPr>
        <w:rPr>
          <w:rtl/>
        </w:rPr>
      </w:pPr>
    </w:p>
    <w:p w14:paraId="2BE52F41" w14:textId="77777777" w:rsidR="00815DED" w:rsidRDefault="0060220A" w:rsidP="00815DED">
      <w:pPr>
        <w:rPr>
          <w:rFonts w:cs="FrankRuehl"/>
          <w:sz w:val="28"/>
          <w:szCs w:val="28"/>
        </w:rPr>
      </w:pPr>
      <w:bookmarkStart w:id="8" w:name="Nitan"/>
      <w:r>
        <w:rPr>
          <w:rFonts w:ascii="Arial" w:hAnsi="Arial"/>
          <w:rtl/>
        </w:rPr>
        <w:t xml:space="preserve">ניתן היום,  כ"ח אלול תש"פ, 17 ספטמבר 2020, בהעדר הצדדים. </w:t>
      </w:r>
      <w:bookmarkEnd w:id="8"/>
    </w:p>
    <w:p w14:paraId="1252AA61" w14:textId="77777777" w:rsidR="00815DED" w:rsidRDefault="00815DED" w:rsidP="0060220A">
      <w:pPr>
        <w:jc w:val="center"/>
      </w:pPr>
      <w:r>
        <w:rPr>
          <w:rtl/>
        </w:rPr>
        <w:t xml:space="preserve">   </w:t>
      </w:r>
      <w:r>
        <w:rPr>
          <w:rtl/>
        </w:rPr>
        <w:tab/>
      </w:r>
      <w:r>
        <w:rPr>
          <w:rtl/>
        </w:rPr>
        <w:tab/>
      </w:r>
      <w:r>
        <w:rPr>
          <w:rtl/>
        </w:rPr>
        <w:tab/>
      </w:r>
      <w:r>
        <w:rPr>
          <w:rtl/>
        </w:rPr>
        <w:tab/>
      </w:r>
      <w:r>
        <w:rPr>
          <w:rtl/>
        </w:rPr>
        <w:tab/>
      </w:r>
    </w:p>
    <w:p w14:paraId="085F15F2" w14:textId="77777777" w:rsidR="00815DED" w:rsidRDefault="00815DED" w:rsidP="00815DED">
      <w:pPr>
        <w:jc w:val="center"/>
        <w:rPr>
          <w:rtl/>
        </w:rPr>
      </w:pPr>
    </w:p>
    <w:p w14:paraId="42D99C10" w14:textId="77777777" w:rsidR="00815DED" w:rsidRPr="0060220A" w:rsidRDefault="0060220A" w:rsidP="00815DED">
      <w:pPr>
        <w:rPr>
          <w:color w:val="FFFFFF"/>
          <w:sz w:val="2"/>
          <w:szCs w:val="2"/>
          <w:rtl/>
        </w:rPr>
      </w:pPr>
      <w:r w:rsidRPr="0060220A">
        <w:rPr>
          <w:color w:val="FFFFFF"/>
          <w:sz w:val="2"/>
          <w:szCs w:val="2"/>
          <w:rtl/>
        </w:rPr>
        <w:t>5129371</w:t>
      </w:r>
    </w:p>
    <w:p w14:paraId="3144DFAA" w14:textId="77777777" w:rsidR="00815DED" w:rsidRPr="0060220A" w:rsidRDefault="0060220A" w:rsidP="00815DED">
      <w:pPr>
        <w:rPr>
          <w:color w:val="FFFFFF"/>
          <w:sz w:val="2"/>
          <w:szCs w:val="2"/>
          <w:rtl/>
        </w:rPr>
      </w:pPr>
      <w:r w:rsidRPr="0060220A">
        <w:rPr>
          <w:color w:val="FFFFFF"/>
          <w:sz w:val="2"/>
          <w:szCs w:val="2"/>
          <w:rtl/>
        </w:rPr>
        <w:t>54678313</w:t>
      </w:r>
    </w:p>
    <w:p w14:paraId="3A454C08" w14:textId="77777777" w:rsidR="00815DED" w:rsidRDefault="00815DED" w:rsidP="00815DED">
      <w:pPr>
        <w:rPr>
          <w:rFonts w:cs="FrankRuehl"/>
          <w:sz w:val="28"/>
          <w:szCs w:val="28"/>
          <w:rtl/>
        </w:rPr>
      </w:pPr>
    </w:p>
    <w:p w14:paraId="0F82AF7E" w14:textId="77777777" w:rsidR="00815DED" w:rsidRDefault="00815DED" w:rsidP="00815DED">
      <w:pPr>
        <w:jc w:val="center"/>
        <w:rPr>
          <w:rFonts w:ascii="Arial" w:hAnsi="Arial" w:cs="FrankRuehl"/>
          <w:sz w:val="28"/>
          <w:szCs w:val="28"/>
          <w:rtl/>
        </w:rP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3932D6C" w14:textId="77777777" w:rsidR="0060220A" w:rsidRDefault="0060220A" w:rsidP="0060220A">
      <w:pPr>
        <w:rPr>
          <w:rtl/>
        </w:rPr>
      </w:pPr>
    </w:p>
    <w:p w14:paraId="604247FF" w14:textId="77777777" w:rsidR="0060220A" w:rsidRDefault="0060220A" w:rsidP="0060220A">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69D0F194" w14:textId="77777777" w:rsidR="008E23F3" w:rsidRPr="008E23F3" w:rsidRDefault="008E23F3" w:rsidP="008E23F3">
      <w:pPr>
        <w:keepNext/>
        <w:rPr>
          <w:rFonts w:ascii="David" w:hAnsi="David"/>
          <w:color w:val="000000"/>
          <w:sz w:val="22"/>
          <w:szCs w:val="22"/>
          <w:rtl/>
        </w:rPr>
      </w:pPr>
    </w:p>
    <w:p w14:paraId="0FD0A2D8" w14:textId="77777777" w:rsidR="008E23F3" w:rsidRPr="008E23F3" w:rsidRDefault="008E23F3" w:rsidP="008E23F3">
      <w:pPr>
        <w:keepNext/>
        <w:rPr>
          <w:rFonts w:ascii="David" w:hAnsi="David"/>
          <w:color w:val="000000"/>
          <w:sz w:val="22"/>
          <w:szCs w:val="22"/>
          <w:rtl/>
        </w:rPr>
      </w:pPr>
      <w:r w:rsidRPr="008E23F3">
        <w:rPr>
          <w:rFonts w:ascii="David" w:hAnsi="David"/>
          <w:color w:val="000000"/>
          <w:sz w:val="22"/>
          <w:szCs w:val="22"/>
          <w:rtl/>
        </w:rPr>
        <w:t>תמר שרון נתנאל 54678313-/</w:t>
      </w:r>
    </w:p>
    <w:p w14:paraId="5203F768" w14:textId="77777777" w:rsidR="0060220A" w:rsidRPr="0060220A" w:rsidRDefault="008E23F3" w:rsidP="008E23F3">
      <w:pPr>
        <w:rPr>
          <w:rFonts w:hint="cs"/>
          <w:color w:val="0000FF"/>
          <w:u w:val="single"/>
        </w:rPr>
      </w:pPr>
      <w:r w:rsidRPr="008E23F3">
        <w:rPr>
          <w:color w:val="000000"/>
          <w:u w:val="single"/>
          <w:rtl/>
        </w:rPr>
        <w:t>נוסח מסמך זה כפוף לשינויי ניסוח ועריכה</w:t>
      </w:r>
      <w:r w:rsidR="008539F9">
        <w:rPr>
          <w:rFonts w:hint="cs"/>
          <w:color w:val="0000FF"/>
          <w:u w:val="single"/>
          <w:rtl/>
        </w:rPr>
        <w:t xml:space="preserve"> </w:t>
      </w:r>
    </w:p>
    <w:sectPr w:rsidR="0060220A" w:rsidRPr="0060220A" w:rsidSect="008E23F3">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32AEA" w14:textId="77777777" w:rsidR="00F83600" w:rsidRDefault="00F83600" w:rsidP="00A673B3">
      <w:r>
        <w:separator/>
      </w:r>
    </w:p>
  </w:endnote>
  <w:endnote w:type="continuationSeparator" w:id="0">
    <w:p w14:paraId="470A3480" w14:textId="77777777" w:rsidR="00F83600" w:rsidRDefault="00F83600" w:rsidP="00A67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46E54" w14:textId="77777777" w:rsidR="008E23F3" w:rsidRDefault="008E23F3" w:rsidP="008E23F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48954F9" w14:textId="77777777" w:rsidR="001B32F5" w:rsidRPr="008E23F3" w:rsidRDefault="008E23F3" w:rsidP="008E23F3">
    <w:pPr>
      <w:pStyle w:val="a5"/>
      <w:pBdr>
        <w:top w:val="single" w:sz="4" w:space="1" w:color="auto"/>
        <w:between w:val="single" w:sz="4" w:space="0" w:color="auto"/>
      </w:pBdr>
      <w:spacing w:after="60"/>
      <w:jc w:val="center"/>
      <w:rPr>
        <w:rFonts w:ascii="FrankRuehl" w:hAnsi="FrankRuehl" w:cs="FrankRuehl"/>
        <w:color w:val="000000"/>
      </w:rPr>
    </w:pPr>
    <w:r w:rsidRPr="008E23F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22B1" w14:textId="77777777" w:rsidR="008E23F3" w:rsidRDefault="008E23F3" w:rsidP="008E23F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A79E9">
      <w:rPr>
        <w:rFonts w:ascii="FrankRuehl" w:hAnsi="FrankRuehl" w:cs="FrankRuehl"/>
        <w:noProof/>
        <w:rtl/>
      </w:rPr>
      <w:t>1</w:t>
    </w:r>
    <w:r>
      <w:rPr>
        <w:rFonts w:ascii="FrankRuehl" w:hAnsi="FrankRuehl" w:cs="FrankRuehl"/>
        <w:rtl/>
      </w:rPr>
      <w:fldChar w:fldCharType="end"/>
    </w:r>
  </w:p>
  <w:p w14:paraId="58ABA456" w14:textId="77777777" w:rsidR="001B32F5" w:rsidRPr="008E23F3" w:rsidRDefault="008E23F3" w:rsidP="008E23F3">
    <w:pPr>
      <w:pStyle w:val="a5"/>
      <w:pBdr>
        <w:top w:val="single" w:sz="4" w:space="1" w:color="auto"/>
        <w:between w:val="single" w:sz="4" w:space="0" w:color="auto"/>
      </w:pBdr>
      <w:spacing w:after="60"/>
      <w:jc w:val="center"/>
      <w:rPr>
        <w:rFonts w:ascii="FrankRuehl" w:hAnsi="FrankRuehl" w:cs="FrankRuehl"/>
        <w:color w:val="000000"/>
      </w:rPr>
    </w:pPr>
    <w:r w:rsidRPr="008E23F3">
      <w:rPr>
        <w:rFonts w:ascii="FrankRuehl" w:hAnsi="FrankRuehl" w:cs="FrankRuehl"/>
        <w:color w:val="000000"/>
      </w:rPr>
      <w:pict w14:anchorId="16E0D3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BDC127" w14:textId="77777777" w:rsidR="00F83600" w:rsidRDefault="00F83600" w:rsidP="00A673B3">
      <w:r>
        <w:separator/>
      </w:r>
    </w:p>
  </w:footnote>
  <w:footnote w:type="continuationSeparator" w:id="0">
    <w:p w14:paraId="46DCC477" w14:textId="77777777" w:rsidR="00F83600" w:rsidRDefault="00F83600" w:rsidP="00A67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B129F" w14:textId="77777777" w:rsidR="0060220A" w:rsidRPr="008E23F3" w:rsidRDefault="008E23F3" w:rsidP="008E23F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58701-01-20</w:t>
    </w:r>
    <w:r>
      <w:rPr>
        <w:rFonts w:ascii="David" w:hAnsi="David"/>
        <w:color w:val="000000"/>
        <w:sz w:val="22"/>
        <w:szCs w:val="22"/>
        <w:rtl/>
      </w:rPr>
      <w:tab/>
      <w:t xml:space="preserve"> מדינת ישראל נ' פאדי דרויש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7D857" w14:textId="77777777" w:rsidR="0060220A" w:rsidRPr="008E23F3" w:rsidRDefault="008E23F3" w:rsidP="008E23F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58701-01-20</w:t>
    </w:r>
    <w:r>
      <w:rPr>
        <w:rFonts w:ascii="David" w:hAnsi="David"/>
        <w:color w:val="000000"/>
        <w:sz w:val="22"/>
        <w:szCs w:val="22"/>
        <w:rtl/>
      </w:rPr>
      <w:tab/>
      <w:t xml:space="preserve"> מדינת ישראל נ' פאדי דרויש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15DED"/>
    <w:rsid w:val="001B32F5"/>
    <w:rsid w:val="001C37F1"/>
    <w:rsid w:val="002A11D7"/>
    <w:rsid w:val="0060220A"/>
    <w:rsid w:val="00815DED"/>
    <w:rsid w:val="008539F9"/>
    <w:rsid w:val="008E23F3"/>
    <w:rsid w:val="00A51CBD"/>
    <w:rsid w:val="00A673B3"/>
    <w:rsid w:val="00BB1F35"/>
    <w:rsid w:val="00BE1168"/>
    <w:rsid w:val="00BF073C"/>
    <w:rsid w:val="00C501AB"/>
    <w:rsid w:val="00C52E78"/>
    <w:rsid w:val="00E36DDB"/>
    <w:rsid w:val="00EA79E9"/>
    <w:rsid w:val="00F836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468A6D"/>
  <w15:chartTrackingRefBased/>
  <w15:docId w15:val="{012B6AAD-767B-4EF9-B34B-A393F264F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15DE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15DED"/>
    <w:pPr>
      <w:tabs>
        <w:tab w:val="center" w:pos="4153"/>
        <w:tab w:val="right" w:pos="8306"/>
      </w:tabs>
    </w:pPr>
  </w:style>
  <w:style w:type="character" w:customStyle="1" w:styleId="a4">
    <w:name w:val="כותרת עליונה תו"/>
    <w:link w:val="a3"/>
    <w:rsid w:val="00815DED"/>
    <w:rPr>
      <w:rFonts w:ascii="Times New Roman" w:eastAsia="Times New Roman" w:hAnsi="Times New Roman" w:cs="David"/>
      <w:sz w:val="24"/>
      <w:szCs w:val="24"/>
    </w:rPr>
  </w:style>
  <w:style w:type="paragraph" w:styleId="a5">
    <w:name w:val="footer"/>
    <w:basedOn w:val="a"/>
    <w:link w:val="a6"/>
    <w:rsid w:val="00815DED"/>
    <w:pPr>
      <w:tabs>
        <w:tab w:val="center" w:pos="4153"/>
        <w:tab w:val="right" w:pos="8306"/>
      </w:tabs>
    </w:pPr>
  </w:style>
  <w:style w:type="character" w:customStyle="1" w:styleId="a6">
    <w:name w:val="כותרת תחתונה תו"/>
    <w:link w:val="a5"/>
    <w:rsid w:val="00815DED"/>
    <w:rPr>
      <w:rFonts w:ascii="Times New Roman" w:eastAsia="Times New Roman" w:hAnsi="Times New Roman" w:cs="David"/>
      <w:sz w:val="24"/>
      <w:szCs w:val="24"/>
    </w:rPr>
  </w:style>
  <w:style w:type="table" w:styleId="a7">
    <w:name w:val="Table Grid"/>
    <w:basedOn w:val="a1"/>
    <w:rsid w:val="00815DE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15DED"/>
  </w:style>
  <w:style w:type="character" w:customStyle="1" w:styleId="TimesNewRomanTimesNewRoman">
    <w:name w:val="סגנון (לטיני) Times New Roman (עברית ושפות אחרות) Times New Roman..."/>
    <w:rsid w:val="00815DED"/>
    <w:rPr>
      <w:rFonts w:ascii="Times New Roman" w:hAnsi="Times New Roman" w:cs="David" w:hint="default"/>
      <w:b/>
      <w:bCs/>
      <w:sz w:val="26"/>
      <w:szCs w:val="26"/>
    </w:rPr>
  </w:style>
  <w:style w:type="character" w:styleId="Hyperlink">
    <w:name w:val="Hyperlink"/>
    <w:rsid w:val="00815D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460494" TargetMode="External"/><Relationship Id="rId39" Type="http://schemas.openxmlformats.org/officeDocument/2006/relationships/fontTable" Target="fontTable.xml"/><Relationship Id="rId21" Type="http://schemas.openxmlformats.org/officeDocument/2006/relationships/hyperlink" Target="http://www.nevo.co.il/case/5821327"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40b" TargetMode="External"/><Relationship Id="rId12" Type="http://schemas.openxmlformats.org/officeDocument/2006/relationships/hyperlink" Target="http://www.nevo.co.il/law/70301/499" TargetMode="External"/><Relationship Id="rId17" Type="http://schemas.openxmlformats.org/officeDocument/2006/relationships/hyperlink" Target="http://www.nevo.co.il/case/22938500" TargetMode="External"/><Relationship Id="rId25" Type="http://schemas.openxmlformats.org/officeDocument/2006/relationships/hyperlink" Target="http://www.nevo.co.il/case/5598555" TargetMode="External"/><Relationship Id="rId33" Type="http://schemas.openxmlformats.org/officeDocument/2006/relationships/hyperlink" Target="http://www.nevo.co.il/law/70301/40ja.6" TargetMode="External"/><Relationship Id="rId38"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20487019" TargetMode="External"/><Relationship Id="rId20" Type="http://schemas.openxmlformats.org/officeDocument/2006/relationships/hyperlink" Target="http://www.nevo.co.il/case/5594385" TargetMode="External"/><Relationship Id="rId29" Type="http://schemas.openxmlformats.org/officeDocument/2006/relationships/hyperlink" Target="http://www.nevo.co.il/case/20487019"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99" TargetMode="External"/><Relationship Id="rId24" Type="http://schemas.openxmlformats.org/officeDocument/2006/relationships/hyperlink" Target="http://www.nevo.co.il/case/2875710" TargetMode="External"/><Relationship Id="rId32" Type="http://schemas.openxmlformats.org/officeDocument/2006/relationships/hyperlink" Target="http://www.nevo.co.il/law/70301/40ja.4"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878120" TargetMode="External"/><Relationship Id="rId28" Type="http://schemas.openxmlformats.org/officeDocument/2006/relationships/hyperlink" Target="http://www.nevo.co.il/case/18128667" TargetMode="External"/><Relationship Id="rId36" Type="http://schemas.openxmlformats.org/officeDocument/2006/relationships/header" Target="header2.xml"/><Relationship Id="rId10" Type="http://schemas.openxmlformats.org/officeDocument/2006/relationships/hyperlink" Target="http://www.nevo.co.il/law/70301/40ja.6" TargetMode="External"/><Relationship Id="rId19" Type="http://schemas.openxmlformats.org/officeDocument/2006/relationships/hyperlink" Target="http://www.nevo.co.il/law/70301/40b"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40ja.4"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5958231" TargetMode="External"/><Relationship Id="rId27" Type="http://schemas.openxmlformats.org/officeDocument/2006/relationships/hyperlink" Target="http://www.nevo.co.il/case/5610199" TargetMode="External"/><Relationship Id="rId30" Type="http://schemas.openxmlformats.org/officeDocument/2006/relationships/hyperlink" Target="http://www.nevo.co.il/law/70301" TargetMode="External"/><Relationship Id="rId35" Type="http://schemas.openxmlformats.org/officeDocument/2006/relationships/header" Target="header1.xml"/><Relationship Id="rId8" Type="http://schemas.openxmlformats.org/officeDocument/2006/relationships/hyperlink" Target="http://www.nevo.co.il/law/70301/144.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4036</Words>
  <Characters>20180</Characters>
  <Application>Microsoft Office Word</Application>
  <DocSecurity>0</DocSecurity>
  <Lines>168</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24168</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3276837</vt:i4>
      </vt:variant>
      <vt:variant>
        <vt:i4>81</vt:i4>
      </vt:variant>
      <vt:variant>
        <vt:i4>0</vt:i4>
      </vt:variant>
      <vt:variant>
        <vt:i4>5</vt:i4>
      </vt:variant>
      <vt:variant>
        <vt:lpwstr>http://www.nevo.co.il/law/70301/40ja.6</vt:lpwstr>
      </vt:variant>
      <vt:variant>
        <vt:lpwstr/>
      </vt:variant>
      <vt:variant>
        <vt:i4>3145765</vt:i4>
      </vt:variant>
      <vt:variant>
        <vt:i4>78</vt:i4>
      </vt:variant>
      <vt:variant>
        <vt:i4>0</vt:i4>
      </vt:variant>
      <vt:variant>
        <vt:i4>5</vt:i4>
      </vt:variant>
      <vt:variant>
        <vt:lpwstr>http://www.nevo.co.il/law/70301/40ja.4</vt:lpwstr>
      </vt:variant>
      <vt:variant>
        <vt:lpwstr/>
      </vt:variant>
      <vt:variant>
        <vt:i4>7995492</vt:i4>
      </vt:variant>
      <vt:variant>
        <vt:i4>75</vt:i4>
      </vt:variant>
      <vt:variant>
        <vt:i4>0</vt:i4>
      </vt:variant>
      <vt:variant>
        <vt:i4>5</vt:i4>
      </vt:variant>
      <vt:variant>
        <vt:lpwstr>http://www.nevo.co.il/law/70301</vt:lpwstr>
      </vt:variant>
      <vt:variant>
        <vt:lpwstr/>
      </vt:variant>
      <vt:variant>
        <vt:i4>7995492</vt:i4>
      </vt:variant>
      <vt:variant>
        <vt:i4>72</vt:i4>
      </vt:variant>
      <vt:variant>
        <vt:i4>0</vt:i4>
      </vt:variant>
      <vt:variant>
        <vt:i4>5</vt:i4>
      </vt:variant>
      <vt:variant>
        <vt:lpwstr>http://www.nevo.co.il/law/70301</vt:lpwstr>
      </vt:variant>
      <vt:variant>
        <vt:lpwstr/>
      </vt:variant>
      <vt:variant>
        <vt:i4>3145852</vt:i4>
      </vt:variant>
      <vt:variant>
        <vt:i4>69</vt:i4>
      </vt:variant>
      <vt:variant>
        <vt:i4>0</vt:i4>
      </vt:variant>
      <vt:variant>
        <vt:i4>5</vt:i4>
      </vt:variant>
      <vt:variant>
        <vt:lpwstr>http://www.nevo.co.il/case/20487019</vt:lpwstr>
      </vt:variant>
      <vt:variant>
        <vt:lpwstr/>
      </vt:variant>
      <vt:variant>
        <vt:i4>4063352</vt:i4>
      </vt:variant>
      <vt:variant>
        <vt:i4>66</vt:i4>
      </vt:variant>
      <vt:variant>
        <vt:i4>0</vt:i4>
      </vt:variant>
      <vt:variant>
        <vt:i4>5</vt:i4>
      </vt:variant>
      <vt:variant>
        <vt:lpwstr>http://www.nevo.co.il/case/18128667</vt:lpwstr>
      </vt:variant>
      <vt:variant>
        <vt:lpwstr/>
      </vt:variant>
      <vt:variant>
        <vt:i4>3932283</vt:i4>
      </vt:variant>
      <vt:variant>
        <vt:i4>63</vt:i4>
      </vt:variant>
      <vt:variant>
        <vt:i4>0</vt:i4>
      </vt:variant>
      <vt:variant>
        <vt:i4>5</vt:i4>
      </vt:variant>
      <vt:variant>
        <vt:lpwstr>http://www.nevo.co.il/case/5610199</vt:lpwstr>
      </vt:variant>
      <vt:variant>
        <vt:lpwstr/>
      </vt:variant>
      <vt:variant>
        <vt:i4>3342457</vt:i4>
      </vt:variant>
      <vt:variant>
        <vt:i4>60</vt:i4>
      </vt:variant>
      <vt:variant>
        <vt:i4>0</vt:i4>
      </vt:variant>
      <vt:variant>
        <vt:i4>5</vt:i4>
      </vt:variant>
      <vt:variant>
        <vt:lpwstr>http://www.nevo.co.il/case/5460494</vt:lpwstr>
      </vt:variant>
      <vt:variant>
        <vt:lpwstr/>
      </vt:variant>
      <vt:variant>
        <vt:i4>3932284</vt:i4>
      </vt:variant>
      <vt:variant>
        <vt:i4>57</vt:i4>
      </vt:variant>
      <vt:variant>
        <vt:i4>0</vt:i4>
      </vt:variant>
      <vt:variant>
        <vt:i4>5</vt:i4>
      </vt:variant>
      <vt:variant>
        <vt:lpwstr>http://www.nevo.co.il/case/5598555</vt:lpwstr>
      </vt:variant>
      <vt:variant>
        <vt:lpwstr/>
      </vt:variant>
      <vt:variant>
        <vt:i4>3276920</vt:i4>
      </vt:variant>
      <vt:variant>
        <vt:i4>54</vt:i4>
      </vt:variant>
      <vt:variant>
        <vt:i4>0</vt:i4>
      </vt:variant>
      <vt:variant>
        <vt:i4>5</vt:i4>
      </vt:variant>
      <vt:variant>
        <vt:lpwstr>http://www.nevo.co.il/case/2875710</vt:lpwstr>
      </vt:variant>
      <vt:variant>
        <vt:lpwstr/>
      </vt:variant>
      <vt:variant>
        <vt:i4>3342454</vt:i4>
      </vt:variant>
      <vt:variant>
        <vt:i4>51</vt:i4>
      </vt:variant>
      <vt:variant>
        <vt:i4>0</vt:i4>
      </vt:variant>
      <vt:variant>
        <vt:i4>5</vt:i4>
      </vt:variant>
      <vt:variant>
        <vt:lpwstr>http://www.nevo.co.il/case/5878120</vt:lpwstr>
      </vt:variant>
      <vt:variant>
        <vt:lpwstr/>
      </vt:variant>
      <vt:variant>
        <vt:i4>3342454</vt:i4>
      </vt:variant>
      <vt:variant>
        <vt:i4>48</vt:i4>
      </vt:variant>
      <vt:variant>
        <vt:i4>0</vt:i4>
      </vt:variant>
      <vt:variant>
        <vt:i4>5</vt:i4>
      </vt:variant>
      <vt:variant>
        <vt:lpwstr>http://www.nevo.co.il/case/5958231</vt:lpwstr>
      </vt:variant>
      <vt:variant>
        <vt:lpwstr/>
      </vt:variant>
      <vt:variant>
        <vt:i4>3342463</vt:i4>
      </vt:variant>
      <vt:variant>
        <vt:i4>45</vt:i4>
      </vt:variant>
      <vt:variant>
        <vt:i4>0</vt:i4>
      </vt:variant>
      <vt:variant>
        <vt:i4>5</vt:i4>
      </vt:variant>
      <vt:variant>
        <vt:lpwstr>http://www.nevo.co.il/case/5821327</vt:lpwstr>
      </vt:variant>
      <vt:variant>
        <vt:lpwstr/>
      </vt:variant>
      <vt:variant>
        <vt:i4>3801213</vt:i4>
      </vt:variant>
      <vt:variant>
        <vt:i4>42</vt:i4>
      </vt:variant>
      <vt:variant>
        <vt:i4>0</vt:i4>
      </vt:variant>
      <vt:variant>
        <vt:i4>5</vt:i4>
      </vt:variant>
      <vt:variant>
        <vt:lpwstr>http://www.nevo.co.il/case/5594385</vt:lpwstr>
      </vt:variant>
      <vt:variant>
        <vt:lpwstr/>
      </vt:variant>
      <vt:variant>
        <vt:i4>6619233</vt:i4>
      </vt:variant>
      <vt:variant>
        <vt:i4>39</vt:i4>
      </vt:variant>
      <vt:variant>
        <vt:i4>0</vt:i4>
      </vt:variant>
      <vt:variant>
        <vt:i4>5</vt:i4>
      </vt:variant>
      <vt:variant>
        <vt:lpwstr>http://www.nevo.co.il/law/70301/40b</vt:lpwstr>
      </vt:variant>
      <vt:variant>
        <vt:lpwstr/>
      </vt:variant>
      <vt:variant>
        <vt:i4>7995492</vt:i4>
      </vt:variant>
      <vt:variant>
        <vt:i4>36</vt:i4>
      </vt:variant>
      <vt:variant>
        <vt:i4>0</vt:i4>
      </vt:variant>
      <vt:variant>
        <vt:i4>5</vt:i4>
      </vt:variant>
      <vt:variant>
        <vt:lpwstr>http://www.nevo.co.il/law/70301</vt:lpwstr>
      </vt:variant>
      <vt:variant>
        <vt:lpwstr/>
      </vt:variant>
      <vt:variant>
        <vt:i4>3342448</vt:i4>
      </vt:variant>
      <vt:variant>
        <vt:i4>33</vt:i4>
      </vt:variant>
      <vt:variant>
        <vt:i4>0</vt:i4>
      </vt:variant>
      <vt:variant>
        <vt:i4>5</vt:i4>
      </vt:variant>
      <vt:variant>
        <vt:lpwstr>http://www.nevo.co.il/case/22938500</vt:lpwstr>
      </vt:variant>
      <vt:variant>
        <vt:lpwstr/>
      </vt:variant>
      <vt:variant>
        <vt:i4>3145852</vt:i4>
      </vt:variant>
      <vt:variant>
        <vt:i4>30</vt:i4>
      </vt:variant>
      <vt:variant>
        <vt:i4>0</vt:i4>
      </vt:variant>
      <vt:variant>
        <vt:i4>5</vt:i4>
      </vt:variant>
      <vt:variant>
        <vt:lpwstr>http://www.nevo.co.il/case/20487019</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7077985</vt:i4>
      </vt:variant>
      <vt:variant>
        <vt:i4>18</vt:i4>
      </vt:variant>
      <vt:variant>
        <vt:i4>0</vt:i4>
      </vt:variant>
      <vt:variant>
        <vt:i4>5</vt:i4>
      </vt:variant>
      <vt:variant>
        <vt:lpwstr>http://www.nevo.co.il/law/70301/499</vt:lpwstr>
      </vt:variant>
      <vt:variant>
        <vt:lpwstr/>
      </vt:variant>
      <vt:variant>
        <vt:i4>7077985</vt:i4>
      </vt:variant>
      <vt:variant>
        <vt:i4>15</vt:i4>
      </vt:variant>
      <vt:variant>
        <vt:i4>0</vt:i4>
      </vt:variant>
      <vt:variant>
        <vt:i4>5</vt:i4>
      </vt:variant>
      <vt:variant>
        <vt:lpwstr>http://www.nevo.co.il/law/70301/499</vt:lpwstr>
      </vt:variant>
      <vt:variant>
        <vt:lpwstr/>
      </vt:variant>
      <vt:variant>
        <vt:i4>3276837</vt:i4>
      </vt:variant>
      <vt:variant>
        <vt:i4>12</vt:i4>
      </vt:variant>
      <vt:variant>
        <vt:i4>0</vt:i4>
      </vt:variant>
      <vt:variant>
        <vt:i4>5</vt:i4>
      </vt:variant>
      <vt:variant>
        <vt:lpwstr>http://www.nevo.co.il/law/70301/40ja.6</vt:lpwstr>
      </vt:variant>
      <vt:variant>
        <vt:lpwstr/>
      </vt:variant>
      <vt:variant>
        <vt:i4>3145765</vt:i4>
      </vt:variant>
      <vt:variant>
        <vt:i4>9</vt:i4>
      </vt:variant>
      <vt:variant>
        <vt:i4>0</vt:i4>
      </vt:variant>
      <vt:variant>
        <vt:i4>5</vt:i4>
      </vt:variant>
      <vt:variant>
        <vt:lpwstr>http://www.nevo.co.il/law/70301/40ja.4</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2025-04-25T10:45:00Z</dcterms:created>
  <dcterms:modified xsi:type="dcterms:W3CDTF">2025-04-25T10:45:00Z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58701</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פאדי דרויש;רעד יאסין</vt:lpwstr>
  </property>
  <property fmtid="{D5CDD505-2E9C-101B-9397-08002B2CF9AE}" pid="10" name="LAWYER">
    <vt:lpwstr>אדם סרי;כאמיל עודה; ג'ריס ברהום;חאתם סעב</vt:lpwstr>
  </property>
  <property fmtid="{D5CDD505-2E9C-101B-9397-08002B2CF9AE}" pid="11" name="JUDGE">
    <vt:lpwstr>תמר שרון נתנאל</vt:lpwstr>
  </property>
  <property fmtid="{D5CDD505-2E9C-101B-9397-08002B2CF9AE}" pid="12" name="CITY">
    <vt:lpwstr>חי'</vt:lpwstr>
  </property>
  <property fmtid="{D5CDD505-2E9C-101B-9397-08002B2CF9AE}" pid="13" name="DATE">
    <vt:lpwstr>20200917</vt:lpwstr>
  </property>
  <property fmtid="{D5CDD505-2E9C-101B-9397-08002B2CF9AE}" pid="14" name="TYPE_N_DATE">
    <vt:lpwstr>39020200917</vt:lpwstr>
  </property>
  <property fmtid="{D5CDD505-2E9C-101B-9397-08002B2CF9AE}" pid="15" name="WORDNUMPAGES">
    <vt:lpwstr>14</vt:lpwstr>
  </property>
  <property fmtid="{D5CDD505-2E9C-101B-9397-08002B2CF9AE}" pid="16" name="TYPE_ABS_DATE">
    <vt:lpwstr>390020200917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20487019:2;5594385;5821327;5958231;5878120;2875710;5598555;5460494;5610199;18128667</vt:lpwstr>
  </property>
  <property fmtid="{D5CDD505-2E9C-101B-9397-08002B2CF9AE}" pid="36" name="LAWLISTTMP1">
    <vt:lpwstr>70301/499;144.a;040b;40ja.4;40ja.6</vt:lpwstr>
  </property>
</Properties>
</file>