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A510DD" w:rsidRPr="003A0856" w14:paraId="5FD9AC69" w14:textId="77777777" w:rsidTr="009C0673">
        <w:trPr>
          <w:trHeight w:hRule="exact" w:val="418"/>
          <w:jc w:val="center"/>
        </w:trPr>
        <w:tc>
          <w:tcPr>
            <w:tcW w:w="8721" w:type="dxa"/>
            <w:gridSpan w:val="2"/>
          </w:tcPr>
          <w:p w14:paraId="4A2A9D19" w14:textId="77777777" w:rsidR="00A510DD" w:rsidRPr="003A0856" w:rsidRDefault="00A510DD" w:rsidP="005A70AD">
            <w:pPr>
              <w:pStyle w:val="a3"/>
              <w:jc w:val="center"/>
              <w:rPr>
                <w:rFonts w:ascii="Tahoma" w:hAnsi="Tahoma" w:cs="Tahoma"/>
                <w:color w:val="000080"/>
                <w:rtl/>
              </w:rPr>
            </w:pPr>
            <w:bookmarkStart w:id="0" w:name="LastJudge"/>
            <w:r w:rsidRPr="003A0856">
              <w:rPr>
                <w:rFonts w:ascii="Tahoma" w:hAnsi="Tahoma" w:cs="Tahoma"/>
                <w:b/>
                <w:bCs/>
                <w:color w:val="000080"/>
                <w:rtl/>
              </w:rPr>
              <w:t>בית המשפט המחוזי בירושלים</w:t>
            </w:r>
          </w:p>
        </w:tc>
      </w:tr>
      <w:tr w:rsidR="00A510DD" w:rsidRPr="003A0856" w14:paraId="649D3C07" w14:textId="77777777" w:rsidTr="009C0673">
        <w:trPr>
          <w:trHeight w:val="337"/>
          <w:jc w:val="center"/>
        </w:trPr>
        <w:tc>
          <w:tcPr>
            <w:tcW w:w="5058" w:type="dxa"/>
          </w:tcPr>
          <w:p w14:paraId="3CB81A4D" w14:textId="77777777" w:rsidR="00A510DD" w:rsidRPr="003A0856" w:rsidRDefault="00A510DD" w:rsidP="005A70AD">
            <w:pPr>
              <w:rPr>
                <w:rFonts w:cs="FrankRuehl"/>
                <w:sz w:val="28"/>
                <w:szCs w:val="28"/>
                <w:rtl/>
              </w:rPr>
            </w:pPr>
            <w:r w:rsidRPr="003A0856">
              <w:rPr>
                <w:rFonts w:cs="FrankRuehl"/>
                <w:sz w:val="28"/>
                <w:szCs w:val="28"/>
                <w:rtl/>
              </w:rPr>
              <w:t>ת"פ</w:t>
            </w:r>
            <w:r w:rsidRPr="003A0856">
              <w:rPr>
                <w:rFonts w:cs="FrankRuehl" w:hint="cs"/>
                <w:sz w:val="28"/>
                <w:szCs w:val="28"/>
                <w:rtl/>
              </w:rPr>
              <w:t xml:space="preserve"> </w:t>
            </w:r>
            <w:r w:rsidRPr="003A0856">
              <w:rPr>
                <w:rFonts w:cs="FrankRuehl"/>
                <w:sz w:val="28"/>
                <w:szCs w:val="28"/>
                <w:rtl/>
              </w:rPr>
              <w:t>20477-02-20</w:t>
            </w:r>
            <w:r w:rsidRPr="003A0856">
              <w:rPr>
                <w:rFonts w:cs="FrankRuehl" w:hint="cs"/>
                <w:sz w:val="28"/>
                <w:szCs w:val="28"/>
                <w:rtl/>
              </w:rPr>
              <w:t xml:space="preserve"> </w:t>
            </w:r>
            <w:r w:rsidRPr="003A0856">
              <w:rPr>
                <w:rFonts w:cs="FrankRuehl"/>
                <w:sz w:val="28"/>
                <w:szCs w:val="28"/>
                <w:rtl/>
              </w:rPr>
              <w:t>מדינת ישראל נ' מזערו(עציר)</w:t>
            </w:r>
          </w:p>
          <w:p w14:paraId="7DD5D3DC" w14:textId="77777777" w:rsidR="00A510DD" w:rsidRPr="003A0856" w:rsidRDefault="00A510DD" w:rsidP="005A70AD">
            <w:pPr>
              <w:pStyle w:val="a3"/>
              <w:rPr>
                <w:rFonts w:cs="FrankRuehl"/>
                <w:sz w:val="28"/>
                <w:szCs w:val="28"/>
                <w:rtl/>
              </w:rPr>
            </w:pPr>
          </w:p>
        </w:tc>
        <w:tc>
          <w:tcPr>
            <w:tcW w:w="3663" w:type="dxa"/>
          </w:tcPr>
          <w:p w14:paraId="0F2DA19A" w14:textId="77777777" w:rsidR="00A510DD" w:rsidRPr="003A0856" w:rsidRDefault="00A510DD" w:rsidP="005A70AD">
            <w:pPr>
              <w:pStyle w:val="a3"/>
              <w:jc w:val="right"/>
              <w:rPr>
                <w:rFonts w:cs="FrankRuehl"/>
                <w:sz w:val="28"/>
                <w:szCs w:val="28"/>
                <w:rtl/>
              </w:rPr>
            </w:pPr>
          </w:p>
        </w:tc>
      </w:tr>
    </w:tbl>
    <w:p w14:paraId="7F14C363" w14:textId="77777777" w:rsidR="00A510DD" w:rsidRPr="003A0856" w:rsidRDefault="00A510DD" w:rsidP="00A510DD">
      <w:pPr>
        <w:pStyle w:val="a3"/>
        <w:rPr>
          <w:sz w:val="2"/>
          <w:szCs w:val="2"/>
          <w:rtl/>
        </w:rPr>
      </w:pPr>
    </w:p>
    <w:p w14:paraId="5A98ADEA" w14:textId="77777777" w:rsidR="00A510DD" w:rsidRPr="003A0856" w:rsidRDefault="00A510DD" w:rsidP="00A510DD">
      <w:pPr>
        <w:rPr>
          <w:rFonts w:ascii="David" w:hAnsi="David"/>
          <w:b/>
          <w:bCs/>
          <w:sz w:val="28"/>
          <w:szCs w:val="28"/>
          <w:rtl/>
        </w:rPr>
      </w:pPr>
    </w:p>
    <w:p w14:paraId="2E54DB13" w14:textId="77777777" w:rsidR="00A510DD" w:rsidRPr="003A0856" w:rsidRDefault="00A510DD" w:rsidP="00A510DD">
      <w:pPr>
        <w:rPr>
          <w:rFonts w:ascii="David" w:hAnsi="David"/>
          <w:b/>
          <w:bCs/>
          <w:sz w:val="28"/>
          <w:szCs w:val="28"/>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225"/>
        <w:gridCol w:w="3546"/>
      </w:tblGrid>
      <w:tr w:rsidR="00A510DD" w:rsidRPr="003A0856" w14:paraId="63FBA5E5" w14:textId="77777777" w:rsidTr="00A510DD">
        <w:trPr>
          <w:trHeight w:val="295"/>
          <w:jc w:val="center"/>
        </w:trPr>
        <w:tc>
          <w:tcPr>
            <w:tcW w:w="923" w:type="dxa"/>
            <w:tcBorders>
              <w:top w:val="nil"/>
              <w:left w:val="nil"/>
              <w:bottom w:val="nil"/>
              <w:right w:val="nil"/>
            </w:tcBorders>
            <w:shd w:val="clear" w:color="auto" w:fill="auto"/>
          </w:tcPr>
          <w:p w14:paraId="0865456B" w14:textId="77777777" w:rsidR="00A510DD" w:rsidRPr="003A0856" w:rsidRDefault="00A510DD" w:rsidP="00A510DD">
            <w:pPr>
              <w:jc w:val="both"/>
              <w:rPr>
                <w:rFonts w:ascii="David" w:hAnsi="David"/>
                <w:b/>
                <w:bCs/>
                <w:sz w:val="26"/>
                <w:szCs w:val="26"/>
              </w:rPr>
            </w:pPr>
            <w:r w:rsidRPr="003A0856">
              <w:rPr>
                <w:rFonts w:ascii="David" w:hAnsi="David"/>
                <w:b/>
                <w:bCs/>
                <w:sz w:val="26"/>
                <w:szCs w:val="26"/>
                <w:rtl/>
              </w:rPr>
              <w:t xml:space="preserve">לפני </w:t>
            </w:r>
          </w:p>
        </w:tc>
        <w:tc>
          <w:tcPr>
            <w:tcW w:w="7897" w:type="dxa"/>
            <w:gridSpan w:val="3"/>
            <w:tcBorders>
              <w:top w:val="nil"/>
              <w:left w:val="nil"/>
              <w:bottom w:val="nil"/>
              <w:right w:val="nil"/>
            </w:tcBorders>
            <w:shd w:val="clear" w:color="auto" w:fill="auto"/>
          </w:tcPr>
          <w:p w14:paraId="3024C15C" w14:textId="77777777" w:rsidR="00A510DD" w:rsidRPr="003A0856" w:rsidRDefault="00A510DD" w:rsidP="005A70AD">
            <w:pPr>
              <w:rPr>
                <w:rFonts w:ascii="David" w:hAnsi="David"/>
                <w:b/>
                <w:bCs/>
                <w:sz w:val="26"/>
                <w:szCs w:val="26"/>
                <w:rtl/>
              </w:rPr>
            </w:pPr>
            <w:r w:rsidRPr="003A0856">
              <w:rPr>
                <w:rFonts w:ascii="David" w:hAnsi="David"/>
                <w:b/>
                <w:bCs/>
                <w:sz w:val="26"/>
                <w:szCs w:val="26"/>
                <w:rtl/>
              </w:rPr>
              <w:t>כבוד השופטת  חנה מרים לומפ</w:t>
            </w:r>
          </w:p>
          <w:p w14:paraId="0D1AB5B3" w14:textId="77777777" w:rsidR="00A510DD" w:rsidRPr="003A0856" w:rsidRDefault="00A510DD" w:rsidP="005A70AD">
            <w:pPr>
              <w:rPr>
                <w:rFonts w:ascii="David" w:hAnsi="David"/>
                <w:b/>
                <w:bCs/>
                <w:sz w:val="26"/>
                <w:szCs w:val="26"/>
                <w:rtl/>
              </w:rPr>
            </w:pPr>
          </w:p>
          <w:p w14:paraId="54B94E3F" w14:textId="77777777" w:rsidR="00A510DD" w:rsidRPr="003A0856" w:rsidRDefault="00A510DD" w:rsidP="00A510DD">
            <w:pPr>
              <w:jc w:val="both"/>
              <w:rPr>
                <w:rFonts w:ascii="David" w:hAnsi="David"/>
                <w:b/>
                <w:bCs/>
                <w:sz w:val="26"/>
                <w:szCs w:val="26"/>
              </w:rPr>
            </w:pPr>
          </w:p>
        </w:tc>
      </w:tr>
      <w:tr w:rsidR="00A510DD" w:rsidRPr="003A0856" w14:paraId="335461BF" w14:textId="77777777" w:rsidTr="00A510DD">
        <w:trPr>
          <w:trHeight w:val="355"/>
          <w:jc w:val="center"/>
        </w:trPr>
        <w:tc>
          <w:tcPr>
            <w:tcW w:w="923" w:type="dxa"/>
            <w:tcBorders>
              <w:top w:val="nil"/>
              <w:left w:val="nil"/>
              <w:bottom w:val="nil"/>
              <w:right w:val="nil"/>
            </w:tcBorders>
            <w:shd w:val="clear" w:color="auto" w:fill="auto"/>
          </w:tcPr>
          <w:p w14:paraId="48182852" w14:textId="77777777" w:rsidR="00A510DD" w:rsidRPr="003A0856" w:rsidRDefault="00A510DD" w:rsidP="00A510DD">
            <w:pPr>
              <w:jc w:val="both"/>
              <w:rPr>
                <w:rFonts w:ascii="David" w:hAnsi="David"/>
                <w:b/>
                <w:bCs/>
                <w:sz w:val="26"/>
                <w:szCs w:val="26"/>
              </w:rPr>
            </w:pPr>
            <w:bookmarkStart w:id="1" w:name="FirstAppellant"/>
            <w:bookmarkStart w:id="2" w:name="FirstLawyer"/>
            <w:r w:rsidRPr="003A0856">
              <w:rPr>
                <w:rFonts w:ascii="David" w:hAnsi="David"/>
                <w:b/>
                <w:bCs/>
                <w:sz w:val="26"/>
                <w:szCs w:val="26"/>
                <w:rtl/>
              </w:rPr>
              <w:t>בעניין:</w:t>
            </w:r>
          </w:p>
        </w:tc>
        <w:tc>
          <w:tcPr>
            <w:tcW w:w="4351" w:type="dxa"/>
            <w:gridSpan w:val="2"/>
            <w:tcBorders>
              <w:top w:val="nil"/>
              <w:left w:val="nil"/>
              <w:bottom w:val="nil"/>
              <w:right w:val="nil"/>
            </w:tcBorders>
            <w:shd w:val="clear" w:color="auto" w:fill="auto"/>
          </w:tcPr>
          <w:p w14:paraId="61CF9B5E" w14:textId="77777777" w:rsidR="00A510DD" w:rsidRPr="003A0856" w:rsidRDefault="00A510DD" w:rsidP="005A70AD">
            <w:pPr>
              <w:rPr>
                <w:rFonts w:ascii="David" w:hAnsi="David"/>
                <w:b/>
                <w:bCs/>
                <w:sz w:val="26"/>
                <w:szCs w:val="26"/>
                <w:rtl/>
              </w:rPr>
            </w:pPr>
            <w:r w:rsidRPr="003A0856">
              <w:rPr>
                <w:rFonts w:ascii="David" w:hAnsi="David"/>
                <w:b/>
                <w:bCs/>
                <w:sz w:val="26"/>
                <w:szCs w:val="26"/>
                <w:rtl/>
              </w:rPr>
              <w:t>מדינת ישראל</w:t>
            </w:r>
          </w:p>
          <w:p w14:paraId="74884D39" w14:textId="77777777" w:rsidR="00A510DD" w:rsidRPr="003A0856" w:rsidRDefault="00A510DD" w:rsidP="005A70AD">
            <w:pPr>
              <w:rPr>
                <w:rFonts w:ascii="David" w:hAnsi="David"/>
                <w:sz w:val="26"/>
                <w:szCs w:val="26"/>
              </w:rPr>
            </w:pPr>
            <w:r w:rsidRPr="003A0856">
              <w:rPr>
                <w:rFonts w:ascii="David" w:hAnsi="David" w:hint="cs"/>
                <w:sz w:val="26"/>
                <w:szCs w:val="26"/>
                <w:rtl/>
              </w:rPr>
              <w:t>באמצעות פרקליטות מחוז ירושלים(פלילי) על ידי ב"כ עו"ד אור גבאי</w:t>
            </w:r>
          </w:p>
        </w:tc>
        <w:tc>
          <w:tcPr>
            <w:tcW w:w="3546" w:type="dxa"/>
            <w:tcBorders>
              <w:top w:val="nil"/>
              <w:left w:val="nil"/>
              <w:bottom w:val="nil"/>
              <w:right w:val="nil"/>
            </w:tcBorders>
            <w:shd w:val="clear" w:color="auto" w:fill="auto"/>
          </w:tcPr>
          <w:p w14:paraId="2C076903" w14:textId="77777777" w:rsidR="00A510DD" w:rsidRPr="003A0856" w:rsidRDefault="00A510DD" w:rsidP="00A510DD">
            <w:pPr>
              <w:jc w:val="both"/>
              <w:rPr>
                <w:rFonts w:ascii="David" w:hAnsi="David"/>
                <w:b/>
                <w:bCs/>
                <w:sz w:val="26"/>
                <w:szCs w:val="26"/>
              </w:rPr>
            </w:pPr>
          </w:p>
        </w:tc>
      </w:tr>
      <w:bookmarkEnd w:id="1"/>
      <w:bookmarkEnd w:id="2"/>
      <w:tr w:rsidR="00A510DD" w:rsidRPr="003A0856" w14:paraId="6F265C4C" w14:textId="77777777" w:rsidTr="00A510DD">
        <w:trPr>
          <w:trHeight w:val="355"/>
          <w:jc w:val="center"/>
        </w:trPr>
        <w:tc>
          <w:tcPr>
            <w:tcW w:w="923" w:type="dxa"/>
            <w:tcBorders>
              <w:top w:val="nil"/>
              <w:left w:val="nil"/>
              <w:bottom w:val="nil"/>
              <w:right w:val="nil"/>
            </w:tcBorders>
            <w:shd w:val="clear" w:color="auto" w:fill="auto"/>
          </w:tcPr>
          <w:p w14:paraId="4736A511" w14:textId="77777777" w:rsidR="00A510DD" w:rsidRPr="003A0856" w:rsidRDefault="00A510DD" w:rsidP="00A510DD">
            <w:pPr>
              <w:jc w:val="both"/>
              <w:rPr>
                <w:rFonts w:ascii="David" w:hAnsi="David"/>
                <w:b/>
                <w:bCs/>
                <w:sz w:val="26"/>
                <w:szCs w:val="26"/>
                <w:rtl/>
              </w:rPr>
            </w:pPr>
          </w:p>
        </w:tc>
        <w:tc>
          <w:tcPr>
            <w:tcW w:w="4126" w:type="dxa"/>
            <w:tcBorders>
              <w:top w:val="nil"/>
              <w:left w:val="nil"/>
              <w:bottom w:val="nil"/>
              <w:right w:val="nil"/>
            </w:tcBorders>
            <w:shd w:val="clear" w:color="auto" w:fill="auto"/>
          </w:tcPr>
          <w:p w14:paraId="16675E5C" w14:textId="77777777" w:rsidR="00A510DD" w:rsidRPr="003A0856" w:rsidRDefault="00A510DD" w:rsidP="00A510DD">
            <w:pPr>
              <w:jc w:val="both"/>
              <w:rPr>
                <w:rFonts w:ascii="David" w:hAnsi="David"/>
                <w:b/>
                <w:bCs/>
                <w:sz w:val="26"/>
                <w:szCs w:val="26"/>
                <w:rtl/>
              </w:rPr>
            </w:pPr>
          </w:p>
        </w:tc>
        <w:tc>
          <w:tcPr>
            <w:tcW w:w="3771" w:type="dxa"/>
            <w:gridSpan w:val="2"/>
            <w:tcBorders>
              <w:top w:val="nil"/>
              <w:left w:val="nil"/>
              <w:bottom w:val="nil"/>
              <w:right w:val="nil"/>
            </w:tcBorders>
            <w:shd w:val="clear" w:color="auto" w:fill="auto"/>
          </w:tcPr>
          <w:p w14:paraId="169BB974" w14:textId="77777777" w:rsidR="00A510DD" w:rsidRPr="003A0856" w:rsidRDefault="00A510DD" w:rsidP="00A510DD">
            <w:pPr>
              <w:jc w:val="right"/>
              <w:rPr>
                <w:rFonts w:ascii="David" w:hAnsi="David"/>
                <w:b/>
                <w:bCs/>
                <w:sz w:val="26"/>
                <w:szCs w:val="26"/>
                <w:rtl/>
              </w:rPr>
            </w:pPr>
            <w:r w:rsidRPr="003A0856">
              <w:rPr>
                <w:rFonts w:ascii="David" w:hAnsi="David"/>
                <w:b/>
                <w:bCs/>
                <w:sz w:val="26"/>
                <w:szCs w:val="26"/>
                <w:rtl/>
              </w:rPr>
              <w:t>המאשימה</w:t>
            </w:r>
          </w:p>
        </w:tc>
      </w:tr>
      <w:tr w:rsidR="00A510DD" w:rsidRPr="003A0856" w14:paraId="7CDD5F9A" w14:textId="77777777" w:rsidTr="00A510DD">
        <w:trPr>
          <w:trHeight w:val="355"/>
          <w:jc w:val="center"/>
        </w:trPr>
        <w:tc>
          <w:tcPr>
            <w:tcW w:w="923" w:type="dxa"/>
            <w:tcBorders>
              <w:top w:val="nil"/>
              <w:left w:val="nil"/>
              <w:bottom w:val="nil"/>
              <w:right w:val="nil"/>
            </w:tcBorders>
            <w:shd w:val="clear" w:color="auto" w:fill="auto"/>
          </w:tcPr>
          <w:p w14:paraId="2DAFC28D" w14:textId="77777777" w:rsidR="00A510DD" w:rsidRPr="003A0856" w:rsidRDefault="00A510DD" w:rsidP="00A510DD">
            <w:pPr>
              <w:jc w:val="both"/>
              <w:rPr>
                <w:rFonts w:ascii="David" w:hAnsi="David"/>
                <w:b/>
                <w:bCs/>
                <w:sz w:val="26"/>
                <w:szCs w:val="26"/>
                <w:rtl/>
              </w:rPr>
            </w:pPr>
          </w:p>
        </w:tc>
        <w:tc>
          <w:tcPr>
            <w:tcW w:w="7897" w:type="dxa"/>
            <w:gridSpan w:val="3"/>
            <w:tcBorders>
              <w:top w:val="nil"/>
              <w:left w:val="nil"/>
              <w:bottom w:val="nil"/>
              <w:right w:val="nil"/>
            </w:tcBorders>
            <w:shd w:val="clear" w:color="auto" w:fill="auto"/>
          </w:tcPr>
          <w:p w14:paraId="4AC76746" w14:textId="77777777" w:rsidR="00A510DD" w:rsidRPr="003A0856" w:rsidRDefault="00A510DD" w:rsidP="00A510DD">
            <w:pPr>
              <w:jc w:val="center"/>
              <w:rPr>
                <w:rFonts w:ascii="David" w:hAnsi="David"/>
                <w:b/>
                <w:bCs/>
                <w:sz w:val="26"/>
                <w:szCs w:val="26"/>
                <w:rtl/>
              </w:rPr>
            </w:pPr>
          </w:p>
          <w:p w14:paraId="5ED1D047" w14:textId="77777777" w:rsidR="00A510DD" w:rsidRPr="003A0856" w:rsidRDefault="00A510DD" w:rsidP="00A510DD">
            <w:pPr>
              <w:jc w:val="center"/>
              <w:rPr>
                <w:rFonts w:ascii="David" w:hAnsi="David"/>
                <w:b/>
                <w:bCs/>
                <w:sz w:val="26"/>
                <w:szCs w:val="26"/>
                <w:rtl/>
              </w:rPr>
            </w:pPr>
            <w:r w:rsidRPr="003A0856">
              <w:rPr>
                <w:rFonts w:ascii="David" w:hAnsi="David"/>
                <w:b/>
                <w:bCs/>
                <w:sz w:val="26"/>
                <w:szCs w:val="26"/>
                <w:rtl/>
              </w:rPr>
              <w:t>נגד</w:t>
            </w:r>
          </w:p>
          <w:p w14:paraId="32302A8E" w14:textId="77777777" w:rsidR="00A510DD" w:rsidRPr="003A0856" w:rsidRDefault="00A510DD" w:rsidP="00A510DD">
            <w:pPr>
              <w:jc w:val="both"/>
              <w:rPr>
                <w:rFonts w:ascii="David" w:hAnsi="David"/>
                <w:b/>
                <w:bCs/>
                <w:sz w:val="26"/>
                <w:szCs w:val="26"/>
              </w:rPr>
            </w:pPr>
          </w:p>
        </w:tc>
      </w:tr>
      <w:tr w:rsidR="00A510DD" w:rsidRPr="003A0856" w14:paraId="1C6ED7C3" w14:textId="77777777" w:rsidTr="00A510DD">
        <w:trPr>
          <w:trHeight w:val="355"/>
          <w:jc w:val="center"/>
        </w:trPr>
        <w:tc>
          <w:tcPr>
            <w:tcW w:w="923" w:type="dxa"/>
            <w:tcBorders>
              <w:top w:val="nil"/>
              <w:left w:val="nil"/>
              <w:bottom w:val="nil"/>
              <w:right w:val="nil"/>
            </w:tcBorders>
            <w:shd w:val="clear" w:color="auto" w:fill="auto"/>
          </w:tcPr>
          <w:p w14:paraId="53A984DD" w14:textId="77777777" w:rsidR="00A510DD" w:rsidRPr="003A0856" w:rsidRDefault="00A510DD" w:rsidP="005A70AD">
            <w:pPr>
              <w:rPr>
                <w:rFonts w:ascii="David" w:hAnsi="David"/>
                <w:b/>
                <w:bCs/>
                <w:sz w:val="26"/>
                <w:szCs w:val="26"/>
                <w:rtl/>
              </w:rPr>
            </w:pPr>
          </w:p>
        </w:tc>
        <w:tc>
          <w:tcPr>
            <w:tcW w:w="4126" w:type="dxa"/>
            <w:tcBorders>
              <w:top w:val="nil"/>
              <w:left w:val="nil"/>
              <w:bottom w:val="nil"/>
              <w:right w:val="nil"/>
            </w:tcBorders>
            <w:shd w:val="clear" w:color="auto" w:fill="auto"/>
          </w:tcPr>
          <w:p w14:paraId="295AFE1C" w14:textId="77777777" w:rsidR="00A510DD" w:rsidRPr="003A0856" w:rsidRDefault="00A510DD" w:rsidP="005A70AD">
            <w:pPr>
              <w:rPr>
                <w:rFonts w:ascii="David" w:hAnsi="David"/>
                <w:b/>
                <w:bCs/>
                <w:sz w:val="26"/>
                <w:szCs w:val="26"/>
                <w:rtl/>
              </w:rPr>
            </w:pPr>
            <w:r w:rsidRPr="003A0856">
              <w:rPr>
                <w:rFonts w:ascii="David" w:hAnsi="David"/>
                <w:b/>
                <w:bCs/>
                <w:sz w:val="26"/>
                <w:szCs w:val="26"/>
                <w:rtl/>
              </w:rPr>
              <w:t>מוחמד מזערו (עציר)</w:t>
            </w:r>
          </w:p>
        </w:tc>
        <w:tc>
          <w:tcPr>
            <w:tcW w:w="3771" w:type="dxa"/>
            <w:gridSpan w:val="2"/>
            <w:tcBorders>
              <w:top w:val="nil"/>
              <w:left w:val="nil"/>
              <w:bottom w:val="nil"/>
              <w:right w:val="nil"/>
            </w:tcBorders>
            <w:shd w:val="clear" w:color="auto" w:fill="auto"/>
          </w:tcPr>
          <w:p w14:paraId="22D33A43" w14:textId="77777777" w:rsidR="00A510DD" w:rsidRPr="003A0856" w:rsidRDefault="00A510DD" w:rsidP="00A510DD">
            <w:pPr>
              <w:jc w:val="right"/>
              <w:rPr>
                <w:rFonts w:ascii="David" w:hAnsi="David"/>
                <w:b/>
                <w:bCs/>
                <w:sz w:val="26"/>
                <w:szCs w:val="26"/>
              </w:rPr>
            </w:pPr>
          </w:p>
        </w:tc>
      </w:tr>
      <w:tr w:rsidR="00A510DD" w:rsidRPr="003A0856" w14:paraId="25A23C71" w14:textId="77777777" w:rsidTr="00A510DD">
        <w:trPr>
          <w:trHeight w:val="355"/>
          <w:jc w:val="center"/>
        </w:trPr>
        <w:tc>
          <w:tcPr>
            <w:tcW w:w="923" w:type="dxa"/>
            <w:tcBorders>
              <w:top w:val="nil"/>
              <w:left w:val="nil"/>
              <w:bottom w:val="nil"/>
              <w:right w:val="nil"/>
            </w:tcBorders>
            <w:shd w:val="clear" w:color="auto" w:fill="auto"/>
          </w:tcPr>
          <w:p w14:paraId="635808E3" w14:textId="77777777" w:rsidR="00A510DD" w:rsidRPr="003A0856" w:rsidRDefault="00A510DD" w:rsidP="00A510DD">
            <w:pPr>
              <w:jc w:val="both"/>
              <w:rPr>
                <w:rFonts w:ascii="David" w:hAnsi="David"/>
                <w:b/>
                <w:bCs/>
                <w:sz w:val="26"/>
                <w:szCs w:val="26"/>
                <w:rtl/>
              </w:rPr>
            </w:pPr>
          </w:p>
        </w:tc>
        <w:tc>
          <w:tcPr>
            <w:tcW w:w="4126" w:type="dxa"/>
            <w:tcBorders>
              <w:top w:val="nil"/>
              <w:left w:val="nil"/>
              <w:bottom w:val="nil"/>
              <w:right w:val="nil"/>
            </w:tcBorders>
            <w:shd w:val="clear" w:color="auto" w:fill="auto"/>
          </w:tcPr>
          <w:p w14:paraId="4359DD62" w14:textId="77777777" w:rsidR="00A510DD" w:rsidRPr="003A0856" w:rsidRDefault="00A510DD" w:rsidP="00A510DD">
            <w:pPr>
              <w:jc w:val="both"/>
              <w:rPr>
                <w:rFonts w:ascii="David" w:hAnsi="David"/>
                <w:sz w:val="26"/>
                <w:szCs w:val="26"/>
                <w:rtl/>
              </w:rPr>
            </w:pPr>
            <w:r w:rsidRPr="003A0856">
              <w:rPr>
                <w:rFonts w:ascii="David" w:hAnsi="David" w:hint="cs"/>
                <w:sz w:val="26"/>
                <w:szCs w:val="26"/>
                <w:rtl/>
              </w:rPr>
              <w:t>על ידי ב"כ עו"ד מוחמד חליאלה</w:t>
            </w:r>
          </w:p>
        </w:tc>
        <w:tc>
          <w:tcPr>
            <w:tcW w:w="3771" w:type="dxa"/>
            <w:gridSpan w:val="2"/>
            <w:tcBorders>
              <w:top w:val="nil"/>
              <w:left w:val="nil"/>
              <w:bottom w:val="nil"/>
              <w:right w:val="nil"/>
            </w:tcBorders>
            <w:shd w:val="clear" w:color="auto" w:fill="auto"/>
          </w:tcPr>
          <w:p w14:paraId="698EC82C" w14:textId="77777777" w:rsidR="00A510DD" w:rsidRPr="003A0856" w:rsidRDefault="00A510DD" w:rsidP="00A510DD">
            <w:pPr>
              <w:jc w:val="right"/>
              <w:rPr>
                <w:rFonts w:ascii="David" w:hAnsi="David"/>
                <w:b/>
                <w:bCs/>
                <w:sz w:val="26"/>
                <w:szCs w:val="26"/>
              </w:rPr>
            </w:pPr>
            <w:r w:rsidRPr="003A0856">
              <w:rPr>
                <w:rFonts w:ascii="David" w:hAnsi="David"/>
                <w:b/>
                <w:bCs/>
                <w:sz w:val="26"/>
                <w:szCs w:val="26"/>
                <w:rtl/>
              </w:rPr>
              <w:t>הנאשם</w:t>
            </w:r>
          </w:p>
        </w:tc>
      </w:tr>
    </w:tbl>
    <w:p w14:paraId="5BF58993" w14:textId="77777777" w:rsidR="00A510DD" w:rsidRPr="003A0856" w:rsidRDefault="00A510DD" w:rsidP="00A510DD">
      <w:pPr>
        <w:rPr>
          <w:rFonts w:ascii="David" w:hAnsi="David"/>
          <w:b/>
          <w:bCs/>
          <w:sz w:val="28"/>
          <w:szCs w:val="28"/>
        </w:rPr>
      </w:pPr>
    </w:p>
    <w:p w14:paraId="75ABB406" w14:textId="77777777" w:rsidR="009C0673" w:rsidRPr="009C0673" w:rsidRDefault="009C0673" w:rsidP="009C0673">
      <w:pPr>
        <w:spacing w:before="120" w:after="120" w:line="240" w:lineRule="exact"/>
        <w:ind w:left="283" w:hanging="283"/>
        <w:jc w:val="both"/>
        <w:rPr>
          <w:rFonts w:ascii="FrankRuehl" w:hAnsi="FrankRuehl" w:cs="FrankRuehl"/>
          <w:rtl/>
        </w:rPr>
      </w:pPr>
      <w:bookmarkStart w:id="3" w:name="LawTable"/>
      <w:bookmarkEnd w:id="3"/>
      <w:r w:rsidRPr="009C0673">
        <w:rPr>
          <w:rFonts w:ascii="FrankRuehl" w:hAnsi="FrankRuehl" w:cs="FrankRuehl"/>
          <w:rtl/>
        </w:rPr>
        <w:t xml:space="preserve">חקיקה שאוזכרה: </w:t>
      </w:r>
    </w:p>
    <w:p w14:paraId="57265266" w14:textId="77777777" w:rsidR="009C0673" w:rsidRPr="009C0673" w:rsidRDefault="009C0673" w:rsidP="009C0673">
      <w:pPr>
        <w:spacing w:before="120" w:after="120" w:line="240" w:lineRule="exact"/>
        <w:ind w:left="283" w:hanging="283"/>
        <w:jc w:val="both"/>
        <w:rPr>
          <w:rFonts w:ascii="FrankRuehl" w:hAnsi="FrankRuehl" w:cs="FrankRuehl"/>
          <w:color w:val="0000FF"/>
          <w:rtl/>
        </w:rPr>
      </w:pPr>
      <w:hyperlink r:id="rId7" w:history="1">
        <w:r w:rsidRPr="009C0673">
          <w:rPr>
            <w:rStyle w:val="Hyperlink"/>
            <w:rFonts w:ascii="FrankRuehl" w:hAnsi="FrankRuehl" w:cs="FrankRuehl"/>
            <w:rtl/>
          </w:rPr>
          <w:t>חוק העונשין, תשל"ז-1977</w:t>
        </w:r>
      </w:hyperlink>
      <w:r w:rsidRPr="009C0673">
        <w:rPr>
          <w:rFonts w:ascii="FrankRuehl" w:hAnsi="FrankRuehl" w:cs="FrankRuehl"/>
          <w:color w:val="0000FF"/>
          <w:u w:val="single"/>
          <w:rtl/>
        </w:rPr>
        <w:t xml:space="preserve">: סע'  </w:t>
      </w:r>
      <w:hyperlink r:id="rId8" w:history="1">
        <w:r w:rsidRPr="009C0673">
          <w:rPr>
            <w:rStyle w:val="Hyperlink"/>
            <w:rFonts w:ascii="FrankRuehl" w:hAnsi="FrankRuehl" w:cs="FrankRuehl"/>
          </w:rPr>
          <w:t>25</w:t>
        </w:r>
      </w:hyperlink>
      <w:r w:rsidRPr="009C0673">
        <w:rPr>
          <w:rFonts w:ascii="FrankRuehl" w:hAnsi="FrankRuehl" w:cs="FrankRuehl"/>
          <w:color w:val="0000FF"/>
          <w:u w:val="single"/>
          <w:rtl/>
        </w:rPr>
        <w:t xml:space="preserve">, </w:t>
      </w:r>
      <w:hyperlink r:id="rId9" w:history="1">
        <w:r w:rsidRPr="009C0673">
          <w:rPr>
            <w:rStyle w:val="Hyperlink"/>
            <w:rFonts w:ascii="FrankRuehl" w:hAnsi="FrankRuehl" w:cs="FrankRuehl"/>
          </w:rPr>
          <w:t xml:space="preserve">40 </w:t>
        </w:r>
        <w:r w:rsidRPr="009C0673">
          <w:rPr>
            <w:rStyle w:val="Hyperlink"/>
            <w:rFonts w:ascii="FrankRuehl" w:hAnsi="FrankRuehl" w:cs="FrankRuehl"/>
            <w:rtl/>
          </w:rPr>
          <w:t>ב</w:t>
        </w:r>
        <w:r w:rsidRPr="009C0673">
          <w:rPr>
            <w:rStyle w:val="Hyperlink"/>
            <w:rFonts w:ascii="FrankRuehl" w:hAnsi="FrankRuehl" w:cs="FrankRuehl"/>
          </w:rPr>
          <w:t>'</w:t>
        </w:r>
      </w:hyperlink>
      <w:r w:rsidRPr="009C0673">
        <w:rPr>
          <w:rFonts w:ascii="FrankRuehl" w:hAnsi="FrankRuehl" w:cs="FrankRuehl"/>
          <w:color w:val="0000FF"/>
          <w:u w:val="single"/>
          <w:rtl/>
        </w:rPr>
        <w:t xml:space="preserve">, </w:t>
      </w:r>
      <w:hyperlink r:id="rId10" w:history="1">
        <w:r w:rsidRPr="009C0673">
          <w:rPr>
            <w:rStyle w:val="Hyperlink"/>
            <w:rFonts w:ascii="FrankRuehl" w:hAnsi="FrankRuehl" w:cs="FrankRuehl"/>
          </w:rPr>
          <w:t xml:space="preserve">144 </w:t>
        </w:r>
      </w:hyperlink>
      <w:r w:rsidRPr="009C0673">
        <w:rPr>
          <w:rFonts w:ascii="FrankRuehl" w:hAnsi="FrankRuehl" w:cs="FrankRuehl"/>
          <w:color w:val="0000FF"/>
          <w:rtl/>
        </w:rPr>
        <w:t xml:space="preserve">(ב2), </w:t>
      </w:r>
      <w:hyperlink r:id="rId11" w:history="1">
        <w:r w:rsidRPr="009C0673">
          <w:rPr>
            <w:rStyle w:val="Hyperlink"/>
            <w:rFonts w:ascii="FrankRuehl" w:hAnsi="FrankRuehl" w:cs="FrankRuehl"/>
          </w:rPr>
          <w:t xml:space="preserve">40 </w:t>
        </w:r>
        <w:r w:rsidRPr="009C0673">
          <w:rPr>
            <w:rStyle w:val="Hyperlink"/>
            <w:rFonts w:ascii="FrankRuehl" w:hAnsi="FrankRuehl" w:cs="FrankRuehl"/>
            <w:rtl/>
          </w:rPr>
          <w:t>יא</w:t>
        </w:r>
        <w:r w:rsidRPr="009C0673">
          <w:rPr>
            <w:rStyle w:val="Hyperlink"/>
            <w:rFonts w:ascii="FrankRuehl" w:hAnsi="FrankRuehl" w:cs="FrankRuehl"/>
          </w:rPr>
          <w:t>'</w:t>
        </w:r>
      </w:hyperlink>
    </w:p>
    <w:p w14:paraId="7433F595" w14:textId="77777777" w:rsidR="00A510DD" w:rsidRPr="009C0673" w:rsidRDefault="00A510DD" w:rsidP="009C0673">
      <w:pPr>
        <w:rPr>
          <w:rFonts w:ascii="David" w:hAnsi="David"/>
          <w:rtl/>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510DD" w:rsidRPr="005E380A" w14:paraId="279CDB56" w14:textId="77777777" w:rsidTr="00A510DD">
        <w:trPr>
          <w:trHeight w:val="355"/>
          <w:jc w:val="center"/>
        </w:trPr>
        <w:tc>
          <w:tcPr>
            <w:tcW w:w="8820" w:type="dxa"/>
            <w:tcBorders>
              <w:top w:val="nil"/>
              <w:left w:val="nil"/>
              <w:bottom w:val="nil"/>
              <w:right w:val="nil"/>
            </w:tcBorders>
            <w:shd w:val="clear" w:color="auto" w:fill="auto"/>
          </w:tcPr>
          <w:p w14:paraId="08614FDD" w14:textId="77777777" w:rsidR="003A0856" w:rsidRPr="003A0856" w:rsidRDefault="003A0856" w:rsidP="003A0856">
            <w:pPr>
              <w:jc w:val="center"/>
              <w:rPr>
                <w:rFonts w:ascii="David" w:hAnsi="David"/>
                <w:b/>
                <w:bCs/>
                <w:sz w:val="28"/>
                <w:szCs w:val="28"/>
                <w:u w:val="single"/>
                <w:rtl/>
              </w:rPr>
            </w:pPr>
            <w:bookmarkStart w:id="5" w:name="PsakDin" w:colFirst="0" w:colLast="0"/>
            <w:bookmarkEnd w:id="0"/>
            <w:r w:rsidRPr="003A0856">
              <w:rPr>
                <w:rFonts w:ascii="David" w:hAnsi="David"/>
                <w:b/>
                <w:bCs/>
                <w:sz w:val="28"/>
                <w:szCs w:val="28"/>
                <w:u w:val="single"/>
                <w:rtl/>
              </w:rPr>
              <w:t>גזר דין</w:t>
            </w:r>
          </w:p>
          <w:p w14:paraId="18419925" w14:textId="77777777" w:rsidR="00A510DD" w:rsidRPr="003A0856" w:rsidRDefault="00A510DD" w:rsidP="003A0856">
            <w:pPr>
              <w:jc w:val="center"/>
              <w:rPr>
                <w:rFonts w:ascii="David" w:hAnsi="David"/>
                <w:b/>
                <w:bCs/>
                <w:sz w:val="28"/>
                <w:szCs w:val="28"/>
                <w:u w:val="single"/>
                <w:rtl/>
              </w:rPr>
            </w:pPr>
          </w:p>
        </w:tc>
      </w:tr>
      <w:bookmarkEnd w:id="5"/>
    </w:tbl>
    <w:p w14:paraId="4797433D" w14:textId="77777777" w:rsidR="00A510DD" w:rsidRPr="005E380A" w:rsidRDefault="00A510DD" w:rsidP="00A510DD">
      <w:pPr>
        <w:rPr>
          <w:rFonts w:ascii="David" w:hAnsi="David"/>
          <w:b/>
          <w:bCs/>
          <w:rtl/>
        </w:rPr>
      </w:pPr>
    </w:p>
    <w:p w14:paraId="10FB6290" w14:textId="77777777" w:rsidR="00A510DD" w:rsidRPr="005E380A" w:rsidRDefault="00A510DD" w:rsidP="00A510DD">
      <w:pPr>
        <w:jc w:val="both"/>
        <w:rPr>
          <w:b/>
          <w:bCs/>
          <w:u w:val="single"/>
          <w:rtl/>
        </w:rPr>
      </w:pPr>
      <w:r w:rsidRPr="005E380A">
        <w:rPr>
          <w:rFonts w:hint="cs"/>
          <w:b/>
          <w:bCs/>
          <w:u w:val="single"/>
          <w:rtl/>
        </w:rPr>
        <w:t>רקע</w:t>
      </w:r>
    </w:p>
    <w:p w14:paraId="1700FB44" w14:textId="77777777" w:rsidR="00A510DD" w:rsidRDefault="00A510DD" w:rsidP="00A510DD">
      <w:pPr>
        <w:pStyle w:val="a9"/>
        <w:numPr>
          <w:ilvl w:val="0"/>
          <w:numId w:val="1"/>
        </w:numPr>
        <w:spacing w:line="360" w:lineRule="auto"/>
        <w:ind w:left="283" w:hanging="283"/>
        <w:jc w:val="both"/>
      </w:pPr>
      <w:bookmarkStart w:id="6" w:name="ABSTRACT_START"/>
      <w:bookmarkEnd w:id="6"/>
      <w:r>
        <w:rPr>
          <w:rFonts w:hint="cs"/>
          <w:rtl/>
        </w:rPr>
        <w:t xml:space="preserve">בישיבת יום 09.07.20 הורשע הנאשם, בעקבות הסדר טיעון, בכתב אישום מתוקן בעבירה של סיוע לסחר בנשק, עבירה לפי סעיף </w:t>
      </w:r>
      <w:hyperlink r:id="rId12" w:history="1">
        <w:r w:rsidR="009C0673" w:rsidRPr="009C0673">
          <w:rPr>
            <w:rStyle w:val="Hyperlink"/>
            <w:color w:val="0000FF"/>
            <w:rtl/>
          </w:rPr>
          <w:t>144 (ב2)</w:t>
        </w:r>
      </w:hyperlink>
      <w:r>
        <w:rPr>
          <w:rFonts w:hint="cs"/>
          <w:rtl/>
        </w:rPr>
        <w:t xml:space="preserve"> בצירוף </w:t>
      </w:r>
      <w:hyperlink r:id="rId13" w:history="1">
        <w:r w:rsidR="009C0673" w:rsidRPr="009C0673">
          <w:rPr>
            <w:rStyle w:val="Hyperlink"/>
            <w:rFonts w:hint="eastAsia"/>
            <w:color w:val="0000FF"/>
            <w:rtl/>
          </w:rPr>
          <w:t>סעיף</w:t>
        </w:r>
        <w:r w:rsidR="009C0673" w:rsidRPr="009C0673">
          <w:rPr>
            <w:rStyle w:val="Hyperlink"/>
            <w:color w:val="0000FF"/>
            <w:rtl/>
          </w:rPr>
          <w:t xml:space="preserve"> 25</w:t>
        </w:r>
      </w:hyperlink>
      <w:r>
        <w:rPr>
          <w:rFonts w:hint="cs"/>
          <w:rtl/>
        </w:rPr>
        <w:t xml:space="preserve"> ל</w:t>
      </w:r>
      <w:hyperlink r:id="rId14" w:history="1">
        <w:r w:rsidR="003A0856" w:rsidRPr="003A0856">
          <w:rPr>
            <w:color w:val="0000FF"/>
            <w:u w:val="single"/>
            <w:rtl/>
          </w:rPr>
          <w:t>חוק העונשין</w:t>
        </w:r>
      </w:hyperlink>
      <w:r>
        <w:rPr>
          <w:rFonts w:hint="cs"/>
          <w:rtl/>
        </w:rPr>
        <w:t xml:space="preserve"> התשל"ז-1997 (להלן: "</w:t>
      </w:r>
      <w:r w:rsidRPr="000E3C8B">
        <w:rPr>
          <w:rFonts w:hint="cs"/>
          <w:b/>
          <w:bCs/>
          <w:rtl/>
        </w:rPr>
        <w:t>החוק</w:t>
      </w:r>
      <w:r>
        <w:rPr>
          <w:rFonts w:hint="cs"/>
          <w:rtl/>
        </w:rPr>
        <w:t xml:space="preserve">"). בגדרי הסדר הטיעון לא הייתה הסכמה לעניין העונש, והצדדים טענו לעונש באופן חופשי. יוער, שעל אף שהמשיבה לא התנגדה לקבלת תסקיר שירות מבחן בעניינו של הנאשם, לא ביקש ב"כ הנאשם שיוכן תסקיר, וזאת לנוכח שביתת העובדים הסוציאליים. </w:t>
      </w:r>
    </w:p>
    <w:p w14:paraId="1BB42816" w14:textId="77777777" w:rsidR="00A510DD" w:rsidRPr="005E380A" w:rsidRDefault="00A510DD" w:rsidP="00A510DD">
      <w:pPr>
        <w:pStyle w:val="a9"/>
        <w:spacing w:line="360" w:lineRule="auto"/>
        <w:ind w:left="283"/>
        <w:jc w:val="both"/>
        <w:rPr>
          <w:sz w:val="12"/>
          <w:szCs w:val="12"/>
        </w:rPr>
      </w:pPr>
      <w:bookmarkStart w:id="7" w:name="ABSTRACT_END"/>
      <w:bookmarkEnd w:id="7"/>
    </w:p>
    <w:p w14:paraId="6972994C" w14:textId="77777777" w:rsidR="00A510DD" w:rsidRDefault="00A510DD" w:rsidP="00A510DD">
      <w:pPr>
        <w:pStyle w:val="a9"/>
        <w:numPr>
          <w:ilvl w:val="0"/>
          <w:numId w:val="1"/>
        </w:numPr>
        <w:spacing w:line="360" w:lineRule="auto"/>
        <w:ind w:left="283" w:hanging="283"/>
        <w:jc w:val="both"/>
      </w:pPr>
      <w:r>
        <w:rPr>
          <w:rFonts w:hint="cs"/>
          <w:rtl/>
        </w:rPr>
        <w:t>מעובדות כתב האישום המתוקן עולה, כי במסגרת פעילות משטרת ישראל במאבקה בהפצת סמים מסוכנים, כלי נשק וסחר ברכב וחלקי רכב גנובים הופעל נ.פ 066-19 כ"סוכן" מטעם משטרת ישראל (להלן: "</w:t>
      </w:r>
      <w:r w:rsidRPr="000E3C8B">
        <w:rPr>
          <w:rFonts w:hint="cs"/>
          <w:b/>
          <w:bCs/>
          <w:rtl/>
        </w:rPr>
        <w:t>הסוכן</w:t>
      </w:r>
      <w:r>
        <w:rPr>
          <w:rFonts w:hint="cs"/>
          <w:rtl/>
        </w:rPr>
        <w:t xml:space="preserve">"). במועדים הרלוונטיים לכתב אישום זה פעל הסוכן בשליחות שמטרת ישראל, בהוראתה, באישורה ובמימונה. במסגרת פעילותו רכש הסוכן בעבור סכום כסף נשק בעסקה שתואמה מראש ובצועה עם הנאשם ואדם נוסף בשם הייתם מזערו והכל פי שיפורט להלן. </w:t>
      </w:r>
    </w:p>
    <w:p w14:paraId="6C6FF97C" w14:textId="77777777" w:rsidR="00A510DD" w:rsidRPr="00181123" w:rsidRDefault="00A510DD" w:rsidP="00A510DD">
      <w:pPr>
        <w:jc w:val="both"/>
        <w:rPr>
          <w:sz w:val="12"/>
          <w:szCs w:val="12"/>
          <w:rtl/>
        </w:rPr>
      </w:pPr>
    </w:p>
    <w:p w14:paraId="1EC2F413" w14:textId="77777777" w:rsidR="00A510DD" w:rsidRDefault="00A510DD" w:rsidP="00A510DD">
      <w:pPr>
        <w:pStyle w:val="a9"/>
        <w:numPr>
          <w:ilvl w:val="0"/>
          <w:numId w:val="1"/>
        </w:numPr>
        <w:spacing w:line="360" w:lineRule="auto"/>
        <w:ind w:left="283" w:hanging="283"/>
        <w:jc w:val="both"/>
      </w:pPr>
      <w:r>
        <w:rPr>
          <w:rFonts w:hint="cs"/>
          <w:rtl/>
        </w:rPr>
        <w:t xml:space="preserve">מספר ימים עובד ליום 11.12.19 פגש הסוכן בהייתם מזערו (להלן: </w:t>
      </w:r>
      <w:r w:rsidRPr="00D63ACB">
        <w:rPr>
          <w:rFonts w:hint="cs"/>
          <w:b/>
          <w:bCs/>
          <w:rtl/>
        </w:rPr>
        <w:t>"הייתם"</w:t>
      </w:r>
      <w:r>
        <w:rPr>
          <w:rFonts w:hint="cs"/>
          <w:rtl/>
        </w:rPr>
        <w:t xml:space="preserve">), בן דודו של הנאשם, עת נפגש עם חבר בבית חנינא. הסוכן שאל את הייתם האם הוא מכיר מישהו שמתעסק </w:t>
      </w:r>
      <w:r>
        <w:rPr>
          <w:rFonts w:hint="cs"/>
          <w:rtl/>
        </w:rPr>
        <w:lastRenderedPageBreak/>
        <w:t xml:space="preserve">באקדחים. הייתם השיב לסוכן, כי הוא מתעסק באקדחים ושיש לו כרגע שני אקדחים, וכי אם הוא מעוניין אז שידבר איתו והם יישבו לבד. הייתם והסוכן החליפו ביניהם מספרי טלפון. </w:t>
      </w:r>
    </w:p>
    <w:p w14:paraId="381A3147" w14:textId="77777777" w:rsidR="00A510DD" w:rsidRPr="001D538A" w:rsidRDefault="00A510DD" w:rsidP="00A510DD">
      <w:pPr>
        <w:pStyle w:val="a9"/>
        <w:spacing w:line="360" w:lineRule="auto"/>
        <w:ind w:left="283"/>
        <w:jc w:val="both"/>
        <w:rPr>
          <w:sz w:val="12"/>
          <w:szCs w:val="12"/>
        </w:rPr>
      </w:pPr>
    </w:p>
    <w:p w14:paraId="5FE1495B" w14:textId="77777777" w:rsidR="00A510DD" w:rsidRDefault="00A510DD" w:rsidP="00A510DD">
      <w:pPr>
        <w:pStyle w:val="a9"/>
        <w:numPr>
          <w:ilvl w:val="0"/>
          <w:numId w:val="1"/>
        </w:numPr>
        <w:spacing w:line="360" w:lineRule="auto"/>
        <w:ind w:left="283" w:hanging="283"/>
        <w:jc w:val="both"/>
      </w:pPr>
      <w:r>
        <w:rPr>
          <w:rFonts w:hint="cs"/>
          <w:rtl/>
        </w:rPr>
        <w:t xml:space="preserve">ביום 10.12.19 התקשר הסוכן להייתם והשניים קבעו להיפגש בבית חנינא. בהתאם לסיכום ביניהם, הסוכן הגיע לבית חנינא שם פגש בהייתם, אשר הציע לו לרכוש שני אקדחים שהיו ברשותו באותה עת.  אקדח מסוג סטאר, 9 מ"מ בתמורה ל-30,000 ₪ ואקדח מסוג גלוק בתמורה ל-45,000 ₪. הסוכן השיב להייתם, כי הוא מעוניין באקדח הסטאר אבל כיון שהוא רוכש את האקדח עבור אדם אחר הוא צריך לבדוק איתו אם המחיר מקובל עליו, ולאחר מכן יחזור אליו עם תשובה. הייתם הסכים והשניים סיכמו ביניהם, כי מעתה והלאה יכנו בטלפון את הנשק בשם הקוד "רכב". </w:t>
      </w:r>
    </w:p>
    <w:p w14:paraId="60C81CB8" w14:textId="77777777" w:rsidR="00A510DD" w:rsidRPr="00181123" w:rsidRDefault="00A510DD" w:rsidP="00A510DD">
      <w:pPr>
        <w:pStyle w:val="a9"/>
        <w:spacing w:line="360" w:lineRule="auto"/>
        <w:ind w:left="283"/>
        <w:jc w:val="both"/>
        <w:rPr>
          <w:sz w:val="12"/>
          <w:szCs w:val="12"/>
        </w:rPr>
      </w:pPr>
    </w:p>
    <w:p w14:paraId="7802B7ED" w14:textId="77777777" w:rsidR="00A510DD" w:rsidRDefault="00A510DD" w:rsidP="00A510DD">
      <w:pPr>
        <w:pStyle w:val="a9"/>
        <w:numPr>
          <w:ilvl w:val="0"/>
          <w:numId w:val="1"/>
        </w:numPr>
        <w:spacing w:line="360" w:lineRule="auto"/>
        <w:ind w:left="283" w:hanging="283"/>
        <w:jc w:val="both"/>
      </w:pPr>
      <w:r>
        <w:rPr>
          <w:rFonts w:hint="cs"/>
          <w:rtl/>
        </w:rPr>
        <w:t>ביום 11.12.19  התקשר הסוכן להייתם ואמר לו, כי הוא מעוניין לרכוש ממנו את "הרכב" שמחירו 30,000 ₪ בכדי להשלים את עסקת רכישת האקדח. מאוחר יותר, באותו יום שוחחו השניים שוב וקבעו להיפגש בתחנת דלק בכניסה לענתא, ובהתאם לכך, הסוכן הגיע לתחנת הדלק בענתא בסמוך לשעה 19:30, שם המתין להייתם. לאחר מספר דקות עצר ליד הסוכן רכב מסוג סוזוקי אלטו, מ.ר 5553013 (להלן: "</w:t>
      </w:r>
      <w:r w:rsidRPr="00181123">
        <w:rPr>
          <w:rFonts w:hint="cs"/>
          <w:b/>
          <w:bCs/>
          <w:rtl/>
        </w:rPr>
        <w:t>הרכב</w:t>
      </w:r>
      <w:r>
        <w:rPr>
          <w:rFonts w:hint="cs"/>
          <w:rtl/>
        </w:rPr>
        <w:t xml:space="preserve">") בבעלות הנאשם אשר אף נהג ברכב אותה עת. הנאשם הציג עצמו בפני הסוכן כחבר של הייתם וביקש מהסוכן להצטרף אליו לרכב. הסוכן הצטרף לרכבו של הנאשם והשניים נסעו מרחק קצר למקום סמוך שם פגשו בהייתם אשר נכנס למושב האחורי ברכב. הרכב החל לנסוע ולאחר זמן קצר מסר הייתם לסוכן אקדח סטאר 9 מ"מ וכן מחסנית עם כדורים כדי שהסוכן יוכל לבדוק, כי האקדח תקין ויורה כדורים. הנאשם, הסוכן והייתם נסעו ברכב למקום קרוב הנסתר מעיני אנשים כדי לנסות את האקדח לראות כי הוא יורה. או אז ירה הסוכן מחוץ לחלון הרכב כדור אחד והמחסנית נתקעה. הייתם לקח את האקדח ואמר שיש בעיה בקפיץ של המחסנית. הייתם הוציא את המחסנית ואמר לסוכן לתפוס אותה חזק מלמטה. הסוכן ירה כדור נוסף מחוץ לחלון והמחסנית נתקעה שוב. בשלב זה לקח הנאשם את האקדח מהסוכן ואמר שיסדר את התקלה. הנאשם הוציא את המחסנית, פתח אותה, הוציא ממנה את הקפיץ ותיקון אותה. בינתיים אמר לסוכן שילך לרכב שלו להביא את הכסף. לאחר זמן קצר הייתם נכנס לרכבו של הסוכן, מסר לסוכן את האקדח והמחסנית ואמר לו שהאקדח תקין. כעבור מספר דקות נכנס גם הנאשם לרכבו של הסוכן וישב במושב האחורי. בשלב זה החלו השלושה להתמקח על מחיר האקדח עד שהגיעו למחיר מוסכם. בסמוך למתואר, שילם הסוכן 29,500 ₪ תמורת האקדח והמחסנית. </w:t>
      </w:r>
    </w:p>
    <w:p w14:paraId="1B56ED52" w14:textId="77777777" w:rsidR="00A510DD" w:rsidRDefault="00A510DD" w:rsidP="00A510DD">
      <w:pPr>
        <w:spacing w:line="360" w:lineRule="auto"/>
        <w:ind w:left="360"/>
        <w:jc w:val="both"/>
        <w:rPr>
          <w:rtl/>
        </w:rPr>
      </w:pPr>
    </w:p>
    <w:p w14:paraId="70DB1DC1" w14:textId="77777777" w:rsidR="00A510DD" w:rsidRPr="007B487C" w:rsidRDefault="00A510DD" w:rsidP="00A510DD">
      <w:pPr>
        <w:spacing w:line="360" w:lineRule="auto"/>
        <w:jc w:val="both"/>
        <w:rPr>
          <w:rFonts w:ascii="David" w:hAnsi="David"/>
          <w:rtl/>
        </w:rPr>
      </w:pPr>
      <w:r w:rsidRPr="007B487C">
        <w:rPr>
          <w:rFonts w:ascii="David" w:hAnsi="David"/>
          <w:b/>
          <w:bCs/>
          <w:u w:val="single"/>
          <w:rtl/>
        </w:rPr>
        <w:t>טיעוני הצדדים לעונש</w:t>
      </w:r>
    </w:p>
    <w:p w14:paraId="21117372" w14:textId="77777777" w:rsidR="00A510DD" w:rsidRDefault="00A510DD" w:rsidP="00A510DD">
      <w:pPr>
        <w:pStyle w:val="a9"/>
        <w:numPr>
          <w:ilvl w:val="0"/>
          <w:numId w:val="1"/>
        </w:numPr>
        <w:spacing w:line="360" w:lineRule="auto"/>
        <w:ind w:left="283" w:hanging="283"/>
        <w:jc w:val="both"/>
        <w:rPr>
          <w:rFonts w:ascii="David" w:hAnsi="David"/>
        </w:rPr>
      </w:pPr>
      <w:r w:rsidRPr="007B487C">
        <w:rPr>
          <w:rFonts w:ascii="David" w:hAnsi="David"/>
          <w:rtl/>
        </w:rPr>
        <w:t xml:space="preserve">ב"כ המאשימה טען לחומרת מעשיו של הנאשם, כפי שניתן ללמוד מעובדות כתב האישום המתוקן, ממנו עולה שהנאשם </w:t>
      </w:r>
      <w:r>
        <w:rPr>
          <w:rFonts w:ascii="David" w:hAnsi="David" w:hint="cs"/>
          <w:rtl/>
        </w:rPr>
        <w:t>נטל חלק מהותי בעסקת הנשק ואף התבקשה</w:t>
      </w:r>
      <w:r w:rsidRPr="007B487C">
        <w:rPr>
          <w:rFonts w:ascii="David" w:hAnsi="David"/>
          <w:rtl/>
        </w:rPr>
        <w:t xml:space="preserve"> עזרתו </w:t>
      </w:r>
      <w:r>
        <w:rPr>
          <w:rFonts w:ascii="David" w:hAnsi="David" w:hint="cs"/>
          <w:rtl/>
        </w:rPr>
        <w:t>בתיקונו של הנשק</w:t>
      </w:r>
      <w:r w:rsidRPr="007B487C">
        <w:rPr>
          <w:rFonts w:ascii="David" w:hAnsi="David"/>
          <w:rtl/>
        </w:rPr>
        <w:t xml:space="preserve">.  </w:t>
      </w:r>
    </w:p>
    <w:p w14:paraId="3586997B" w14:textId="77777777" w:rsidR="00A510DD" w:rsidRPr="00A72556" w:rsidRDefault="00A510DD" w:rsidP="00A510DD">
      <w:pPr>
        <w:pStyle w:val="a9"/>
        <w:spacing w:line="360" w:lineRule="auto"/>
        <w:ind w:left="283"/>
        <w:jc w:val="both"/>
        <w:rPr>
          <w:rFonts w:ascii="David" w:hAnsi="David"/>
          <w:sz w:val="12"/>
          <w:szCs w:val="12"/>
        </w:rPr>
      </w:pPr>
    </w:p>
    <w:p w14:paraId="07BADEF3" w14:textId="77777777" w:rsidR="00A510DD" w:rsidRDefault="00A510DD" w:rsidP="00A510DD">
      <w:pPr>
        <w:pStyle w:val="a9"/>
        <w:numPr>
          <w:ilvl w:val="0"/>
          <w:numId w:val="1"/>
        </w:numPr>
        <w:spacing w:line="360" w:lineRule="auto"/>
        <w:ind w:left="283" w:hanging="283"/>
        <w:jc w:val="both"/>
        <w:rPr>
          <w:rFonts w:ascii="David" w:hAnsi="David"/>
        </w:rPr>
      </w:pPr>
      <w:r>
        <w:rPr>
          <w:rFonts w:ascii="David" w:hAnsi="David" w:hint="cs"/>
          <w:rtl/>
        </w:rPr>
        <w:lastRenderedPageBreak/>
        <w:t>עוד</w:t>
      </w:r>
      <w:r w:rsidRPr="007B487C">
        <w:rPr>
          <w:rFonts w:ascii="David" w:hAnsi="David"/>
          <w:rtl/>
        </w:rPr>
        <w:t xml:space="preserve"> טען ב"כ המאשימה לערכים המוגנים העומדים בבסיס העבירות בהן הורשע הנאשם, והן שלמות הגוף, הגנה על חיי אדם ועל שלומו ובטחונו של הציבור. הדברים מקבלים משנה תוקף בשים לב להיקף התופעה ולאופן התפשטותה. כמענה לכך, ישנה מגמה עקבית בפסיקה להחמיר את הענישה בגין עבירות אלה, באופן שיהלום את מידת הפגיעה בערכים המוגנים. בית המשפט העליון פסק, כי יש להעדיף את הרתעת הציבור ואת המלחמה בתופעה, על פני עקרונות הענישה האינדיבידואליים ונסיבותיו של כל נאשם ונאשם. </w:t>
      </w:r>
    </w:p>
    <w:p w14:paraId="2707CCE5" w14:textId="77777777" w:rsidR="00A510DD" w:rsidRPr="005234A6" w:rsidRDefault="00A510DD" w:rsidP="00A510DD">
      <w:pPr>
        <w:pStyle w:val="a9"/>
        <w:spacing w:line="360" w:lineRule="auto"/>
        <w:ind w:left="283"/>
        <w:jc w:val="both"/>
        <w:rPr>
          <w:rFonts w:ascii="David" w:hAnsi="David"/>
          <w:sz w:val="12"/>
          <w:szCs w:val="12"/>
        </w:rPr>
      </w:pPr>
    </w:p>
    <w:p w14:paraId="714C4501" w14:textId="77777777" w:rsidR="00A510DD" w:rsidRDefault="00A510DD" w:rsidP="00A510DD">
      <w:pPr>
        <w:pStyle w:val="a9"/>
        <w:numPr>
          <w:ilvl w:val="0"/>
          <w:numId w:val="1"/>
        </w:numPr>
        <w:spacing w:line="360" w:lineRule="auto"/>
        <w:ind w:left="283" w:hanging="283"/>
        <w:jc w:val="both"/>
        <w:rPr>
          <w:rFonts w:ascii="David" w:hAnsi="David"/>
        </w:rPr>
      </w:pPr>
      <w:r>
        <w:rPr>
          <w:rFonts w:ascii="David" w:hAnsi="David"/>
          <w:rtl/>
        </w:rPr>
        <w:t>אשר למתחם העונש ההולם</w:t>
      </w:r>
      <w:r>
        <w:rPr>
          <w:rFonts w:ascii="David" w:hAnsi="David" w:hint="cs"/>
          <w:rtl/>
        </w:rPr>
        <w:t>-</w:t>
      </w:r>
      <w:r w:rsidRPr="005234A6">
        <w:rPr>
          <w:rFonts w:ascii="David" w:hAnsi="David"/>
          <w:rtl/>
        </w:rPr>
        <w:t xml:space="preserve"> </w:t>
      </w:r>
      <w:r>
        <w:rPr>
          <w:rFonts w:ascii="David" w:hAnsi="David" w:hint="cs"/>
          <w:rtl/>
        </w:rPr>
        <w:t xml:space="preserve">הדגיש ב"כ המאשימה, </w:t>
      </w:r>
      <w:r w:rsidRPr="005234A6">
        <w:rPr>
          <w:rFonts w:ascii="David" w:hAnsi="David"/>
          <w:rtl/>
        </w:rPr>
        <w:t xml:space="preserve">כי נוכח הוראות בית המשפט העליון, יש להחמיר בקביעת המתחם, שכן הענישה היא במגמת החמרה. </w:t>
      </w:r>
      <w:r>
        <w:rPr>
          <w:rFonts w:ascii="David" w:hAnsi="David" w:hint="cs"/>
          <w:rtl/>
        </w:rPr>
        <w:t xml:space="preserve">עוד הדגיש </w:t>
      </w:r>
      <w:r w:rsidRPr="005234A6">
        <w:rPr>
          <w:rFonts w:ascii="David" w:hAnsi="David"/>
          <w:rtl/>
        </w:rPr>
        <w:t xml:space="preserve">בא כוח המאשימה את חלקו </w:t>
      </w:r>
      <w:r w:rsidRPr="005234A6">
        <w:rPr>
          <w:rFonts w:ascii="David" w:hAnsi="David" w:hint="cs"/>
          <w:rtl/>
        </w:rPr>
        <w:t>הלא מבוטל</w:t>
      </w:r>
      <w:r w:rsidRPr="005234A6">
        <w:rPr>
          <w:rFonts w:ascii="David" w:hAnsi="David"/>
          <w:rtl/>
        </w:rPr>
        <w:t xml:space="preserve"> של הנאשם בביצוע העביר</w:t>
      </w:r>
      <w:r w:rsidRPr="005234A6">
        <w:rPr>
          <w:rFonts w:ascii="David" w:hAnsi="David" w:hint="cs"/>
          <w:rtl/>
        </w:rPr>
        <w:t>ה</w:t>
      </w:r>
      <w:r w:rsidRPr="005234A6">
        <w:rPr>
          <w:rFonts w:ascii="David" w:hAnsi="David"/>
          <w:rtl/>
        </w:rPr>
        <w:t xml:space="preserve"> ואת פוטנציאל הנזק הרב ממעשיו</w:t>
      </w:r>
      <w:r w:rsidRPr="005234A6">
        <w:rPr>
          <w:rFonts w:ascii="David" w:hAnsi="David" w:hint="cs"/>
          <w:rtl/>
        </w:rPr>
        <w:t xml:space="preserve">. </w:t>
      </w:r>
      <w:r>
        <w:rPr>
          <w:rFonts w:ascii="David" w:hAnsi="David" w:hint="cs"/>
          <w:rtl/>
        </w:rPr>
        <w:t>בנוסף</w:t>
      </w:r>
      <w:r w:rsidRPr="005234A6">
        <w:rPr>
          <w:rFonts w:ascii="David" w:hAnsi="David" w:hint="cs"/>
          <w:rtl/>
        </w:rPr>
        <w:t xml:space="preserve"> הדגיש</w:t>
      </w:r>
      <w:r>
        <w:rPr>
          <w:rFonts w:ascii="David" w:hAnsi="David" w:hint="cs"/>
          <w:rtl/>
        </w:rPr>
        <w:t>,</w:t>
      </w:r>
      <w:r w:rsidRPr="005234A6">
        <w:rPr>
          <w:rFonts w:ascii="David" w:hAnsi="David" w:hint="cs"/>
          <w:rtl/>
        </w:rPr>
        <w:t xml:space="preserve"> כי מדובר</w:t>
      </w:r>
      <w:r w:rsidRPr="005234A6">
        <w:rPr>
          <w:rFonts w:ascii="David" w:hAnsi="David"/>
          <w:rtl/>
        </w:rPr>
        <w:t xml:space="preserve"> בסכומים גבוהים והנזק לא התממש </w:t>
      </w:r>
      <w:r w:rsidRPr="005234A6">
        <w:rPr>
          <w:rFonts w:ascii="David" w:hAnsi="David" w:hint="cs"/>
          <w:rtl/>
        </w:rPr>
        <w:t>מאחר שמדובר בסוכן שהופעל</w:t>
      </w:r>
      <w:r w:rsidRPr="005234A6">
        <w:rPr>
          <w:rFonts w:ascii="David" w:hAnsi="David"/>
          <w:rtl/>
        </w:rPr>
        <w:t xml:space="preserve">, ולא בשל רצון הנאשם. </w:t>
      </w:r>
      <w:r w:rsidRPr="005234A6">
        <w:rPr>
          <w:rFonts w:ascii="David" w:hAnsi="David" w:hint="cs"/>
          <w:rtl/>
        </w:rPr>
        <w:t>ב"כ המאשימה</w:t>
      </w:r>
      <w:r w:rsidRPr="005234A6">
        <w:rPr>
          <w:rFonts w:ascii="David" w:hAnsi="David"/>
          <w:rtl/>
        </w:rPr>
        <w:t xml:space="preserve"> עתר לקבוע מתחם עונש הולם הנע בין </w:t>
      </w:r>
      <w:r w:rsidRPr="000409D2">
        <w:rPr>
          <w:rFonts w:ascii="David" w:hAnsi="David" w:hint="cs"/>
          <w:rtl/>
        </w:rPr>
        <w:t>12</w:t>
      </w:r>
      <w:r w:rsidRPr="000409D2">
        <w:rPr>
          <w:rFonts w:ascii="David" w:hAnsi="David"/>
          <w:rtl/>
        </w:rPr>
        <w:t xml:space="preserve"> ל-36 </w:t>
      </w:r>
      <w:r w:rsidRPr="005234A6">
        <w:rPr>
          <w:rFonts w:ascii="David" w:hAnsi="David"/>
          <w:rtl/>
        </w:rPr>
        <w:t xml:space="preserve">חודשי מאסר בפועל. </w:t>
      </w:r>
    </w:p>
    <w:p w14:paraId="16003313" w14:textId="77777777" w:rsidR="00A510DD" w:rsidRPr="00C53C3A" w:rsidRDefault="00A510DD" w:rsidP="00A510DD">
      <w:pPr>
        <w:pStyle w:val="a9"/>
        <w:spacing w:line="360" w:lineRule="auto"/>
        <w:ind w:left="283"/>
        <w:jc w:val="both"/>
        <w:rPr>
          <w:rFonts w:ascii="David" w:hAnsi="David"/>
          <w:sz w:val="12"/>
          <w:szCs w:val="12"/>
        </w:rPr>
      </w:pPr>
    </w:p>
    <w:p w14:paraId="20B40F2F" w14:textId="77777777" w:rsidR="00A510DD" w:rsidRPr="002C74EC" w:rsidRDefault="00A510DD" w:rsidP="00A510DD">
      <w:pPr>
        <w:pStyle w:val="a9"/>
        <w:numPr>
          <w:ilvl w:val="0"/>
          <w:numId w:val="1"/>
        </w:numPr>
        <w:spacing w:line="360" w:lineRule="auto"/>
        <w:ind w:left="283" w:hanging="283"/>
        <w:jc w:val="both"/>
        <w:rPr>
          <w:rFonts w:ascii="David" w:hAnsi="David"/>
        </w:rPr>
      </w:pPr>
      <w:r w:rsidRPr="002C74EC">
        <w:rPr>
          <w:rFonts w:ascii="David" w:hAnsi="David"/>
          <w:rtl/>
        </w:rPr>
        <w:t>אשר לעונש המתאים, ציין בא כוח המאשימה שמדובר ב</w:t>
      </w:r>
      <w:r w:rsidRPr="002C74EC">
        <w:rPr>
          <w:rFonts w:ascii="David" w:hAnsi="David" w:hint="cs"/>
          <w:rtl/>
        </w:rPr>
        <w:t>צעיר</w:t>
      </w:r>
      <w:r w:rsidRPr="002C74EC">
        <w:rPr>
          <w:rFonts w:ascii="David" w:hAnsi="David"/>
          <w:rtl/>
        </w:rPr>
        <w:t xml:space="preserve"> </w:t>
      </w:r>
      <w:r w:rsidRPr="002C74EC">
        <w:rPr>
          <w:rFonts w:ascii="David" w:hAnsi="David" w:hint="cs"/>
          <w:rtl/>
        </w:rPr>
        <w:t>ש</w:t>
      </w:r>
      <w:r w:rsidRPr="002C74EC">
        <w:rPr>
          <w:rFonts w:ascii="David" w:hAnsi="David"/>
          <w:rtl/>
        </w:rPr>
        <w:t xml:space="preserve">נטל אחריות למעשיו </w:t>
      </w:r>
      <w:r w:rsidRPr="002C74EC">
        <w:rPr>
          <w:rFonts w:ascii="David" w:hAnsi="David" w:hint="cs"/>
          <w:rtl/>
        </w:rPr>
        <w:t>הנעדר עבר פלילי</w:t>
      </w:r>
      <w:r w:rsidRPr="002C74EC">
        <w:rPr>
          <w:rFonts w:ascii="David" w:hAnsi="David"/>
          <w:rtl/>
        </w:rPr>
        <w:t>. על כן, לדידו, יש להטיל עליו עונש בחלק התחתון של המתחם, אך</w:t>
      </w:r>
      <w:r w:rsidRPr="002C74EC">
        <w:rPr>
          <w:rFonts w:ascii="David" w:hAnsi="David" w:hint="cs"/>
          <w:rtl/>
        </w:rPr>
        <w:t xml:space="preserve"> </w:t>
      </w:r>
      <w:r w:rsidRPr="002C74EC">
        <w:rPr>
          <w:rFonts w:ascii="David" w:hAnsi="David"/>
          <w:rtl/>
        </w:rPr>
        <w:t xml:space="preserve">לא הנמוך ביותר, בהתחשב בשיקולי הרתעת היחיד והרתעת הרבים. בסופו של דבר, עתר בא כוח המאשימה להטלת עונש של </w:t>
      </w:r>
      <w:r w:rsidRPr="002C74EC">
        <w:rPr>
          <w:rFonts w:ascii="David" w:hAnsi="David" w:hint="cs"/>
          <w:rtl/>
        </w:rPr>
        <w:t>18 ח</w:t>
      </w:r>
      <w:r w:rsidRPr="002C74EC">
        <w:rPr>
          <w:rFonts w:ascii="David" w:hAnsi="David"/>
          <w:rtl/>
        </w:rPr>
        <w:t xml:space="preserve">ודשי מאסר בפועל, מאסר מותנה וקנס והגיש פסיקה לתמיכה בטיעוניו. </w:t>
      </w:r>
    </w:p>
    <w:p w14:paraId="36B74927" w14:textId="77777777" w:rsidR="00A510DD" w:rsidRPr="0005407C" w:rsidRDefault="00A510DD" w:rsidP="00A510DD">
      <w:pPr>
        <w:spacing w:after="200" w:line="360" w:lineRule="auto"/>
        <w:ind w:left="927"/>
        <w:contextualSpacing/>
        <w:jc w:val="both"/>
        <w:rPr>
          <w:rFonts w:ascii="David" w:hAnsi="David"/>
          <w:sz w:val="2"/>
          <w:szCs w:val="2"/>
        </w:rPr>
      </w:pPr>
    </w:p>
    <w:p w14:paraId="307E3728" w14:textId="77777777" w:rsidR="00A510DD" w:rsidRPr="002C74EC" w:rsidRDefault="00A510DD" w:rsidP="00A510DD">
      <w:pPr>
        <w:spacing w:line="360" w:lineRule="auto"/>
        <w:jc w:val="both"/>
        <w:rPr>
          <w:rFonts w:ascii="David" w:hAnsi="David"/>
          <w:color w:val="FF0000"/>
          <w:sz w:val="12"/>
          <w:szCs w:val="12"/>
        </w:rPr>
      </w:pPr>
    </w:p>
    <w:p w14:paraId="7516D923" w14:textId="77777777" w:rsidR="00A510DD" w:rsidRDefault="00A510DD" w:rsidP="00A510DD">
      <w:pPr>
        <w:pStyle w:val="a9"/>
        <w:numPr>
          <w:ilvl w:val="0"/>
          <w:numId w:val="1"/>
        </w:numPr>
        <w:spacing w:line="360" w:lineRule="auto"/>
        <w:ind w:left="283" w:hanging="283"/>
        <w:jc w:val="both"/>
        <w:rPr>
          <w:rFonts w:ascii="David" w:hAnsi="David"/>
        </w:rPr>
      </w:pPr>
      <w:r w:rsidRPr="007A2269">
        <w:rPr>
          <w:rFonts w:ascii="David" w:hAnsi="David"/>
          <w:rtl/>
        </w:rPr>
        <w:t>מנגד,</w:t>
      </w:r>
      <w:r>
        <w:rPr>
          <w:rFonts w:ascii="David" w:hAnsi="David" w:hint="cs"/>
          <w:rtl/>
        </w:rPr>
        <w:t xml:space="preserve"> עתר</w:t>
      </w:r>
      <w:r w:rsidRPr="007A2269">
        <w:rPr>
          <w:rFonts w:ascii="David" w:hAnsi="David"/>
          <w:rtl/>
        </w:rPr>
        <w:t xml:space="preserve"> </w:t>
      </w:r>
      <w:r w:rsidRPr="007B487C">
        <w:rPr>
          <w:rFonts w:ascii="David" w:hAnsi="David"/>
          <w:rtl/>
        </w:rPr>
        <w:t xml:space="preserve">בא כוח הנאשם למתחם עונש הולם </w:t>
      </w:r>
      <w:r>
        <w:rPr>
          <w:rFonts w:ascii="David" w:hAnsi="David" w:hint="cs"/>
          <w:rtl/>
        </w:rPr>
        <w:t>ה</w:t>
      </w:r>
      <w:r w:rsidRPr="007B487C">
        <w:rPr>
          <w:rFonts w:ascii="David" w:hAnsi="David"/>
          <w:rtl/>
        </w:rPr>
        <w:t xml:space="preserve">נע בין </w:t>
      </w:r>
      <w:r>
        <w:rPr>
          <w:rFonts w:ascii="David" w:hAnsi="David" w:hint="cs"/>
          <w:rtl/>
        </w:rPr>
        <w:t xml:space="preserve">מספר חודשי מאסר שרוצו בעבודות שירות ועד למספר </w:t>
      </w:r>
      <w:r w:rsidRPr="007B487C">
        <w:rPr>
          <w:rFonts w:ascii="David" w:hAnsi="David"/>
          <w:rtl/>
        </w:rPr>
        <w:t xml:space="preserve">חודשי מאסר </w:t>
      </w:r>
      <w:r>
        <w:rPr>
          <w:rFonts w:ascii="David" w:hAnsi="David" w:hint="cs"/>
          <w:rtl/>
        </w:rPr>
        <w:t xml:space="preserve">בפועל </w:t>
      </w:r>
      <w:r w:rsidRPr="007B487C">
        <w:rPr>
          <w:rFonts w:ascii="David" w:hAnsi="David"/>
          <w:rtl/>
        </w:rPr>
        <w:t xml:space="preserve">והגיש פסיקה לתמיכה בטיעוניו. </w:t>
      </w:r>
    </w:p>
    <w:p w14:paraId="08950B3B" w14:textId="77777777" w:rsidR="00A510DD" w:rsidRPr="00BF72CE" w:rsidRDefault="00A510DD" w:rsidP="00A510DD">
      <w:pPr>
        <w:pStyle w:val="a9"/>
        <w:spacing w:line="360" w:lineRule="auto"/>
        <w:ind w:left="283"/>
        <w:jc w:val="both"/>
        <w:rPr>
          <w:rFonts w:ascii="David" w:hAnsi="David"/>
          <w:sz w:val="12"/>
          <w:szCs w:val="12"/>
        </w:rPr>
      </w:pPr>
    </w:p>
    <w:p w14:paraId="58DC7F1E" w14:textId="77777777" w:rsidR="00A510DD" w:rsidRDefault="00A510DD" w:rsidP="00A510DD">
      <w:pPr>
        <w:pStyle w:val="a9"/>
        <w:numPr>
          <w:ilvl w:val="0"/>
          <w:numId w:val="1"/>
        </w:numPr>
        <w:spacing w:line="360" w:lineRule="auto"/>
        <w:ind w:left="283" w:hanging="283"/>
        <w:jc w:val="both"/>
        <w:rPr>
          <w:rFonts w:ascii="David" w:hAnsi="David"/>
        </w:rPr>
      </w:pPr>
      <w:r w:rsidRPr="007B487C">
        <w:rPr>
          <w:rFonts w:ascii="David" w:hAnsi="David"/>
          <w:rtl/>
        </w:rPr>
        <w:t>אשר לעונש המתאים</w:t>
      </w:r>
      <w:r>
        <w:rPr>
          <w:rFonts w:ascii="David" w:hAnsi="David" w:hint="cs"/>
          <w:rtl/>
        </w:rPr>
        <w:t>,</w:t>
      </w:r>
      <w:r w:rsidRPr="007B487C">
        <w:rPr>
          <w:rFonts w:ascii="David" w:hAnsi="David"/>
          <w:rtl/>
        </w:rPr>
        <w:t xml:space="preserve"> סבר בא כוחו, שיש להטיל על הנאשם עונש ברף התחתון של המתחם בשל גילו הצעיר </w:t>
      </w:r>
      <w:r>
        <w:rPr>
          <w:rFonts w:ascii="David" w:hAnsi="David" w:hint="cs"/>
          <w:rtl/>
        </w:rPr>
        <w:t>והעובדה כי הוא נעדר עבר פלילי ו</w:t>
      </w:r>
      <w:r>
        <w:rPr>
          <w:rFonts w:ascii="David" w:hAnsi="David"/>
          <w:rtl/>
        </w:rPr>
        <w:t>נטל אחריות למעשיו</w:t>
      </w:r>
      <w:r>
        <w:rPr>
          <w:rFonts w:ascii="David" w:hAnsi="David" w:hint="cs"/>
          <w:rtl/>
        </w:rPr>
        <w:t xml:space="preserve">. </w:t>
      </w:r>
      <w:r w:rsidRPr="00702A71">
        <w:rPr>
          <w:rFonts w:ascii="David" w:hAnsi="David"/>
          <w:rtl/>
        </w:rPr>
        <w:t xml:space="preserve">אשר לנסיבותיו האישיות של הנאשם, ציין בא כוחו כי מדובר בצעיר בן </w:t>
      </w:r>
      <w:r w:rsidRPr="00702A71">
        <w:rPr>
          <w:rFonts w:ascii="David" w:hAnsi="David" w:hint="cs"/>
          <w:rtl/>
        </w:rPr>
        <w:t>23</w:t>
      </w:r>
      <w:r w:rsidRPr="00702A71">
        <w:rPr>
          <w:rFonts w:ascii="David" w:hAnsi="David"/>
          <w:rtl/>
        </w:rPr>
        <w:t>, רווק, אשר השלים 12 שנות לימוד,</w:t>
      </w:r>
      <w:r w:rsidRPr="00702A71">
        <w:rPr>
          <w:rFonts w:ascii="David" w:hAnsi="David" w:hint="cs"/>
          <w:rtl/>
        </w:rPr>
        <w:t xml:space="preserve"> השלים לימודי טכנאות רכב ועבד במוסך טויוטה טרם מעצרו</w:t>
      </w:r>
      <w:r w:rsidRPr="00702A71">
        <w:rPr>
          <w:rFonts w:ascii="David" w:hAnsi="David"/>
          <w:rtl/>
        </w:rPr>
        <w:t xml:space="preserve">. </w:t>
      </w:r>
      <w:r>
        <w:rPr>
          <w:rFonts w:ascii="David" w:hAnsi="David" w:hint="cs"/>
          <w:rtl/>
        </w:rPr>
        <w:t>הנאשם בן למשפחה נורמטיבית, התורם לקהילה בהתנדבות ומשפחתו מגנה את המעשה. הנאשם שהה במעצר מיום 28.1.20 ולאור מגפת הקורונה תנאי מעצרו ומאסרו קשים יותר.</w:t>
      </w:r>
    </w:p>
    <w:p w14:paraId="1E0593F1" w14:textId="77777777" w:rsidR="00A510DD" w:rsidRPr="004A07F0" w:rsidRDefault="00A510DD" w:rsidP="00A510DD">
      <w:pPr>
        <w:pStyle w:val="a9"/>
        <w:spacing w:line="360" w:lineRule="auto"/>
        <w:ind w:left="283"/>
        <w:jc w:val="both"/>
        <w:rPr>
          <w:rFonts w:ascii="David" w:hAnsi="David"/>
          <w:sz w:val="12"/>
          <w:szCs w:val="12"/>
        </w:rPr>
      </w:pPr>
    </w:p>
    <w:p w14:paraId="5709498F" w14:textId="77777777" w:rsidR="00A510DD" w:rsidRPr="00702A71" w:rsidRDefault="00A510DD" w:rsidP="00A510DD">
      <w:pPr>
        <w:pStyle w:val="a9"/>
        <w:numPr>
          <w:ilvl w:val="0"/>
          <w:numId w:val="1"/>
        </w:numPr>
        <w:spacing w:line="360" w:lineRule="auto"/>
        <w:ind w:left="283" w:hanging="283"/>
        <w:jc w:val="both"/>
        <w:rPr>
          <w:rFonts w:ascii="David" w:hAnsi="David"/>
        </w:rPr>
      </w:pPr>
      <w:r>
        <w:rPr>
          <w:rFonts w:ascii="David" w:hAnsi="David" w:hint="cs"/>
          <w:rtl/>
        </w:rPr>
        <w:t xml:space="preserve">אביו של הנאשם מסר, כי המעשה אינו מקובל עליו, ומעצרו עורר כעס בקרב המשפחה. אביו הדגיש שגם לאחר המאסר יובהר לו עם שובו למשפחה, כי מעשיו אינם מקובלים עליהם והם יעקבו אחריו, הנאשם הביע חרטה על המעשה לפניו. הנאשם בן למשפחה המונה 6 ילדים, כולם מנהלים אורח חיים נורמטיבי. </w:t>
      </w:r>
    </w:p>
    <w:p w14:paraId="1A57D7F5" w14:textId="77777777" w:rsidR="00A510DD" w:rsidRPr="00BF72CE" w:rsidRDefault="00A510DD" w:rsidP="00A510DD">
      <w:pPr>
        <w:pStyle w:val="a9"/>
        <w:spacing w:line="360" w:lineRule="auto"/>
        <w:ind w:left="283"/>
        <w:jc w:val="both"/>
        <w:rPr>
          <w:rFonts w:ascii="David" w:hAnsi="David"/>
          <w:sz w:val="12"/>
          <w:szCs w:val="12"/>
        </w:rPr>
      </w:pPr>
    </w:p>
    <w:p w14:paraId="37047FC9" w14:textId="77777777" w:rsidR="00A510DD" w:rsidRDefault="00A510DD" w:rsidP="00A510DD">
      <w:pPr>
        <w:pStyle w:val="a9"/>
        <w:numPr>
          <w:ilvl w:val="0"/>
          <w:numId w:val="1"/>
        </w:numPr>
        <w:spacing w:line="360" w:lineRule="auto"/>
        <w:ind w:left="283" w:hanging="283"/>
        <w:jc w:val="both"/>
        <w:rPr>
          <w:rFonts w:ascii="David" w:hAnsi="David"/>
        </w:rPr>
      </w:pPr>
      <w:r w:rsidRPr="007B487C">
        <w:rPr>
          <w:rFonts w:ascii="David" w:hAnsi="David"/>
          <w:rtl/>
        </w:rPr>
        <w:t>הנאשם בדברו האחרון הביע צער על מעשיו, ומסר כי טעה</w:t>
      </w:r>
      <w:r>
        <w:rPr>
          <w:rFonts w:ascii="David" w:hAnsi="David" w:hint="cs"/>
          <w:rtl/>
        </w:rPr>
        <w:t xml:space="preserve"> ולא חשב על השלכות מעשיו</w:t>
      </w:r>
      <w:r w:rsidRPr="007B487C">
        <w:rPr>
          <w:rFonts w:ascii="David" w:hAnsi="David"/>
          <w:rtl/>
        </w:rPr>
        <w:t xml:space="preserve">. הוא הביע </w:t>
      </w:r>
      <w:r>
        <w:rPr>
          <w:rFonts w:ascii="David" w:hAnsi="David" w:hint="cs"/>
          <w:rtl/>
        </w:rPr>
        <w:t>את רצונו</w:t>
      </w:r>
      <w:r w:rsidRPr="007B487C">
        <w:rPr>
          <w:rFonts w:ascii="David" w:hAnsi="David"/>
          <w:rtl/>
        </w:rPr>
        <w:t xml:space="preserve"> לחזור לנ</w:t>
      </w:r>
      <w:r>
        <w:rPr>
          <w:rFonts w:ascii="David" w:hAnsi="David"/>
          <w:rtl/>
        </w:rPr>
        <w:t>הל אורח חיים נורמטיבי עם שחרורו</w:t>
      </w:r>
      <w:r w:rsidRPr="007B487C">
        <w:rPr>
          <w:rFonts w:ascii="David" w:hAnsi="David"/>
          <w:rtl/>
        </w:rPr>
        <w:t xml:space="preserve">. </w:t>
      </w:r>
      <w:r>
        <w:rPr>
          <w:rFonts w:ascii="David" w:hAnsi="David" w:hint="cs"/>
          <w:rtl/>
        </w:rPr>
        <w:t>בנוסף, מסר שהמעצר הציב לו גבולות והיה קשה לו.</w:t>
      </w:r>
    </w:p>
    <w:p w14:paraId="42A71B2F" w14:textId="77777777" w:rsidR="00A510DD" w:rsidRPr="005A035E" w:rsidRDefault="00A510DD" w:rsidP="00A510DD">
      <w:pPr>
        <w:pStyle w:val="a9"/>
        <w:spacing w:line="360" w:lineRule="auto"/>
        <w:ind w:left="283"/>
        <w:jc w:val="both"/>
        <w:rPr>
          <w:rFonts w:ascii="David" w:hAnsi="David"/>
          <w:sz w:val="12"/>
          <w:szCs w:val="12"/>
        </w:rPr>
      </w:pPr>
    </w:p>
    <w:p w14:paraId="1FCAB9C3" w14:textId="77777777" w:rsidR="00A510DD" w:rsidRDefault="00A510DD" w:rsidP="00A510DD">
      <w:pPr>
        <w:pStyle w:val="a9"/>
        <w:numPr>
          <w:ilvl w:val="0"/>
          <w:numId w:val="1"/>
        </w:numPr>
        <w:spacing w:line="360" w:lineRule="auto"/>
        <w:ind w:left="283" w:hanging="283"/>
        <w:jc w:val="both"/>
        <w:rPr>
          <w:rFonts w:ascii="David" w:hAnsi="David"/>
        </w:rPr>
      </w:pPr>
      <w:r>
        <w:rPr>
          <w:rFonts w:ascii="David" w:hAnsi="David" w:hint="cs"/>
          <w:rtl/>
        </w:rPr>
        <w:t>מדיווח של שב"ס בדבר תפקודו של הנאשם בעת מעצרו, שהתבקש לנוכח שביתת העובדים הסוציאליים עולה, כי הנאשם מועסק בחוליית אגף, נמצא בקשר מעקבי עם עובדת סוציאלית ומשתף פעולה, והביע רצון לתפקד כתומך לעצורי השגחה באגף. עוד עולה, כי לחובתו עבירת משמעת מחודש יוני בגינה נשללו ביקוריו למשך חודש ימים.</w:t>
      </w:r>
    </w:p>
    <w:p w14:paraId="3F451F98" w14:textId="77777777" w:rsidR="00A510DD" w:rsidRPr="007B487C" w:rsidRDefault="00A510DD" w:rsidP="00A510DD">
      <w:pPr>
        <w:spacing w:after="200" w:line="360" w:lineRule="auto"/>
        <w:ind w:left="283"/>
        <w:contextualSpacing/>
        <w:jc w:val="both"/>
        <w:rPr>
          <w:rFonts w:ascii="David" w:hAnsi="David"/>
        </w:rPr>
      </w:pPr>
      <w:r w:rsidRPr="007B487C">
        <w:rPr>
          <w:rFonts w:ascii="David" w:hAnsi="David"/>
          <w:rtl/>
        </w:rPr>
        <w:t xml:space="preserve"> </w:t>
      </w:r>
    </w:p>
    <w:p w14:paraId="59D9D512" w14:textId="77777777" w:rsidR="00A510DD" w:rsidRPr="007B487C" w:rsidRDefault="00A510DD" w:rsidP="00A510DD">
      <w:pPr>
        <w:spacing w:line="360" w:lineRule="auto"/>
        <w:jc w:val="both"/>
        <w:rPr>
          <w:rFonts w:ascii="David" w:hAnsi="David"/>
          <w:rtl/>
        </w:rPr>
      </w:pPr>
      <w:r w:rsidRPr="007B487C">
        <w:rPr>
          <w:rFonts w:ascii="David" w:hAnsi="David"/>
          <w:b/>
          <w:bCs/>
          <w:u w:val="single"/>
          <w:rtl/>
        </w:rPr>
        <w:t>מתחם העונש ההולם</w:t>
      </w:r>
    </w:p>
    <w:p w14:paraId="14CFFEFD" w14:textId="77777777" w:rsidR="00A510DD" w:rsidRPr="007B487C" w:rsidRDefault="00A510DD" w:rsidP="00A510DD">
      <w:pPr>
        <w:pStyle w:val="a9"/>
        <w:numPr>
          <w:ilvl w:val="0"/>
          <w:numId w:val="1"/>
        </w:numPr>
        <w:spacing w:line="360" w:lineRule="auto"/>
        <w:ind w:left="283" w:hanging="283"/>
        <w:jc w:val="both"/>
        <w:rPr>
          <w:rFonts w:ascii="David" w:hAnsi="David"/>
        </w:rPr>
      </w:pPr>
      <w:r w:rsidRPr="007B487C">
        <w:rPr>
          <w:rFonts w:ascii="David" w:hAnsi="David"/>
          <w:rtl/>
        </w:rPr>
        <w:t xml:space="preserve">על פי </w:t>
      </w:r>
      <w:r w:rsidRPr="00BF72CE">
        <w:rPr>
          <w:rFonts w:ascii="David" w:hAnsi="David"/>
          <w:rtl/>
        </w:rPr>
        <w:t xml:space="preserve">סעיף </w:t>
      </w:r>
      <w:hyperlink r:id="rId15" w:history="1">
        <w:r w:rsidR="009C0673" w:rsidRPr="009C0673">
          <w:rPr>
            <w:rStyle w:val="Hyperlink"/>
            <w:rFonts w:ascii="David" w:hAnsi="David"/>
            <w:color w:val="0000FF"/>
            <w:rtl/>
          </w:rPr>
          <w:t>40 ב'</w:t>
        </w:r>
      </w:hyperlink>
      <w:r w:rsidRPr="00BF72CE">
        <w:rPr>
          <w:rFonts w:ascii="David" w:hAnsi="David"/>
          <w:rtl/>
        </w:rPr>
        <w:t xml:space="preserve"> ל</w:t>
      </w:r>
      <w:r w:rsidRPr="003A0856">
        <w:rPr>
          <w:rFonts w:ascii="David" w:hAnsi="David"/>
          <w:color w:val="000000"/>
          <w:rtl/>
        </w:rPr>
        <w:t>חוק</w:t>
      </w:r>
      <w:r>
        <w:rPr>
          <w:rFonts w:ascii="David" w:hAnsi="David"/>
        </w:rPr>
        <w:t xml:space="preserve"> </w:t>
      </w:r>
      <w:r w:rsidRPr="00BF72CE">
        <w:rPr>
          <w:rFonts w:ascii="David" w:hAnsi="David"/>
          <w:rtl/>
        </w:rPr>
        <w:t xml:space="preserve">העיקרון </w:t>
      </w:r>
      <w:r w:rsidRPr="007B487C">
        <w:rPr>
          <w:rFonts w:ascii="David" w:hAnsi="David"/>
          <w:rtl/>
        </w:rPr>
        <w:t>המנחה בענישה הוא הלימה, קרי: יחס הולם בין חומרת מעשה העבירה ונסיבותיו ומידת אשמו של הנאשם, לבין סוג ומידת העונש המוטל עליו. בקביעת מתחם העונש ההולם, על בית המשפט להתחשב בערך החברתי שנפגע, במידת הפגיעה בו, במדיניות הענישה הנהוגה ובנסיבות הקשורות לביצוע העבירה.</w:t>
      </w:r>
    </w:p>
    <w:p w14:paraId="0A75F586" w14:textId="77777777" w:rsidR="00A510DD" w:rsidRPr="00BF72CE" w:rsidRDefault="00A510DD" w:rsidP="00A510DD">
      <w:pPr>
        <w:spacing w:after="200" w:line="360" w:lineRule="auto"/>
        <w:ind w:left="927"/>
        <w:contextualSpacing/>
        <w:jc w:val="both"/>
        <w:rPr>
          <w:rFonts w:ascii="David" w:hAnsi="David"/>
          <w:sz w:val="2"/>
          <w:szCs w:val="2"/>
        </w:rPr>
      </w:pPr>
    </w:p>
    <w:p w14:paraId="6A58BF56" w14:textId="77777777" w:rsidR="00A510DD" w:rsidRDefault="00A510DD" w:rsidP="00A510DD">
      <w:pPr>
        <w:pStyle w:val="a9"/>
        <w:numPr>
          <w:ilvl w:val="0"/>
          <w:numId w:val="1"/>
        </w:numPr>
        <w:spacing w:line="360" w:lineRule="auto"/>
        <w:ind w:left="283" w:hanging="283"/>
        <w:jc w:val="both"/>
        <w:rPr>
          <w:rFonts w:ascii="David" w:hAnsi="David"/>
        </w:rPr>
      </w:pPr>
      <w:r w:rsidRPr="007B487C">
        <w:rPr>
          <w:rFonts w:ascii="David" w:hAnsi="David"/>
          <w:rtl/>
        </w:rPr>
        <w:t>הערכים החברתיים עליהם יש להגן מפני אלה המבצעים עבירות בנשק, הם ההגנה על שלום הציבור וביטחונו, שמירה על שלמות גופו ורכושו של אדם ומניעת פגיעה משמעותית בו כתוצאה משימוש בנשק חם על ידי מי שאינו מיומן בכך. בית המשפט העליון חזר פעם אחר פעם על החומרה הגלומה בעבירות נשק ועל פוטנציאל הפגיעה בנפש וברכוש שעלולים להיגרם כתוצאה מהשימוש בו.</w:t>
      </w:r>
    </w:p>
    <w:p w14:paraId="69B14624" w14:textId="77777777" w:rsidR="00A510DD" w:rsidRPr="006A6E41" w:rsidRDefault="00A510DD" w:rsidP="00A510DD">
      <w:pPr>
        <w:pStyle w:val="a9"/>
        <w:spacing w:line="360" w:lineRule="auto"/>
        <w:ind w:left="283"/>
        <w:jc w:val="both"/>
        <w:rPr>
          <w:rFonts w:ascii="David" w:hAnsi="David"/>
          <w:sz w:val="12"/>
          <w:szCs w:val="12"/>
        </w:rPr>
      </w:pPr>
    </w:p>
    <w:p w14:paraId="50DCD59A" w14:textId="77777777" w:rsidR="00A510DD" w:rsidRPr="006A6E41" w:rsidRDefault="00A510DD" w:rsidP="00A510DD">
      <w:pPr>
        <w:pStyle w:val="a9"/>
        <w:numPr>
          <w:ilvl w:val="0"/>
          <w:numId w:val="1"/>
        </w:numPr>
        <w:spacing w:line="360" w:lineRule="auto"/>
        <w:ind w:left="283" w:hanging="283"/>
        <w:jc w:val="both"/>
        <w:rPr>
          <w:rFonts w:ascii="David" w:hAnsi="David"/>
          <w:sz w:val="12"/>
          <w:szCs w:val="12"/>
        </w:rPr>
      </w:pPr>
      <w:r w:rsidRPr="007B487C">
        <w:rPr>
          <w:rFonts w:ascii="David" w:hAnsi="David"/>
          <w:rtl/>
        </w:rPr>
        <w:t xml:space="preserve">נשק, שהוא מטבעו הוא כלי קטלני, עלול לעבור מיד ליד ולהגיע לידי גורמים שיבצעו באמצעותו עבירות פליליות חמורות, ואף לידי ארגוני טרור שיעשו בו שימוש באירועי טרור. על-כן, פוטנציאל הסיכון הנשקף מהסחר בו מחייב הטלת ענישה מחמירה ומרתיעה, אף אם מבצעי העבירות בחוליות השונות בשרשרת העברת הנשק, אינם מודעים לתכלית השימוש בו. </w:t>
      </w:r>
    </w:p>
    <w:p w14:paraId="42FB5ED2" w14:textId="77777777" w:rsidR="00A510DD" w:rsidRPr="007B487C" w:rsidRDefault="00A510DD" w:rsidP="00A510DD">
      <w:pPr>
        <w:pStyle w:val="a9"/>
        <w:spacing w:line="360" w:lineRule="auto"/>
        <w:ind w:left="283"/>
        <w:jc w:val="both"/>
        <w:rPr>
          <w:rFonts w:ascii="David" w:hAnsi="David"/>
          <w:sz w:val="12"/>
          <w:szCs w:val="12"/>
        </w:rPr>
      </w:pPr>
    </w:p>
    <w:p w14:paraId="40716B04" w14:textId="77777777" w:rsidR="00A510DD" w:rsidRDefault="00A510DD" w:rsidP="00A510DD">
      <w:pPr>
        <w:pStyle w:val="a9"/>
        <w:numPr>
          <w:ilvl w:val="0"/>
          <w:numId w:val="1"/>
        </w:numPr>
        <w:spacing w:line="360" w:lineRule="auto"/>
        <w:ind w:left="283" w:hanging="283"/>
        <w:jc w:val="both"/>
        <w:rPr>
          <w:rFonts w:ascii="David" w:hAnsi="David"/>
          <w:sz w:val="12"/>
          <w:szCs w:val="12"/>
        </w:rPr>
      </w:pPr>
      <w:r w:rsidRPr="006A6E41">
        <w:rPr>
          <w:rFonts w:ascii="David" w:hAnsi="David"/>
          <w:rtl/>
        </w:rPr>
        <w:t>עוד נפסק, כי בשל הסכנה הרבה הטמונה בעבירות הנשק, מוצדק להטיל עונשי מאסר בפועל גם על מי שזוהי עבורו הרשעתו הראשונה בפלילים. על בית המשפט לתת משקל משמעותי יותר לאינטרס הציבורי ולצורך להרתיע עבריינים מלבצע עבירות דומות, על-פני הנסיבות האישיות של העבריין</w:t>
      </w:r>
      <w:r w:rsidRPr="006A6E41">
        <w:rPr>
          <w:rFonts w:ascii="David" w:hAnsi="David" w:hint="cs"/>
          <w:rtl/>
        </w:rPr>
        <w:t xml:space="preserve"> </w:t>
      </w:r>
      <w:r w:rsidRPr="006A6E41">
        <w:rPr>
          <w:rFonts w:ascii="David" w:hAnsi="David"/>
          <w:b/>
          <w:bCs/>
          <w:rtl/>
        </w:rPr>
        <w:t>(</w:t>
      </w:r>
      <w:r w:rsidRPr="006A6E41">
        <w:rPr>
          <w:rFonts w:ascii="David" w:hAnsi="David" w:hint="cs"/>
          <w:b/>
          <w:bCs/>
          <w:rtl/>
        </w:rPr>
        <w:t xml:space="preserve">ר' </w:t>
      </w:r>
      <w:hyperlink r:id="rId16" w:history="1">
        <w:r w:rsidR="003A0856" w:rsidRPr="003A0856">
          <w:rPr>
            <w:rFonts w:ascii="David" w:hAnsi="David"/>
            <w:b/>
            <w:bCs/>
            <w:color w:val="0000FF"/>
            <w:u w:val="single"/>
            <w:rtl/>
          </w:rPr>
          <w:t>ע"פ 2006/12</w:t>
        </w:r>
      </w:hyperlink>
      <w:r w:rsidRPr="006A6E41">
        <w:rPr>
          <w:rFonts w:ascii="David" w:hAnsi="David"/>
          <w:b/>
          <w:bCs/>
          <w:rtl/>
        </w:rPr>
        <w:t xml:space="preserve"> מדינת ישראל נ' אסדי (28.3.2012), (להלן: עניין אסדי); </w:t>
      </w:r>
      <w:hyperlink r:id="rId17" w:history="1">
        <w:r w:rsidR="003A0856" w:rsidRPr="003A0856">
          <w:rPr>
            <w:rFonts w:ascii="David" w:hAnsi="David"/>
            <w:b/>
            <w:bCs/>
            <w:color w:val="0000FF"/>
            <w:u w:val="single"/>
            <w:rtl/>
          </w:rPr>
          <w:t>ע"פ 7502/12</w:t>
        </w:r>
      </w:hyperlink>
      <w:r w:rsidRPr="006A6E41">
        <w:rPr>
          <w:rFonts w:ascii="David" w:hAnsi="David"/>
          <w:b/>
          <w:bCs/>
          <w:rtl/>
        </w:rPr>
        <w:t xml:space="preserve"> כוויס נ' מדינת ישראל, פסקה 6 (25.6.2013)). </w:t>
      </w:r>
    </w:p>
    <w:p w14:paraId="5A23524A" w14:textId="77777777" w:rsidR="00A510DD" w:rsidRPr="006A6E41" w:rsidRDefault="00A510DD" w:rsidP="00A510DD">
      <w:pPr>
        <w:pStyle w:val="a9"/>
        <w:spacing w:line="360" w:lineRule="auto"/>
        <w:ind w:left="283"/>
        <w:jc w:val="both"/>
        <w:rPr>
          <w:rFonts w:ascii="David" w:hAnsi="David"/>
          <w:sz w:val="12"/>
          <w:szCs w:val="12"/>
          <w:rtl/>
        </w:rPr>
      </w:pPr>
    </w:p>
    <w:p w14:paraId="1818D8EC" w14:textId="77777777" w:rsidR="00A510DD" w:rsidRPr="007B487C" w:rsidRDefault="00A510DD" w:rsidP="00A510DD">
      <w:pPr>
        <w:pStyle w:val="a9"/>
        <w:numPr>
          <w:ilvl w:val="0"/>
          <w:numId w:val="1"/>
        </w:numPr>
        <w:spacing w:line="360" w:lineRule="auto"/>
        <w:ind w:left="283" w:hanging="283"/>
        <w:jc w:val="both"/>
        <w:rPr>
          <w:rFonts w:ascii="David" w:hAnsi="David"/>
        </w:rPr>
      </w:pPr>
      <w:r w:rsidRPr="007B487C">
        <w:rPr>
          <w:rFonts w:ascii="David" w:hAnsi="David"/>
          <w:rtl/>
        </w:rPr>
        <w:t xml:space="preserve">המגמה להחמיר בענישה בעבירות נשק באה לידי ביטוי בשורה ארוכה של פסק דין שניתנו על ידי בית משפט העליון, בין היתר, </w:t>
      </w:r>
      <w:r w:rsidRPr="006A6E41">
        <w:rPr>
          <w:rFonts w:ascii="David" w:hAnsi="David"/>
          <w:rtl/>
        </w:rPr>
        <w:t>ב</w:t>
      </w:r>
      <w:hyperlink r:id="rId18" w:history="1">
        <w:r w:rsidR="003A0856" w:rsidRPr="003A0856">
          <w:rPr>
            <w:rFonts w:ascii="David" w:hAnsi="David"/>
            <w:color w:val="0000FF"/>
            <w:u w:val="single"/>
            <w:rtl/>
          </w:rPr>
          <w:t>ע"פ 1323/13</w:t>
        </w:r>
      </w:hyperlink>
      <w:r w:rsidRPr="006A6E41">
        <w:rPr>
          <w:rFonts w:ascii="David" w:hAnsi="David"/>
          <w:rtl/>
        </w:rPr>
        <w:t xml:space="preserve"> </w:t>
      </w:r>
      <w:r w:rsidRPr="006A6E41">
        <w:rPr>
          <w:rFonts w:ascii="David" w:hAnsi="David"/>
          <w:b/>
          <w:bCs/>
          <w:rtl/>
        </w:rPr>
        <w:t xml:space="preserve">רך </w:t>
      </w:r>
      <w:r w:rsidRPr="007B487C">
        <w:rPr>
          <w:rFonts w:ascii="David" w:hAnsi="David"/>
          <w:b/>
          <w:bCs/>
          <w:rtl/>
        </w:rPr>
        <w:t>חסן  נגד מדינת ישראל</w:t>
      </w:r>
      <w:r w:rsidRPr="007B487C">
        <w:rPr>
          <w:rFonts w:ascii="David" w:hAnsi="David"/>
          <w:rtl/>
        </w:rPr>
        <w:t xml:space="preserve">  (ניתן ביום 5.6.13), שם קבעה כבוד השופטת ארבל:</w:t>
      </w:r>
    </w:p>
    <w:p w14:paraId="0C4688C4" w14:textId="77777777" w:rsidR="00A510DD" w:rsidRPr="007B487C" w:rsidRDefault="00A510DD" w:rsidP="00A510DD">
      <w:pPr>
        <w:spacing w:after="200" w:line="360" w:lineRule="auto"/>
        <w:ind w:left="283"/>
        <w:contextualSpacing/>
        <w:jc w:val="both"/>
        <w:rPr>
          <w:rFonts w:ascii="David" w:hAnsi="David"/>
          <w:sz w:val="12"/>
          <w:szCs w:val="12"/>
        </w:rPr>
      </w:pPr>
    </w:p>
    <w:p w14:paraId="08F96F12" w14:textId="77777777" w:rsidR="00A510DD" w:rsidRPr="007B487C" w:rsidRDefault="00A510DD" w:rsidP="00A510DD">
      <w:pPr>
        <w:spacing w:after="200" w:line="360" w:lineRule="auto"/>
        <w:ind w:left="567" w:right="567"/>
        <w:contextualSpacing/>
        <w:jc w:val="both"/>
        <w:rPr>
          <w:rFonts w:ascii="David" w:hAnsi="David"/>
          <w:rtl/>
        </w:rPr>
      </w:pPr>
      <w:r w:rsidRPr="007B487C">
        <w:rPr>
          <w:rFonts w:ascii="David" w:hAnsi="David"/>
          <w:b/>
          <w:bCs/>
          <w:rtl/>
        </w:rPr>
        <w:t>"נוכח היקפן המתרחב של עבירות המבוצעות בנשק בכלל וסחר בנשק בפרט, וזמינותו המדאיגה של נשק בלתי חוקי במחוזותינו, התעורר הצורך להחמיר בעונשי המאסר המוטלים בעבירות אלה.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 בסכסוך ברחוב, בקטטה בין ניצים ואף בתוך המשפחה פנימה. הסכנה הנשקפת לציבור כתוצאה מעבירות אלה, לצד המימדים שאליהם הגיעו, מחייבים לתת ביטוי הולם וכבד משקל להגנה על הערך החברתי שנפגע כתוצאה מפעילות עבריינית זאת, הגנה על שלום הציבור מפני פגיעות בגוף או בנפש, ולהחמיר את עונשי המאסר המוטלים בגין פעילות עבריינית זאת, בהדרגה".</w:t>
      </w:r>
    </w:p>
    <w:p w14:paraId="6426AAED" w14:textId="77777777" w:rsidR="00A510DD" w:rsidRPr="007B487C" w:rsidRDefault="00A510DD" w:rsidP="00A510DD">
      <w:pPr>
        <w:spacing w:line="360" w:lineRule="auto"/>
        <w:ind w:right="567"/>
        <w:jc w:val="both"/>
        <w:rPr>
          <w:rFonts w:ascii="David" w:hAnsi="David"/>
          <w:sz w:val="12"/>
          <w:szCs w:val="12"/>
          <w:rtl/>
        </w:rPr>
      </w:pPr>
    </w:p>
    <w:p w14:paraId="3A783870" w14:textId="77777777" w:rsidR="00A510DD" w:rsidRDefault="00A510DD" w:rsidP="00A510DD">
      <w:pPr>
        <w:pStyle w:val="a9"/>
        <w:numPr>
          <w:ilvl w:val="0"/>
          <w:numId w:val="1"/>
        </w:numPr>
        <w:spacing w:line="360" w:lineRule="auto"/>
        <w:ind w:left="283" w:hanging="283"/>
        <w:jc w:val="both"/>
        <w:rPr>
          <w:rFonts w:ascii="David" w:hAnsi="David"/>
        </w:rPr>
      </w:pPr>
      <w:r w:rsidRPr="007B487C">
        <w:rPr>
          <w:rFonts w:ascii="David" w:hAnsi="David"/>
          <w:rtl/>
        </w:rPr>
        <w:t>ב</w:t>
      </w:r>
      <w:hyperlink r:id="rId19" w:history="1">
        <w:r w:rsidR="003A0856" w:rsidRPr="003A0856">
          <w:rPr>
            <w:rFonts w:ascii="David" w:hAnsi="David"/>
            <w:color w:val="0000FF"/>
            <w:u w:val="single"/>
            <w:rtl/>
          </w:rPr>
          <w:t>ע"פ 2251/11</w:t>
        </w:r>
      </w:hyperlink>
      <w:r w:rsidRPr="00702A71">
        <w:rPr>
          <w:rFonts w:ascii="David" w:hAnsi="David"/>
          <w:rtl/>
        </w:rPr>
        <w:t xml:space="preserve"> </w:t>
      </w:r>
      <w:r w:rsidRPr="00702A71">
        <w:rPr>
          <w:rFonts w:ascii="David" w:hAnsi="David"/>
          <w:b/>
          <w:bCs/>
          <w:rtl/>
        </w:rPr>
        <w:t>נפאע נ' מדינת ישראל</w:t>
      </w:r>
      <w:r w:rsidRPr="00702A71">
        <w:rPr>
          <w:rFonts w:ascii="David" w:hAnsi="David"/>
          <w:rtl/>
        </w:rPr>
        <w:t xml:space="preserve"> (ניתן ביום 4.12.11) קבעה כבוד השופטת</w:t>
      </w:r>
      <w:r>
        <w:rPr>
          <w:rFonts w:ascii="David" w:hAnsi="David" w:hint="cs"/>
          <w:rtl/>
        </w:rPr>
        <w:t xml:space="preserve"> א'</w:t>
      </w:r>
      <w:r w:rsidRPr="00702A71">
        <w:rPr>
          <w:rFonts w:ascii="David" w:hAnsi="David"/>
          <w:rtl/>
        </w:rPr>
        <w:t xml:space="preserve"> חיות כך: "</w:t>
      </w:r>
      <w:r w:rsidRPr="00702A71">
        <w:rPr>
          <w:rFonts w:ascii="David" w:hAnsi="David"/>
          <w:b/>
          <w:bCs/>
          <w:rtl/>
        </w:rPr>
        <w:t>נוכח מימדיה המדאיגים של תופעת הסחר הבלתי חוקי בנשק, הסכנות הנשקפות ממנה והקלות היחסית שבה ניתן לבצען, אכן הגיעה השעה – בכפוף לנסיבותיו הקונקרטיות של כל מקרה ומקרה - להחמיר בעונשי המאסר הנגזרים על נאשמים בעבירות אלו לעומת העונשים הנגזרים כיום</w:t>
      </w:r>
      <w:r w:rsidRPr="00702A71">
        <w:rPr>
          <w:rFonts w:ascii="David" w:hAnsi="David"/>
          <w:rtl/>
        </w:rPr>
        <w:t xml:space="preserve">". </w:t>
      </w:r>
    </w:p>
    <w:p w14:paraId="311A0192" w14:textId="77777777" w:rsidR="00A510DD" w:rsidRPr="00702A71" w:rsidRDefault="00A510DD" w:rsidP="00A510DD">
      <w:pPr>
        <w:pStyle w:val="a9"/>
        <w:spacing w:line="360" w:lineRule="auto"/>
        <w:ind w:left="283"/>
        <w:jc w:val="both"/>
        <w:rPr>
          <w:rFonts w:ascii="David" w:hAnsi="David"/>
          <w:sz w:val="12"/>
          <w:szCs w:val="12"/>
        </w:rPr>
      </w:pPr>
    </w:p>
    <w:p w14:paraId="4DBB128F" w14:textId="77777777" w:rsidR="00A510DD" w:rsidRPr="00702A71" w:rsidRDefault="00A510DD" w:rsidP="00A510DD">
      <w:pPr>
        <w:pStyle w:val="a9"/>
        <w:numPr>
          <w:ilvl w:val="0"/>
          <w:numId w:val="1"/>
        </w:numPr>
        <w:spacing w:line="360" w:lineRule="auto"/>
        <w:ind w:left="283" w:hanging="283"/>
        <w:jc w:val="both"/>
        <w:rPr>
          <w:rFonts w:ascii="David" w:hAnsi="David"/>
          <w:rtl/>
        </w:rPr>
      </w:pPr>
      <w:r w:rsidRPr="00702A71">
        <w:rPr>
          <w:rFonts w:ascii="David" w:hAnsi="David"/>
          <w:rtl/>
        </w:rPr>
        <w:t xml:space="preserve">כן יפים לענייננו הדברים שנקבעו במסגרת </w:t>
      </w:r>
      <w:hyperlink r:id="rId20" w:history="1">
        <w:r w:rsidR="003A0856" w:rsidRPr="003A0856">
          <w:rPr>
            <w:rFonts w:ascii="David" w:hAnsi="David"/>
            <w:color w:val="0000FF"/>
            <w:u w:val="single"/>
            <w:rtl/>
          </w:rPr>
          <w:t>ע"פ 8045/17</w:t>
        </w:r>
      </w:hyperlink>
      <w:r w:rsidRPr="00702A71">
        <w:rPr>
          <w:rFonts w:ascii="David" w:hAnsi="David"/>
          <w:rtl/>
        </w:rPr>
        <w:t xml:space="preserve"> </w:t>
      </w:r>
      <w:r w:rsidRPr="00702A71">
        <w:rPr>
          <w:rFonts w:ascii="David" w:hAnsi="David"/>
          <w:b/>
          <w:bCs/>
          <w:rtl/>
        </w:rPr>
        <w:t>מחמוד בראנסי נ' מדינת ישראל</w:t>
      </w:r>
      <w:r w:rsidRPr="00702A71">
        <w:rPr>
          <w:rFonts w:ascii="David" w:hAnsi="David"/>
          <w:rtl/>
        </w:rPr>
        <w:t xml:space="preserve"> (ניתן ביום 16.8.18):</w:t>
      </w:r>
    </w:p>
    <w:p w14:paraId="1CC3CD98" w14:textId="77777777" w:rsidR="00A510DD" w:rsidRPr="00702A71" w:rsidRDefault="00A510DD" w:rsidP="00A510DD">
      <w:pPr>
        <w:spacing w:before="120" w:after="120" w:line="360" w:lineRule="auto"/>
        <w:ind w:left="567" w:right="709"/>
        <w:contextualSpacing/>
        <w:jc w:val="both"/>
        <w:rPr>
          <w:rFonts w:ascii="Calibri" w:hAnsi="Calibri" w:cs="Arial"/>
          <w:b/>
          <w:bCs/>
          <w:rtl/>
        </w:rPr>
      </w:pPr>
      <w:r w:rsidRPr="00702A71">
        <w:rPr>
          <w:rFonts w:ascii="David" w:hAnsi="David"/>
          <w:b/>
          <w:bCs/>
          <w:rtl/>
        </w:rPr>
        <w:t>"החומרה היתרה הכרוכה בעבירות נשק והסיכון הנשקף מביצוען לציבור, מקבלים משנה תוקף בשים לב להיקפיה של התופעה ואופן התפשטותה. כמענה לכך, מסתמנת בפסיקה מגמה עקבית להחמיר את הענישה בגין עבירות אלו, באופן שיהלום את מידת פגיעתן בערכים המוגנים ויקדם את מיגור התופעה (עניין דהוד, פסקה 11; עניין חסן, פסקה 12; עניין עספור, פסקה 7). משכך, חרף עיקרון הענישה האינדיבידואלית והמשקל שיש ליתן לנסיבותיו האישיות של כל נאשם לגופו, בבואו לגזור את דינו של מי שהורשע בביצוע עבירות חמורות אלו, על בית המשפט לתת בכורה לשיקולי ההרתעה והאינטרס הציבורי (</w:t>
      </w:r>
      <w:hyperlink r:id="rId21" w:history="1">
        <w:r w:rsidR="003A0856" w:rsidRPr="003A0856">
          <w:rPr>
            <w:rFonts w:ascii="David" w:hAnsi="David"/>
            <w:b/>
            <w:bCs/>
            <w:color w:val="0000FF"/>
            <w:u w:val="single"/>
            <w:rtl/>
          </w:rPr>
          <w:t>ע"פ 5643/14</w:t>
        </w:r>
      </w:hyperlink>
      <w:r w:rsidRPr="00702A71">
        <w:rPr>
          <w:rFonts w:ascii="David" w:hAnsi="David"/>
          <w:b/>
          <w:bCs/>
          <w:rtl/>
        </w:rPr>
        <w:t xml:space="preserve"> עיסא נ' מדינת ישראל (23.6.2015) (להלן: עניין עיסא), פסקה 13; עניין נפאע, פסקה 5)."</w:t>
      </w:r>
    </w:p>
    <w:p w14:paraId="1EB30B4D" w14:textId="77777777" w:rsidR="00A510DD" w:rsidRPr="00642C74" w:rsidRDefault="00A510DD" w:rsidP="00A510DD">
      <w:pPr>
        <w:pStyle w:val="a9"/>
        <w:numPr>
          <w:ilvl w:val="0"/>
          <w:numId w:val="1"/>
        </w:numPr>
        <w:spacing w:line="360" w:lineRule="auto"/>
        <w:ind w:left="283" w:hanging="283"/>
        <w:jc w:val="both"/>
        <w:rPr>
          <w:rFonts w:ascii="David" w:hAnsi="David"/>
        </w:rPr>
      </w:pPr>
      <w:r w:rsidRPr="007B487C">
        <w:rPr>
          <w:rFonts w:ascii="David" w:hAnsi="David"/>
          <w:rtl/>
        </w:rPr>
        <w:t>מדיניות הענישה הנהוגה בעבירות בנשק היא מגוונת, ותלויה בנסיבותיו של כל מקרה ומקרה. כך למשל-</w:t>
      </w:r>
    </w:p>
    <w:p w14:paraId="55C53C99" w14:textId="77777777" w:rsidR="00A510DD" w:rsidRPr="007B487C" w:rsidRDefault="00A510DD" w:rsidP="00A510DD">
      <w:pPr>
        <w:numPr>
          <w:ilvl w:val="1"/>
          <w:numId w:val="2"/>
        </w:numPr>
        <w:spacing w:after="200" w:line="360" w:lineRule="auto"/>
        <w:contextualSpacing/>
        <w:jc w:val="both"/>
        <w:rPr>
          <w:rFonts w:ascii="David" w:hAnsi="David"/>
        </w:rPr>
      </w:pPr>
      <w:r w:rsidRPr="00642C74">
        <w:rPr>
          <w:rFonts w:ascii="David" w:hAnsi="David"/>
          <w:rtl/>
        </w:rPr>
        <w:t>ב</w:t>
      </w:r>
      <w:hyperlink r:id="rId22" w:history="1">
        <w:r w:rsidR="003A0856" w:rsidRPr="003A0856">
          <w:rPr>
            <w:rFonts w:ascii="David" w:hAnsi="David"/>
            <w:color w:val="0000FF"/>
            <w:u w:val="single"/>
            <w:rtl/>
          </w:rPr>
          <w:t>ע"פ 4945/13</w:t>
        </w:r>
      </w:hyperlink>
      <w:r w:rsidRPr="00642C74">
        <w:rPr>
          <w:rFonts w:ascii="David" w:hAnsi="David"/>
          <w:rtl/>
        </w:rPr>
        <w:t xml:space="preserve"> </w:t>
      </w:r>
      <w:r w:rsidRPr="00642C74">
        <w:rPr>
          <w:rFonts w:ascii="David" w:hAnsi="David"/>
          <w:b/>
          <w:bCs/>
          <w:rtl/>
        </w:rPr>
        <w:t xml:space="preserve">מדינת ישראל </w:t>
      </w:r>
      <w:r w:rsidRPr="007B487C">
        <w:rPr>
          <w:rFonts w:ascii="David" w:hAnsi="David"/>
          <w:b/>
          <w:bCs/>
          <w:rtl/>
        </w:rPr>
        <w:t>נ' סלימאן</w:t>
      </w:r>
      <w:r w:rsidRPr="007B487C">
        <w:rPr>
          <w:rFonts w:ascii="David" w:hAnsi="David"/>
          <w:rtl/>
        </w:rPr>
        <w:t xml:space="preserve"> (19.1.14) נקבע מדרג חומרה לעבירות הנשק השונות, כאשר עבירת הסחר מצויה ברף העליון. עבירת נשיאת והובלת הנשק נמצאת ברף הבינוני. עבירת רכישת נשק ואביזר נשק, נמצאת ברף התחתון של עבירות הנשק. באותו האירוע נקבע מתחם בשל עבירות של נשיאת והובלת נשק וכן רכישת אביזר של נשק שנע בין 12 ל-36 חודשי מאסר. שם דובר בנשק מסוג קרל גוסטב עם מחסנית וכדורים, וכן הנאשם בדק את תקינות הנשק כאשר ירה כדור בודד. בסופו של יום, בית משפט חרג ממתחם העונש ההולם מטעמי שיקום, והטיל שישה חודשי מאסר שירוצו בעבודות שירות, שם דובר בצעיר שהיה בן 19 בעת ביצוע העבירות, והנסיבות שהובילו לביצוע העבירות היה פחד וחשש לחייו. גם במסגרת פסק דין זה חזר בית המשפט העליון והדגיש, כי כלל בעבירות מסוג זה לא ניתן להסתפק בעונש של מאסר בעבודות שירות, אלא ראוי להטיל עונש של מאסר שירוצה בבית הכלא, מאחורי סורג ובריח.</w:t>
      </w:r>
    </w:p>
    <w:p w14:paraId="0AB29932" w14:textId="77777777" w:rsidR="00A510DD" w:rsidRPr="007B487C" w:rsidRDefault="00A510DD" w:rsidP="00A510DD">
      <w:pPr>
        <w:spacing w:after="200" w:line="360" w:lineRule="auto"/>
        <w:ind w:left="1440"/>
        <w:contextualSpacing/>
        <w:jc w:val="both"/>
        <w:rPr>
          <w:rFonts w:ascii="David" w:hAnsi="David"/>
          <w:color w:val="000000"/>
          <w:sz w:val="12"/>
          <w:szCs w:val="12"/>
        </w:rPr>
      </w:pPr>
    </w:p>
    <w:p w14:paraId="00ABBDF4" w14:textId="77777777" w:rsidR="00A510DD" w:rsidRPr="007B487C" w:rsidRDefault="00A510DD" w:rsidP="00A510DD">
      <w:pPr>
        <w:numPr>
          <w:ilvl w:val="1"/>
          <w:numId w:val="2"/>
        </w:numPr>
        <w:spacing w:after="200" w:line="360" w:lineRule="auto"/>
        <w:contextualSpacing/>
        <w:jc w:val="both"/>
        <w:rPr>
          <w:rFonts w:ascii="David" w:hAnsi="David"/>
          <w:color w:val="000000"/>
        </w:rPr>
      </w:pPr>
      <w:r w:rsidRPr="00642C74">
        <w:rPr>
          <w:rFonts w:ascii="David" w:hAnsi="David"/>
          <w:rtl/>
        </w:rPr>
        <w:t>ב</w:t>
      </w:r>
      <w:hyperlink r:id="rId23" w:history="1">
        <w:r w:rsidR="003A0856" w:rsidRPr="003A0856">
          <w:rPr>
            <w:rFonts w:ascii="David" w:hAnsi="David"/>
            <w:color w:val="0000FF"/>
            <w:u w:val="single"/>
            <w:rtl/>
          </w:rPr>
          <w:t>ע"פ 5643/14</w:t>
        </w:r>
      </w:hyperlink>
      <w:r w:rsidRPr="00642C74">
        <w:rPr>
          <w:rFonts w:ascii="David" w:hAnsi="David"/>
        </w:rPr>
        <w:t xml:space="preserve"> </w:t>
      </w:r>
      <w:r w:rsidRPr="00642C74">
        <w:rPr>
          <w:rFonts w:ascii="David" w:hAnsi="David"/>
          <w:b/>
          <w:bCs/>
          <w:rtl/>
        </w:rPr>
        <w:t xml:space="preserve">אחמד </w:t>
      </w:r>
      <w:r w:rsidRPr="007B487C">
        <w:rPr>
          <w:rFonts w:ascii="David" w:hAnsi="David"/>
          <w:b/>
          <w:bCs/>
          <w:color w:val="000000"/>
          <w:rtl/>
        </w:rPr>
        <w:t>עיסא נ' מדינת ישראל</w:t>
      </w:r>
      <w:r w:rsidRPr="007B487C">
        <w:rPr>
          <w:rFonts w:ascii="David" w:hAnsi="David"/>
          <w:color w:val="000000"/>
        </w:rPr>
        <w:t xml:space="preserve">) </w:t>
      </w:r>
      <w:r>
        <w:rPr>
          <w:rFonts w:ascii="David" w:hAnsi="David"/>
          <w:color w:val="000000"/>
          <w:rtl/>
        </w:rPr>
        <w:t>23.06.</w:t>
      </w:r>
      <w:r>
        <w:rPr>
          <w:rFonts w:ascii="David" w:hAnsi="David" w:hint="cs"/>
          <w:color w:val="000000"/>
          <w:rtl/>
        </w:rPr>
        <w:t>1</w:t>
      </w:r>
      <w:r w:rsidRPr="007B487C">
        <w:rPr>
          <w:rFonts w:ascii="David" w:hAnsi="David"/>
          <w:color w:val="000000"/>
          <w:rtl/>
        </w:rPr>
        <w:t>5)</w:t>
      </w:r>
      <w:r w:rsidRPr="007B487C">
        <w:rPr>
          <w:rFonts w:ascii="David" w:hAnsi="David"/>
          <w:color w:val="000000"/>
          <w:shd w:val="clear" w:color="auto" w:fill="FFFFFF"/>
          <w:rtl/>
        </w:rPr>
        <w:t xml:space="preserve"> במסגרת הערעור על פסק הדין דחה בית המשפט עליון את ערעורם של הנאשמים אשר הורשעו על פי הודאתם, בכתב האישום המתוקן במסגרת הסדר טיעון, בריבוי עבירות מסוג סחר בנשק, קשירת קשר לביצוע פשע (עסקה אחרת בנשק) </w:t>
      </w:r>
      <w:r w:rsidRPr="007B487C">
        <w:rPr>
          <w:rFonts w:ascii="David" w:hAnsi="David"/>
          <w:rtl/>
        </w:rPr>
        <w:t xml:space="preserve">וניסיון לסחר בנשק. על המערער 1 הוטלו 65 חודשי מאסר בפועל לצד ענישה נלווית ועל המערער 2 הוטלו 38 חודשי מאסר בפועל לצד ענישה נלווית. בית המשפט העליון עמד על חומרת מעשיהם של המערערים ועל מדיניות הענישה המחמירה הנהוגה. כמו כן עמד בית המשפט על המסוכנות הרבה שבתופעת הסחר הבלתי חוקי </w:t>
      </w:r>
      <w:r w:rsidRPr="007B487C">
        <w:rPr>
          <w:rFonts w:ascii="David" w:hAnsi="David"/>
          <w:color w:val="000000"/>
          <w:spacing w:val="10"/>
          <w:rtl/>
        </w:rPr>
        <w:t>כאשר החשש הוא כי נשק זה ישמש בסופו של יום למטרות פליליות או לפעילות חבלנית עוינת, בייחוד במקרים</w:t>
      </w:r>
      <w:r w:rsidRPr="007B487C">
        <w:rPr>
          <w:rFonts w:ascii="David" w:hAnsi="David"/>
          <w:color w:val="000000"/>
          <w:rtl/>
        </w:rPr>
        <w:t xml:space="preserve"> בהם לא אותר הנשק (כמו במקרה זה) בדחותו את הערעור סבר בית המשפט העליון כי העונש שהוטל על המערערים אינו חורג ממדיניות הענישה המקובלת במקרים דומים.</w:t>
      </w:r>
    </w:p>
    <w:p w14:paraId="57A2E240" w14:textId="77777777" w:rsidR="00A510DD" w:rsidRPr="007B487C" w:rsidRDefault="00A510DD" w:rsidP="00A510DD">
      <w:pPr>
        <w:spacing w:after="200" w:line="360" w:lineRule="auto"/>
        <w:contextualSpacing/>
        <w:jc w:val="both"/>
        <w:rPr>
          <w:rFonts w:ascii="David" w:hAnsi="David"/>
          <w:sz w:val="12"/>
          <w:szCs w:val="12"/>
          <w:rtl/>
        </w:rPr>
      </w:pPr>
    </w:p>
    <w:p w14:paraId="1ECE9C53" w14:textId="77777777" w:rsidR="00A510DD" w:rsidRPr="007B487C" w:rsidRDefault="00A510DD" w:rsidP="00A510DD">
      <w:pPr>
        <w:numPr>
          <w:ilvl w:val="1"/>
          <w:numId w:val="2"/>
        </w:numPr>
        <w:spacing w:after="200" w:line="360" w:lineRule="auto"/>
        <w:contextualSpacing/>
        <w:jc w:val="both"/>
        <w:rPr>
          <w:rFonts w:ascii="David" w:hAnsi="David" w:cs="Arial"/>
          <w:color w:val="000000"/>
          <w:sz w:val="22"/>
          <w:szCs w:val="22"/>
        </w:rPr>
      </w:pPr>
      <w:r w:rsidRPr="007B487C">
        <w:rPr>
          <w:rFonts w:ascii="David" w:hAnsi="David"/>
          <w:color w:val="000000"/>
          <w:rtl/>
        </w:rPr>
        <w:t>בע"</w:t>
      </w:r>
      <w:hyperlink r:id="rId24" w:history="1">
        <w:r w:rsidR="003A0856" w:rsidRPr="003A0856">
          <w:rPr>
            <w:rFonts w:ascii="David" w:hAnsi="David"/>
            <w:color w:val="0000FF"/>
            <w:u w:val="single"/>
            <w:rtl/>
          </w:rPr>
          <w:t>פ (מחוזי מרכז) 39850-07-16</w:t>
        </w:r>
      </w:hyperlink>
      <w:r w:rsidRPr="00642C74">
        <w:rPr>
          <w:rFonts w:ascii="David" w:hAnsi="David"/>
        </w:rPr>
        <w:t xml:space="preserve"> </w:t>
      </w:r>
      <w:r w:rsidRPr="007B487C">
        <w:rPr>
          <w:rFonts w:ascii="David" w:hAnsi="David"/>
          <w:b/>
          <w:bCs/>
          <w:color w:val="000000"/>
          <w:rtl/>
        </w:rPr>
        <w:t>מדינת ישראל נ' גואד עבד אל קאדר</w:t>
      </w:r>
      <w:r>
        <w:rPr>
          <w:rFonts w:ascii="David" w:hAnsi="David"/>
          <w:color w:val="000000"/>
          <w:rtl/>
        </w:rPr>
        <w:t xml:space="preserve"> (30.03</w:t>
      </w:r>
      <w:r>
        <w:rPr>
          <w:rFonts w:ascii="David" w:hAnsi="David" w:hint="cs"/>
          <w:color w:val="000000"/>
          <w:rtl/>
        </w:rPr>
        <w:t>.</w:t>
      </w:r>
      <w:r w:rsidRPr="007B487C">
        <w:rPr>
          <w:rFonts w:ascii="David" w:hAnsi="David"/>
          <w:color w:val="000000"/>
          <w:rtl/>
        </w:rPr>
        <w:t>17</w:t>
      </w:r>
      <w:r w:rsidRPr="007B487C">
        <w:rPr>
          <w:rFonts w:ascii="David" w:hAnsi="David"/>
          <w:color w:val="000000"/>
        </w:rPr>
        <w:t>(</w:t>
      </w:r>
      <w:r w:rsidRPr="007B487C">
        <w:rPr>
          <w:rFonts w:ascii="David" w:hAnsi="David"/>
          <w:color w:val="000000"/>
          <w:rtl/>
        </w:rPr>
        <w:t xml:space="preserve"> הרשיע בית המשפט את הנאשמים על פי הודאתם, בכתב האישום המתוקן במסגרת הסדר טיעון, בעבירות מסוג קשירת קשר לפשע (סחר בנשק), נשיאת נשק ורכישת נשק. הנאשמים במעשיהם עסקו בפעולות תיווך לרכישת כלי הנשק, שינוע נשקים ממקום למקום (בין השאר לשם תיקונם) לשם ביצוע העסקאות וכן רכישה בפועל. בית המשפט הטיל על נאשם 1 45 חודשי מאסר בפועל ועל נאשם 2 36 חודשי מאסר בפועל. בית המשפט עמד על כך שהנאשמים ביצעו פעולות אקטיביות שקדם להם תכנון מוקדם על מנת שיהיה ניתן להוציא את העסקאות אל הפועל, הן ביצירת קשר עם הלקוחות והן בשינוע הנשקים מהרשות הפלסטינית לתוך שטח מדינת ישראל.</w:t>
      </w:r>
    </w:p>
    <w:p w14:paraId="774FF0BE" w14:textId="77777777" w:rsidR="00A510DD" w:rsidRDefault="00A510DD" w:rsidP="00A510DD">
      <w:pPr>
        <w:pStyle w:val="a9"/>
        <w:numPr>
          <w:ilvl w:val="0"/>
          <w:numId w:val="1"/>
        </w:numPr>
        <w:spacing w:line="360" w:lineRule="auto"/>
        <w:ind w:left="283" w:hanging="283"/>
        <w:jc w:val="both"/>
        <w:rPr>
          <w:rFonts w:ascii="David" w:hAnsi="David"/>
        </w:rPr>
      </w:pPr>
      <w:r w:rsidRPr="006C2984">
        <w:rPr>
          <w:rFonts w:ascii="David" w:hAnsi="David"/>
          <w:rtl/>
        </w:rPr>
        <w:t>אשר לנסיבות הקשורות בביצוע העבירה</w:t>
      </w:r>
      <w:r w:rsidRPr="006C2984">
        <w:rPr>
          <w:rFonts w:ascii="David" w:hAnsi="David"/>
          <w:b/>
          <w:bCs/>
          <w:rtl/>
        </w:rPr>
        <w:t xml:space="preserve"> </w:t>
      </w:r>
      <w:r w:rsidRPr="006C2984">
        <w:rPr>
          <w:rFonts w:ascii="David" w:hAnsi="David"/>
          <w:rtl/>
        </w:rPr>
        <w:t>(</w:t>
      </w:r>
      <w:hyperlink w:history="1">
        <w:r w:rsidRPr="003A0856">
          <w:rPr>
            <w:rFonts w:ascii="David" w:hAnsi="David"/>
            <w:color w:val="000000"/>
          </w:rPr>
          <w:t>40</w:t>
        </w:r>
      </w:hyperlink>
      <w:r w:rsidRPr="006C2984">
        <w:rPr>
          <w:rFonts w:ascii="David" w:hAnsi="David"/>
          <w:color w:val="000000"/>
          <w:rtl/>
        </w:rPr>
        <w:t>ט'</w:t>
      </w:r>
      <w:r w:rsidRPr="006C2984">
        <w:rPr>
          <w:rFonts w:ascii="David" w:hAnsi="David"/>
          <w:rtl/>
        </w:rPr>
        <w:t xml:space="preserve"> לחוק), יש לתת את הדעת לשיקולים הבאים:</w:t>
      </w:r>
      <w:r w:rsidRPr="006C2984">
        <w:rPr>
          <w:rFonts w:ascii="David" w:hAnsi="David" w:cs="Arial"/>
          <w:sz w:val="22"/>
          <w:szCs w:val="22"/>
          <w:rtl/>
        </w:rPr>
        <w:t xml:space="preserve"> </w:t>
      </w:r>
      <w:r w:rsidRPr="006C2984">
        <w:rPr>
          <w:rFonts w:ascii="David" w:hAnsi="David"/>
          <w:rtl/>
        </w:rPr>
        <w:t xml:space="preserve">מחד גיסא, מדובר </w:t>
      </w:r>
      <w:r w:rsidRPr="006C2984">
        <w:rPr>
          <w:rFonts w:ascii="David" w:hAnsi="David" w:hint="cs"/>
          <w:rtl/>
        </w:rPr>
        <w:t>במי שלא נטל חלק מרכזי ב</w:t>
      </w:r>
      <w:r w:rsidRPr="006C2984">
        <w:rPr>
          <w:rFonts w:ascii="David" w:hAnsi="David"/>
          <w:rtl/>
        </w:rPr>
        <w:t>ביצוע העביר</w:t>
      </w:r>
      <w:r w:rsidRPr="006C2984">
        <w:rPr>
          <w:rFonts w:ascii="David" w:hAnsi="David" w:hint="cs"/>
          <w:rtl/>
        </w:rPr>
        <w:t xml:space="preserve">ה, הוא הורשע כמסייע ופוטנציאל הנזק לא מומש מאחר שהנשק נמכר לסוכן. </w:t>
      </w:r>
      <w:r>
        <w:rPr>
          <w:rFonts w:ascii="David" w:hAnsi="David" w:hint="cs"/>
          <w:rtl/>
        </w:rPr>
        <w:t>בנוסף, אין מדובר בנשק ארוך ו</w:t>
      </w:r>
      <w:r w:rsidRPr="007B487C">
        <w:rPr>
          <w:rFonts w:ascii="David" w:hAnsi="David"/>
          <w:rtl/>
        </w:rPr>
        <w:t>הנאשם לא קיבל תמורה על מעשיו</w:t>
      </w:r>
      <w:r>
        <w:rPr>
          <w:rFonts w:ascii="David" w:hAnsi="David" w:hint="cs"/>
          <w:rtl/>
        </w:rPr>
        <w:t xml:space="preserve">. </w:t>
      </w:r>
      <w:r w:rsidRPr="006C2984">
        <w:rPr>
          <w:rFonts w:ascii="David" w:hAnsi="David" w:hint="cs"/>
          <w:rtl/>
        </w:rPr>
        <w:t>מאידך גיסא,</w:t>
      </w:r>
      <w:r w:rsidRPr="006C2984">
        <w:rPr>
          <w:rFonts w:ascii="David" w:hAnsi="David"/>
          <w:rtl/>
        </w:rPr>
        <w:t xml:space="preserve"> הנאשם </w:t>
      </w:r>
      <w:r w:rsidRPr="006C2984">
        <w:rPr>
          <w:rFonts w:ascii="David" w:hAnsi="David" w:hint="cs"/>
          <w:rtl/>
        </w:rPr>
        <w:t>היה שותף פעיל ל</w:t>
      </w:r>
      <w:r w:rsidRPr="006C2984">
        <w:rPr>
          <w:rFonts w:ascii="David" w:hAnsi="David"/>
          <w:rtl/>
        </w:rPr>
        <w:t>ניה</w:t>
      </w:r>
      <w:r w:rsidRPr="006C2984">
        <w:rPr>
          <w:rFonts w:ascii="David" w:hAnsi="David" w:hint="cs"/>
          <w:rtl/>
        </w:rPr>
        <w:t>ו</w:t>
      </w:r>
      <w:r w:rsidRPr="006C2984">
        <w:rPr>
          <w:rFonts w:ascii="David" w:hAnsi="David"/>
          <w:rtl/>
        </w:rPr>
        <w:t xml:space="preserve">ל </w:t>
      </w:r>
      <w:r w:rsidRPr="006C2984">
        <w:rPr>
          <w:rFonts w:ascii="David" w:hAnsi="David" w:hint="cs"/>
          <w:rtl/>
        </w:rPr>
        <w:t>ה</w:t>
      </w:r>
      <w:r w:rsidRPr="006C2984">
        <w:rPr>
          <w:rFonts w:ascii="David" w:hAnsi="David"/>
          <w:rtl/>
        </w:rPr>
        <w:t xml:space="preserve">משא ומתן לרכישת כלי </w:t>
      </w:r>
      <w:r w:rsidRPr="006C2984">
        <w:rPr>
          <w:rFonts w:ascii="David" w:hAnsi="David" w:hint="cs"/>
          <w:rtl/>
        </w:rPr>
        <w:t>ה</w:t>
      </w:r>
      <w:r w:rsidRPr="006C2984">
        <w:rPr>
          <w:rFonts w:ascii="David" w:hAnsi="David"/>
          <w:rtl/>
        </w:rPr>
        <w:t xml:space="preserve">נשק </w:t>
      </w:r>
      <w:r w:rsidRPr="006C2984">
        <w:rPr>
          <w:rFonts w:ascii="David" w:hAnsi="David" w:hint="cs"/>
          <w:rtl/>
        </w:rPr>
        <w:t>בתמורה ל</w:t>
      </w:r>
      <w:r w:rsidRPr="006C2984">
        <w:rPr>
          <w:rFonts w:ascii="David" w:hAnsi="David"/>
          <w:rtl/>
        </w:rPr>
        <w:t xml:space="preserve">סכום גבוה, </w:t>
      </w:r>
      <w:r w:rsidRPr="006C2984">
        <w:rPr>
          <w:rFonts w:ascii="David" w:hAnsi="David" w:hint="cs"/>
          <w:rtl/>
        </w:rPr>
        <w:t>נהג ברכב בעת ביצוע העבירה, ו</w:t>
      </w:r>
      <w:r w:rsidRPr="006C2984">
        <w:rPr>
          <w:rFonts w:ascii="David" w:hAnsi="David"/>
          <w:rtl/>
        </w:rPr>
        <w:t xml:space="preserve">ידע </w:t>
      </w:r>
      <w:r w:rsidRPr="006C2984">
        <w:rPr>
          <w:rFonts w:ascii="David" w:hAnsi="David" w:hint="cs"/>
          <w:rtl/>
        </w:rPr>
        <w:t>כיצד</w:t>
      </w:r>
      <w:r w:rsidRPr="006C2984">
        <w:rPr>
          <w:rFonts w:ascii="David" w:hAnsi="David"/>
          <w:rtl/>
        </w:rPr>
        <w:t xml:space="preserve"> לתקן </w:t>
      </w:r>
      <w:r w:rsidRPr="006C2984">
        <w:rPr>
          <w:rFonts w:ascii="David" w:hAnsi="David" w:hint="cs"/>
          <w:rtl/>
        </w:rPr>
        <w:t>את ה</w:t>
      </w:r>
      <w:r w:rsidRPr="006C2984">
        <w:rPr>
          <w:rFonts w:ascii="David" w:hAnsi="David"/>
          <w:rtl/>
        </w:rPr>
        <w:t>נשק</w:t>
      </w:r>
      <w:r w:rsidRPr="006C2984">
        <w:rPr>
          <w:rFonts w:ascii="David" w:hAnsi="David" w:hint="cs"/>
          <w:rtl/>
        </w:rPr>
        <w:t>.</w:t>
      </w:r>
      <w:r w:rsidRPr="006C2984">
        <w:rPr>
          <w:rFonts w:ascii="David" w:hAnsi="David"/>
          <w:rtl/>
        </w:rPr>
        <w:t xml:space="preserve"> </w:t>
      </w:r>
    </w:p>
    <w:p w14:paraId="50D3ABFF" w14:textId="77777777" w:rsidR="00A510DD" w:rsidRPr="006C2984" w:rsidRDefault="00A510DD" w:rsidP="00A510DD">
      <w:pPr>
        <w:pStyle w:val="a9"/>
        <w:spacing w:line="360" w:lineRule="auto"/>
        <w:ind w:left="283"/>
        <w:jc w:val="both"/>
        <w:rPr>
          <w:rFonts w:ascii="David" w:hAnsi="David"/>
          <w:sz w:val="12"/>
          <w:szCs w:val="12"/>
        </w:rPr>
      </w:pPr>
      <w:r w:rsidRPr="006C2984">
        <w:rPr>
          <w:rFonts w:ascii="David" w:hAnsi="David"/>
          <w:rtl/>
        </w:rPr>
        <w:t xml:space="preserve"> </w:t>
      </w:r>
    </w:p>
    <w:p w14:paraId="637A42F5" w14:textId="77777777" w:rsidR="00A510DD" w:rsidRPr="007B487C" w:rsidRDefault="00A510DD" w:rsidP="00A510DD">
      <w:pPr>
        <w:pStyle w:val="a9"/>
        <w:numPr>
          <w:ilvl w:val="0"/>
          <w:numId w:val="1"/>
        </w:numPr>
        <w:spacing w:line="360" w:lineRule="auto"/>
        <w:ind w:left="283" w:hanging="283"/>
        <w:jc w:val="both"/>
        <w:rPr>
          <w:rFonts w:ascii="David" w:hAnsi="David"/>
        </w:rPr>
      </w:pPr>
      <w:r w:rsidRPr="007B487C">
        <w:rPr>
          <w:rFonts w:ascii="David" w:hAnsi="David"/>
          <w:rtl/>
        </w:rPr>
        <w:t xml:space="preserve">לאחר שבחנתי את הערך החברתי שנפגע כתוצאה מביצוע העבירה שלפניי, את נסיבות ביצוע העבירות ואת מדיניות הענישה הנהוגה, הגעתי לכלל מסקנה כי מתחם העונש ההולם את העבירות שלפניי, נע בין עונש של מאסר בפועל לתקופה של </w:t>
      </w:r>
      <w:r>
        <w:rPr>
          <w:rFonts w:ascii="David" w:hAnsi="David" w:hint="cs"/>
          <w:rtl/>
        </w:rPr>
        <w:t>10</w:t>
      </w:r>
      <w:r w:rsidRPr="007B487C">
        <w:rPr>
          <w:rFonts w:ascii="David" w:hAnsi="David"/>
          <w:rtl/>
        </w:rPr>
        <w:t xml:space="preserve"> חודשי מאסר לבין עונש של </w:t>
      </w:r>
      <w:r>
        <w:rPr>
          <w:rFonts w:ascii="David" w:hAnsi="David" w:hint="cs"/>
          <w:rtl/>
        </w:rPr>
        <w:t>30</w:t>
      </w:r>
      <w:r w:rsidRPr="007B487C">
        <w:rPr>
          <w:rFonts w:ascii="David" w:hAnsi="David"/>
          <w:rtl/>
        </w:rPr>
        <w:t xml:space="preserve"> חו</w:t>
      </w:r>
      <w:r>
        <w:rPr>
          <w:rFonts w:ascii="David" w:hAnsi="David"/>
          <w:rtl/>
        </w:rPr>
        <w:t>דשי מאסר</w:t>
      </w:r>
      <w:r w:rsidRPr="007B487C">
        <w:rPr>
          <w:rFonts w:ascii="David" w:hAnsi="David"/>
          <w:rtl/>
        </w:rPr>
        <w:t xml:space="preserve">, זאת לצד רכיבי ענישה נלווים. </w:t>
      </w:r>
    </w:p>
    <w:p w14:paraId="64678B5E" w14:textId="77777777" w:rsidR="00A510DD" w:rsidRPr="007B487C" w:rsidRDefault="00A510DD" w:rsidP="00A510DD">
      <w:pPr>
        <w:spacing w:line="360" w:lineRule="auto"/>
        <w:jc w:val="both"/>
        <w:rPr>
          <w:rFonts w:ascii="David" w:hAnsi="David"/>
          <w:b/>
          <w:bCs/>
        </w:rPr>
      </w:pPr>
    </w:p>
    <w:p w14:paraId="735A713C" w14:textId="77777777" w:rsidR="00A510DD" w:rsidRPr="007B487C" w:rsidRDefault="00A510DD" w:rsidP="00A510DD">
      <w:pPr>
        <w:spacing w:line="360" w:lineRule="auto"/>
        <w:jc w:val="both"/>
        <w:rPr>
          <w:rFonts w:ascii="David" w:hAnsi="David"/>
          <w:b/>
          <w:bCs/>
          <w:u w:val="single"/>
        </w:rPr>
      </w:pPr>
      <w:r w:rsidRPr="007B487C">
        <w:rPr>
          <w:rFonts w:ascii="David" w:hAnsi="David"/>
          <w:b/>
          <w:bCs/>
          <w:u w:val="single"/>
          <w:rtl/>
        </w:rPr>
        <w:t>העונש המתאים</w:t>
      </w:r>
    </w:p>
    <w:p w14:paraId="6FB6EDB3" w14:textId="77777777" w:rsidR="00A510DD" w:rsidRPr="007B487C" w:rsidRDefault="00A510DD" w:rsidP="00A510DD">
      <w:pPr>
        <w:pStyle w:val="a9"/>
        <w:numPr>
          <w:ilvl w:val="0"/>
          <w:numId w:val="1"/>
        </w:numPr>
        <w:spacing w:line="360" w:lineRule="auto"/>
        <w:ind w:left="283" w:hanging="283"/>
        <w:jc w:val="both"/>
        <w:rPr>
          <w:rFonts w:ascii="David" w:hAnsi="David"/>
          <w:rtl/>
        </w:rPr>
      </w:pPr>
      <w:r w:rsidRPr="007B487C">
        <w:rPr>
          <w:rFonts w:ascii="David" w:hAnsi="David"/>
          <w:rtl/>
        </w:rPr>
        <w:t xml:space="preserve">בתיק זה לא מצאתי לחרוג לחומרה ממתחם העונש ההולם מטעמי הגנה על הציבור. בנוסף, לא מצאתי לחרוג לקולה ממתחם העונש ההולם מטעמי שיקום וזאת נוכח העובדה, כי אין אופק שיקומי טיפולי שהוצג לפניי במסגרת הליך זה. </w:t>
      </w:r>
    </w:p>
    <w:p w14:paraId="57C9E33D" w14:textId="77777777" w:rsidR="00A510DD" w:rsidRPr="007B487C" w:rsidRDefault="00A510DD" w:rsidP="00A510DD">
      <w:pPr>
        <w:shd w:val="clear" w:color="auto" w:fill="FFFFFF"/>
        <w:spacing w:line="360" w:lineRule="auto"/>
        <w:ind w:left="697"/>
        <w:jc w:val="both"/>
        <w:rPr>
          <w:rFonts w:ascii="David" w:hAnsi="David"/>
          <w:sz w:val="12"/>
          <w:szCs w:val="12"/>
        </w:rPr>
      </w:pPr>
    </w:p>
    <w:p w14:paraId="771F74B2" w14:textId="77777777" w:rsidR="00A510DD" w:rsidRDefault="00A510DD" w:rsidP="00A510DD">
      <w:pPr>
        <w:pStyle w:val="a9"/>
        <w:numPr>
          <w:ilvl w:val="0"/>
          <w:numId w:val="1"/>
        </w:numPr>
        <w:shd w:val="clear" w:color="auto" w:fill="FFFFFF"/>
        <w:spacing w:line="360" w:lineRule="auto"/>
        <w:ind w:hanging="283"/>
        <w:jc w:val="both"/>
        <w:rPr>
          <w:rFonts w:ascii="David" w:hAnsi="David"/>
          <w:sz w:val="12"/>
          <w:szCs w:val="12"/>
        </w:rPr>
      </w:pPr>
      <w:r w:rsidRPr="006C2984">
        <w:rPr>
          <w:rFonts w:ascii="David" w:hAnsi="David"/>
          <w:rtl/>
        </w:rPr>
        <w:t xml:space="preserve">בגזירת העונש המתאים לנאשם, בגדרי מתחם העונש ההולם, יש להתחשב בנסיבות שאינן קשורות בביצוע העבירה (סעיף </w:t>
      </w:r>
      <w:hyperlink r:id="rId25" w:history="1">
        <w:r w:rsidR="009C0673" w:rsidRPr="009C0673">
          <w:rPr>
            <w:rStyle w:val="Hyperlink"/>
            <w:rFonts w:ascii="David" w:hAnsi="David"/>
            <w:color w:val="0000FF"/>
            <w:rtl/>
          </w:rPr>
          <w:t>40 יא'</w:t>
        </w:r>
      </w:hyperlink>
      <w:r w:rsidRPr="006C2984">
        <w:rPr>
          <w:rFonts w:ascii="David" w:hAnsi="David" w:hint="cs"/>
          <w:rtl/>
        </w:rPr>
        <w:t xml:space="preserve"> לחוק</w:t>
      </w:r>
      <w:r w:rsidRPr="006C2984">
        <w:rPr>
          <w:rFonts w:ascii="David" w:hAnsi="David"/>
          <w:rtl/>
        </w:rPr>
        <w:t>). במסגרת זו מן הראוי לתת את הדעת לנסיבות שלהלן: הנאשם רווק,</w:t>
      </w:r>
      <w:r w:rsidRPr="006C2984">
        <w:rPr>
          <w:rFonts w:ascii="David" w:hAnsi="David" w:hint="cs"/>
          <w:rtl/>
        </w:rPr>
        <w:t xml:space="preserve"> נעדר עבר פלילי, </w:t>
      </w:r>
      <w:r>
        <w:rPr>
          <w:rFonts w:ascii="David" w:hAnsi="David" w:hint="cs"/>
          <w:rtl/>
        </w:rPr>
        <w:t xml:space="preserve">אמו חולה ואביו אינו עובד כעת. הנאשם הוא </w:t>
      </w:r>
      <w:r w:rsidRPr="006C2984">
        <w:rPr>
          <w:rFonts w:ascii="David" w:hAnsi="David" w:hint="cs"/>
          <w:rtl/>
        </w:rPr>
        <w:t>בן למשפחה נורמטיבית אשר ניהל אורח חיים נורמטיבי טרם מעצרו</w:t>
      </w:r>
      <w:r w:rsidRPr="006C2984">
        <w:rPr>
          <w:rFonts w:ascii="David" w:hAnsi="David"/>
          <w:rtl/>
        </w:rPr>
        <w:t xml:space="preserve">. הנאשם צעיר בן </w:t>
      </w:r>
      <w:r w:rsidRPr="006C2984">
        <w:rPr>
          <w:rFonts w:ascii="David" w:hAnsi="David" w:hint="cs"/>
          <w:rtl/>
        </w:rPr>
        <w:t>23 בן למשפחה המונה שמונה נפשות</w:t>
      </w:r>
      <w:r w:rsidRPr="006C2984">
        <w:rPr>
          <w:rFonts w:ascii="David" w:hAnsi="David"/>
          <w:rtl/>
        </w:rPr>
        <w:t xml:space="preserve">, השלים 12 שנות לימוד, </w:t>
      </w:r>
      <w:r w:rsidRPr="006C2984">
        <w:rPr>
          <w:rFonts w:ascii="David" w:hAnsi="David" w:hint="cs"/>
          <w:rtl/>
        </w:rPr>
        <w:t>לימודי מקצוע ועבד בתחום הרכב וסייע לפרנסת משפחתו.</w:t>
      </w:r>
      <w:r>
        <w:rPr>
          <w:rFonts w:ascii="David" w:hAnsi="David" w:hint="cs"/>
          <w:sz w:val="12"/>
          <w:szCs w:val="12"/>
          <w:rtl/>
        </w:rPr>
        <w:t xml:space="preserve"> </w:t>
      </w:r>
      <w:r w:rsidRPr="006C2984">
        <w:rPr>
          <w:rFonts w:ascii="David" w:hAnsi="David"/>
          <w:rtl/>
        </w:rPr>
        <w:t xml:space="preserve">הנאשם שוהה בתנאי מעצר מזה </w:t>
      </w:r>
      <w:r w:rsidRPr="006C2984">
        <w:rPr>
          <w:rFonts w:ascii="David" w:hAnsi="David" w:hint="cs"/>
          <w:rtl/>
        </w:rPr>
        <w:t>כשישה חודשים</w:t>
      </w:r>
      <w:r w:rsidRPr="006C2984">
        <w:rPr>
          <w:rFonts w:ascii="David" w:hAnsi="David"/>
          <w:rtl/>
        </w:rPr>
        <w:t xml:space="preserve"> וידוע כי תנאי מעצר קשים מתנאי מאסר</w:t>
      </w:r>
      <w:r>
        <w:rPr>
          <w:rFonts w:ascii="David" w:hAnsi="David" w:hint="cs"/>
          <w:rtl/>
        </w:rPr>
        <w:t>. בנוסף, בעת הזו תנאי המעצר והמאסר קשים יותר בשל מגיפת הקורונה המטילה מגבלות נוספות על תנאי הכליאה.</w:t>
      </w:r>
      <w:r w:rsidRPr="003412AF">
        <w:rPr>
          <w:rFonts w:ascii="David" w:hAnsi="David" w:hint="cs"/>
          <w:rtl/>
        </w:rPr>
        <w:t xml:space="preserve"> </w:t>
      </w:r>
      <w:r>
        <w:rPr>
          <w:rFonts w:ascii="David" w:hAnsi="David" w:hint="cs"/>
          <w:rtl/>
        </w:rPr>
        <w:t>למעט עבירת משמעת אחת, הנאשם מתפקד באופן תקין בעת מעצרו.</w:t>
      </w:r>
    </w:p>
    <w:p w14:paraId="0CCCD331" w14:textId="77777777" w:rsidR="00A510DD" w:rsidRPr="006C2984" w:rsidRDefault="00A510DD" w:rsidP="00A510DD">
      <w:pPr>
        <w:pStyle w:val="a9"/>
        <w:shd w:val="clear" w:color="auto" w:fill="FFFFFF"/>
        <w:spacing w:line="360" w:lineRule="auto"/>
        <w:ind w:left="360"/>
        <w:jc w:val="both"/>
        <w:rPr>
          <w:rFonts w:ascii="David" w:hAnsi="David"/>
          <w:sz w:val="12"/>
          <w:szCs w:val="12"/>
        </w:rPr>
      </w:pPr>
    </w:p>
    <w:p w14:paraId="28CEC276" w14:textId="77777777" w:rsidR="00A510DD" w:rsidRPr="00200D7B" w:rsidRDefault="00A510DD" w:rsidP="00A510DD">
      <w:pPr>
        <w:pStyle w:val="a9"/>
        <w:numPr>
          <w:ilvl w:val="0"/>
          <w:numId w:val="1"/>
        </w:numPr>
        <w:shd w:val="clear" w:color="auto" w:fill="FFFFFF"/>
        <w:spacing w:line="360" w:lineRule="auto"/>
        <w:ind w:hanging="283"/>
        <w:jc w:val="both"/>
        <w:rPr>
          <w:rFonts w:ascii="David" w:hAnsi="David"/>
        </w:rPr>
      </w:pPr>
      <w:r w:rsidRPr="007B487C">
        <w:rPr>
          <w:rFonts w:ascii="David" w:hAnsi="David"/>
          <w:rtl/>
        </w:rPr>
        <w:t>עוד התחשבתי בכך שהנאשם הודה בביצו</w:t>
      </w:r>
      <w:r>
        <w:rPr>
          <w:rFonts w:ascii="David" w:hAnsi="David"/>
          <w:rtl/>
        </w:rPr>
        <w:t>ע העביר</w:t>
      </w:r>
      <w:r>
        <w:rPr>
          <w:rFonts w:ascii="David" w:hAnsi="David" w:hint="cs"/>
          <w:rtl/>
        </w:rPr>
        <w:t>ה</w:t>
      </w:r>
      <w:r>
        <w:rPr>
          <w:rFonts w:ascii="David" w:hAnsi="David"/>
          <w:rtl/>
        </w:rPr>
        <w:t>, חסך בזמן שיפוטי יקר</w:t>
      </w:r>
      <w:r w:rsidRPr="007B487C">
        <w:rPr>
          <w:rFonts w:ascii="David" w:hAnsi="David"/>
          <w:rtl/>
        </w:rPr>
        <w:t>, והביע לפניי חרטה וצער על מעשיו ואת שאיפתו לנהל אורח חיים נורמטיבי עם שחרורו.</w:t>
      </w:r>
      <w:r>
        <w:rPr>
          <w:rFonts w:ascii="David" w:hAnsi="David" w:hint="cs"/>
          <w:rtl/>
        </w:rPr>
        <w:t xml:space="preserve"> התרשמתי מדברי אביו ומדבריו כי מעצרו וההליך הפלילי בעקבותיו הציב לו גבולות ברורים. יוער, כי מאחר ש</w:t>
      </w:r>
      <w:r w:rsidRPr="00200D7B">
        <w:rPr>
          <w:rFonts w:ascii="David" w:hAnsi="David"/>
          <w:rtl/>
        </w:rPr>
        <w:t>לא הת</w:t>
      </w:r>
      <w:r>
        <w:rPr>
          <w:rFonts w:ascii="David" w:hAnsi="David"/>
          <w:rtl/>
        </w:rPr>
        <w:t>בקש תסקיר בעניינו של הנאשם, אין</w:t>
      </w:r>
      <w:r w:rsidRPr="00200D7B">
        <w:rPr>
          <w:rFonts w:ascii="David" w:hAnsi="David"/>
          <w:rtl/>
        </w:rPr>
        <w:t xml:space="preserve"> אופק שיקומי טיפולי בעניינו.</w:t>
      </w:r>
    </w:p>
    <w:p w14:paraId="1F070388" w14:textId="77777777" w:rsidR="00A510DD" w:rsidRPr="007B487C" w:rsidRDefault="00A510DD" w:rsidP="00A510DD">
      <w:pPr>
        <w:shd w:val="clear" w:color="auto" w:fill="FFFFFF"/>
        <w:spacing w:line="360" w:lineRule="auto"/>
        <w:jc w:val="both"/>
        <w:rPr>
          <w:rFonts w:ascii="David" w:hAnsi="David"/>
          <w:sz w:val="12"/>
          <w:szCs w:val="12"/>
        </w:rPr>
      </w:pPr>
    </w:p>
    <w:p w14:paraId="6B1F4A00" w14:textId="77777777" w:rsidR="00A510DD" w:rsidRPr="007B487C" w:rsidRDefault="00A510DD" w:rsidP="00A510DD">
      <w:pPr>
        <w:pStyle w:val="a9"/>
        <w:numPr>
          <w:ilvl w:val="0"/>
          <w:numId w:val="1"/>
        </w:numPr>
        <w:shd w:val="clear" w:color="auto" w:fill="FFFFFF"/>
        <w:spacing w:line="360" w:lineRule="auto"/>
        <w:ind w:hanging="283"/>
        <w:jc w:val="both"/>
        <w:rPr>
          <w:rFonts w:ascii="Calibri" w:hAnsi="Calibri"/>
          <w:bCs/>
          <w:u w:val="single"/>
          <w:lang w:eastAsia="he-IL"/>
        </w:rPr>
      </w:pPr>
      <w:r w:rsidRPr="007B487C">
        <w:rPr>
          <w:rFonts w:ascii="Calibri" w:hAnsi="Calibri" w:hint="eastAsia"/>
          <w:rtl/>
        </w:rPr>
        <w:t>עוד</w:t>
      </w:r>
      <w:r w:rsidRPr="007B487C">
        <w:rPr>
          <w:rFonts w:ascii="Calibri" w:hAnsi="Calibri"/>
          <w:rtl/>
        </w:rPr>
        <w:t xml:space="preserve"> </w:t>
      </w:r>
      <w:r w:rsidRPr="007B487C">
        <w:rPr>
          <w:rFonts w:ascii="Calibri" w:hAnsi="Calibri" w:hint="eastAsia"/>
          <w:rtl/>
        </w:rPr>
        <w:t>יש</w:t>
      </w:r>
      <w:r w:rsidRPr="007B487C">
        <w:rPr>
          <w:rFonts w:ascii="Calibri" w:hAnsi="Calibri"/>
          <w:rtl/>
        </w:rPr>
        <w:t xml:space="preserve"> </w:t>
      </w:r>
      <w:r w:rsidRPr="007B487C">
        <w:rPr>
          <w:rFonts w:ascii="Calibri" w:hAnsi="Calibri" w:hint="eastAsia"/>
          <w:rtl/>
        </w:rPr>
        <w:t>לתת</w:t>
      </w:r>
      <w:r w:rsidRPr="007B487C">
        <w:rPr>
          <w:rFonts w:ascii="Calibri" w:hAnsi="Calibri"/>
          <w:rtl/>
        </w:rPr>
        <w:t xml:space="preserve"> </w:t>
      </w:r>
      <w:r w:rsidRPr="007B487C">
        <w:rPr>
          <w:rFonts w:ascii="Calibri" w:hAnsi="Calibri" w:hint="eastAsia"/>
          <w:rtl/>
        </w:rPr>
        <w:t>דגש</w:t>
      </w:r>
      <w:r w:rsidRPr="007B487C">
        <w:rPr>
          <w:rFonts w:ascii="Calibri" w:hAnsi="Calibri"/>
          <w:rtl/>
        </w:rPr>
        <w:t xml:space="preserve"> </w:t>
      </w:r>
      <w:r w:rsidRPr="007B487C">
        <w:rPr>
          <w:rFonts w:ascii="Calibri" w:hAnsi="Calibri" w:hint="eastAsia"/>
          <w:rtl/>
        </w:rPr>
        <w:t>לצורך</w:t>
      </w:r>
      <w:r w:rsidRPr="007B487C">
        <w:rPr>
          <w:rFonts w:ascii="Calibri" w:hAnsi="Calibri"/>
          <w:rtl/>
        </w:rPr>
        <w:t xml:space="preserve"> </w:t>
      </w:r>
      <w:r w:rsidRPr="007B487C">
        <w:rPr>
          <w:rFonts w:ascii="Calibri" w:hAnsi="Calibri" w:hint="eastAsia"/>
          <w:rtl/>
        </w:rPr>
        <w:t>בהרתעת</w:t>
      </w:r>
      <w:r w:rsidRPr="007B487C">
        <w:rPr>
          <w:rFonts w:ascii="Calibri" w:hAnsi="Calibri"/>
          <w:rtl/>
        </w:rPr>
        <w:t xml:space="preserve"> </w:t>
      </w:r>
      <w:r w:rsidRPr="007B487C">
        <w:rPr>
          <w:rFonts w:ascii="Calibri" w:hAnsi="Calibri" w:hint="eastAsia"/>
          <w:rtl/>
        </w:rPr>
        <w:t>הרבים</w:t>
      </w:r>
      <w:r w:rsidRPr="007B487C">
        <w:rPr>
          <w:rFonts w:ascii="Calibri" w:hAnsi="Calibri"/>
          <w:rtl/>
        </w:rPr>
        <w:t xml:space="preserve"> </w:t>
      </w:r>
      <w:r w:rsidRPr="007B487C">
        <w:rPr>
          <w:rFonts w:ascii="Calibri" w:hAnsi="Calibri" w:hint="eastAsia"/>
          <w:rtl/>
        </w:rPr>
        <w:t>ובהרתעת</w:t>
      </w:r>
      <w:r w:rsidRPr="007B487C">
        <w:rPr>
          <w:rFonts w:ascii="Calibri" w:hAnsi="Calibri"/>
          <w:rtl/>
        </w:rPr>
        <w:t xml:space="preserve"> </w:t>
      </w:r>
      <w:r w:rsidRPr="007B487C">
        <w:rPr>
          <w:rFonts w:ascii="Calibri" w:hAnsi="Calibri" w:hint="eastAsia"/>
          <w:rtl/>
        </w:rPr>
        <w:t>היחיד</w:t>
      </w:r>
      <w:r w:rsidRPr="007B487C">
        <w:rPr>
          <w:rFonts w:ascii="Calibri" w:hAnsi="Calibri"/>
          <w:rtl/>
        </w:rPr>
        <w:t xml:space="preserve">, </w:t>
      </w:r>
      <w:r w:rsidRPr="007B487C">
        <w:rPr>
          <w:rFonts w:ascii="Calibri" w:hAnsi="Calibri" w:hint="eastAsia"/>
          <w:rtl/>
        </w:rPr>
        <w:t>כאמור</w:t>
      </w:r>
      <w:r w:rsidRPr="007B487C">
        <w:rPr>
          <w:rFonts w:ascii="Calibri" w:hAnsi="Calibri"/>
          <w:rtl/>
        </w:rPr>
        <w:t xml:space="preserve">. </w:t>
      </w:r>
      <w:r w:rsidRPr="007B487C">
        <w:rPr>
          <w:rtl/>
          <w:lang w:eastAsia="he-IL"/>
        </w:rPr>
        <w:t xml:space="preserve">בית המשפט העליון חזר על גישתו המחמירה בעבירות נשק במסגרת </w:t>
      </w:r>
      <w:hyperlink r:id="rId26" w:history="1">
        <w:r w:rsidR="003A0856" w:rsidRPr="003A0856">
          <w:rPr>
            <w:color w:val="0000FF"/>
            <w:u w:val="single"/>
            <w:rtl/>
            <w:lang w:eastAsia="he-IL"/>
          </w:rPr>
          <w:t>ע"פ 5681/14</w:t>
        </w:r>
      </w:hyperlink>
      <w:r>
        <w:rPr>
          <w:rFonts w:hint="cs"/>
          <w:b/>
          <w:bCs/>
          <w:rtl/>
          <w:lang w:eastAsia="he-IL"/>
        </w:rPr>
        <w:t xml:space="preserve"> </w:t>
      </w:r>
      <w:r w:rsidRPr="007B487C">
        <w:rPr>
          <w:b/>
          <w:bCs/>
          <w:rtl/>
          <w:lang w:eastAsia="he-IL"/>
        </w:rPr>
        <w:t>מדינת ישראל נ' טאטור</w:t>
      </w:r>
      <w:r>
        <w:rPr>
          <w:rFonts w:hint="cs"/>
          <w:b/>
          <w:bCs/>
          <w:rtl/>
          <w:lang w:eastAsia="he-IL"/>
        </w:rPr>
        <w:t xml:space="preserve"> </w:t>
      </w:r>
      <w:r w:rsidRPr="007B487C">
        <w:rPr>
          <w:rtl/>
          <w:lang w:eastAsia="he-IL"/>
        </w:rPr>
        <w:t>(1.2.15) בקבעו, כי:</w:t>
      </w:r>
    </w:p>
    <w:p w14:paraId="2A66DAC9" w14:textId="77777777" w:rsidR="00A510DD" w:rsidRPr="007B487C" w:rsidRDefault="00A510DD" w:rsidP="00A510DD">
      <w:pPr>
        <w:spacing w:before="120" w:after="120" w:line="360" w:lineRule="auto"/>
        <w:ind w:left="1701" w:right="1560"/>
        <w:contextualSpacing/>
        <w:jc w:val="both"/>
        <w:rPr>
          <w:b/>
          <w:bCs/>
          <w:lang w:eastAsia="he-IL"/>
        </w:rPr>
      </w:pPr>
      <w:r w:rsidRPr="007B487C">
        <w:rPr>
          <w:b/>
          <w:bCs/>
          <w:rtl/>
          <w:lang w:eastAsia="he-IL"/>
        </w:rPr>
        <w:t xml:space="preserve">"דרך המלך בכגון דא, בסופו של יום, צריכה להיות ככלל מאסר מאחורי סורג ובריח, וזאת בראש וראשונה להרתעת היחיד והרבים; אורך התקופה כרוך כמובן בנסיבות הספציפיות של העושה והמעשה...אך נשק הוא נשק הוא נשק, ובנסיבות הישראליות נשק בידיים לא מורשות עלול להתגלגל למקום לא טוב, וכדברי האומר 'מחזה שבמערכתו הראשונה נראה אקדח, עשוי האקדח לירות במערכה האחרונה'..." </w:t>
      </w:r>
    </w:p>
    <w:p w14:paraId="46E4235E" w14:textId="77777777" w:rsidR="00A510DD" w:rsidRPr="007B487C" w:rsidRDefault="00A510DD" w:rsidP="00A510DD">
      <w:pPr>
        <w:shd w:val="clear" w:color="auto" w:fill="FFFFFF"/>
        <w:spacing w:line="360" w:lineRule="auto"/>
        <w:ind w:left="697"/>
        <w:jc w:val="both"/>
        <w:rPr>
          <w:rFonts w:ascii="David" w:hAnsi="David"/>
          <w:sz w:val="12"/>
          <w:szCs w:val="12"/>
        </w:rPr>
      </w:pPr>
    </w:p>
    <w:p w14:paraId="392D9887" w14:textId="77777777" w:rsidR="00A510DD" w:rsidRPr="007B487C" w:rsidRDefault="00A510DD" w:rsidP="00A510DD">
      <w:pPr>
        <w:pStyle w:val="a9"/>
        <w:numPr>
          <w:ilvl w:val="0"/>
          <w:numId w:val="1"/>
        </w:numPr>
        <w:shd w:val="clear" w:color="auto" w:fill="FFFFFF"/>
        <w:spacing w:line="360" w:lineRule="auto"/>
        <w:ind w:hanging="283"/>
        <w:jc w:val="both"/>
        <w:rPr>
          <w:rFonts w:ascii="David" w:hAnsi="David"/>
          <w:rtl/>
        </w:rPr>
      </w:pPr>
      <w:r w:rsidRPr="007B487C">
        <w:rPr>
          <w:rFonts w:ascii="David" w:hAnsi="David"/>
          <w:rtl/>
        </w:rPr>
        <w:t>לאחר ששקלתי את הנ</w:t>
      </w:r>
      <w:r>
        <w:rPr>
          <w:rFonts w:ascii="David" w:hAnsi="David"/>
          <w:rtl/>
        </w:rPr>
        <w:t xml:space="preserve">סיבות לחומרה ולקולה, בהתחשב </w:t>
      </w:r>
      <w:r w:rsidRPr="007B487C">
        <w:rPr>
          <w:rFonts w:ascii="David" w:hAnsi="David"/>
          <w:rtl/>
        </w:rPr>
        <w:t>בכך שנאשם לקח אחריות ל</w:t>
      </w:r>
      <w:r>
        <w:rPr>
          <w:rFonts w:ascii="David" w:hAnsi="David"/>
          <w:rtl/>
        </w:rPr>
        <w:t xml:space="preserve">מעשיו, חסך זמן שיפוטי משמעותי, </w:t>
      </w:r>
      <w:r w:rsidRPr="007B487C">
        <w:rPr>
          <w:rFonts w:ascii="David" w:hAnsi="David"/>
          <w:rtl/>
        </w:rPr>
        <w:t>בנסיבותיו האישיות,</w:t>
      </w:r>
      <w:r>
        <w:rPr>
          <w:rFonts w:ascii="David" w:hAnsi="David" w:hint="cs"/>
          <w:rtl/>
        </w:rPr>
        <w:t xml:space="preserve"> והעדר </w:t>
      </w:r>
      <w:r w:rsidRPr="007B487C">
        <w:rPr>
          <w:rFonts w:ascii="David" w:hAnsi="David"/>
          <w:rtl/>
        </w:rPr>
        <w:t>עבר</w:t>
      </w:r>
      <w:r>
        <w:rPr>
          <w:rFonts w:ascii="David" w:hAnsi="David"/>
          <w:rtl/>
        </w:rPr>
        <w:t xml:space="preserve"> </w:t>
      </w:r>
      <w:r w:rsidRPr="007B487C">
        <w:rPr>
          <w:rFonts w:ascii="David" w:hAnsi="David"/>
          <w:rtl/>
        </w:rPr>
        <w:t>פלילי, ומנגד, בהתחשב בצורך בהרתעת הרבים בעבירות הנשק, כאמור</w:t>
      </w:r>
      <w:r>
        <w:rPr>
          <w:rFonts w:ascii="David" w:hAnsi="David" w:hint="cs"/>
          <w:rtl/>
        </w:rPr>
        <w:t xml:space="preserve">, </w:t>
      </w:r>
      <w:r w:rsidRPr="007B487C">
        <w:rPr>
          <w:rFonts w:ascii="David" w:hAnsi="David"/>
          <w:rtl/>
        </w:rPr>
        <w:t>החלטתי לגזור על הנאשם עונש ברף הנמוך של המתחם.</w:t>
      </w:r>
    </w:p>
    <w:p w14:paraId="2541428B" w14:textId="77777777" w:rsidR="00A510DD" w:rsidRPr="007B487C" w:rsidRDefault="00A510DD" w:rsidP="00A510DD">
      <w:pPr>
        <w:spacing w:before="120" w:after="200" w:line="360" w:lineRule="auto"/>
        <w:ind w:left="720"/>
        <w:contextualSpacing/>
        <w:jc w:val="both"/>
        <w:rPr>
          <w:rFonts w:ascii="David" w:hAnsi="David"/>
          <w:sz w:val="12"/>
          <w:szCs w:val="12"/>
        </w:rPr>
      </w:pPr>
    </w:p>
    <w:p w14:paraId="53A29D9F" w14:textId="77777777" w:rsidR="00A510DD" w:rsidRPr="007B487C" w:rsidRDefault="00A510DD" w:rsidP="00A510DD">
      <w:pPr>
        <w:numPr>
          <w:ilvl w:val="0"/>
          <w:numId w:val="2"/>
        </w:numPr>
        <w:shd w:val="clear" w:color="auto" w:fill="FFFFFF"/>
        <w:spacing w:line="360" w:lineRule="auto"/>
        <w:jc w:val="both"/>
        <w:rPr>
          <w:rFonts w:ascii="David" w:hAnsi="David"/>
        </w:rPr>
      </w:pPr>
      <w:r w:rsidRPr="007B487C">
        <w:rPr>
          <w:rFonts w:ascii="David" w:hAnsi="David"/>
          <w:rtl/>
        </w:rPr>
        <w:t xml:space="preserve">אשר על כן, מצאתי לגזור על הנאשם את העונשים כדלהלן:   </w:t>
      </w:r>
    </w:p>
    <w:p w14:paraId="2085AF69" w14:textId="77777777" w:rsidR="00A510DD" w:rsidRPr="007B487C" w:rsidRDefault="00A510DD" w:rsidP="00A510DD">
      <w:pPr>
        <w:shd w:val="clear" w:color="auto" w:fill="FFFFFF"/>
        <w:spacing w:line="360" w:lineRule="auto"/>
        <w:ind w:left="697"/>
        <w:jc w:val="both"/>
        <w:rPr>
          <w:rFonts w:ascii="David" w:hAnsi="David"/>
          <w:sz w:val="12"/>
          <w:szCs w:val="12"/>
        </w:rPr>
      </w:pPr>
    </w:p>
    <w:p w14:paraId="43A71008" w14:textId="77777777" w:rsidR="00A510DD" w:rsidRDefault="00A510DD" w:rsidP="00A510DD">
      <w:pPr>
        <w:numPr>
          <w:ilvl w:val="0"/>
          <w:numId w:val="3"/>
        </w:numPr>
        <w:spacing w:line="360" w:lineRule="auto"/>
        <w:ind w:left="1434" w:hanging="357"/>
        <w:jc w:val="both"/>
        <w:rPr>
          <w:rFonts w:ascii="David" w:hAnsi="David"/>
        </w:rPr>
      </w:pPr>
      <w:r>
        <w:rPr>
          <w:rFonts w:ascii="David" w:hAnsi="David" w:hint="cs"/>
          <w:rtl/>
        </w:rPr>
        <w:t>11</w:t>
      </w:r>
      <w:r w:rsidRPr="007B487C">
        <w:rPr>
          <w:rFonts w:ascii="David" w:hAnsi="David"/>
          <w:rtl/>
        </w:rPr>
        <w:t xml:space="preserve"> חודשי מאסר </w:t>
      </w:r>
      <w:r>
        <w:rPr>
          <w:rFonts w:ascii="David" w:hAnsi="David" w:hint="cs"/>
          <w:rtl/>
        </w:rPr>
        <w:t>אשר ירוצו מיום מעצרו 28.1.20.</w:t>
      </w:r>
    </w:p>
    <w:p w14:paraId="7B1EE848" w14:textId="77777777" w:rsidR="00A510DD" w:rsidRPr="007B487C" w:rsidRDefault="00A510DD" w:rsidP="00A510DD">
      <w:pPr>
        <w:spacing w:line="360" w:lineRule="auto"/>
        <w:ind w:left="1434"/>
        <w:jc w:val="both"/>
        <w:rPr>
          <w:rFonts w:ascii="David" w:hAnsi="David"/>
          <w:rtl/>
        </w:rPr>
      </w:pPr>
    </w:p>
    <w:p w14:paraId="6BC20924" w14:textId="77777777" w:rsidR="00A510DD" w:rsidRDefault="00A510DD" w:rsidP="00A510DD">
      <w:pPr>
        <w:numPr>
          <w:ilvl w:val="0"/>
          <w:numId w:val="3"/>
        </w:numPr>
        <w:spacing w:line="360" w:lineRule="auto"/>
        <w:ind w:left="1434" w:hanging="357"/>
        <w:jc w:val="both"/>
        <w:rPr>
          <w:rFonts w:ascii="David" w:hAnsi="David"/>
        </w:rPr>
      </w:pPr>
      <w:r w:rsidRPr="007B487C">
        <w:rPr>
          <w:rFonts w:ascii="David" w:hAnsi="David"/>
          <w:rtl/>
        </w:rPr>
        <w:t>12 חודשי מאסר. הנאשם לא ירצה עונש זה, אלא אם יעבור בתוך שנתיים מיום שחרורו על כל עבירת נשק מסוג פשע.</w:t>
      </w:r>
    </w:p>
    <w:p w14:paraId="0DE59501" w14:textId="77777777" w:rsidR="00A510DD" w:rsidRPr="007B487C" w:rsidRDefault="00A510DD" w:rsidP="00A510DD">
      <w:pPr>
        <w:spacing w:line="360" w:lineRule="auto"/>
        <w:ind w:left="1434"/>
        <w:jc w:val="both"/>
        <w:rPr>
          <w:rFonts w:ascii="David" w:hAnsi="David"/>
        </w:rPr>
      </w:pPr>
    </w:p>
    <w:p w14:paraId="3B9202A2" w14:textId="77777777" w:rsidR="00A510DD" w:rsidRDefault="00A510DD" w:rsidP="00A510DD">
      <w:pPr>
        <w:numPr>
          <w:ilvl w:val="0"/>
          <w:numId w:val="3"/>
        </w:numPr>
        <w:spacing w:line="360" w:lineRule="auto"/>
        <w:ind w:left="1434" w:hanging="357"/>
        <w:jc w:val="both"/>
        <w:rPr>
          <w:rFonts w:ascii="David" w:hAnsi="David"/>
        </w:rPr>
      </w:pPr>
      <w:r>
        <w:rPr>
          <w:rFonts w:ascii="David" w:hAnsi="David" w:hint="cs"/>
          <w:rtl/>
        </w:rPr>
        <w:t>4</w:t>
      </w:r>
      <w:r w:rsidRPr="007B487C">
        <w:rPr>
          <w:rFonts w:ascii="David" w:hAnsi="David"/>
          <w:rtl/>
        </w:rPr>
        <w:t xml:space="preserve"> חודשי מאסר. הנאשם לא ירצה עונש זה, אלא אם יעבור בתוך שנתיים מיום שחרורו על כל עבירת נשק מסוג עוון.</w:t>
      </w:r>
    </w:p>
    <w:p w14:paraId="6B7BCE53" w14:textId="77777777" w:rsidR="00A510DD" w:rsidRDefault="00A510DD" w:rsidP="00A510DD">
      <w:pPr>
        <w:spacing w:line="360" w:lineRule="auto"/>
        <w:ind w:left="1434"/>
        <w:jc w:val="both"/>
        <w:rPr>
          <w:rFonts w:ascii="David" w:hAnsi="David"/>
          <w:rtl/>
        </w:rPr>
      </w:pPr>
    </w:p>
    <w:p w14:paraId="07A73F51" w14:textId="77777777" w:rsidR="00A510DD" w:rsidRDefault="00A510DD" w:rsidP="00A510DD">
      <w:pPr>
        <w:spacing w:line="360" w:lineRule="auto"/>
        <w:ind w:left="1434"/>
        <w:jc w:val="both"/>
        <w:rPr>
          <w:rFonts w:ascii="David" w:hAnsi="David"/>
          <w:rtl/>
        </w:rPr>
      </w:pPr>
    </w:p>
    <w:p w14:paraId="3634AEF7" w14:textId="77777777" w:rsidR="00A510DD" w:rsidRPr="007B487C" w:rsidRDefault="00A510DD" w:rsidP="00A510DD">
      <w:pPr>
        <w:spacing w:line="360" w:lineRule="auto"/>
        <w:ind w:left="1434"/>
        <w:jc w:val="both"/>
        <w:rPr>
          <w:rFonts w:ascii="David" w:hAnsi="David"/>
        </w:rPr>
      </w:pPr>
    </w:p>
    <w:p w14:paraId="1E28F779" w14:textId="77777777" w:rsidR="00A510DD" w:rsidRPr="007B487C" w:rsidRDefault="00A510DD" w:rsidP="00A510DD">
      <w:pPr>
        <w:numPr>
          <w:ilvl w:val="0"/>
          <w:numId w:val="3"/>
        </w:numPr>
        <w:spacing w:line="360" w:lineRule="auto"/>
        <w:ind w:left="1434" w:hanging="357"/>
        <w:jc w:val="both"/>
        <w:rPr>
          <w:rFonts w:ascii="David" w:hAnsi="David"/>
        </w:rPr>
      </w:pPr>
      <w:r w:rsidRPr="007B487C">
        <w:rPr>
          <w:rFonts w:ascii="David" w:hAnsi="David"/>
          <w:rtl/>
        </w:rPr>
        <w:t>לאור תקופת המאסר שהוטלה, ובהתחשב בכך שבפועל הנאשם לא קיבל תמורה בשל המעשים המיוחסים לו, לא מצאתי להטיל עליו קנס.</w:t>
      </w:r>
    </w:p>
    <w:p w14:paraId="24AAAA36" w14:textId="77777777" w:rsidR="00A510DD" w:rsidRPr="007B487C" w:rsidRDefault="00A510DD" w:rsidP="00A510DD">
      <w:pPr>
        <w:spacing w:line="360" w:lineRule="auto"/>
        <w:ind w:left="1434"/>
        <w:jc w:val="both"/>
        <w:rPr>
          <w:rFonts w:ascii="David" w:hAnsi="David"/>
          <w:sz w:val="12"/>
          <w:szCs w:val="12"/>
        </w:rPr>
      </w:pPr>
    </w:p>
    <w:p w14:paraId="42509782" w14:textId="77777777" w:rsidR="00A510DD" w:rsidRPr="007B487C" w:rsidRDefault="003A0856" w:rsidP="00A510DD">
      <w:pPr>
        <w:rPr>
          <w:b/>
          <w:bCs/>
          <w:rtl/>
        </w:rPr>
      </w:pPr>
      <w:r w:rsidRPr="003A0856">
        <w:rPr>
          <w:b/>
          <w:bCs/>
          <w:color w:val="FFFFFF"/>
          <w:sz w:val="2"/>
          <w:szCs w:val="2"/>
          <w:rtl/>
        </w:rPr>
        <w:t>5129371</w:t>
      </w:r>
      <w:r w:rsidR="00A510DD" w:rsidRPr="007B487C">
        <w:rPr>
          <w:b/>
          <w:bCs/>
          <w:rtl/>
        </w:rPr>
        <w:t>זכות ערעור לבית משפט העליון תוך 45 יום מהיום.</w:t>
      </w:r>
    </w:p>
    <w:p w14:paraId="28D1316B" w14:textId="77777777" w:rsidR="00A510DD" w:rsidRPr="003A0856" w:rsidRDefault="003A0856" w:rsidP="00A510DD">
      <w:pPr>
        <w:spacing w:line="360" w:lineRule="auto"/>
        <w:ind w:left="360"/>
        <w:jc w:val="both"/>
        <w:rPr>
          <w:color w:val="FFFFFF"/>
          <w:sz w:val="2"/>
          <w:szCs w:val="2"/>
          <w:rtl/>
        </w:rPr>
      </w:pPr>
      <w:r w:rsidRPr="003A0856">
        <w:rPr>
          <w:color w:val="FFFFFF"/>
          <w:sz w:val="2"/>
          <w:szCs w:val="2"/>
          <w:rtl/>
        </w:rPr>
        <w:t>54678313</w:t>
      </w:r>
    </w:p>
    <w:p w14:paraId="7C618B84" w14:textId="77777777" w:rsidR="00A510DD" w:rsidRDefault="003A0856" w:rsidP="003A0856">
      <w:pPr>
        <w:jc w:val="center"/>
      </w:pPr>
      <w:bookmarkStart w:id="8" w:name="Nitan"/>
      <w:r>
        <w:rPr>
          <w:rFonts w:ascii="Arial" w:hAnsi="Arial"/>
          <w:rtl/>
        </w:rPr>
        <w:t xml:space="preserve">ניתן היום,  כ"ד תמוז תש"פ, 16 יולי 2020, במעמד ב"כ הצדדים והנאשם. </w:t>
      </w:r>
      <w:bookmarkEnd w:id="8"/>
      <w:r w:rsidR="00A510DD">
        <w:rPr>
          <w:rFonts w:hint="cs"/>
          <w:rtl/>
        </w:rPr>
        <w:t xml:space="preserve">   </w:t>
      </w:r>
      <w:r w:rsidR="00A510DD">
        <w:rPr>
          <w:rFonts w:hint="cs"/>
          <w:rtl/>
        </w:rPr>
        <w:tab/>
      </w:r>
      <w:r w:rsidR="00A510DD">
        <w:rPr>
          <w:rFonts w:hint="cs"/>
          <w:rtl/>
        </w:rPr>
        <w:tab/>
      </w:r>
      <w:r w:rsidR="00A510DD">
        <w:rPr>
          <w:rFonts w:hint="cs"/>
          <w:rtl/>
        </w:rPr>
        <w:tab/>
      </w:r>
      <w:r w:rsidR="00A510DD">
        <w:rPr>
          <w:rFonts w:hint="cs"/>
          <w:rtl/>
        </w:rPr>
        <w:tab/>
      </w:r>
      <w:r w:rsidR="00A510DD">
        <w:rPr>
          <w:rFonts w:hint="cs"/>
          <w:rtl/>
        </w:rPr>
        <w:tab/>
      </w:r>
    </w:p>
    <w:p w14:paraId="45324941" w14:textId="77777777" w:rsidR="00A510DD" w:rsidRDefault="00A510DD" w:rsidP="00A510DD">
      <w:pPr>
        <w:jc w:val="center"/>
        <w:rPr>
          <w:rFonts w:ascii="Arial" w:hAnsi="Arial" w:cs="FrankRuehl"/>
          <w:sz w:val="28"/>
          <w:szCs w:val="28"/>
          <w:rtl/>
        </w:rPr>
      </w:pPr>
    </w:p>
    <w:p w14:paraId="353117A8" w14:textId="77777777" w:rsidR="003A0856" w:rsidRDefault="003A0856" w:rsidP="003A0856">
      <w:pPr>
        <w:jc w:val="center"/>
        <w:rPr>
          <w:color w:val="0000FF"/>
          <w:u w:val="single"/>
        </w:rPr>
      </w:pPr>
      <w:hyperlink r:id="rId27" w:history="1">
        <w:r>
          <w:rPr>
            <w:color w:val="0000FF"/>
            <w:u w:val="single"/>
            <w:rtl/>
          </w:rPr>
          <w:t>בעניין עריכה ושינויים במסמכי פסיקה, חקיקה ועוד באתר נבו – הקש כאן</w:t>
        </w:r>
      </w:hyperlink>
    </w:p>
    <w:p w14:paraId="37656817" w14:textId="77777777" w:rsidR="009C0673" w:rsidRPr="009C0673" w:rsidRDefault="009C0673" w:rsidP="009C0673">
      <w:pPr>
        <w:keepNext/>
        <w:rPr>
          <w:rFonts w:ascii="David" w:hAnsi="David"/>
          <w:color w:val="000000"/>
          <w:sz w:val="22"/>
          <w:szCs w:val="22"/>
          <w:rtl/>
        </w:rPr>
      </w:pPr>
    </w:p>
    <w:p w14:paraId="48570EF3" w14:textId="77777777" w:rsidR="009C0673" w:rsidRPr="009C0673" w:rsidRDefault="009C0673" w:rsidP="009C0673">
      <w:pPr>
        <w:keepNext/>
        <w:rPr>
          <w:rFonts w:ascii="David" w:hAnsi="David"/>
          <w:color w:val="000000"/>
          <w:sz w:val="22"/>
          <w:szCs w:val="22"/>
          <w:rtl/>
        </w:rPr>
      </w:pPr>
      <w:r w:rsidRPr="009C0673">
        <w:rPr>
          <w:rFonts w:ascii="David" w:hAnsi="David"/>
          <w:color w:val="000000"/>
          <w:sz w:val="22"/>
          <w:szCs w:val="22"/>
          <w:rtl/>
        </w:rPr>
        <w:t>חנה מרים לומפ 54678313-/</w:t>
      </w:r>
    </w:p>
    <w:p w14:paraId="4EE55CE3" w14:textId="77777777" w:rsidR="003A0856" w:rsidRPr="003A0856" w:rsidRDefault="009C0673" w:rsidP="009C0673">
      <w:pPr>
        <w:rPr>
          <w:color w:val="0000FF"/>
          <w:u w:val="single"/>
        </w:rPr>
      </w:pPr>
      <w:r w:rsidRPr="009C0673">
        <w:rPr>
          <w:color w:val="000000"/>
          <w:u w:val="single"/>
          <w:rtl/>
        </w:rPr>
        <w:t>נוסח מסמך זה כפוף לשינויי ניסוח ועריכה</w:t>
      </w:r>
    </w:p>
    <w:sectPr w:rsidR="003A0856" w:rsidRPr="003A0856" w:rsidSect="009C0673">
      <w:headerReference w:type="even" r:id="rId28"/>
      <w:headerReference w:type="default" r:id="rId29"/>
      <w:footerReference w:type="even" r:id="rId30"/>
      <w:footerReference w:type="default" r:id="rId3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06FAE4" w14:textId="77777777" w:rsidR="005C4EC5" w:rsidRDefault="005C4EC5" w:rsidP="00C25C39">
      <w:r>
        <w:separator/>
      </w:r>
    </w:p>
  </w:endnote>
  <w:endnote w:type="continuationSeparator" w:id="0">
    <w:p w14:paraId="0C2CF7D1" w14:textId="77777777" w:rsidR="005C4EC5" w:rsidRDefault="005C4EC5" w:rsidP="00C25C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43AD33" w14:textId="77777777" w:rsidR="009C0673" w:rsidRDefault="009C0673" w:rsidP="009C0673">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F586680" w14:textId="77777777" w:rsidR="005A70AD" w:rsidRPr="009C0673" w:rsidRDefault="009C0673" w:rsidP="009C0673">
    <w:pPr>
      <w:pStyle w:val="a5"/>
      <w:pBdr>
        <w:top w:val="single" w:sz="4" w:space="1" w:color="auto"/>
        <w:between w:val="single" w:sz="4" w:space="0" w:color="auto"/>
      </w:pBdr>
      <w:spacing w:after="60"/>
      <w:jc w:val="center"/>
      <w:rPr>
        <w:rFonts w:ascii="FrankRuehl" w:hAnsi="FrankRuehl" w:cs="FrankRuehl"/>
        <w:color w:val="000000"/>
      </w:rPr>
    </w:pPr>
    <w:r w:rsidRPr="009C067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631997" w14:textId="77777777" w:rsidR="009C0673" w:rsidRDefault="009C0673" w:rsidP="009C0673">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844E8">
      <w:rPr>
        <w:rFonts w:ascii="FrankRuehl" w:hAnsi="FrankRuehl" w:cs="FrankRuehl"/>
        <w:noProof/>
        <w:rtl/>
      </w:rPr>
      <w:t>1</w:t>
    </w:r>
    <w:r>
      <w:rPr>
        <w:rFonts w:ascii="FrankRuehl" w:hAnsi="FrankRuehl" w:cs="FrankRuehl"/>
        <w:rtl/>
      </w:rPr>
      <w:fldChar w:fldCharType="end"/>
    </w:r>
  </w:p>
  <w:p w14:paraId="6BD9A964" w14:textId="77777777" w:rsidR="005A70AD" w:rsidRPr="009C0673" w:rsidRDefault="009C0673" w:rsidP="009C0673">
    <w:pPr>
      <w:pStyle w:val="a5"/>
      <w:pBdr>
        <w:top w:val="single" w:sz="4" w:space="1" w:color="auto"/>
        <w:between w:val="single" w:sz="4" w:space="0" w:color="auto"/>
      </w:pBdr>
      <w:spacing w:after="60"/>
      <w:jc w:val="center"/>
      <w:rPr>
        <w:rFonts w:ascii="FrankRuehl" w:hAnsi="FrankRuehl" w:cs="FrankRuehl"/>
        <w:color w:val="000000"/>
      </w:rPr>
    </w:pPr>
    <w:r w:rsidRPr="009C0673">
      <w:rPr>
        <w:rFonts w:ascii="FrankRuehl" w:hAnsi="FrankRuehl" w:cs="FrankRuehl"/>
        <w:color w:val="000000"/>
      </w:rPr>
      <w:pict w14:anchorId="1CA86F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FFC262" w14:textId="77777777" w:rsidR="005C4EC5" w:rsidRDefault="005C4EC5" w:rsidP="00C25C39">
      <w:r>
        <w:separator/>
      </w:r>
    </w:p>
  </w:footnote>
  <w:footnote w:type="continuationSeparator" w:id="0">
    <w:p w14:paraId="68D413D7" w14:textId="77777777" w:rsidR="005C4EC5" w:rsidRDefault="005C4EC5" w:rsidP="00C25C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7B985F" w14:textId="77777777" w:rsidR="003A0856" w:rsidRPr="009C0673" w:rsidRDefault="009C0673" w:rsidP="009C067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20477-02-20</w:t>
    </w:r>
    <w:r>
      <w:rPr>
        <w:rFonts w:ascii="David" w:hAnsi="David"/>
        <w:color w:val="000000"/>
        <w:sz w:val="22"/>
        <w:szCs w:val="22"/>
        <w:rtl/>
      </w:rPr>
      <w:tab/>
      <w:t xml:space="preserve"> מדינת ישראל נ' מוחמד מזערו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95111E" w14:textId="77777777" w:rsidR="003A0856" w:rsidRPr="009C0673" w:rsidRDefault="009C0673" w:rsidP="009C067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20477-02-20</w:t>
    </w:r>
    <w:r>
      <w:rPr>
        <w:rFonts w:ascii="David" w:hAnsi="David"/>
        <w:color w:val="000000"/>
        <w:sz w:val="22"/>
        <w:szCs w:val="22"/>
        <w:rtl/>
      </w:rPr>
      <w:tab/>
      <w:t xml:space="preserve"> מדינת ישראל נ' מוחמד מזערו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C40CD"/>
    <w:multiLevelType w:val="hybridMultilevel"/>
    <w:tmpl w:val="C68A1010"/>
    <w:lvl w:ilvl="0" w:tplc="73504232">
      <w:start w:val="1"/>
      <w:numFmt w:val="decimal"/>
      <w:lvlText w:val="%1."/>
      <w:lvlJc w:val="left"/>
      <w:pPr>
        <w:ind w:left="360" w:hanging="360"/>
      </w:pPr>
      <w:rPr>
        <w:rFonts w:ascii="David" w:hAnsi="David" w:cs="David" w:hint="default"/>
        <w:b w:val="0"/>
        <w:bCs w:val="0"/>
        <w:sz w:val="24"/>
        <w:szCs w:val="24"/>
      </w:rPr>
    </w:lvl>
    <w:lvl w:ilvl="1" w:tplc="A1860B48">
      <w:start w:val="1"/>
      <w:numFmt w:val="hebrew1"/>
      <w:lvlText w:val="%2."/>
      <w:lvlJc w:val="center"/>
      <w:pPr>
        <w:ind w:left="1440" w:hanging="360"/>
      </w:pPr>
      <w:rPr>
        <w:rFonts w:ascii="David" w:hAnsi="David" w:cs="David" w:hint="default"/>
        <w:sz w:val="24"/>
        <w:szCs w:val="24"/>
      </w:rPr>
    </w:lvl>
    <w:lvl w:ilvl="2" w:tplc="641AB07A" w:tentative="1">
      <w:start w:val="1"/>
      <w:numFmt w:val="lowerRoman"/>
      <w:lvlText w:val="%3."/>
      <w:lvlJc w:val="right"/>
      <w:pPr>
        <w:ind w:left="2160" w:hanging="180"/>
      </w:pPr>
      <w:rPr>
        <w:rFonts w:cs="Times New Roman"/>
      </w:rPr>
    </w:lvl>
    <w:lvl w:ilvl="3" w:tplc="ADCAB962" w:tentative="1">
      <w:start w:val="1"/>
      <w:numFmt w:val="decimal"/>
      <w:lvlText w:val="%4."/>
      <w:lvlJc w:val="left"/>
      <w:pPr>
        <w:ind w:left="2880" w:hanging="360"/>
      </w:pPr>
      <w:rPr>
        <w:rFonts w:cs="Times New Roman"/>
      </w:rPr>
    </w:lvl>
    <w:lvl w:ilvl="4" w:tplc="57B2AE92" w:tentative="1">
      <w:start w:val="1"/>
      <w:numFmt w:val="lowerLetter"/>
      <w:lvlText w:val="%5."/>
      <w:lvlJc w:val="left"/>
      <w:pPr>
        <w:ind w:left="3600" w:hanging="360"/>
      </w:pPr>
      <w:rPr>
        <w:rFonts w:cs="Times New Roman"/>
      </w:rPr>
    </w:lvl>
    <w:lvl w:ilvl="5" w:tplc="BA085A8E" w:tentative="1">
      <w:start w:val="1"/>
      <w:numFmt w:val="lowerRoman"/>
      <w:lvlText w:val="%6."/>
      <w:lvlJc w:val="right"/>
      <w:pPr>
        <w:ind w:left="4320" w:hanging="180"/>
      </w:pPr>
      <w:rPr>
        <w:rFonts w:cs="Times New Roman"/>
      </w:rPr>
    </w:lvl>
    <w:lvl w:ilvl="6" w:tplc="7F86BBF6" w:tentative="1">
      <w:start w:val="1"/>
      <w:numFmt w:val="decimal"/>
      <w:lvlText w:val="%7."/>
      <w:lvlJc w:val="left"/>
      <w:pPr>
        <w:ind w:left="5040" w:hanging="360"/>
      </w:pPr>
      <w:rPr>
        <w:rFonts w:cs="Times New Roman"/>
      </w:rPr>
    </w:lvl>
    <w:lvl w:ilvl="7" w:tplc="5B4E184A" w:tentative="1">
      <w:start w:val="1"/>
      <w:numFmt w:val="lowerLetter"/>
      <w:lvlText w:val="%8."/>
      <w:lvlJc w:val="left"/>
      <w:pPr>
        <w:ind w:left="5760" w:hanging="360"/>
      </w:pPr>
      <w:rPr>
        <w:rFonts w:cs="Times New Roman"/>
      </w:rPr>
    </w:lvl>
    <w:lvl w:ilvl="8" w:tplc="2E1C4FF4" w:tentative="1">
      <w:start w:val="1"/>
      <w:numFmt w:val="lowerRoman"/>
      <w:lvlText w:val="%9."/>
      <w:lvlJc w:val="right"/>
      <w:pPr>
        <w:ind w:left="6480" w:hanging="180"/>
      </w:pPr>
      <w:rPr>
        <w:rFonts w:cs="Times New Roman"/>
      </w:rPr>
    </w:lvl>
  </w:abstractNum>
  <w:abstractNum w:abstractNumId="1" w15:restartNumberingAfterBreak="0">
    <w:nsid w:val="584C3210"/>
    <w:multiLevelType w:val="hybridMultilevel"/>
    <w:tmpl w:val="A08A6C64"/>
    <w:lvl w:ilvl="0" w:tplc="D6AE9140">
      <w:start w:val="1"/>
      <w:numFmt w:val="decimal"/>
      <w:lvlText w:val="%1."/>
      <w:lvlJc w:val="left"/>
      <w:pPr>
        <w:ind w:left="360" w:hanging="360"/>
      </w:pPr>
      <w:rPr>
        <w:b/>
        <w:bCs w:val="0"/>
        <w:sz w:val="24"/>
        <w:szCs w:val="24"/>
        <w:lang w:bidi="he-I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A2382B"/>
    <w:multiLevelType w:val="hybridMultilevel"/>
    <w:tmpl w:val="1AD60DCE"/>
    <w:lvl w:ilvl="0" w:tplc="EEB63D50">
      <w:start w:val="1"/>
      <w:numFmt w:val="hebrew1"/>
      <w:lvlText w:val="%1."/>
      <w:lvlJc w:val="center"/>
      <w:pPr>
        <w:ind w:left="1440" w:hanging="360"/>
      </w:pPr>
      <w:rPr>
        <w:rFonts w:cs="David"/>
      </w:rPr>
    </w:lvl>
    <w:lvl w:ilvl="1" w:tplc="04090019">
      <w:start w:val="1"/>
      <w:numFmt w:val="lowerLetter"/>
      <w:lvlText w:val="%2."/>
      <w:lvlJc w:val="left"/>
      <w:pPr>
        <w:ind w:left="2160" w:hanging="360"/>
      </w:pPr>
      <w:rPr>
        <w:rFonts w:cs="Times New Roman"/>
      </w:rPr>
    </w:lvl>
    <w:lvl w:ilvl="2" w:tplc="0409001B">
      <w:start w:val="1"/>
      <w:numFmt w:val="lowerRoman"/>
      <w:lvlText w:val="%3."/>
      <w:lvlJc w:val="right"/>
      <w:pPr>
        <w:ind w:left="2880" w:hanging="180"/>
      </w:pPr>
      <w:rPr>
        <w:rFonts w:cs="Times New Roman"/>
      </w:rPr>
    </w:lvl>
    <w:lvl w:ilvl="3" w:tplc="0409000F">
      <w:start w:val="1"/>
      <w:numFmt w:val="decimal"/>
      <w:lvlText w:val="%4."/>
      <w:lvlJc w:val="left"/>
      <w:pPr>
        <w:ind w:left="3600" w:hanging="360"/>
      </w:pPr>
      <w:rPr>
        <w:rFonts w:cs="Times New Roman"/>
      </w:rPr>
    </w:lvl>
    <w:lvl w:ilvl="4" w:tplc="04090019">
      <w:start w:val="1"/>
      <w:numFmt w:val="lowerLetter"/>
      <w:lvlText w:val="%5."/>
      <w:lvlJc w:val="left"/>
      <w:pPr>
        <w:ind w:left="4320" w:hanging="360"/>
      </w:pPr>
      <w:rPr>
        <w:rFonts w:cs="Times New Roman"/>
      </w:rPr>
    </w:lvl>
    <w:lvl w:ilvl="5" w:tplc="0409001B">
      <w:start w:val="1"/>
      <w:numFmt w:val="lowerRoman"/>
      <w:lvlText w:val="%6."/>
      <w:lvlJc w:val="right"/>
      <w:pPr>
        <w:ind w:left="5040" w:hanging="180"/>
      </w:pPr>
      <w:rPr>
        <w:rFonts w:cs="Times New Roman"/>
      </w:rPr>
    </w:lvl>
    <w:lvl w:ilvl="6" w:tplc="0409000F">
      <w:start w:val="1"/>
      <w:numFmt w:val="decimal"/>
      <w:lvlText w:val="%7."/>
      <w:lvlJc w:val="left"/>
      <w:pPr>
        <w:ind w:left="5760" w:hanging="360"/>
      </w:pPr>
      <w:rPr>
        <w:rFonts w:cs="Times New Roman"/>
      </w:rPr>
    </w:lvl>
    <w:lvl w:ilvl="7" w:tplc="04090019">
      <w:start w:val="1"/>
      <w:numFmt w:val="lowerLetter"/>
      <w:lvlText w:val="%8."/>
      <w:lvlJc w:val="left"/>
      <w:pPr>
        <w:ind w:left="6480" w:hanging="360"/>
      </w:pPr>
      <w:rPr>
        <w:rFonts w:cs="Times New Roman"/>
      </w:rPr>
    </w:lvl>
    <w:lvl w:ilvl="8" w:tplc="0409001B">
      <w:start w:val="1"/>
      <w:numFmt w:val="lowerRoman"/>
      <w:lvlText w:val="%9."/>
      <w:lvlJc w:val="right"/>
      <w:pPr>
        <w:ind w:left="7200" w:hanging="180"/>
      </w:pPr>
      <w:rPr>
        <w:rFonts w:cs="Times New Roman"/>
      </w:rPr>
    </w:lvl>
  </w:abstractNum>
  <w:num w:numId="1" w16cid:durableId="1576822962">
    <w:abstractNumId w:val="1"/>
  </w:num>
  <w:num w:numId="2" w16cid:durableId="1173422502">
    <w:abstractNumId w:val="0"/>
  </w:num>
  <w:num w:numId="3" w16cid:durableId="17714629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510DD"/>
    <w:rsid w:val="000844E8"/>
    <w:rsid w:val="001B5A3B"/>
    <w:rsid w:val="003A0856"/>
    <w:rsid w:val="003D5B71"/>
    <w:rsid w:val="005A70AD"/>
    <w:rsid w:val="005C4EC5"/>
    <w:rsid w:val="006B4D02"/>
    <w:rsid w:val="009C0673"/>
    <w:rsid w:val="00A510DD"/>
    <w:rsid w:val="00C25C39"/>
    <w:rsid w:val="00E5632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C98A9E7"/>
  <w15:chartTrackingRefBased/>
  <w15:docId w15:val="{EF29EBBA-02B8-4668-8B63-16EF90719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510D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510DD"/>
    <w:pPr>
      <w:tabs>
        <w:tab w:val="center" w:pos="4153"/>
        <w:tab w:val="right" w:pos="8306"/>
      </w:tabs>
    </w:pPr>
  </w:style>
  <w:style w:type="character" w:customStyle="1" w:styleId="a4">
    <w:name w:val="כותרת עליונה תו"/>
    <w:link w:val="a3"/>
    <w:rsid w:val="00A510DD"/>
    <w:rPr>
      <w:rFonts w:ascii="Times New Roman" w:eastAsia="Times New Roman" w:hAnsi="Times New Roman" w:cs="David"/>
      <w:sz w:val="24"/>
      <w:szCs w:val="24"/>
    </w:rPr>
  </w:style>
  <w:style w:type="paragraph" w:styleId="a5">
    <w:name w:val="footer"/>
    <w:basedOn w:val="a"/>
    <w:link w:val="a6"/>
    <w:rsid w:val="00A510DD"/>
    <w:pPr>
      <w:tabs>
        <w:tab w:val="center" w:pos="4153"/>
        <w:tab w:val="right" w:pos="8306"/>
      </w:tabs>
    </w:pPr>
  </w:style>
  <w:style w:type="character" w:customStyle="1" w:styleId="a6">
    <w:name w:val="כותרת תחתונה תו"/>
    <w:link w:val="a5"/>
    <w:rsid w:val="00A510DD"/>
    <w:rPr>
      <w:rFonts w:ascii="Times New Roman" w:eastAsia="Times New Roman" w:hAnsi="Times New Roman" w:cs="David"/>
      <w:sz w:val="24"/>
      <w:szCs w:val="24"/>
    </w:rPr>
  </w:style>
  <w:style w:type="table" w:styleId="a7">
    <w:name w:val="Table Grid"/>
    <w:basedOn w:val="a1"/>
    <w:rsid w:val="00A510D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510DD"/>
  </w:style>
  <w:style w:type="paragraph" w:styleId="a9">
    <w:name w:val="List Paragraph"/>
    <w:basedOn w:val="a"/>
    <w:qFormat/>
    <w:rsid w:val="00A510DD"/>
    <w:pPr>
      <w:ind w:left="720"/>
      <w:contextualSpacing/>
    </w:pPr>
  </w:style>
  <w:style w:type="character" w:styleId="Hyperlink">
    <w:name w:val="Hyperlink"/>
    <w:rsid w:val="003A0856"/>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5" TargetMode="External"/><Relationship Id="rId18" Type="http://schemas.openxmlformats.org/officeDocument/2006/relationships/hyperlink" Target="http://www.nevo.co.il/case/6473037" TargetMode="External"/><Relationship Id="rId26" Type="http://schemas.openxmlformats.org/officeDocument/2006/relationships/hyperlink" Target="http://www.nevo.co.il/case/17954222" TargetMode="External"/><Relationship Id="rId3" Type="http://schemas.openxmlformats.org/officeDocument/2006/relationships/settings" Target="settings.xml"/><Relationship Id="rId21" Type="http://schemas.openxmlformats.org/officeDocument/2006/relationships/hyperlink" Target="http://www.nevo.co.il/case/17954235"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144.b2" TargetMode="External"/><Relationship Id="rId17" Type="http://schemas.openxmlformats.org/officeDocument/2006/relationships/hyperlink" Target="http://www.nevo.co.il/case/5601503" TargetMode="External"/><Relationship Id="rId25" Type="http://schemas.openxmlformats.org/officeDocument/2006/relationships/hyperlink" Target="http://www.nevo.co.il/law/70301/40ja"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case/5578534" TargetMode="External"/><Relationship Id="rId20" Type="http://schemas.openxmlformats.org/officeDocument/2006/relationships/hyperlink" Target="http://www.nevo.co.il/case/23750625"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ja" TargetMode="External"/><Relationship Id="rId24" Type="http://schemas.openxmlformats.org/officeDocument/2006/relationships/hyperlink" Target="http://www.nevo.co.il/case/21480646"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40b" TargetMode="External"/><Relationship Id="rId23" Type="http://schemas.openxmlformats.org/officeDocument/2006/relationships/hyperlink" Target="http://www.nevo.co.il/case/17954235" TargetMode="External"/><Relationship Id="rId28" Type="http://schemas.openxmlformats.org/officeDocument/2006/relationships/header" Target="header1.xml"/><Relationship Id="rId10" Type="http://schemas.openxmlformats.org/officeDocument/2006/relationships/hyperlink" Target="http://www.nevo.co.il/law/70301/144.b2" TargetMode="External"/><Relationship Id="rId19" Type="http://schemas.openxmlformats.org/officeDocument/2006/relationships/hyperlink" Target="http://www.nevo.co.il/case/5821327"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40b"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7791493" TargetMode="External"/><Relationship Id="rId27" Type="http://schemas.openxmlformats.org/officeDocument/2006/relationships/hyperlink" Target="http://www.nevo.co.il/advertisements/nevo-100.doc" TargetMode="External"/><Relationship Id="rId30" Type="http://schemas.openxmlformats.org/officeDocument/2006/relationships/footer" Target="footer1.xml"/><Relationship Id="rId8" Type="http://schemas.openxmlformats.org/officeDocument/2006/relationships/hyperlink" Target="http://www.nevo.co.il/law/70301/25"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2668</Words>
  <Characters>13341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15978</CharactersWithSpaces>
  <SharedDoc>false</SharedDoc>
  <HLinks>
    <vt:vector size="126" baseType="variant">
      <vt:variant>
        <vt:i4>393283</vt:i4>
      </vt:variant>
      <vt:variant>
        <vt:i4>63</vt:i4>
      </vt:variant>
      <vt:variant>
        <vt:i4>0</vt:i4>
      </vt:variant>
      <vt:variant>
        <vt:i4>5</vt:i4>
      </vt:variant>
      <vt:variant>
        <vt:lpwstr>http://www.nevo.co.il/advertisements/nevo-100.doc</vt:lpwstr>
      </vt:variant>
      <vt:variant>
        <vt:lpwstr/>
      </vt:variant>
      <vt:variant>
        <vt:i4>4063348</vt:i4>
      </vt:variant>
      <vt:variant>
        <vt:i4>60</vt:i4>
      </vt:variant>
      <vt:variant>
        <vt:i4>0</vt:i4>
      </vt:variant>
      <vt:variant>
        <vt:i4>5</vt:i4>
      </vt:variant>
      <vt:variant>
        <vt:lpwstr>http://www.nevo.co.il/case/17954222</vt:lpwstr>
      </vt:variant>
      <vt:variant>
        <vt:lpwstr/>
      </vt:variant>
      <vt:variant>
        <vt:i4>262155</vt:i4>
      </vt:variant>
      <vt:variant>
        <vt:i4>57</vt:i4>
      </vt:variant>
      <vt:variant>
        <vt:i4>0</vt:i4>
      </vt:variant>
      <vt:variant>
        <vt:i4>5</vt:i4>
      </vt:variant>
      <vt:variant>
        <vt:lpwstr>http://www.nevo.co.il/law/70301/40ja</vt:lpwstr>
      </vt:variant>
      <vt:variant>
        <vt:lpwstr/>
      </vt:variant>
      <vt:variant>
        <vt:i4>3276923</vt:i4>
      </vt:variant>
      <vt:variant>
        <vt:i4>51</vt:i4>
      </vt:variant>
      <vt:variant>
        <vt:i4>0</vt:i4>
      </vt:variant>
      <vt:variant>
        <vt:i4>5</vt:i4>
      </vt:variant>
      <vt:variant>
        <vt:lpwstr>http://www.nevo.co.il/case/21480646</vt:lpwstr>
      </vt:variant>
      <vt:variant>
        <vt:lpwstr/>
      </vt:variant>
      <vt:variant>
        <vt:i4>4128884</vt:i4>
      </vt:variant>
      <vt:variant>
        <vt:i4>48</vt:i4>
      </vt:variant>
      <vt:variant>
        <vt:i4>0</vt:i4>
      </vt:variant>
      <vt:variant>
        <vt:i4>5</vt:i4>
      </vt:variant>
      <vt:variant>
        <vt:lpwstr>http://www.nevo.co.il/case/17954235</vt:lpwstr>
      </vt:variant>
      <vt:variant>
        <vt:lpwstr/>
      </vt:variant>
      <vt:variant>
        <vt:i4>3735675</vt:i4>
      </vt:variant>
      <vt:variant>
        <vt:i4>45</vt:i4>
      </vt:variant>
      <vt:variant>
        <vt:i4>0</vt:i4>
      </vt:variant>
      <vt:variant>
        <vt:i4>5</vt:i4>
      </vt:variant>
      <vt:variant>
        <vt:lpwstr>http://www.nevo.co.il/case/7791493</vt:lpwstr>
      </vt:variant>
      <vt:variant>
        <vt:lpwstr/>
      </vt:variant>
      <vt:variant>
        <vt:i4>4128884</vt:i4>
      </vt:variant>
      <vt:variant>
        <vt:i4>42</vt:i4>
      </vt:variant>
      <vt:variant>
        <vt:i4>0</vt:i4>
      </vt:variant>
      <vt:variant>
        <vt:i4>5</vt:i4>
      </vt:variant>
      <vt:variant>
        <vt:lpwstr>http://www.nevo.co.il/case/17954235</vt:lpwstr>
      </vt:variant>
      <vt:variant>
        <vt:lpwstr/>
      </vt:variant>
      <vt:variant>
        <vt:i4>3604596</vt:i4>
      </vt:variant>
      <vt:variant>
        <vt:i4>39</vt:i4>
      </vt:variant>
      <vt:variant>
        <vt:i4>0</vt:i4>
      </vt:variant>
      <vt:variant>
        <vt:i4>5</vt:i4>
      </vt:variant>
      <vt:variant>
        <vt:lpwstr>http://www.nevo.co.il/case/23750625</vt:lpwstr>
      </vt:variant>
      <vt:variant>
        <vt:lpwstr/>
      </vt:variant>
      <vt:variant>
        <vt:i4>3342463</vt:i4>
      </vt:variant>
      <vt:variant>
        <vt:i4>36</vt:i4>
      </vt:variant>
      <vt:variant>
        <vt:i4>0</vt:i4>
      </vt:variant>
      <vt:variant>
        <vt:i4>5</vt:i4>
      </vt:variant>
      <vt:variant>
        <vt:lpwstr>http://www.nevo.co.il/case/5821327</vt:lpwstr>
      </vt:variant>
      <vt:variant>
        <vt:lpwstr/>
      </vt:variant>
      <vt:variant>
        <vt:i4>3539056</vt:i4>
      </vt:variant>
      <vt:variant>
        <vt:i4>33</vt:i4>
      </vt:variant>
      <vt:variant>
        <vt:i4>0</vt:i4>
      </vt:variant>
      <vt:variant>
        <vt:i4>5</vt:i4>
      </vt:variant>
      <vt:variant>
        <vt:lpwstr>http://www.nevo.co.il/case/6473037</vt:lpwstr>
      </vt:variant>
      <vt:variant>
        <vt:lpwstr/>
      </vt:variant>
      <vt:variant>
        <vt:i4>3342451</vt:i4>
      </vt:variant>
      <vt:variant>
        <vt:i4>30</vt:i4>
      </vt:variant>
      <vt:variant>
        <vt:i4>0</vt:i4>
      </vt:variant>
      <vt:variant>
        <vt:i4>5</vt:i4>
      </vt:variant>
      <vt:variant>
        <vt:lpwstr>http://www.nevo.co.il/case/5601503</vt:lpwstr>
      </vt:variant>
      <vt:variant>
        <vt:lpwstr/>
      </vt:variant>
      <vt:variant>
        <vt:i4>3342458</vt:i4>
      </vt:variant>
      <vt:variant>
        <vt:i4>27</vt:i4>
      </vt:variant>
      <vt:variant>
        <vt:i4>0</vt:i4>
      </vt:variant>
      <vt:variant>
        <vt:i4>5</vt:i4>
      </vt:variant>
      <vt:variant>
        <vt:lpwstr>http://www.nevo.co.il/case/5578534</vt:lpwstr>
      </vt:variant>
      <vt:variant>
        <vt:lpwstr/>
      </vt:variant>
      <vt:variant>
        <vt:i4>6619233</vt:i4>
      </vt:variant>
      <vt:variant>
        <vt:i4>24</vt:i4>
      </vt:variant>
      <vt:variant>
        <vt:i4>0</vt:i4>
      </vt:variant>
      <vt:variant>
        <vt:i4>5</vt:i4>
      </vt:variant>
      <vt:variant>
        <vt:lpwstr>http://www.nevo.co.il/law/70301/40b</vt:lpwstr>
      </vt:variant>
      <vt:variant>
        <vt:lpwstr/>
      </vt:variant>
      <vt:variant>
        <vt:i4>7995492</vt:i4>
      </vt:variant>
      <vt:variant>
        <vt:i4>21</vt:i4>
      </vt:variant>
      <vt:variant>
        <vt:i4>0</vt:i4>
      </vt:variant>
      <vt:variant>
        <vt:i4>5</vt:i4>
      </vt:variant>
      <vt:variant>
        <vt:lpwstr>http://www.nevo.co.il/law/70301</vt:lpwstr>
      </vt:variant>
      <vt:variant>
        <vt:lpwstr/>
      </vt:variant>
      <vt:variant>
        <vt:i4>6291559</vt:i4>
      </vt:variant>
      <vt:variant>
        <vt:i4>18</vt:i4>
      </vt:variant>
      <vt:variant>
        <vt:i4>0</vt:i4>
      </vt:variant>
      <vt:variant>
        <vt:i4>5</vt:i4>
      </vt:variant>
      <vt:variant>
        <vt:lpwstr>http://www.nevo.co.il/law/70301/25</vt:lpwstr>
      </vt:variant>
      <vt:variant>
        <vt:lpwstr/>
      </vt:variant>
      <vt:variant>
        <vt:i4>8192050</vt:i4>
      </vt:variant>
      <vt:variant>
        <vt:i4>15</vt:i4>
      </vt:variant>
      <vt:variant>
        <vt:i4>0</vt:i4>
      </vt:variant>
      <vt:variant>
        <vt:i4>5</vt:i4>
      </vt:variant>
      <vt:variant>
        <vt:lpwstr>http://www.nevo.co.il/law/70301/144.b2</vt:lpwstr>
      </vt:variant>
      <vt:variant>
        <vt:lpwstr/>
      </vt:variant>
      <vt:variant>
        <vt:i4>262155</vt:i4>
      </vt:variant>
      <vt:variant>
        <vt:i4>12</vt:i4>
      </vt:variant>
      <vt:variant>
        <vt:i4>0</vt:i4>
      </vt:variant>
      <vt:variant>
        <vt:i4>5</vt:i4>
      </vt:variant>
      <vt:variant>
        <vt:lpwstr>http://www.nevo.co.il/law/70301/40ja</vt:lpwstr>
      </vt:variant>
      <vt:variant>
        <vt:lpwstr/>
      </vt:variant>
      <vt:variant>
        <vt:i4>8192050</vt:i4>
      </vt:variant>
      <vt:variant>
        <vt:i4>9</vt:i4>
      </vt:variant>
      <vt:variant>
        <vt:i4>0</vt:i4>
      </vt:variant>
      <vt:variant>
        <vt:i4>5</vt:i4>
      </vt:variant>
      <vt:variant>
        <vt:lpwstr>http://www.nevo.co.il/law/70301/144.b2</vt:lpwstr>
      </vt:variant>
      <vt:variant>
        <vt:lpwstr/>
      </vt:variant>
      <vt:variant>
        <vt:i4>6619233</vt:i4>
      </vt:variant>
      <vt:variant>
        <vt:i4>6</vt:i4>
      </vt:variant>
      <vt:variant>
        <vt:i4>0</vt:i4>
      </vt:variant>
      <vt:variant>
        <vt:i4>5</vt:i4>
      </vt:variant>
      <vt:variant>
        <vt:lpwstr>http://www.nevo.co.il/law/70301/40b</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2025-01-19T16:31:00Z</dcterms:created>
  <dcterms:modified xsi:type="dcterms:W3CDTF">2025-01-19T16:31:00Z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20477</vt:lpwstr>
  </property>
  <property fmtid="{D5CDD505-2E9C-101B-9397-08002B2CF9AE}" pid="6" name="NEWPARTB">
    <vt:lpwstr>02</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מוחמד מזערו</vt:lpwstr>
  </property>
  <property fmtid="{D5CDD505-2E9C-101B-9397-08002B2CF9AE}" pid="10" name="LAWYER">
    <vt:lpwstr>אור גבאי;מוחמד חליאלה</vt:lpwstr>
  </property>
  <property fmtid="{D5CDD505-2E9C-101B-9397-08002B2CF9AE}" pid="11" name="JUDGE">
    <vt:lpwstr>חנה מרים לומפ</vt:lpwstr>
  </property>
  <property fmtid="{D5CDD505-2E9C-101B-9397-08002B2CF9AE}" pid="12" name="CITY">
    <vt:lpwstr>י-ם</vt:lpwstr>
  </property>
  <property fmtid="{D5CDD505-2E9C-101B-9397-08002B2CF9AE}" pid="13" name="DATE">
    <vt:lpwstr>20200716</vt:lpwstr>
  </property>
  <property fmtid="{D5CDD505-2E9C-101B-9397-08002B2CF9AE}" pid="14" name="TYPE_N_DATE">
    <vt:lpwstr>39020200716</vt:lpwstr>
  </property>
  <property fmtid="{D5CDD505-2E9C-101B-9397-08002B2CF9AE}" pid="15" name="CASESLISTTMP1">
    <vt:lpwstr>5578534;5601503;6473037;5821327;23750625;17954235:2;7791493;21480646;17954222</vt:lpwstr>
  </property>
  <property fmtid="{D5CDD505-2E9C-101B-9397-08002B2CF9AE}" pid="16" name="CASENOTES1">
    <vt:lpwstr>ProcID=133&amp;PartA=39850&amp;PartB=07&amp;PartC=16</vt:lpwstr>
  </property>
  <property fmtid="{D5CDD505-2E9C-101B-9397-08002B2CF9AE}" pid="17" name="CASENOTES2">
    <vt:lpwstr>ProcID=209&amp;PartA=066&amp;PartC=19</vt:lpwstr>
  </property>
  <property fmtid="{D5CDD505-2E9C-101B-9397-08002B2CF9AE}" pid="18" name="WORDNUMPAGES">
    <vt:lpwstr>8</vt:lpwstr>
  </property>
  <property fmtid="{D5CDD505-2E9C-101B-9397-08002B2CF9AE}" pid="19" name="TYPE_ABS_DATE">
    <vt:lpwstr>390020200716</vt:lpwstr>
  </property>
  <property fmtid="{D5CDD505-2E9C-101B-9397-08002B2CF9AE}" pid="20" name="ISABSTRACT">
    <vt:lpwstr>Y</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y fmtid="{D5CDD505-2E9C-101B-9397-08002B2CF9AE}" pid="38" name="LAWLISTTMP1">
    <vt:lpwstr>70301/144.b2;025;040b;40ja</vt:lpwstr>
  </property>
</Properties>
</file>