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1"/>
        <w:gridCol w:w="3680"/>
      </w:tblGrid>
      <w:tr w:rsidR="00A42679" w:rsidRPr="00C6098A" w14:paraId="69B2D0BD" w14:textId="77777777" w:rsidTr="00284A7B">
        <w:trPr>
          <w:trHeight w:hRule="exact" w:val="851"/>
          <w:jc w:val="center"/>
        </w:trPr>
        <w:tc>
          <w:tcPr>
            <w:tcW w:w="8721" w:type="dxa"/>
            <w:gridSpan w:val="2"/>
          </w:tcPr>
          <w:p w14:paraId="65B1DF13" w14:textId="77777777" w:rsidR="00A42679" w:rsidRPr="00C6098A" w:rsidRDefault="00A42679" w:rsidP="00422622">
            <w:pPr>
              <w:pStyle w:val="a3"/>
              <w:spacing w:line="360" w:lineRule="auto"/>
              <w:jc w:val="center"/>
              <w:rPr>
                <w:rFonts w:ascii="Tahoma" w:hAnsi="Tahoma" w:cs="Tahoma"/>
                <w:b/>
                <w:bCs/>
                <w:color w:val="000080"/>
                <w:sz w:val="22"/>
                <w:szCs w:val="22"/>
                <w:rtl/>
              </w:rPr>
            </w:pPr>
            <w:r w:rsidRPr="00C6098A">
              <w:rPr>
                <w:rFonts w:ascii="Tahoma" w:hAnsi="Tahoma" w:cs="Tahoma"/>
                <w:b/>
                <w:bCs/>
                <w:color w:val="000080"/>
                <w:sz w:val="22"/>
                <w:szCs w:val="22"/>
                <w:rtl/>
              </w:rPr>
              <w:t>בית המשפט המחוזי בירושלים</w:t>
            </w:r>
          </w:p>
          <w:p w14:paraId="73C7BCDB" w14:textId="77777777" w:rsidR="00A42679" w:rsidRPr="00C6098A" w:rsidRDefault="00A42679" w:rsidP="00422622">
            <w:pPr>
              <w:spacing w:line="360" w:lineRule="auto"/>
              <w:jc w:val="center"/>
              <w:rPr>
                <w:rFonts w:ascii="Tahoma" w:hAnsi="Tahoma" w:cs="Tahoma"/>
                <w:b/>
                <w:bCs/>
                <w:color w:val="000080"/>
                <w:sz w:val="22"/>
                <w:szCs w:val="22"/>
              </w:rPr>
            </w:pPr>
            <w:r w:rsidRPr="00C6098A">
              <w:rPr>
                <w:rFonts w:ascii="Tahoma" w:hAnsi="Tahoma" w:cs="Tahoma"/>
                <w:b/>
                <w:bCs/>
                <w:color w:val="000080"/>
                <w:sz w:val="22"/>
                <w:szCs w:val="22"/>
                <w:rtl/>
              </w:rPr>
              <w:t>לפני כב' השופט רפי כרמל, סגן נשיא</w:t>
            </w:r>
          </w:p>
          <w:p w14:paraId="50A51F69" w14:textId="77777777" w:rsidR="00A42679" w:rsidRPr="00C6098A" w:rsidRDefault="00A42679" w:rsidP="00422622">
            <w:pPr>
              <w:pStyle w:val="a3"/>
              <w:jc w:val="center"/>
              <w:rPr>
                <w:rFonts w:ascii="Tahoma" w:hAnsi="Tahoma" w:cs="Tahoma"/>
                <w:color w:val="000080"/>
                <w:rtl/>
              </w:rPr>
            </w:pPr>
          </w:p>
        </w:tc>
      </w:tr>
      <w:tr w:rsidR="00A42679" w:rsidRPr="00C6098A" w14:paraId="45084DD8" w14:textId="77777777" w:rsidTr="00284A7B">
        <w:trPr>
          <w:trHeight w:val="337"/>
          <w:jc w:val="center"/>
        </w:trPr>
        <w:tc>
          <w:tcPr>
            <w:tcW w:w="5041" w:type="dxa"/>
          </w:tcPr>
          <w:p w14:paraId="0BFEDB73" w14:textId="77777777" w:rsidR="00A42679" w:rsidRPr="00C6098A" w:rsidRDefault="00A42679" w:rsidP="00422622">
            <w:pPr>
              <w:rPr>
                <w:rFonts w:cs="FrankRuehl"/>
                <w:sz w:val="28"/>
                <w:szCs w:val="28"/>
                <w:rtl/>
              </w:rPr>
            </w:pPr>
            <w:bookmarkStart w:id="0" w:name="LastJudge"/>
            <w:bookmarkEnd w:id="0"/>
          </w:p>
          <w:p w14:paraId="4B3576C3" w14:textId="77777777" w:rsidR="00A42679" w:rsidRPr="00C6098A" w:rsidRDefault="00A42679" w:rsidP="00422622">
            <w:pPr>
              <w:pStyle w:val="a3"/>
              <w:rPr>
                <w:rFonts w:cs="FrankRuehl"/>
                <w:sz w:val="28"/>
                <w:szCs w:val="28"/>
                <w:rtl/>
              </w:rPr>
            </w:pPr>
          </w:p>
        </w:tc>
        <w:tc>
          <w:tcPr>
            <w:tcW w:w="3680" w:type="dxa"/>
          </w:tcPr>
          <w:p w14:paraId="5D19E237" w14:textId="77777777" w:rsidR="00A42679" w:rsidRPr="00C6098A" w:rsidRDefault="00A42679" w:rsidP="00422622">
            <w:pPr>
              <w:pStyle w:val="a3"/>
              <w:jc w:val="right"/>
              <w:rPr>
                <w:rFonts w:cs="FrankRuehl"/>
                <w:sz w:val="28"/>
                <w:szCs w:val="28"/>
                <w:rtl/>
              </w:rPr>
            </w:pPr>
            <w:r w:rsidRPr="00C6098A">
              <w:rPr>
                <w:rFonts w:ascii="Tahoma" w:hAnsi="Tahoma" w:cs="Tahoma"/>
                <w:b/>
                <w:bCs/>
                <w:color w:val="000080"/>
                <w:sz w:val="22"/>
                <w:szCs w:val="22"/>
                <w:rtl/>
              </w:rPr>
              <w:t>ת"פ</w:t>
            </w:r>
            <w:r w:rsidRPr="00C6098A">
              <w:rPr>
                <w:rFonts w:ascii="Tahoma" w:hAnsi="Tahoma" w:cs="Tahoma" w:hint="cs"/>
                <w:b/>
                <w:bCs/>
                <w:color w:val="000080"/>
                <w:sz w:val="22"/>
                <w:szCs w:val="22"/>
                <w:rtl/>
              </w:rPr>
              <w:t xml:space="preserve"> </w:t>
            </w:r>
            <w:r w:rsidRPr="00C6098A">
              <w:rPr>
                <w:rFonts w:ascii="Tahoma" w:hAnsi="Tahoma" w:cs="Tahoma"/>
                <w:b/>
                <w:bCs/>
                <w:color w:val="000080"/>
                <w:sz w:val="22"/>
                <w:szCs w:val="22"/>
                <w:rtl/>
              </w:rPr>
              <w:t>23782-02-20</w:t>
            </w:r>
          </w:p>
        </w:tc>
      </w:tr>
    </w:tbl>
    <w:p w14:paraId="6A9F2697" w14:textId="77777777" w:rsidR="00A42679" w:rsidRPr="00C6098A" w:rsidRDefault="00A42679" w:rsidP="00A42679">
      <w:pPr>
        <w:pStyle w:val="a3"/>
        <w:rPr>
          <w:rtl/>
        </w:rPr>
      </w:pPr>
      <w:r w:rsidRPr="00C6098A">
        <w:rPr>
          <w:rFonts w:hint="cs"/>
          <w:rtl/>
        </w:rPr>
        <w:t xml:space="preserve"> </w:t>
      </w:r>
    </w:p>
    <w:p w14:paraId="769867DD" w14:textId="77777777" w:rsidR="00A42679" w:rsidRPr="00C6098A" w:rsidRDefault="00A42679" w:rsidP="00A42679">
      <w:pPr>
        <w:rPr>
          <w:rtl/>
        </w:rPr>
      </w:pPr>
    </w:p>
    <w:p w14:paraId="4FD57089" w14:textId="77777777" w:rsidR="00A42679" w:rsidRPr="00C6098A" w:rsidRDefault="00A42679" w:rsidP="00A42679">
      <w:pPr>
        <w:rPr>
          <w:rtl/>
        </w:rPr>
      </w:pPr>
    </w:p>
    <w:p w14:paraId="4A4B1D4C" w14:textId="77777777" w:rsidR="00A42679" w:rsidRPr="00C6098A" w:rsidRDefault="00A42679" w:rsidP="00A4267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9"/>
        <w:gridCol w:w="4252"/>
        <w:gridCol w:w="3119"/>
      </w:tblGrid>
      <w:tr w:rsidR="00A42679" w:rsidRPr="00C6098A" w14:paraId="2736B09F" w14:textId="77777777" w:rsidTr="00A42679">
        <w:trPr>
          <w:trHeight w:val="355"/>
          <w:jc w:val="center"/>
        </w:trPr>
        <w:tc>
          <w:tcPr>
            <w:tcW w:w="1449" w:type="dxa"/>
            <w:tcBorders>
              <w:top w:val="nil"/>
              <w:left w:val="nil"/>
              <w:bottom w:val="nil"/>
              <w:right w:val="nil"/>
            </w:tcBorders>
            <w:shd w:val="clear" w:color="auto" w:fill="auto"/>
          </w:tcPr>
          <w:p w14:paraId="3EAFCB2B" w14:textId="77777777" w:rsidR="00A42679" w:rsidRPr="00C6098A" w:rsidRDefault="00A42679" w:rsidP="00A42679">
            <w:pPr>
              <w:spacing w:line="480" w:lineRule="auto"/>
              <w:jc w:val="both"/>
              <w:rPr>
                <w:rFonts w:ascii="David" w:hAnsi="David"/>
                <w:b/>
                <w:bCs/>
                <w:sz w:val="28"/>
                <w:szCs w:val="28"/>
              </w:rPr>
            </w:pPr>
            <w:bookmarkStart w:id="1" w:name="FirstAppellant"/>
            <w:r w:rsidRPr="00C6098A">
              <w:rPr>
                <w:rFonts w:ascii="David" w:hAnsi="David"/>
                <w:b/>
                <w:bCs/>
                <w:sz w:val="28"/>
                <w:szCs w:val="28"/>
                <w:rtl/>
              </w:rPr>
              <w:t>בעניין:</w:t>
            </w:r>
          </w:p>
        </w:tc>
        <w:tc>
          <w:tcPr>
            <w:tcW w:w="4252" w:type="dxa"/>
            <w:tcBorders>
              <w:top w:val="nil"/>
              <w:left w:val="nil"/>
              <w:bottom w:val="nil"/>
              <w:right w:val="nil"/>
            </w:tcBorders>
            <w:shd w:val="clear" w:color="auto" w:fill="auto"/>
          </w:tcPr>
          <w:p w14:paraId="7912134C" w14:textId="77777777" w:rsidR="00A42679" w:rsidRPr="00C6098A" w:rsidRDefault="00A42679" w:rsidP="00A42679">
            <w:pPr>
              <w:spacing w:line="480" w:lineRule="auto"/>
              <w:rPr>
                <w:rFonts w:ascii="David" w:hAnsi="David"/>
                <w:b/>
                <w:bCs/>
                <w:sz w:val="28"/>
                <w:szCs w:val="28"/>
              </w:rPr>
            </w:pPr>
            <w:r w:rsidRPr="00C6098A">
              <w:rPr>
                <w:rFonts w:ascii="David" w:hAnsi="David"/>
                <w:b/>
                <w:bCs/>
                <w:sz w:val="28"/>
                <w:szCs w:val="28"/>
                <w:rtl/>
              </w:rPr>
              <w:t>מדינת ישראל</w:t>
            </w:r>
          </w:p>
        </w:tc>
        <w:tc>
          <w:tcPr>
            <w:tcW w:w="3119" w:type="dxa"/>
            <w:tcBorders>
              <w:top w:val="nil"/>
              <w:left w:val="nil"/>
              <w:bottom w:val="nil"/>
              <w:right w:val="nil"/>
            </w:tcBorders>
            <w:shd w:val="clear" w:color="auto" w:fill="auto"/>
          </w:tcPr>
          <w:p w14:paraId="457B5347" w14:textId="77777777" w:rsidR="00A42679" w:rsidRPr="00C6098A" w:rsidRDefault="00A42679" w:rsidP="00A42679">
            <w:pPr>
              <w:spacing w:line="480" w:lineRule="auto"/>
              <w:jc w:val="both"/>
              <w:rPr>
                <w:rFonts w:ascii="David" w:hAnsi="David"/>
                <w:b/>
                <w:bCs/>
                <w:sz w:val="28"/>
                <w:szCs w:val="28"/>
              </w:rPr>
            </w:pPr>
          </w:p>
        </w:tc>
      </w:tr>
      <w:bookmarkEnd w:id="1"/>
      <w:tr w:rsidR="00A42679" w:rsidRPr="00C6098A" w14:paraId="59F75FDD" w14:textId="77777777" w:rsidTr="00A42679">
        <w:trPr>
          <w:trHeight w:val="355"/>
          <w:jc w:val="center"/>
        </w:trPr>
        <w:tc>
          <w:tcPr>
            <w:tcW w:w="1449" w:type="dxa"/>
            <w:tcBorders>
              <w:top w:val="nil"/>
              <w:left w:val="nil"/>
              <w:bottom w:val="nil"/>
              <w:right w:val="nil"/>
            </w:tcBorders>
            <w:shd w:val="clear" w:color="auto" w:fill="auto"/>
          </w:tcPr>
          <w:p w14:paraId="782297D4" w14:textId="77777777" w:rsidR="00A42679" w:rsidRPr="00C6098A" w:rsidRDefault="00A42679" w:rsidP="00A42679">
            <w:pPr>
              <w:spacing w:line="480" w:lineRule="auto"/>
              <w:jc w:val="both"/>
              <w:rPr>
                <w:rFonts w:ascii="David" w:hAnsi="David"/>
                <w:b/>
                <w:bCs/>
                <w:sz w:val="28"/>
                <w:szCs w:val="28"/>
                <w:rtl/>
              </w:rPr>
            </w:pPr>
          </w:p>
        </w:tc>
        <w:tc>
          <w:tcPr>
            <w:tcW w:w="4252" w:type="dxa"/>
            <w:tcBorders>
              <w:top w:val="nil"/>
              <w:left w:val="nil"/>
              <w:bottom w:val="nil"/>
              <w:right w:val="nil"/>
            </w:tcBorders>
            <w:shd w:val="clear" w:color="auto" w:fill="auto"/>
          </w:tcPr>
          <w:p w14:paraId="62279893" w14:textId="77777777" w:rsidR="00A42679" w:rsidRPr="00C6098A" w:rsidRDefault="00A42679" w:rsidP="00A42679">
            <w:pPr>
              <w:spacing w:line="480" w:lineRule="auto"/>
              <w:jc w:val="both"/>
              <w:rPr>
                <w:rFonts w:ascii="David" w:hAnsi="David"/>
                <w:b/>
                <w:bCs/>
                <w:sz w:val="28"/>
                <w:szCs w:val="28"/>
                <w:rtl/>
              </w:rPr>
            </w:pPr>
            <w:r w:rsidRPr="00C6098A">
              <w:rPr>
                <w:rFonts w:ascii="David" w:hAnsi="David" w:hint="cs"/>
                <w:b/>
                <w:bCs/>
                <w:sz w:val="28"/>
                <w:szCs w:val="28"/>
                <w:rtl/>
              </w:rPr>
              <w:t>באמצעות פרקליטות מחוז ירושלים</w:t>
            </w:r>
          </w:p>
        </w:tc>
        <w:tc>
          <w:tcPr>
            <w:tcW w:w="3119" w:type="dxa"/>
            <w:tcBorders>
              <w:top w:val="nil"/>
              <w:left w:val="nil"/>
              <w:bottom w:val="nil"/>
              <w:right w:val="nil"/>
            </w:tcBorders>
            <w:shd w:val="clear" w:color="auto" w:fill="auto"/>
          </w:tcPr>
          <w:p w14:paraId="24152349" w14:textId="77777777" w:rsidR="00A42679" w:rsidRPr="00C6098A" w:rsidRDefault="00A42679" w:rsidP="00A42679">
            <w:pPr>
              <w:spacing w:line="480" w:lineRule="auto"/>
              <w:jc w:val="right"/>
              <w:rPr>
                <w:rFonts w:ascii="David" w:hAnsi="David"/>
                <w:b/>
                <w:bCs/>
                <w:sz w:val="28"/>
                <w:szCs w:val="28"/>
                <w:rtl/>
              </w:rPr>
            </w:pPr>
            <w:r w:rsidRPr="00C6098A">
              <w:rPr>
                <w:rFonts w:ascii="David" w:hAnsi="David"/>
                <w:b/>
                <w:bCs/>
                <w:sz w:val="28"/>
                <w:szCs w:val="28"/>
                <w:rtl/>
              </w:rPr>
              <w:t>המאשימה</w:t>
            </w:r>
          </w:p>
        </w:tc>
      </w:tr>
      <w:tr w:rsidR="00A42679" w:rsidRPr="00C6098A" w14:paraId="4BE9EC4B" w14:textId="77777777" w:rsidTr="00A42679">
        <w:trPr>
          <w:trHeight w:val="355"/>
          <w:jc w:val="center"/>
        </w:trPr>
        <w:tc>
          <w:tcPr>
            <w:tcW w:w="1449" w:type="dxa"/>
            <w:tcBorders>
              <w:top w:val="nil"/>
              <w:left w:val="nil"/>
              <w:bottom w:val="nil"/>
              <w:right w:val="nil"/>
            </w:tcBorders>
            <w:shd w:val="clear" w:color="auto" w:fill="auto"/>
          </w:tcPr>
          <w:p w14:paraId="022591E8" w14:textId="77777777" w:rsidR="00A42679" w:rsidRPr="00C6098A" w:rsidRDefault="00A42679" w:rsidP="00A42679">
            <w:pPr>
              <w:spacing w:line="480" w:lineRule="auto"/>
              <w:jc w:val="both"/>
              <w:rPr>
                <w:rFonts w:ascii="David" w:hAnsi="David"/>
                <w:b/>
                <w:bCs/>
                <w:sz w:val="28"/>
                <w:szCs w:val="28"/>
                <w:rtl/>
              </w:rPr>
            </w:pPr>
          </w:p>
        </w:tc>
        <w:tc>
          <w:tcPr>
            <w:tcW w:w="7371" w:type="dxa"/>
            <w:gridSpan w:val="2"/>
            <w:tcBorders>
              <w:top w:val="nil"/>
              <w:left w:val="nil"/>
              <w:bottom w:val="nil"/>
              <w:right w:val="nil"/>
            </w:tcBorders>
            <w:shd w:val="clear" w:color="auto" w:fill="auto"/>
          </w:tcPr>
          <w:p w14:paraId="765B24FB" w14:textId="77777777" w:rsidR="00A42679" w:rsidRPr="00C6098A" w:rsidRDefault="00A42679" w:rsidP="00A42679">
            <w:pPr>
              <w:spacing w:line="480" w:lineRule="auto"/>
              <w:jc w:val="center"/>
              <w:rPr>
                <w:rFonts w:ascii="David" w:hAnsi="David"/>
                <w:b/>
                <w:bCs/>
                <w:sz w:val="28"/>
                <w:szCs w:val="28"/>
                <w:rtl/>
              </w:rPr>
            </w:pPr>
          </w:p>
          <w:p w14:paraId="21A697C4" w14:textId="77777777" w:rsidR="00A42679" w:rsidRPr="00C6098A" w:rsidRDefault="00A42679" w:rsidP="00A42679">
            <w:pPr>
              <w:spacing w:line="480" w:lineRule="auto"/>
              <w:jc w:val="center"/>
              <w:rPr>
                <w:rFonts w:ascii="David" w:hAnsi="David"/>
                <w:b/>
                <w:bCs/>
                <w:sz w:val="28"/>
                <w:szCs w:val="28"/>
                <w:rtl/>
              </w:rPr>
            </w:pPr>
            <w:r w:rsidRPr="00C6098A">
              <w:rPr>
                <w:rFonts w:ascii="David" w:hAnsi="David"/>
                <w:b/>
                <w:bCs/>
                <w:sz w:val="28"/>
                <w:szCs w:val="28"/>
                <w:rtl/>
              </w:rPr>
              <w:t>נגד</w:t>
            </w:r>
          </w:p>
          <w:p w14:paraId="0F18F7DF" w14:textId="77777777" w:rsidR="00A42679" w:rsidRPr="00C6098A" w:rsidRDefault="00A42679" w:rsidP="00A42679">
            <w:pPr>
              <w:spacing w:line="480" w:lineRule="auto"/>
              <w:jc w:val="both"/>
              <w:rPr>
                <w:rFonts w:ascii="David" w:hAnsi="David"/>
                <w:b/>
                <w:bCs/>
                <w:sz w:val="28"/>
                <w:szCs w:val="28"/>
              </w:rPr>
            </w:pPr>
          </w:p>
        </w:tc>
      </w:tr>
      <w:tr w:rsidR="00A42679" w:rsidRPr="00C6098A" w14:paraId="5693525E" w14:textId="77777777" w:rsidTr="00A42679">
        <w:trPr>
          <w:trHeight w:val="355"/>
          <w:jc w:val="center"/>
        </w:trPr>
        <w:tc>
          <w:tcPr>
            <w:tcW w:w="1449" w:type="dxa"/>
            <w:tcBorders>
              <w:top w:val="nil"/>
              <w:left w:val="nil"/>
              <w:bottom w:val="nil"/>
              <w:right w:val="nil"/>
            </w:tcBorders>
            <w:shd w:val="clear" w:color="auto" w:fill="auto"/>
          </w:tcPr>
          <w:p w14:paraId="681AE19E" w14:textId="77777777" w:rsidR="00A42679" w:rsidRPr="00C6098A" w:rsidRDefault="00A42679" w:rsidP="00A42679">
            <w:pPr>
              <w:spacing w:line="480" w:lineRule="auto"/>
              <w:rPr>
                <w:rFonts w:ascii="David" w:hAnsi="David"/>
                <w:b/>
                <w:bCs/>
                <w:sz w:val="28"/>
                <w:szCs w:val="28"/>
                <w:rtl/>
              </w:rPr>
            </w:pPr>
          </w:p>
        </w:tc>
        <w:tc>
          <w:tcPr>
            <w:tcW w:w="4252" w:type="dxa"/>
            <w:tcBorders>
              <w:top w:val="nil"/>
              <w:left w:val="nil"/>
              <w:bottom w:val="nil"/>
              <w:right w:val="nil"/>
            </w:tcBorders>
            <w:shd w:val="clear" w:color="auto" w:fill="auto"/>
          </w:tcPr>
          <w:p w14:paraId="6A4E6B93" w14:textId="77777777" w:rsidR="00A42679" w:rsidRPr="00C6098A" w:rsidRDefault="00A42679" w:rsidP="00A42679">
            <w:pPr>
              <w:spacing w:line="480" w:lineRule="auto"/>
              <w:rPr>
                <w:rFonts w:ascii="David" w:hAnsi="David"/>
                <w:b/>
                <w:bCs/>
                <w:sz w:val="28"/>
                <w:szCs w:val="28"/>
                <w:rtl/>
              </w:rPr>
            </w:pPr>
            <w:r w:rsidRPr="00C6098A">
              <w:rPr>
                <w:rFonts w:ascii="David" w:hAnsi="David"/>
                <w:b/>
                <w:bCs/>
                <w:sz w:val="28"/>
                <w:szCs w:val="28"/>
                <w:rtl/>
              </w:rPr>
              <w:t>מחמוד אבו ספא (עציר)</w:t>
            </w:r>
          </w:p>
        </w:tc>
        <w:tc>
          <w:tcPr>
            <w:tcW w:w="3119" w:type="dxa"/>
            <w:tcBorders>
              <w:top w:val="nil"/>
              <w:left w:val="nil"/>
              <w:bottom w:val="nil"/>
              <w:right w:val="nil"/>
            </w:tcBorders>
            <w:shd w:val="clear" w:color="auto" w:fill="auto"/>
          </w:tcPr>
          <w:p w14:paraId="5D81C5EF" w14:textId="77777777" w:rsidR="00A42679" w:rsidRPr="00C6098A" w:rsidRDefault="00A42679" w:rsidP="00A42679">
            <w:pPr>
              <w:spacing w:line="480" w:lineRule="auto"/>
              <w:jc w:val="right"/>
              <w:rPr>
                <w:rFonts w:ascii="David" w:hAnsi="David"/>
                <w:b/>
                <w:bCs/>
                <w:sz w:val="28"/>
                <w:szCs w:val="28"/>
              </w:rPr>
            </w:pPr>
          </w:p>
        </w:tc>
      </w:tr>
      <w:tr w:rsidR="00A42679" w:rsidRPr="00C6098A" w14:paraId="1E28534C" w14:textId="77777777" w:rsidTr="00A42679">
        <w:trPr>
          <w:trHeight w:val="355"/>
          <w:jc w:val="center"/>
        </w:trPr>
        <w:tc>
          <w:tcPr>
            <w:tcW w:w="1449" w:type="dxa"/>
            <w:tcBorders>
              <w:top w:val="nil"/>
              <w:left w:val="nil"/>
              <w:bottom w:val="nil"/>
              <w:right w:val="nil"/>
            </w:tcBorders>
            <w:shd w:val="clear" w:color="auto" w:fill="auto"/>
          </w:tcPr>
          <w:p w14:paraId="6CCBB33E" w14:textId="77777777" w:rsidR="00A42679" w:rsidRPr="00C6098A" w:rsidRDefault="00A42679" w:rsidP="00A42679">
            <w:pPr>
              <w:spacing w:line="480" w:lineRule="auto"/>
              <w:jc w:val="both"/>
              <w:rPr>
                <w:rFonts w:ascii="David" w:hAnsi="David"/>
                <w:b/>
                <w:bCs/>
                <w:sz w:val="28"/>
                <w:szCs w:val="28"/>
                <w:rtl/>
              </w:rPr>
            </w:pPr>
            <w:bookmarkStart w:id="2" w:name="FirstLawyer"/>
          </w:p>
        </w:tc>
        <w:tc>
          <w:tcPr>
            <w:tcW w:w="4252" w:type="dxa"/>
            <w:tcBorders>
              <w:top w:val="nil"/>
              <w:left w:val="nil"/>
              <w:bottom w:val="nil"/>
              <w:right w:val="nil"/>
            </w:tcBorders>
            <w:shd w:val="clear" w:color="auto" w:fill="auto"/>
          </w:tcPr>
          <w:p w14:paraId="5DA83C38" w14:textId="77777777" w:rsidR="00A42679" w:rsidRPr="00C6098A" w:rsidRDefault="00A42679" w:rsidP="00A42679">
            <w:pPr>
              <w:spacing w:line="480" w:lineRule="auto"/>
              <w:jc w:val="both"/>
              <w:rPr>
                <w:rFonts w:ascii="David" w:hAnsi="David"/>
                <w:b/>
                <w:bCs/>
                <w:sz w:val="28"/>
                <w:szCs w:val="28"/>
                <w:rtl/>
              </w:rPr>
            </w:pPr>
            <w:r w:rsidRPr="00C6098A">
              <w:rPr>
                <w:rFonts w:ascii="David" w:hAnsi="David" w:hint="cs"/>
                <w:b/>
                <w:bCs/>
                <w:sz w:val="28"/>
                <w:szCs w:val="28"/>
                <w:rtl/>
              </w:rPr>
              <w:t>ע"י ב"כ עו"ד רמי עותמאן</w:t>
            </w:r>
          </w:p>
        </w:tc>
        <w:tc>
          <w:tcPr>
            <w:tcW w:w="3119" w:type="dxa"/>
            <w:tcBorders>
              <w:top w:val="nil"/>
              <w:left w:val="nil"/>
              <w:bottom w:val="nil"/>
              <w:right w:val="nil"/>
            </w:tcBorders>
            <w:shd w:val="clear" w:color="auto" w:fill="auto"/>
          </w:tcPr>
          <w:p w14:paraId="1A1B235C" w14:textId="77777777" w:rsidR="00A42679" w:rsidRPr="00C6098A" w:rsidRDefault="00A42679" w:rsidP="00A42679">
            <w:pPr>
              <w:spacing w:line="480" w:lineRule="auto"/>
              <w:jc w:val="right"/>
              <w:rPr>
                <w:rFonts w:ascii="David" w:hAnsi="David"/>
                <w:b/>
                <w:bCs/>
                <w:sz w:val="28"/>
                <w:szCs w:val="28"/>
              </w:rPr>
            </w:pPr>
            <w:r w:rsidRPr="00C6098A">
              <w:rPr>
                <w:rFonts w:ascii="David" w:hAnsi="David"/>
                <w:b/>
                <w:bCs/>
                <w:sz w:val="28"/>
                <w:szCs w:val="28"/>
                <w:rtl/>
              </w:rPr>
              <w:t>הנאשם</w:t>
            </w:r>
          </w:p>
        </w:tc>
      </w:tr>
    </w:tbl>
    <w:p w14:paraId="0C103A0B" w14:textId="77777777" w:rsidR="00C56FA8" w:rsidRDefault="00C56FA8" w:rsidP="00C56FA8">
      <w:pPr>
        <w:spacing w:line="480" w:lineRule="auto"/>
        <w:rPr>
          <w:spacing w:val="22"/>
          <w:rtl/>
        </w:rPr>
      </w:pPr>
      <w:bookmarkStart w:id="3" w:name="LawTable"/>
      <w:bookmarkEnd w:id="2"/>
      <w:bookmarkEnd w:id="3"/>
    </w:p>
    <w:p w14:paraId="658F6AA5" w14:textId="77777777" w:rsidR="00C56FA8" w:rsidRPr="00C56FA8" w:rsidRDefault="00C56FA8" w:rsidP="00C56FA8">
      <w:pPr>
        <w:spacing w:before="120" w:after="120" w:line="240" w:lineRule="exact"/>
        <w:ind w:left="283" w:hanging="283"/>
        <w:jc w:val="both"/>
        <w:rPr>
          <w:rFonts w:ascii="FrankRuehl" w:hAnsi="FrankRuehl" w:cs="FrankRuehl"/>
          <w:rtl/>
        </w:rPr>
      </w:pPr>
    </w:p>
    <w:p w14:paraId="49FB340D" w14:textId="77777777" w:rsidR="00C56FA8" w:rsidRPr="00C56FA8" w:rsidRDefault="00C56FA8" w:rsidP="00C56FA8">
      <w:pPr>
        <w:spacing w:before="120" w:after="120" w:line="240" w:lineRule="exact"/>
        <w:ind w:left="283" w:hanging="283"/>
        <w:jc w:val="both"/>
        <w:rPr>
          <w:rFonts w:ascii="FrankRuehl" w:hAnsi="FrankRuehl" w:cs="FrankRuehl"/>
          <w:rtl/>
        </w:rPr>
      </w:pPr>
    </w:p>
    <w:p w14:paraId="4508B715" w14:textId="77777777" w:rsidR="00C56FA8" w:rsidRPr="00C56FA8" w:rsidRDefault="00C56FA8" w:rsidP="00C56FA8">
      <w:pPr>
        <w:spacing w:before="120" w:after="120" w:line="240" w:lineRule="exact"/>
        <w:ind w:left="283" w:hanging="283"/>
        <w:jc w:val="both"/>
        <w:rPr>
          <w:rFonts w:ascii="FrankRuehl" w:hAnsi="FrankRuehl" w:cs="FrankRuehl"/>
          <w:rtl/>
        </w:rPr>
      </w:pPr>
      <w:r w:rsidRPr="00C56FA8">
        <w:rPr>
          <w:rFonts w:ascii="FrankRuehl" w:hAnsi="FrankRuehl" w:cs="FrankRuehl"/>
          <w:rtl/>
        </w:rPr>
        <w:t xml:space="preserve">חקיקה שאוזכרה: </w:t>
      </w:r>
    </w:p>
    <w:p w14:paraId="7A646ABB" w14:textId="77777777" w:rsidR="00C56FA8" w:rsidRPr="00C56FA8" w:rsidRDefault="00C56FA8" w:rsidP="00C56FA8">
      <w:pPr>
        <w:spacing w:before="120" w:after="120" w:line="240" w:lineRule="exact"/>
        <w:ind w:left="283" w:hanging="283"/>
        <w:jc w:val="both"/>
        <w:rPr>
          <w:rFonts w:ascii="FrankRuehl" w:hAnsi="FrankRuehl" w:cs="FrankRuehl"/>
          <w:rtl/>
        </w:rPr>
      </w:pPr>
      <w:hyperlink r:id="rId6" w:history="1">
        <w:r w:rsidRPr="00C56FA8">
          <w:rPr>
            <w:rFonts w:ascii="FrankRuehl" w:hAnsi="FrankRuehl" w:cs="FrankRuehl"/>
            <w:color w:val="0000FF"/>
            <w:rtl/>
          </w:rPr>
          <w:t>חוק העונשין, תשל"ז-1977</w:t>
        </w:r>
      </w:hyperlink>
      <w:r w:rsidRPr="00C56FA8">
        <w:rPr>
          <w:rFonts w:ascii="FrankRuehl" w:hAnsi="FrankRuehl" w:cs="FrankRuehl"/>
          <w:rtl/>
        </w:rPr>
        <w:t xml:space="preserve">: סע'  </w:t>
      </w:r>
      <w:hyperlink r:id="rId7" w:history="1">
        <w:r w:rsidRPr="00C56FA8">
          <w:rPr>
            <w:rFonts w:ascii="FrankRuehl" w:hAnsi="FrankRuehl" w:cs="FrankRuehl"/>
            <w:color w:val="0000FF"/>
            <w:rtl/>
          </w:rPr>
          <w:t>144(ב2)</w:t>
        </w:r>
      </w:hyperlink>
    </w:p>
    <w:p w14:paraId="795F7A6C" w14:textId="77777777" w:rsidR="00C56FA8" w:rsidRPr="00C56FA8" w:rsidRDefault="00C56FA8" w:rsidP="00C56FA8">
      <w:pPr>
        <w:spacing w:line="480" w:lineRule="auto"/>
        <w:rPr>
          <w:spacing w:val="22"/>
          <w:rtl/>
        </w:rPr>
      </w:pPr>
      <w:bookmarkStart w:id="4" w:name="LawTable_End"/>
      <w:bookmarkEnd w:id="4"/>
    </w:p>
    <w:p w14:paraId="5EE8700D" w14:textId="77777777" w:rsidR="00A42679" w:rsidRPr="00284A7B" w:rsidRDefault="00A42679" w:rsidP="00284A7B">
      <w:pPr>
        <w:spacing w:line="480" w:lineRule="auto"/>
        <w:rPr>
          <w:spacing w:val="22"/>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42679" w:rsidRPr="00CD6618" w14:paraId="3644FDA3" w14:textId="77777777" w:rsidTr="00A42679">
        <w:trPr>
          <w:trHeight w:val="355"/>
          <w:jc w:val="center"/>
        </w:trPr>
        <w:tc>
          <w:tcPr>
            <w:tcW w:w="8820" w:type="dxa"/>
            <w:tcBorders>
              <w:top w:val="nil"/>
              <w:left w:val="nil"/>
              <w:bottom w:val="nil"/>
              <w:right w:val="nil"/>
            </w:tcBorders>
            <w:shd w:val="clear" w:color="auto" w:fill="auto"/>
          </w:tcPr>
          <w:p w14:paraId="161F9571" w14:textId="77777777" w:rsidR="00C6098A" w:rsidRPr="00C6098A" w:rsidRDefault="00C6098A" w:rsidP="00C6098A">
            <w:pPr>
              <w:jc w:val="center"/>
              <w:rPr>
                <w:rFonts w:ascii="David" w:hAnsi="David"/>
                <w:b/>
                <w:bCs/>
                <w:spacing w:val="22"/>
                <w:sz w:val="38"/>
                <w:szCs w:val="38"/>
                <w:u w:val="single"/>
                <w:rtl/>
              </w:rPr>
            </w:pPr>
            <w:bookmarkStart w:id="5" w:name="PsakDin" w:colFirst="0" w:colLast="0"/>
            <w:r w:rsidRPr="00C6098A">
              <w:rPr>
                <w:rFonts w:ascii="David" w:hAnsi="David"/>
                <w:b/>
                <w:bCs/>
                <w:spacing w:val="22"/>
                <w:sz w:val="38"/>
                <w:szCs w:val="38"/>
                <w:u w:val="single"/>
                <w:rtl/>
              </w:rPr>
              <w:t>גזר דין</w:t>
            </w:r>
          </w:p>
          <w:p w14:paraId="54B4C70C" w14:textId="77777777" w:rsidR="00A42679" w:rsidRPr="00C6098A" w:rsidRDefault="00A42679" w:rsidP="00C6098A">
            <w:pPr>
              <w:jc w:val="center"/>
              <w:rPr>
                <w:rFonts w:ascii="David" w:hAnsi="David"/>
                <w:bCs/>
                <w:spacing w:val="22"/>
                <w:sz w:val="32"/>
                <w:szCs w:val="32"/>
                <w:u w:val="single"/>
                <w:rtl/>
              </w:rPr>
            </w:pPr>
          </w:p>
        </w:tc>
      </w:tr>
      <w:bookmarkEnd w:id="5"/>
    </w:tbl>
    <w:p w14:paraId="0FC32DBC" w14:textId="77777777" w:rsidR="00A42679" w:rsidRPr="00CD6618" w:rsidRDefault="00A42679" w:rsidP="00A42679">
      <w:pPr>
        <w:rPr>
          <w:rFonts w:ascii="Arial" w:hAnsi="Arial"/>
          <w:spacing w:val="22"/>
          <w:sz w:val="26"/>
          <w:szCs w:val="26"/>
          <w:rtl/>
        </w:rPr>
      </w:pPr>
    </w:p>
    <w:p w14:paraId="4DBE3EC4" w14:textId="77777777" w:rsidR="00A42679" w:rsidRDefault="00A42679" w:rsidP="00A42679">
      <w:pPr>
        <w:spacing w:line="360" w:lineRule="auto"/>
        <w:jc w:val="both"/>
        <w:rPr>
          <w:rFonts w:ascii="Arial" w:hAnsi="Arial"/>
          <w:b/>
          <w:bCs/>
          <w:spacing w:val="22"/>
          <w:sz w:val="28"/>
          <w:szCs w:val="28"/>
          <w:u w:val="single"/>
          <w:rtl/>
        </w:rPr>
      </w:pPr>
    </w:p>
    <w:p w14:paraId="167ACB42" w14:textId="77777777" w:rsidR="00A42679" w:rsidRDefault="00A42679" w:rsidP="00A42679">
      <w:pPr>
        <w:spacing w:line="360" w:lineRule="auto"/>
        <w:jc w:val="both"/>
        <w:rPr>
          <w:rFonts w:ascii="Arial" w:hAnsi="Arial"/>
          <w:b/>
          <w:bCs/>
          <w:spacing w:val="22"/>
          <w:sz w:val="28"/>
          <w:szCs w:val="28"/>
          <w:u w:val="single"/>
          <w:rtl/>
        </w:rPr>
      </w:pPr>
    </w:p>
    <w:p w14:paraId="7FD46596" w14:textId="77777777" w:rsidR="00A42679" w:rsidRPr="00CD6618" w:rsidRDefault="00A42679" w:rsidP="00A42679">
      <w:pPr>
        <w:spacing w:line="360" w:lineRule="auto"/>
        <w:jc w:val="both"/>
        <w:rPr>
          <w:spacing w:val="22"/>
          <w:rtl/>
        </w:rPr>
      </w:pPr>
    </w:p>
    <w:p w14:paraId="124A17B1" w14:textId="77777777" w:rsidR="00A42679" w:rsidRPr="00CD6618" w:rsidRDefault="00A42679" w:rsidP="00A42679">
      <w:pPr>
        <w:spacing w:line="360" w:lineRule="auto"/>
        <w:jc w:val="both"/>
        <w:rPr>
          <w:spacing w:val="22"/>
          <w:rtl/>
        </w:rPr>
      </w:pPr>
      <w:r w:rsidRPr="00CD6618">
        <w:rPr>
          <w:spacing w:val="22"/>
          <w:rtl/>
        </w:rPr>
        <w:t>1.</w:t>
      </w:r>
      <w:r w:rsidRPr="00CD6618">
        <w:rPr>
          <w:spacing w:val="22"/>
          <w:rtl/>
        </w:rPr>
        <w:tab/>
      </w:r>
      <w:bookmarkStart w:id="6" w:name="ABSTRACT_START"/>
      <w:bookmarkEnd w:id="6"/>
      <w:r w:rsidRPr="00CD6618">
        <w:rPr>
          <w:spacing w:val="22"/>
          <w:rtl/>
        </w:rPr>
        <w:t xml:space="preserve">הנאשם הודה בכתב אישום מתוקן והורשע בשתי עבירות של סחר בנשק, לפי </w:t>
      </w:r>
      <w:hyperlink r:id="rId8" w:history="1">
        <w:r w:rsidR="00284A7B" w:rsidRPr="00284A7B">
          <w:rPr>
            <w:rStyle w:val="Hyperlink"/>
            <w:spacing w:val="22"/>
            <w:rtl/>
          </w:rPr>
          <w:t>סעיף 144(ב2)</w:t>
        </w:r>
      </w:hyperlink>
      <w:r w:rsidRPr="00CD6618">
        <w:rPr>
          <w:spacing w:val="22"/>
          <w:rtl/>
        </w:rPr>
        <w:t xml:space="preserve"> ל</w:t>
      </w:r>
      <w:hyperlink r:id="rId9" w:history="1">
        <w:r w:rsidR="00C6098A" w:rsidRPr="00C6098A">
          <w:rPr>
            <w:color w:val="0000FF"/>
            <w:spacing w:val="22"/>
            <w:u w:val="single"/>
            <w:rtl/>
          </w:rPr>
          <w:t>חוק העונשין</w:t>
        </w:r>
      </w:hyperlink>
      <w:r w:rsidRPr="00CD6618">
        <w:rPr>
          <w:spacing w:val="22"/>
          <w:rtl/>
        </w:rPr>
        <w:t xml:space="preserve">, התשל"ז-1977 </w:t>
      </w:r>
      <w:bookmarkStart w:id="7" w:name="ABSTRACT_END"/>
      <w:bookmarkEnd w:id="7"/>
      <w:r w:rsidRPr="00CD6618">
        <w:rPr>
          <w:spacing w:val="22"/>
          <w:rtl/>
        </w:rPr>
        <w:t>(להלן: "</w:t>
      </w:r>
      <w:r w:rsidRPr="00CD6618">
        <w:rPr>
          <w:b/>
          <w:bCs/>
          <w:spacing w:val="22"/>
          <w:rtl/>
        </w:rPr>
        <w:t>החוק</w:t>
      </w:r>
      <w:r w:rsidRPr="00CD6618">
        <w:rPr>
          <w:spacing w:val="22"/>
          <w:rtl/>
        </w:rPr>
        <w:t>").</w:t>
      </w:r>
    </w:p>
    <w:p w14:paraId="3F7B9FDE" w14:textId="77777777" w:rsidR="00A42679" w:rsidRPr="00CD6618" w:rsidRDefault="00A42679" w:rsidP="00A42679">
      <w:pPr>
        <w:spacing w:line="360" w:lineRule="auto"/>
        <w:jc w:val="both"/>
        <w:rPr>
          <w:spacing w:val="22"/>
          <w:rtl/>
        </w:rPr>
      </w:pPr>
    </w:p>
    <w:p w14:paraId="04B0D4D4" w14:textId="77777777" w:rsidR="00A42679" w:rsidRPr="00CD6618" w:rsidRDefault="00A42679" w:rsidP="00A42679">
      <w:pPr>
        <w:spacing w:line="360" w:lineRule="auto"/>
        <w:jc w:val="both"/>
        <w:rPr>
          <w:spacing w:val="22"/>
          <w:rtl/>
        </w:rPr>
      </w:pPr>
      <w:r w:rsidRPr="00CD6618">
        <w:rPr>
          <w:spacing w:val="22"/>
          <w:rtl/>
        </w:rPr>
        <w:lastRenderedPageBreak/>
        <w:t>2.</w:t>
      </w:r>
      <w:r w:rsidRPr="00CD6618">
        <w:rPr>
          <w:spacing w:val="22"/>
          <w:rtl/>
        </w:rPr>
        <w:tab/>
        <w:t>הצדדים הסכימו על נוסח מתוקן לכתב האישום, בו הודה הנאשם ועל פיו הורשע. עוד הוסכם כי המאשימה תעתור למתחם ענישה הנע בין 3-6 שנות מאסר בפועל והנאשם יהיה חופשי בטיעוניו. ואלה המעשים על פי כתב האישום המתוקן, הכולל שני אישומים:</w:t>
      </w:r>
    </w:p>
    <w:p w14:paraId="0EE17FF1" w14:textId="77777777" w:rsidR="00A42679" w:rsidRPr="00CD6618" w:rsidRDefault="00A42679" w:rsidP="00A42679">
      <w:pPr>
        <w:spacing w:line="360" w:lineRule="auto"/>
        <w:jc w:val="both"/>
        <w:rPr>
          <w:spacing w:val="22"/>
          <w:rtl/>
        </w:rPr>
      </w:pPr>
      <w:r w:rsidRPr="00CD6618">
        <w:rPr>
          <w:spacing w:val="22"/>
          <w:rtl/>
        </w:rPr>
        <w:tab/>
      </w:r>
    </w:p>
    <w:p w14:paraId="7BF5F97E" w14:textId="77777777" w:rsidR="00A42679" w:rsidRPr="00CD6618" w:rsidRDefault="00A42679" w:rsidP="00A42679">
      <w:pPr>
        <w:spacing w:line="360" w:lineRule="auto"/>
        <w:ind w:firstLine="720"/>
        <w:jc w:val="both"/>
        <w:rPr>
          <w:spacing w:val="22"/>
          <w:rtl/>
        </w:rPr>
      </w:pPr>
      <w:r w:rsidRPr="00CD6618">
        <w:rPr>
          <w:b/>
          <w:bCs/>
          <w:spacing w:val="22"/>
          <w:rtl/>
        </w:rPr>
        <w:t>לפי האישום הראשון</w:t>
      </w:r>
      <w:r w:rsidRPr="00CD6618">
        <w:rPr>
          <w:spacing w:val="22"/>
          <w:rtl/>
        </w:rPr>
        <w:t>, מספר חודשים עובר ליום 16.10.19, הציע הנאשם לסוכן, שפעל בשליחות המשטרה ובינו לבין הנאשם היכרות רבת שנים (להלן: "</w:t>
      </w:r>
      <w:r w:rsidRPr="00CD6618">
        <w:rPr>
          <w:b/>
          <w:bCs/>
          <w:spacing w:val="22"/>
          <w:rtl/>
        </w:rPr>
        <w:t>הסוכן</w:t>
      </w:r>
      <w:r w:rsidRPr="00CD6618">
        <w:rPr>
          <w:spacing w:val="22"/>
          <w:rtl/>
        </w:rPr>
        <w:t>"), ואשר שהה בביתו באותה עת, אקדח למכירה</w:t>
      </w:r>
      <w:r>
        <w:rPr>
          <w:rFonts w:hint="cs"/>
          <w:spacing w:val="22"/>
          <w:rtl/>
        </w:rPr>
        <w:t>,</w:t>
      </w:r>
      <w:r w:rsidRPr="00CD6618">
        <w:rPr>
          <w:spacing w:val="22"/>
          <w:rtl/>
        </w:rPr>
        <w:t xml:space="preserve"> וציין כי ברשותו סוגי אקדחים שונים. הסוכן סרב. ביום 9.10.19, יצר הסוכן קשר טלפוני עם הנאשם וביקש לרכוש אקדח עבור צד ג'. הנאשם השיב בחיוב וכעבור מספר דקות שלח לסוכן בפייסבוק תמונות אקדח עם מחסנית תמורת 18,000 ₪. הסוכן ביקש מספר ימים כדי לארגן את התשלום. ביום 16.10.19, התקשר הסוכן לנאשם, הודיעו כי הכסף בידו והשניים </w:t>
      </w:r>
      <w:r>
        <w:rPr>
          <w:rFonts w:hint="cs"/>
          <w:spacing w:val="22"/>
          <w:rtl/>
        </w:rPr>
        <w:t xml:space="preserve">נפגשו מאוחר יותר </w:t>
      </w:r>
      <w:r w:rsidRPr="00CD6618">
        <w:rPr>
          <w:spacing w:val="22"/>
          <w:rtl/>
        </w:rPr>
        <w:t>ברכבו של הסוכן והמתינו למוכר הנשק (להלן: "</w:t>
      </w:r>
      <w:r w:rsidRPr="00CD6618">
        <w:rPr>
          <w:b/>
          <w:bCs/>
          <w:spacing w:val="22"/>
          <w:rtl/>
        </w:rPr>
        <w:t>האחר</w:t>
      </w:r>
      <w:r w:rsidRPr="00CD6618">
        <w:rPr>
          <w:spacing w:val="22"/>
          <w:rtl/>
        </w:rPr>
        <w:t xml:space="preserve">"). האחר הגיע למקום ברכבו, שהיה נהוג ע"י אדם בשם טנטש. הסוכן והנאשם נסעו אחריהם עד לראס אל עמוד, שם יצא האחר, ניגש לרכבו של הסוכן, בו ישב גם הנאשם, והעביר לסוכן אקדח הזנקה שחור שעבר הסבה, כך שניתן לירות </w:t>
      </w:r>
      <w:r>
        <w:rPr>
          <w:rFonts w:hint="cs"/>
          <w:spacing w:val="22"/>
          <w:rtl/>
        </w:rPr>
        <w:t xml:space="preserve">באמצעותו </w:t>
      </w:r>
      <w:r w:rsidRPr="00CD6618">
        <w:rPr>
          <w:spacing w:val="22"/>
          <w:rtl/>
        </w:rPr>
        <w:t xml:space="preserve">דרכו כדורי 9 מ"מ והוא מסוגל להמית. הסוכן הבהיר כי אינו מוכן לרכוש את הנשק ללא כדורים באמצעותם יבדוק את הנשק. הנאשם ביצע שיחת טלפון והורה לסוכן לנסוע אחרי האחר. הסוכן עשה כן, כשהנאשם עמו והאקדח והמחסנית ברכב. בהגעתם לבית חנינא, הורה הנאשם לסוכן לעצור את רכבו ולהמתין. האחר הגיע לרכבו של הסוכן ומסר לו שני כדורים. הנאשם והסוכן נסעו לרחוב בו ירה הסוכן שתי יריות באוויר מתוך הרכב וראה שהאקדח תקין. לאחר ביצוע הירי, חזרו הסוכן והנאשם לרחוב בו היה האחר. הנאשם נכנס לרכבו כדי לברר מה המחיר שידרוש וחזר לסוכן ואמר לו כי שהמחיר הזול ביותר הוא 15,000 ₪. הסוכן מסר לנאשם 15,000 ₪ במזומן. הנאשם קיבל סך של 500 ₪ עבור חלקו בעסקה זו. </w:t>
      </w:r>
    </w:p>
    <w:p w14:paraId="267158C7" w14:textId="77777777" w:rsidR="00A42679" w:rsidRPr="00CD6618" w:rsidRDefault="00A42679" w:rsidP="00A42679">
      <w:pPr>
        <w:spacing w:line="360" w:lineRule="auto"/>
        <w:jc w:val="both"/>
        <w:rPr>
          <w:spacing w:val="22"/>
          <w:rtl/>
        </w:rPr>
      </w:pPr>
    </w:p>
    <w:p w14:paraId="65678376" w14:textId="77777777" w:rsidR="00A42679" w:rsidRPr="00CD6618" w:rsidRDefault="00A42679" w:rsidP="00A42679">
      <w:pPr>
        <w:spacing w:line="360" w:lineRule="auto"/>
        <w:ind w:firstLine="720"/>
        <w:jc w:val="both"/>
        <w:rPr>
          <w:spacing w:val="22"/>
          <w:rtl/>
        </w:rPr>
      </w:pPr>
      <w:r>
        <w:rPr>
          <w:rFonts w:hint="cs"/>
          <w:b/>
          <w:bCs/>
          <w:spacing w:val="22"/>
          <w:rtl/>
        </w:rPr>
        <w:t>בהתאם ל</w:t>
      </w:r>
      <w:r w:rsidRPr="00CD6618">
        <w:rPr>
          <w:b/>
          <w:bCs/>
          <w:spacing w:val="22"/>
          <w:rtl/>
        </w:rPr>
        <w:t>אישום השני</w:t>
      </w:r>
      <w:r w:rsidRPr="00CD6618">
        <w:rPr>
          <w:spacing w:val="22"/>
          <w:rtl/>
        </w:rPr>
        <w:t>, ביום 20.11.19 התקשר הסוכן לנאשם ושאל אותו אודות אקדח בקוטר 9 מ"מ, שהציע לו הנאשם לרכוש מספר שבועות קודם לכן. סוכם כי הנאשם ידבר עם בעל האקדח אודות המחיר. למחרת, הודיע הנאשם לסוכן</w:t>
      </w:r>
      <w:r>
        <w:rPr>
          <w:rFonts w:hint="cs"/>
          <w:spacing w:val="22"/>
          <w:rtl/>
        </w:rPr>
        <w:t>,</w:t>
      </w:r>
      <w:r w:rsidRPr="00CD6618">
        <w:rPr>
          <w:spacing w:val="22"/>
          <w:rtl/>
        </w:rPr>
        <w:t xml:space="preserve"> טלפונית</w:t>
      </w:r>
      <w:r>
        <w:rPr>
          <w:rFonts w:hint="cs"/>
          <w:spacing w:val="22"/>
          <w:rtl/>
        </w:rPr>
        <w:t>,</w:t>
      </w:r>
      <w:r w:rsidRPr="00CD6618">
        <w:rPr>
          <w:spacing w:val="22"/>
          <w:rtl/>
        </w:rPr>
        <w:t xml:space="preserve"> כי יוכל לרכוש אקדח אחר תמורת סכום נמוך יותר. הוסכם כי הנאשם ואדם נוסף יוציאו את האקדח מכפר עקב ויפגשו את הסוכן בבית חנינא, וכי הסוכן יביא עמו מספר כדורים לבדיקת האקדח וכן 25,000 ₪  עבור האקדח ו – 2,000 ₪ עבור נשיאתו והובלתו לנקודת המפגש בבית חנינא. בהתאם, הגיע הסוכן בשעה 21:00 לנקודת המפגש, שם ראה את הנאשם יושב ברכבו של טנטש. </w:t>
      </w:r>
      <w:r w:rsidRPr="00CD6618">
        <w:rPr>
          <w:spacing w:val="22"/>
          <w:rtl/>
        </w:rPr>
        <w:lastRenderedPageBreak/>
        <w:t xml:space="preserve">הנאשם נכנס לרכבו של הסוכן ומסר לו אקדח חצי אוטומטי מסוג </w:t>
      </w:r>
      <w:r w:rsidRPr="00CD6618">
        <w:rPr>
          <w:spacing w:val="22"/>
          <w:sz w:val="20"/>
          <w:szCs w:val="20"/>
        </w:rPr>
        <w:t>BLOW</w:t>
      </w:r>
      <w:r w:rsidRPr="00CD6618">
        <w:rPr>
          <w:spacing w:val="22"/>
          <w:rtl/>
        </w:rPr>
        <w:t xml:space="preserve"> 9 מ"מ ומחסנית. הנאשם והסוכן נסעו למקום בו ביצע הסוכן ירי מתוך הרכב של 6 כדורים שהביא עמו. לאחר מכן הנאשם והסוכן התמקחו על מחיר האקדח ולאחר שהנאשם שוחח טלפונית עם אחר ונקב במחיר, והסוכן התייעץ עם צד שלישי, הודיע הסוכן כי הצד השלישי מוכן לרכוש את האקדח תמורת סכום של 22,500 ₪, מתוכם 22,000 ₪ עבור האקדח ו – 500 ₪ עבור הנאשם. הנאשם הסכים והסוכן מסר בידי האחר את מלוא הסכום. </w:t>
      </w:r>
    </w:p>
    <w:p w14:paraId="4F2B3669" w14:textId="77777777" w:rsidR="00A42679" w:rsidRDefault="00A42679" w:rsidP="00A42679">
      <w:pPr>
        <w:spacing w:line="360" w:lineRule="auto"/>
        <w:jc w:val="both"/>
        <w:rPr>
          <w:spacing w:val="22"/>
          <w:rtl/>
        </w:rPr>
      </w:pPr>
    </w:p>
    <w:p w14:paraId="47D32D3D" w14:textId="77777777" w:rsidR="00A42679" w:rsidRPr="00CD6618" w:rsidRDefault="00A42679" w:rsidP="00A42679">
      <w:pPr>
        <w:spacing w:line="360" w:lineRule="auto"/>
        <w:jc w:val="both"/>
        <w:rPr>
          <w:spacing w:val="22"/>
          <w:rtl/>
        </w:rPr>
      </w:pPr>
    </w:p>
    <w:p w14:paraId="0B7B67DD" w14:textId="77777777" w:rsidR="00A42679" w:rsidRPr="00CD6618" w:rsidRDefault="00A42679" w:rsidP="00A42679">
      <w:pPr>
        <w:spacing w:line="360" w:lineRule="auto"/>
        <w:ind w:firstLine="720"/>
        <w:jc w:val="both"/>
        <w:rPr>
          <w:rFonts w:ascii="Miriam" w:hAnsi="Miriam"/>
          <w:b/>
          <w:bCs/>
          <w:spacing w:val="22"/>
          <w:rtl/>
        </w:rPr>
      </w:pPr>
      <w:r w:rsidRPr="00CD6618">
        <w:rPr>
          <w:rFonts w:ascii="Miriam" w:hAnsi="Miriam"/>
          <w:b/>
          <w:bCs/>
          <w:spacing w:val="22"/>
          <w:rtl/>
        </w:rPr>
        <w:t>טענות הצדדים</w:t>
      </w:r>
      <w:r w:rsidRPr="00CD6618">
        <w:rPr>
          <w:rFonts w:ascii="Miriam" w:hAnsi="Miriam"/>
          <w:b/>
          <w:bCs/>
          <w:spacing w:val="22"/>
          <w:rtl/>
        </w:rPr>
        <w:tab/>
      </w:r>
    </w:p>
    <w:p w14:paraId="184C2F94" w14:textId="77777777" w:rsidR="00A42679" w:rsidRPr="00CD6618" w:rsidRDefault="00A42679" w:rsidP="00A42679">
      <w:pPr>
        <w:spacing w:line="360" w:lineRule="auto"/>
        <w:ind w:firstLine="720"/>
        <w:jc w:val="both"/>
        <w:rPr>
          <w:rFonts w:ascii="Miriam" w:hAnsi="Miriam"/>
          <w:b/>
          <w:bCs/>
          <w:spacing w:val="22"/>
          <w:rtl/>
        </w:rPr>
      </w:pPr>
      <w:r w:rsidRPr="00CD6618">
        <w:rPr>
          <w:rFonts w:ascii="Miriam" w:hAnsi="Miriam"/>
          <w:b/>
          <w:bCs/>
          <w:spacing w:val="22"/>
          <w:rtl/>
        </w:rPr>
        <w:t>טענות המאשימה</w:t>
      </w:r>
    </w:p>
    <w:p w14:paraId="3DC9ED46" w14:textId="77777777" w:rsidR="00A42679" w:rsidRDefault="00A42679" w:rsidP="00A42679">
      <w:pPr>
        <w:spacing w:after="120" w:line="360" w:lineRule="auto"/>
        <w:jc w:val="both"/>
        <w:rPr>
          <w:rFonts w:ascii="Arial" w:hAnsi="Arial"/>
          <w:spacing w:val="22"/>
          <w:rtl/>
        </w:rPr>
      </w:pPr>
      <w:r w:rsidRPr="00CD6618">
        <w:rPr>
          <w:spacing w:val="22"/>
          <w:rtl/>
        </w:rPr>
        <w:t>3.</w:t>
      </w:r>
      <w:r w:rsidRPr="00CD6618">
        <w:rPr>
          <w:spacing w:val="22"/>
          <w:rtl/>
        </w:rPr>
        <w:tab/>
        <w:t>המאשימה טוענת למתחם עונשי אחד, מהטעם שהאישומים נעשו תוך פרק זמן קצר יחסית ומדובר בעבירות בעלות אופי דומה, ומבקשת להתייחס בקביעת המתחם לעובדה שמדובר בשני אישומים של סחר באקדח ובשתי עסקאות.</w:t>
      </w:r>
    </w:p>
    <w:p w14:paraId="06A06C3A" w14:textId="77777777" w:rsidR="00A42679" w:rsidRPr="00CD6618" w:rsidRDefault="00A42679" w:rsidP="00A42679">
      <w:pPr>
        <w:spacing w:after="120" w:line="360" w:lineRule="auto"/>
        <w:jc w:val="both"/>
        <w:rPr>
          <w:rFonts w:ascii="Arial" w:hAnsi="Arial"/>
          <w:spacing w:val="22"/>
          <w:rtl/>
        </w:rPr>
      </w:pPr>
    </w:p>
    <w:p w14:paraId="53649FB9" w14:textId="77777777" w:rsidR="00A42679" w:rsidRPr="00CD6618" w:rsidRDefault="00A42679" w:rsidP="00A42679">
      <w:pPr>
        <w:spacing w:line="360" w:lineRule="auto"/>
        <w:jc w:val="both"/>
        <w:rPr>
          <w:spacing w:val="22"/>
          <w:rtl/>
        </w:rPr>
      </w:pPr>
      <w:r w:rsidRPr="00CD6618">
        <w:rPr>
          <w:spacing w:val="22"/>
          <w:rtl/>
        </w:rPr>
        <w:t>4.</w:t>
      </w:r>
      <w:r w:rsidRPr="00CD6618">
        <w:rPr>
          <w:spacing w:val="22"/>
          <w:rtl/>
        </w:rPr>
        <w:tab/>
        <w:t xml:space="preserve">לטענת המאשימה, </w:t>
      </w:r>
      <w:r>
        <w:rPr>
          <w:rFonts w:hint="cs"/>
          <w:spacing w:val="22"/>
          <w:rtl/>
        </w:rPr>
        <w:t xml:space="preserve">קיים </w:t>
      </w:r>
      <w:r w:rsidRPr="00CD6618">
        <w:rPr>
          <w:spacing w:val="22"/>
          <w:rtl/>
        </w:rPr>
        <w:t>תכנון מוקדם. הנאשם שלח תמונה, לקח חלק פעיל וניהל את המשא ומתן בעסקאות. מדובר ברכישה של שני אקדחים</w:t>
      </w:r>
      <w:r>
        <w:rPr>
          <w:rFonts w:hint="cs"/>
          <w:spacing w:val="22"/>
          <w:rtl/>
        </w:rPr>
        <w:t>,</w:t>
      </w:r>
      <w:r w:rsidRPr="00CD6618">
        <w:rPr>
          <w:spacing w:val="22"/>
          <w:rtl/>
        </w:rPr>
        <w:t xml:space="preserve"> בשני אירועים נפרדים</w:t>
      </w:r>
      <w:r>
        <w:rPr>
          <w:rFonts w:hint="cs"/>
          <w:spacing w:val="22"/>
          <w:rtl/>
        </w:rPr>
        <w:t>,</w:t>
      </w:r>
      <w:r w:rsidRPr="00CD6618">
        <w:rPr>
          <w:spacing w:val="22"/>
          <w:rtl/>
        </w:rPr>
        <w:t xml:space="preserve"> כאשר כל התקשורת של הסוכן נעשית </w:t>
      </w:r>
      <w:r>
        <w:rPr>
          <w:rFonts w:hint="cs"/>
          <w:spacing w:val="22"/>
          <w:rtl/>
        </w:rPr>
        <w:t>עם</w:t>
      </w:r>
      <w:r w:rsidRPr="00CD6618">
        <w:rPr>
          <w:spacing w:val="22"/>
          <w:rtl/>
        </w:rPr>
        <w:t xml:space="preserve"> הנאשם. באישום 1 מדובר על אקדח הזנקה שעבר הסבה, סך של 15,000 שקלים כשהוא מקבל </w:t>
      </w:r>
      <w:r>
        <w:rPr>
          <w:rFonts w:hint="cs"/>
          <w:spacing w:val="22"/>
          <w:rtl/>
        </w:rPr>
        <w:t>ב</w:t>
      </w:r>
      <w:r w:rsidRPr="00CD6618">
        <w:rPr>
          <w:spacing w:val="22"/>
          <w:rtl/>
        </w:rPr>
        <w:t xml:space="preserve">סך של 500 ש"ח ובעסקה השנייה מדובר באקדח חצי אוטומטי תקין כשהסכום הכולל היה 22,500 שקלים, מתוכם </w:t>
      </w:r>
      <w:r>
        <w:rPr>
          <w:rFonts w:hint="cs"/>
          <w:spacing w:val="22"/>
          <w:rtl/>
        </w:rPr>
        <w:t>כש</w:t>
      </w:r>
      <w:r w:rsidRPr="00CD6618">
        <w:rPr>
          <w:spacing w:val="22"/>
          <w:rtl/>
        </w:rPr>
        <w:t xml:space="preserve">הנאשם מקבל 500 שקלים. </w:t>
      </w:r>
      <w:r>
        <w:rPr>
          <w:rFonts w:hint="cs"/>
          <w:spacing w:val="22"/>
          <w:rtl/>
        </w:rPr>
        <w:t xml:space="preserve">נטען כי </w:t>
      </w:r>
      <w:r w:rsidRPr="00CD6618">
        <w:rPr>
          <w:spacing w:val="22"/>
          <w:rtl/>
        </w:rPr>
        <w:t>הנאשם לא שימש מתווך בעסקאות, אלא חוליה בשרשרת ביצוע עסקת הסחר, ו</w:t>
      </w:r>
      <w:r>
        <w:rPr>
          <w:spacing w:val="22"/>
          <w:rtl/>
        </w:rPr>
        <w:t>מתחייבת ענישה מחמירה ומשמעותית</w:t>
      </w:r>
      <w:r>
        <w:rPr>
          <w:rFonts w:hint="cs"/>
          <w:spacing w:val="22"/>
          <w:rtl/>
        </w:rPr>
        <w:t xml:space="preserve"> ובאה הפנייה להחלטות לעניין הענישה במקרים דומים. </w:t>
      </w:r>
    </w:p>
    <w:p w14:paraId="56504DF4" w14:textId="77777777" w:rsidR="00A42679" w:rsidRPr="00CD6618" w:rsidRDefault="00A42679" w:rsidP="00A42679">
      <w:pPr>
        <w:spacing w:line="360" w:lineRule="auto"/>
        <w:jc w:val="both"/>
        <w:rPr>
          <w:spacing w:val="22"/>
          <w:rtl/>
        </w:rPr>
      </w:pPr>
    </w:p>
    <w:p w14:paraId="61CB69FF" w14:textId="77777777" w:rsidR="00A42679" w:rsidRPr="00CD6618" w:rsidRDefault="00A42679" w:rsidP="00A42679">
      <w:pPr>
        <w:spacing w:line="360" w:lineRule="auto"/>
        <w:jc w:val="both"/>
        <w:rPr>
          <w:spacing w:val="22"/>
          <w:rtl/>
        </w:rPr>
      </w:pPr>
      <w:r w:rsidRPr="00CD6618">
        <w:rPr>
          <w:spacing w:val="22"/>
          <w:rtl/>
        </w:rPr>
        <w:t>5.</w:t>
      </w:r>
      <w:r w:rsidRPr="00CD6618">
        <w:rPr>
          <w:spacing w:val="22"/>
          <w:rtl/>
        </w:rPr>
        <w:tab/>
        <w:t xml:space="preserve">ביחס למיקום הנאשם בתוך המתחם, ציינה המאשימה כי הנאשם הודה וחסך זמן שיפוטי, יש לו עבר פלילי </w:t>
      </w:r>
      <w:r w:rsidRPr="00B74770">
        <w:rPr>
          <w:spacing w:val="22"/>
          <w:rtl/>
        </w:rPr>
        <w:t>(הוגש רישום פלילי),</w:t>
      </w:r>
      <w:r w:rsidRPr="00CD6618">
        <w:rPr>
          <w:spacing w:val="22"/>
          <w:rtl/>
        </w:rPr>
        <w:t xml:space="preserve"> שאמנם פחות רלוונטי לעבירות בתיק זה, אך מגביר את משקלו של אינטרס ההרתעה, ולפיכך, עותרת למקם את הנאשם ברף התחתון של המתחם, אך לא בקצה התחתון, ולהטיל עליו גם מאסר על תנאי וקנס, נוכח המניע הכלכלי שבבסיס עבירות אלה.</w:t>
      </w:r>
    </w:p>
    <w:p w14:paraId="53AE4C1A" w14:textId="77777777" w:rsidR="00A42679" w:rsidRPr="00CD6618" w:rsidRDefault="00A42679" w:rsidP="00A42679">
      <w:pPr>
        <w:spacing w:line="360" w:lineRule="auto"/>
        <w:ind w:firstLine="720"/>
        <w:jc w:val="both"/>
        <w:rPr>
          <w:spacing w:val="22"/>
          <w:rtl/>
        </w:rPr>
      </w:pPr>
    </w:p>
    <w:p w14:paraId="60AA73EF" w14:textId="77777777" w:rsidR="00A42679" w:rsidRPr="00CD6618" w:rsidRDefault="00A42679" w:rsidP="00A42679">
      <w:pPr>
        <w:spacing w:line="360" w:lineRule="auto"/>
        <w:ind w:firstLine="720"/>
        <w:jc w:val="both"/>
        <w:rPr>
          <w:b/>
          <w:bCs/>
          <w:spacing w:val="22"/>
          <w:rtl/>
        </w:rPr>
      </w:pPr>
      <w:r w:rsidRPr="00CD6618">
        <w:rPr>
          <w:b/>
          <w:bCs/>
          <w:spacing w:val="22"/>
          <w:rtl/>
        </w:rPr>
        <w:t>טענות ההגנה</w:t>
      </w:r>
    </w:p>
    <w:p w14:paraId="062E86A6" w14:textId="77777777" w:rsidR="00A42679" w:rsidRPr="00CD6618" w:rsidRDefault="00A42679" w:rsidP="00A42679">
      <w:pPr>
        <w:spacing w:line="360" w:lineRule="auto"/>
        <w:jc w:val="both"/>
        <w:rPr>
          <w:spacing w:val="22"/>
          <w:rtl/>
        </w:rPr>
      </w:pPr>
      <w:r>
        <w:rPr>
          <w:rFonts w:hint="cs"/>
          <w:spacing w:val="22"/>
          <w:rtl/>
        </w:rPr>
        <w:t>6</w:t>
      </w:r>
      <w:r w:rsidRPr="00CD6618">
        <w:rPr>
          <w:spacing w:val="22"/>
          <w:rtl/>
        </w:rPr>
        <w:t>.</w:t>
      </w:r>
      <w:r w:rsidRPr="00CD6618">
        <w:rPr>
          <w:spacing w:val="22"/>
          <w:rtl/>
        </w:rPr>
        <w:tab/>
        <w:t xml:space="preserve">הסנגור עותר לקביעה של מתחם ענישה אחד. לפי עובדות כתב האישום, חלקו של הנאשם מתמצה בקשר עם הסוכן, הוא איש הקשר בין הסוכן לאחר. </w:t>
      </w:r>
      <w:r>
        <w:rPr>
          <w:rFonts w:hint="cs"/>
          <w:spacing w:val="22"/>
          <w:rtl/>
        </w:rPr>
        <w:t xml:space="preserve">נטען כי </w:t>
      </w:r>
      <w:r w:rsidRPr="00CD6618">
        <w:rPr>
          <w:spacing w:val="22"/>
          <w:rtl/>
        </w:rPr>
        <w:t>חשוב להבין כי לא מדובר בסוכן רגיל, אלא במי שהוא חבר של</w:t>
      </w:r>
      <w:r>
        <w:rPr>
          <w:rFonts w:hint="cs"/>
          <w:spacing w:val="22"/>
          <w:rtl/>
        </w:rPr>
        <w:t xml:space="preserve"> הנאשם</w:t>
      </w:r>
      <w:r w:rsidRPr="00CD6618">
        <w:rPr>
          <w:spacing w:val="22"/>
          <w:rtl/>
        </w:rPr>
        <w:t xml:space="preserve"> שנים רבות</w:t>
      </w:r>
      <w:r>
        <w:rPr>
          <w:rFonts w:hint="cs"/>
          <w:spacing w:val="22"/>
          <w:rtl/>
        </w:rPr>
        <w:t xml:space="preserve">, </w:t>
      </w:r>
      <w:r w:rsidRPr="00CD6618">
        <w:rPr>
          <w:spacing w:val="22"/>
          <w:rtl/>
        </w:rPr>
        <w:t xml:space="preserve">ידע על מצבה הכלכלי הקשה של משפחתו, ועל כך שהנאשם נפצע בידו ואינו עובד, הוא ידע </w:t>
      </w:r>
      <w:r>
        <w:rPr>
          <w:rFonts w:hint="cs"/>
          <w:spacing w:val="22"/>
          <w:rtl/>
        </w:rPr>
        <w:t>כיצד</w:t>
      </w:r>
      <w:r w:rsidRPr="00CD6618">
        <w:rPr>
          <w:spacing w:val="22"/>
          <w:rtl/>
        </w:rPr>
        <w:t xml:space="preserve"> לנצל אותו ומה נקודות החולשה שלו. כמו כן, הנאשם לא ידע מה מקור הנשק ולא היה אחראי על מקור הנשק. בעבירות אלה החומרה היא לכתפי אותו אדם שיודע </w:t>
      </w:r>
      <w:r>
        <w:rPr>
          <w:rFonts w:hint="cs"/>
          <w:spacing w:val="22"/>
          <w:rtl/>
        </w:rPr>
        <w:t>את</w:t>
      </w:r>
      <w:r w:rsidRPr="00CD6618">
        <w:rPr>
          <w:spacing w:val="22"/>
          <w:rtl/>
        </w:rPr>
        <w:t xml:space="preserve"> מקור הנשק, ואילו </w:t>
      </w:r>
      <w:r>
        <w:rPr>
          <w:rFonts w:hint="cs"/>
          <w:spacing w:val="22"/>
          <w:rtl/>
        </w:rPr>
        <w:t>מעשי הנאשם התבטאו בהבאת</w:t>
      </w:r>
      <w:r w:rsidRPr="00CD6618">
        <w:rPr>
          <w:spacing w:val="22"/>
          <w:rtl/>
        </w:rPr>
        <w:t xml:space="preserve"> החבר </w:t>
      </w:r>
      <w:r>
        <w:rPr>
          <w:rFonts w:hint="cs"/>
          <w:spacing w:val="22"/>
          <w:rtl/>
        </w:rPr>
        <w:t>תמורת</w:t>
      </w:r>
      <w:r w:rsidRPr="00CD6618">
        <w:rPr>
          <w:spacing w:val="22"/>
          <w:rtl/>
        </w:rPr>
        <w:t xml:space="preserve"> חמש מאות שקל. סכום זה אינו סכום הסחר בנשק. הכסף עבר מהסוכן באופן ישיר לאותו אדם והעבירה של הנאשם היא נוכחות במקום. מבלי להקל ראש בכך, לנאשם נסיבות קשות, שפורטו בתסקיר שירות </w:t>
      </w:r>
      <w:r>
        <w:rPr>
          <w:spacing w:val="22"/>
          <w:rtl/>
        </w:rPr>
        <w:t>המבחן, והוא הגיע למצב זה מתוך י</w:t>
      </w:r>
      <w:r w:rsidRPr="00CD6618">
        <w:rPr>
          <w:spacing w:val="22"/>
          <w:rtl/>
        </w:rPr>
        <w:t xml:space="preserve">אוש. לפיכך, כשהמאשימה טוענת למתחם של סחר, צריך להיצמד לעובדות כתב האישום ולראות שלא מדובר ממש בסחר, מדובר בתיווך מסוג אחר או סיוע. </w:t>
      </w:r>
      <w:r>
        <w:rPr>
          <w:rFonts w:hint="cs"/>
          <w:spacing w:val="22"/>
          <w:rtl/>
        </w:rPr>
        <w:t xml:space="preserve">נטען עוד כי </w:t>
      </w:r>
      <w:r w:rsidRPr="00CD6618">
        <w:rPr>
          <w:spacing w:val="22"/>
          <w:rtl/>
        </w:rPr>
        <w:t xml:space="preserve">הנאשם הודה ולקח אחריות. </w:t>
      </w:r>
      <w:r>
        <w:rPr>
          <w:rFonts w:hint="cs"/>
          <w:spacing w:val="22"/>
          <w:rtl/>
        </w:rPr>
        <w:t>כ</w:t>
      </w:r>
      <w:r w:rsidRPr="00CD6618">
        <w:rPr>
          <w:spacing w:val="22"/>
          <w:rtl/>
        </w:rPr>
        <w:t xml:space="preserve">יום הוא </w:t>
      </w:r>
      <w:r>
        <w:rPr>
          <w:rFonts w:hint="cs"/>
          <w:spacing w:val="22"/>
          <w:rtl/>
        </w:rPr>
        <w:t xml:space="preserve">נמצא </w:t>
      </w:r>
      <w:r w:rsidRPr="00CD6618">
        <w:rPr>
          <w:spacing w:val="22"/>
          <w:rtl/>
        </w:rPr>
        <w:t>כמעט 14 חודש</w:t>
      </w:r>
      <w:r>
        <w:rPr>
          <w:rFonts w:hint="cs"/>
          <w:spacing w:val="22"/>
          <w:rtl/>
        </w:rPr>
        <w:t>ים</w:t>
      </w:r>
      <w:r w:rsidRPr="00CD6618">
        <w:rPr>
          <w:spacing w:val="22"/>
          <w:rtl/>
        </w:rPr>
        <w:t xml:space="preserve"> מאחורי סורג ובריח. בזמן המעצר, אחיו של הנאשם נפל וכיום נמצא בבית לוינשטיין במצב לא טוב. אח אחר הינו קטוע רגל ומצבו הרפואי של אב המשפחה הינו ירוד, כך שמצב המשפחה הינו קשה. הנאשם הוא זה שיצטרך לפרנס את המשפחה. הנאשם גדל במחנה פליטים שועפאט, מדובר בנפילה חד פעמית ויש לתת לו הזדמנות. לעמדת ההגנה, מתחם הענישה הוא 14-36 חודשי מאסר ויש לגזור את עונשו של הנאשם ממש בתחתית המתחם. </w:t>
      </w:r>
      <w:r>
        <w:rPr>
          <w:rFonts w:hint="cs"/>
          <w:spacing w:val="22"/>
          <w:rtl/>
        </w:rPr>
        <w:t xml:space="preserve">נטען כי </w:t>
      </w:r>
      <w:r w:rsidRPr="00CD6618">
        <w:rPr>
          <w:spacing w:val="22"/>
          <w:rtl/>
        </w:rPr>
        <w:t>המאשימה לא הסבירה מדוע אין למקום את הנאשם ממש בתחתית המתחם. מדובר בנאשם ללא עבר פלילי, העבר שלו בעבירות של הפרעה לשוטר והסגת גבו</w:t>
      </w:r>
      <w:r>
        <w:rPr>
          <w:spacing w:val="22"/>
          <w:rtl/>
        </w:rPr>
        <w:t>ל אינו משמעותי ובגינו קיבל קנס</w:t>
      </w:r>
      <w:r>
        <w:rPr>
          <w:rFonts w:hint="cs"/>
          <w:spacing w:val="22"/>
          <w:rtl/>
        </w:rPr>
        <w:t xml:space="preserve">. </w:t>
      </w:r>
      <w:r w:rsidRPr="00CD6618">
        <w:rPr>
          <w:spacing w:val="22"/>
          <w:rtl/>
        </w:rPr>
        <w:t>יש להתחשב גם בנסיבותיו האישיות והמשפחתיות</w:t>
      </w:r>
      <w:r>
        <w:rPr>
          <w:rFonts w:hint="cs"/>
          <w:spacing w:val="22"/>
          <w:rtl/>
        </w:rPr>
        <w:t xml:space="preserve"> של הנאשם</w:t>
      </w:r>
      <w:r w:rsidRPr="00CD6618">
        <w:rPr>
          <w:spacing w:val="22"/>
          <w:rtl/>
        </w:rPr>
        <w:t xml:space="preserve">, ובמקרה דנן יש להסתפק בימי מעצרו ולגזור עליו 14 חודשי מאסר בפועל. הסנגור הפנה למקרים חמורים יותר, שם נגזרו עונשי מאסר בפועל שבין 15 ל – 36 חודשי מאסר. </w:t>
      </w:r>
    </w:p>
    <w:p w14:paraId="41F03438" w14:textId="77777777" w:rsidR="00A42679" w:rsidRPr="00CD6618" w:rsidRDefault="00A42679" w:rsidP="00A42679">
      <w:pPr>
        <w:spacing w:line="360" w:lineRule="auto"/>
        <w:jc w:val="both"/>
        <w:rPr>
          <w:spacing w:val="22"/>
          <w:rtl/>
        </w:rPr>
      </w:pPr>
    </w:p>
    <w:p w14:paraId="37101EBD" w14:textId="77777777" w:rsidR="00A42679" w:rsidRPr="00CD6618" w:rsidRDefault="00A42679" w:rsidP="00A42679">
      <w:pPr>
        <w:spacing w:line="360" w:lineRule="auto"/>
        <w:jc w:val="both"/>
        <w:rPr>
          <w:spacing w:val="22"/>
          <w:rtl/>
        </w:rPr>
      </w:pPr>
      <w:r>
        <w:rPr>
          <w:rFonts w:hint="cs"/>
          <w:spacing w:val="22"/>
          <w:rtl/>
        </w:rPr>
        <w:t>7</w:t>
      </w:r>
      <w:r w:rsidRPr="00CD6618">
        <w:rPr>
          <w:spacing w:val="22"/>
          <w:rtl/>
        </w:rPr>
        <w:t>.</w:t>
      </w:r>
      <w:r w:rsidRPr="00CD6618">
        <w:rPr>
          <w:spacing w:val="22"/>
          <w:rtl/>
        </w:rPr>
        <w:tab/>
        <w:t>הנאשם פנה לבית המשפט, אמר כי הוא מצטער.</w:t>
      </w:r>
    </w:p>
    <w:p w14:paraId="0077FCB3" w14:textId="77777777" w:rsidR="00A42679" w:rsidRPr="00CD6618" w:rsidRDefault="00A42679" w:rsidP="00A42679">
      <w:pPr>
        <w:spacing w:line="360" w:lineRule="auto"/>
        <w:ind w:firstLine="720"/>
        <w:jc w:val="both"/>
        <w:rPr>
          <w:spacing w:val="22"/>
          <w:rtl/>
        </w:rPr>
      </w:pPr>
    </w:p>
    <w:p w14:paraId="16260FCF" w14:textId="77777777" w:rsidR="00A42679" w:rsidRPr="00CD6618" w:rsidRDefault="00A42679" w:rsidP="00A42679">
      <w:pPr>
        <w:spacing w:line="360" w:lineRule="auto"/>
        <w:ind w:firstLine="720"/>
        <w:jc w:val="both"/>
        <w:rPr>
          <w:b/>
          <w:bCs/>
          <w:spacing w:val="22"/>
          <w:rtl/>
        </w:rPr>
      </w:pPr>
      <w:r w:rsidRPr="00CD6618">
        <w:rPr>
          <w:b/>
          <w:bCs/>
          <w:spacing w:val="22"/>
          <w:rtl/>
        </w:rPr>
        <w:t>תסקיר שירות המבחן</w:t>
      </w:r>
    </w:p>
    <w:p w14:paraId="4D393531" w14:textId="77777777" w:rsidR="00A42679" w:rsidRPr="00CD6618" w:rsidRDefault="00A42679" w:rsidP="00A42679">
      <w:pPr>
        <w:spacing w:line="360" w:lineRule="auto"/>
        <w:jc w:val="both"/>
        <w:rPr>
          <w:spacing w:val="22"/>
          <w:rtl/>
        </w:rPr>
      </w:pPr>
      <w:r>
        <w:rPr>
          <w:rFonts w:hint="cs"/>
          <w:spacing w:val="22"/>
          <w:rtl/>
        </w:rPr>
        <w:t>8</w:t>
      </w:r>
      <w:r w:rsidRPr="00CD6618">
        <w:rPr>
          <w:spacing w:val="22"/>
          <w:rtl/>
        </w:rPr>
        <w:t>.</w:t>
      </w:r>
      <w:r w:rsidRPr="00CD6618">
        <w:rPr>
          <w:spacing w:val="22"/>
          <w:rtl/>
        </w:rPr>
        <w:tab/>
        <w:t>מתסקיר שירות המבחן שנערך בעניינו של הנאשם עולה כי הינו כבן 28 שנים, רווק, אינו עובד. מגיל צעיר חבר לחברה שולית, תפקד באופן לא יציב, עבד בעבודות מזדמנות וסיגל דפוסי שימוש בעייתיים באלכוהול. ברישומו הפלילי הרשעה משנת 2015 בגין הפרעה לשוטר והסגת גבול, בגינה נ</w:t>
      </w:r>
      <w:r>
        <w:rPr>
          <w:spacing w:val="22"/>
          <w:rtl/>
        </w:rPr>
        <w:t>דון למע"ת וקנס</w:t>
      </w:r>
      <w:r w:rsidRPr="00CD6618">
        <w:rPr>
          <w:spacing w:val="22"/>
          <w:rtl/>
        </w:rPr>
        <w:t>. ביחס לעבירות נשוא תיק זה, הנאשם לקח אחריות חלקית בלבד על מעשיו. שירות המבחן התרשם כי החרטה שהביע מקורה בעיקר בהשלכות של מעצרו על חייו, וכי הוא מטשטש וממזער את התנהלותו הבעייתית ומתקשה לבחון את השלכות בחירותיו על חייו. ה</w:t>
      </w:r>
      <w:r>
        <w:rPr>
          <w:rFonts w:hint="cs"/>
          <w:spacing w:val="22"/>
          <w:rtl/>
        </w:rPr>
        <w:t>נאשם</w:t>
      </w:r>
      <w:r w:rsidRPr="00CD6618">
        <w:rPr>
          <w:spacing w:val="22"/>
          <w:rtl/>
        </w:rPr>
        <w:t xml:space="preserve"> הסביר את העבירות על רקע כלכלי ופיתוי כספי. שירות המבחן התרשם כי העבירות בוצעו על רקע דפוסים עברייניים, קושי להעריך את תוצאות מעשיו וטשטוש גבולות האסור והמותר. הנאשם נשר מקבוצה טיפולית בה שולב במהלך מעצרו. הומלץ על ענישה מוחשית ומרתיעה ועונש מותנה.</w:t>
      </w:r>
    </w:p>
    <w:p w14:paraId="26BA7899" w14:textId="77777777" w:rsidR="00A42679" w:rsidRPr="00CD6618" w:rsidRDefault="00A42679" w:rsidP="00A42679">
      <w:pPr>
        <w:spacing w:line="360" w:lineRule="auto"/>
        <w:jc w:val="both"/>
        <w:rPr>
          <w:spacing w:val="22"/>
          <w:rtl/>
        </w:rPr>
      </w:pPr>
    </w:p>
    <w:p w14:paraId="5AB15501" w14:textId="77777777" w:rsidR="00A42679" w:rsidRPr="00CD6618" w:rsidRDefault="00A42679" w:rsidP="00A42679">
      <w:pPr>
        <w:spacing w:line="360" w:lineRule="auto"/>
        <w:ind w:firstLine="720"/>
        <w:jc w:val="both"/>
        <w:rPr>
          <w:rFonts w:ascii="Miriam" w:hAnsi="Miriam"/>
          <w:b/>
          <w:bCs/>
          <w:spacing w:val="22"/>
          <w:rtl/>
        </w:rPr>
      </w:pPr>
      <w:r w:rsidRPr="00CD6618">
        <w:rPr>
          <w:rFonts w:ascii="Miriam" w:hAnsi="Miriam"/>
          <w:b/>
          <w:bCs/>
          <w:spacing w:val="22"/>
          <w:rtl/>
        </w:rPr>
        <w:t>דיון</w:t>
      </w:r>
    </w:p>
    <w:p w14:paraId="6016F5E2" w14:textId="77777777" w:rsidR="00A42679" w:rsidRPr="00CD6618" w:rsidRDefault="00A42679" w:rsidP="00A42679">
      <w:pPr>
        <w:spacing w:line="360" w:lineRule="auto"/>
        <w:jc w:val="both"/>
        <w:rPr>
          <w:rFonts w:cs="FrankRuehl"/>
          <w:spacing w:val="22"/>
          <w:sz w:val="22"/>
          <w:szCs w:val="28"/>
          <w:rtl/>
        </w:rPr>
      </w:pPr>
      <w:r>
        <w:rPr>
          <w:rFonts w:hint="cs"/>
          <w:spacing w:val="22"/>
          <w:rtl/>
        </w:rPr>
        <w:t>9.</w:t>
      </w:r>
      <w:r w:rsidRPr="00CD6618">
        <w:rPr>
          <w:spacing w:val="22"/>
          <w:rtl/>
        </w:rPr>
        <w:tab/>
        <w:t xml:space="preserve">בענייננו, האישומים בוצעו בהפרש </w:t>
      </w:r>
      <w:r>
        <w:rPr>
          <w:rFonts w:hint="cs"/>
          <w:spacing w:val="22"/>
          <w:rtl/>
        </w:rPr>
        <w:t>זמנים קצר ו</w:t>
      </w:r>
      <w:r w:rsidRPr="00CD6618">
        <w:rPr>
          <w:spacing w:val="22"/>
          <w:rtl/>
        </w:rPr>
        <w:t xml:space="preserve">עוסקים באירועים שיש ביניהם דמיון רב, בוצעו באופן דומה, קדם להם תכנון דומה, ישנה זהות </w:t>
      </w:r>
      <w:r>
        <w:rPr>
          <w:rFonts w:hint="cs"/>
          <w:spacing w:val="22"/>
          <w:rtl/>
        </w:rPr>
        <w:t>בין ה</w:t>
      </w:r>
      <w:r w:rsidRPr="00CD6618">
        <w:rPr>
          <w:spacing w:val="22"/>
          <w:rtl/>
        </w:rPr>
        <w:t xml:space="preserve">צדדים </w:t>
      </w:r>
      <w:r>
        <w:rPr>
          <w:rFonts w:hint="cs"/>
          <w:spacing w:val="22"/>
          <w:rtl/>
        </w:rPr>
        <w:t>ב</w:t>
      </w:r>
      <w:r w:rsidRPr="00CD6618">
        <w:rPr>
          <w:spacing w:val="22"/>
          <w:rtl/>
        </w:rPr>
        <w:t>כל אחת מהעסקאות ועל כן ניתן לראות בהם אירוע אחד ולקבוע מתחם ענישה אחד, כפי שהסכימו הצדדים. באשר לערכים המוגנים, העבירה של סחר בנשק טומנת בחובה סכנה ממשית פוגעת בערכים החברתיים של בטחון הציבור, שלום הציבור ושלטון החוק. נשק בלתי חוקי המצוי בידיים בלתי מורשות מסכן את הציבור כולו. יפים לענייננו הדברים שנאמרו ב</w:t>
      </w:r>
      <w:hyperlink r:id="rId10" w:history="1">
        <w:r w:rsidR="00C6098A" w:rsidRPr="00C6098A">
          <w:rPr>
            <w:color w:val="0000FF"/>
            <w:spacing w:val="22"/>
            <w:u w:val="single"/>
            <w:rtl/>
          </w:rPr>
          <w:t>ע"פ 2251/11</w:t>
        </w:r>
      </w:hyperlink>
      <w:r w:rsidRPr="00CD6618">
        <w:rPr>
          <w:spacing w:val="22"/>
          <w:rtl/>
        </w:rPr>
        <w:t xml:space="preserve"> </w:t>
      </w:r>
      <w:r w:rsidRPr="00CD6618">
        <w:rPr>
          <w:b/>
          <w:bCs/>
          <w:spacing w:val="22"/>
          <w:rtl/>
        </w:rPr>
        <w:t>ג'מאל נפאע נ' מדינת ישראל</w:t>
      </w:r>
      <w:r w:rsidRPr="00CD6618">
        <w:rPr>
          <w:spacing w:val="22"/>
          <w:rtl/>
        </w:rPr>
        <w:t xml:space="preserve"> (2011): "</w:t>
      </w:r>
      <w:r w:rsidRPr="00CD6618">
        <w:rPr>
          <w:b/>
          <w:bCs/>
          <w:spacing w:val="22"/>
          <w:rtl/>
        </w:rPr>
        <w:t>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 עניין חמור לעצמו, כי אם לידיהם של אלה המבקשים להוציא אל הפועל פעילות חבלנית עוינת</w:t>
      </w:r>
      <w:r w:rsidRPr="00CD6618">
        <w:rPr>
          <w:spacing w:val="22"/>
          <w:rtl/>
        </w:rPr>
        <w:t>".</w:t>
      </w:r>
    </w:p>
    <w:p w14:paraId="6BE3B5DE" w14:textId="77777777" w:rsidR="00A42679" w:rsidRPr="00CD6618" w:rsidRDefault="00A42679" w:rsidP="00A42679">
      <w:pPr>
        <w:spacing w:line="360" w:lineRule="auto"/>
        <w:jc w:val="both"/>
        <w:rPr>
          <w:spacing w:val="22"/>
          <w:rtl/>
        </w:rPr>
      </w:pPr>
    </w:p>
    <w:p w14:paraId="19C4EC87" w14:textId="77777777" w:rsidR="00A42679" w:rsidRPr="00CD6618" w:rsidRDefault="00A42679" w:rsidP="00A42679">
      <w:pPr>
        <w:spacing w:line="360" w:lineRule="auto"/>
        <w:jc w:val="both"/>
        <w:rPr>
          <w:spacing w:val="22"/>
          <w:rtl/>
        </w:rPr>
      </w:pPr>
      <w:r w:rsidRPr="00CD6618">
        <w:rPr>
          <w:spacing w:val="22"/>
          <w:rtl/>
        </w:rPr>
        <w:t>10.</w:t>
      </w:r>
      <w:r w:rsidRPr="00CD6618">
        <w:rPr>
          <w:spacing w:val="22"/>
          <w:rtl/>
        </w:rPr>
        <w:tab/>
        <w:t xml:space="preserve">הנסיבות הקשורות בביצוע העבירות דנן מלמדות כי מידת הפגיעה בערכים המוגנים הנה גבוהה. מדובר בשני </w:t>
      </w:r>
      <w:r>
        <w:rPr>
          <w:rFonts w:hint="cs"/>
          <w:spacing w:val="22"/>
          <w:rtl/>
        </w:rPr>
        <w:t xml:space="preserve">כלי </w:t>
      </w:r>
      <w:r w:rsidRPr="00CD6618">
        <w:rPr>
          <w:spacing w:val="22"/>
          <w:rtl/>
        </w:rPr>
        <w:t xml:space="preserve">נשק תקינים שמידת פוטנציאל הנזק הטמונה בהם היא קטלנית ורבה. הנשקים נמכרו בתמורה לסכומי כסף גבוהים. לעסקאות קדמו תכנון מפורט וניהול משא ומתן, שכלל דיון על סוגי הנשקים המוצעים למכירה ומחירם, תיאום הפרטים, הסכומים ומקום המפגש. פועלו של הנאשם מלמד על נגישות מצדו לנשקים בלתי חוקיים, על זמינות הנשקים בידו ועל היכרותו עם עולם הסחר. אין להמעיט מחלקו בביצוע העבירות, שכן מדובר במי שהכיר את הסוכן ועשה את כל התיאומים לביצוע העסקאות, כולל ליווי וסגירת העסקאות בפועל, יש לו נגיעה ישירה ולא מדובר אך תיווך. </w:t>
      </w:r>
      <w:r>
        <w:rPr>
          <w:rFonts w:hint="cs"/>
          <w:spacing w:val="22"/>
          <w:rtl/>
        </w:rPr>
        <w:t>הנאשם</w:t>
      </w:r>
      <w:r w:rsidRPr="00CD6618">
        <w:rPr>
          <w:spacing w:val="22"/>
          <w:rtl/>
        </w:rPr>
        <w:t xml:space="preserve"> שימש חוליה </w:t>
      </w:r>
      <w:r>
        <w:rPr>
          <w:rFonts w:hint="cs"/>
          <w:spacing w:val="22"/>
          <w:rtl/>
        </w:rPr>
        <w:t>חשובה</w:t>
      </w:r>
      <w:r w:rsidRPr="00CD6618">
        <w:rPr>
          <w:spacing w:val="22"/>
          <w:rtl/>
        </w:rPr>
        <w:t xml:space="preserve"> בעסקאות סחר אלה כמי שסיפק את הנשקים</w:t>
      </w:r>
      <w:r>
        <w:rPr>
          <w:rFonts w:hint="cs"/>
          <w:spacing w:val="22"/>
          <w:rtl/>
        </w:rPr>
        <w:t xml:space="preserve">. </w:t>
      </w:r>
      <w:r w:rsidRPr="00CD6618">
        <w:rPr>
          <w:spacing w:val="22"/>
          <w:rtl/>
        </w:rPr>
        <w:t>הנאשם הבין היטב את מעשיו ויכול היה לחדול מביצועם בכל רגע אך בחר להמשיך בכך</w:t>
      </w:r>
      <w:r>
        <w:rPr>
          <w:rFonts w:hint="cs"/>
          <w:spacing w:val="22"/>
          <w:rtl/>
        </w:rPr>
        <w:t>.</w:t>
      </w:r>
      <w:r w:rsidRPr="00CD6618">
        <w:rPr>
          <w:spacing w:val="22"/>
          <w:rtl/>
        </w:rPr>
        <w:t xml:space="preserve"> הנזק הצפוי מהימצאות כלי נשק בידיים עברייניות אינו מצריך הסבר. במקרה דנן הנזק שנגרם הינו מינימלי שכן כלי הנשק הגיעו לידי המשטרה. פסיקה רבה עוסקת בממדיה המדאיגים של תופעת הסחר הבלתי חוקי בנשק, הסכנות הנשקפות ממנה להסלמה באלימות העבריינית והאידאולוגית כאחד, הקלות היחסית שבה ניתן לבצעה ומאמציהן הרבים של רשויות אכיפת החוק לתפיסת סוחרי הנשק, וקוראת – בכפוף לנסיבותיו הקונקרטיות של כל מקרה ומקרה – להחמיר באופן הדרגתי בעונשי המאסר הנגזרים על נאשמים בעבירות אלו (ר': </w:t>
      </w:r>
      <w:hyperlink r:id="rId11" w:history="1">
        <w:r w:rsidR="00CD1DEF" w:rsidRPr="00CD1DEF">
          <w:rPr>
            <w:color w:val="0000FF"/>
            <w:spacing w:val="22"/>
            <w:u w:val="single"/>
            <w:rtl/>
          </w:rPr>
          <w:t xml:space="preserve">1332/04 </w:t>
        </w:r>
      </w:hyperlink>
      <w:r w:rsidRPr="00CD6618">
        <w:rPr>
          <w:spacing w:val="22"/>
          <w:rtl/>
        </w:rPr>
        <w:t xml:space="preserve"> </w:t>
      </w:r>
      <w:r w:rsidRPr="00CD6618">
        <w:rPr>
          <w:b/>
          <w:bCs/>
          <w:spacing w:val="22"/>
          <w:rtl/>
        </w:rPr>
        <w:t>מדינת ישראל נ' פס</w:t>
      </w:r>
      <w:r w:rsidRPr="00CD6618">
        <w:rPr>
          <w:spacing w:val="22"/>
          <w:rtl/>
        </w:rPr>
        <w:t xml:space="preserve">, פ"ד נח (5) 541; </w:t>
      </w:r>
      <w:hyperlink r:id="rId12" w:history="1">
        <w:r w:rsidR="00C6098A" w:rsidRPr="00C6098A">
          <w:rPr>
            <w:color w:val="0000FF"/>
            <w:spacing w:val="22"/>
            <w:u w:val="single"/>
            <w:rtl/>
          </w:rPr>
          <w:t>ע"פ 4460/11</w:t>
        </w:r>
      </w:hyperlink>
      <w:r w:rsidRPr="00CD6618">
        <w:rPr>
          <w:spacing w:val="22"/>
          <w:rtl/>
        </w:rPr>
        <w:t xml:space="preserve"> </w:t>
      </w:r>
      <w:r w:rsidRPr="00CD6618">
        <w:rPr>
          <w:b/>
          <w:bCs/>
          <w:spacing w:val="22"/>
          <w:rtl/>
        </w:rPr>
        <w:t>מדינת ישראל נ' פאיד</w:t>
      </w:r>
      <w:r w:rsidRPr="00CD6618">
        <w:rPr>
          <w:spacing w:val="22"/>
          <w:rtl/>
        </w:rPr>
        <w:t xml:space="preserve"> (2011); </w:t>
      </w:r>
      <w:hyperlink r:id="rId13" w:history="1">
        <w:r w:rsidR="00C6098A" w:rsidRPr="00C6098A">
          <w:rPr>
            <w:color w:val="0000FF"/>
            <w:spacing w:val="22"/>
            <w:u w:val="single"/>
            <w:rtl/>
          </w:rPr>
          <w:t>ע"פ 8045/17</w:t>
        </w:r>
      </w:hyperlink>
      <w:r w:rsidRPr="00CD6618">
        <w:rPr>
          <w:spacing w:val="22"/>
          <w:rtl/>
        </w:rPr>
        <w:t xml:space="preserve"> </w:t>
      </w:r>
      <w:r w:rsidRPr="00CD6618">
        <w:rPr>
          <w:b/>
          <w:bCs/>
          <w:spacing w:val="22"/>
          <w:rtl/>
        </w:rPr>
        <w:t>בראנסי נ' מדינת ישראל</w:t>
      </w:r>
      <w:r w:rsidRPr="00CD6618">
        <w:rPr>
          <w:spacing w:val="22"/>
          <w:rtl/>
        </w:rPr>
        <w:t xml:space="preserve"> (2018)). בחינת מדיניות הענישה הנוהגת בעבירה בה הורשע הנאשם, חומרתה, נסיבות ביצועה ותוצאותיה מובילות למסקנה כי מתחם הענישה הראוי בנסיבות דנן הנו </w:t>
      </w:r>
      <w:r>
        <w:rPr>
          <w:rFonts w:hint="cs"/>
          <w:spacing w:val="22"/>
          <w:rtl/>
        </w:rPr>
        <w:t xml:space="preserve">שנתיים עד חמש שנות מאסר. </w:t>
      </w:r>
    </w:p>
    <w:p w14:paraId="32B2B9A8" w14:textId="77777777" w:rsidR="00A42679" w:rsidRPr="00CD6618" w:rsidRDefault="00A42679" w:rsidP="00A42679">
      <w:pPr>
        <w:spacing w:line="360" w:lineRule="auto"/>
        <w:jc w:val="both"/>
        <w:rPr>
          <w:spacing w:val="22"/>
          <w:rtl/>
        </w:rPr>
      </w:pPr>
    </w:p>
    <w:p w14:paraId="0D8927DE" w14:textId="77777777" w:rsidR="00A42679" w:rsidRDefault="00A42679" w:rsidP="00A42679">
      <w:pPr>
        <w:spacing w:line="360" w:lineRule="auto"/>
        <w:jc w:val="both"/>
        <w:rPr>
          <w:spacing w:val="22"/>
          <w:rtl/>
        </w:rPr>
      </w:pPr>
      <w:r w:rsidRPr="00CD6618">
        <w:rPr>
          <w:spacing w:val="22"/>
          <w:rtl/>
        </w:rPr>
        <w:t>11.</w:t>
      </w:r>
      <w:r w:rsidRPr="00CD6618">
        <w:rPr>
          <w:spacing w:val="22"/>
          <w:rtl/>
        </w:rPr>
        <w:tab/>
        <w:t xml:space="preserve">באשר לעונש הראוי לנאשם, הנאשם הודה בביצוע העבירות, תרם לייעול ההליך ולחיסכון בזמן שיפוטי והביע חרטה. עם זאת, מתסקיר שירות המבחן עולה כי </w:t>
      </w:r>
      <w:r>
        <w:rPr>
          <w:rFonts w:hint="cs"/>
          <w:spacing w:val="22"/>
          <w:rtl/>
        </w:rPr>
        <w:t>ל</w:t>
      </w:r>
      <w:r w:rsidRPr="00CD6618">
        <w:rPr>
          <w:spacing w:val="22"/>
          <w:rtl/>
        </w:rPr>
        <w:t xml:space="preserve">צד הודאתו בביצוע העבירות, האחריות שהוא לוקח על מעשיו אלה הנה חלקית בלבד, החרטה שהביע נובעת בעיקרה ממחיר ההליך הפלילי אותו הוא משלם, הוא מטשטש וממזער את התנהלותו הבעייתית ומתקשה להכיר במניעים לביצוע העבירות, באופן המחזק את משקלו של אינטרס ההרתעה בעניינו. </w:t>
      </w:r>
    </w:p>
    <w:p w14:paraId="61CB2E36" w14:textId="77777777" w:rsidR="00A42679" w:rsidRDefault="00A42679" w:rsidP="00A42679">
      <w:pPr>
        <w:spacing w:line="360" w:lineRule="auto"/>
        <w:jc w:val="both"/>
        <w:rPr>
          <w:spacing w:val="22"/>
          <w:rtl/>
        </w:rPr>
      </w:pPr>
    </w:p>
    <w:p w14:paraId="4AB8C128" w14:textId="77777777" w:rsidR="00A42679" w:rsidRDefault="00A42679" w:rsidP="00A42679">
      <w:pPr>
        <w:spacing w:line="360" w:lineRule="auto"/>
        <w:jc w:val="both"/>
        <w:rPr>
          <w:spacing w:val="22"/>
          <w:rtl/>
        </w:rPr>
      </w:pPr>
      <w:r>
        <w:rPr>
          <w:rFonts w:hint="cs"/>
          <w:spacing w:val="22"/>
          <w:rtl/>
        </w:rPr>
        <w:t>10.</w:t>
      </w:r>
      <w:r>
        <w:rPr>
          <w:rFonts w:hint="cs"/>
          <w:spacing w:val="22"/>
          <w:rtl/>
        </w:rPr>
        <w:tab/>
      </w:r>
      <w:r w:rsidRPr="00CD6618">
        <w:rPr>
          <w:spacing w:val="22"/>
          <w:rtl/>
        </w:rPr>
        <w:t>לאור האמור, אני גוזר על הנאשם</w:t>
      </w:r>
      <w:r>
        <w:rPr>
          <w:rFonts w:hint="cs"/>
          <w:spacing w:val="22"/>
          <w:rtl/>
        </w:rPr>
        <w:t xml:space="preserve"> כלהלן:</w:t>
      </w:r>
    </w:p>
    <w:p w14:paraId="2CD6F8D2" w14:textId="77777777" w:rsidR="00A42679" w:rsidRDefault="00A42679" w:rsidP="00A42679">
      <w:pPr>
        <w:spacing w:line="360" w:lineRule="auto"/>
        <w:jc w:val="both"/>
        <w:rPr>
          <w:spacing w:val="22"/>
          <w:rtl/>
        </w:rPr>
      </w:pPr>
    </w:p>
    <w:p w14:paraId="4E14493C" w14:textId="77777777" w:rsidR="00A42679" w:rsidRDefault="00A42679" w:rsidP="00A42679">
      <w:pPr>
        <w:spacing w:line="360" w:lineRule="auto"/>
        <w:jc w:val="both"/>
        <w:rPr>
          <w:spacing w:val="22"/>
          <w:rtl/>
        </w:rPr>
      </w:pPr>
      <w:r>
        <w:rPr>
          <w:spacing w:val="22"/>
          <w:rtl/>
        </w:rPr>
        <w:tab/>
      </w:r>
      <w:r>
        <w:rPr>
          <w:rFonts w:hint="cs"/>
          <w:spacing w:val="22"/>
          <w:rtl/>
        </w:rPr>
        <w:t>א.</w:t>
      </w:r>
      <w:r>
        <w:rPr>
          <w:rFonts w:hint="cs"/>
          <w:spacing w:val="22"/>
          <w:rtl/>
        </w:rPr>
        <w:tab/>
        <w:t xml:space="preserve">מאסר בפועל לתקופה של 28 חודשים. תחילת מאסרו מיום מעצרו. </w:t>
      </w:r>
    </w:p>
    <w:p w14:paraId="7B4A5E6E" w14:textId="77777777" w:rsidR="00A42679" w:rsidRDefault="00A42679" w:rsidP="00A42679">
      <w:pPr>
        <w:spacing w:line="360" w:lineRule="auto"/>
        <w:jc w:val="both"/>
        <w:rPr>
          <w:spacing w:val="22"/>
          <w:rtl/>
        </w:rPr>
      </w:pPr>
    </w:p>
    <w:p w14:paraId="6F15A7C8" w14:textId="77777777" w:rsidR="00A42679" w:rsidRPr="00CD6618" w:rsidRDefault="00A42679" w:rsidP="00A42679">
      <w:pPr>
        <w:spacing w:line="360" w:lineRule="auto"/>
        <w:ind w:left="1440" w:hanging="720"/>
        <w:jc w:val="both"/>
        <w:rPr>
          <w:spacing w:val="22"/>
          <w:sz w:val="26"/>
          <w:szCs w:val="26"/>
          <w:rtl/>
        </w:rPr>
      </w:pPr>
      <w:r>
        <w:rPr>
          <w:rFonts w:hint="cs"/>
          <w:spacing w:val="22"/>
          <w:rtl/>
        </w:rPr>
        <w:t>ב.</w:t>
      </w:r>
      <w:r>
        <w:rPr>
          <w:rFonts w:hint="cs"/>
          <w:spacing w:val="22"/>
          <w:rtl/>
        </w:rPr>
        <w:tab/>
        <w:t xml:space="preserve">מאסר מותנה לתקופת 6 חודשים והתנאי הוא שהנאשם לא יעבור עבירה מסוג פשע בתוך 3 שנים מיום שחרורו. </w:t>
      </w:r>
    </w:p>
    <w:p w14:paraId="2CD28D62" w14:textId="77777777" w:rsidR="00A42679" w:rsidRPr="00CD6618" w:rsidRDefault="00A42679" w:rsidP="00A42679">
      <w:pPr>
        <w:rPr>
          <w:spacing w:val="22"/>
          <w:sz w:val="26"/>
          <w:szCs w:val="26"/>
          <w:rtl/>
        </w:rPr>
      </w:pPr>
    </w:p>
    <w:p w14:paraId="2486A778" w14:textId="77777777" w:rsidR="00A42679" w:rsidRPr="00CD6618" w:rsidRDefault="00A42679" w:rsidP="00A42679">
      <w:pPr>
        <w:rPr>
          <w:spacing w:val="22"/>
          <w:sz w:val="26"/>
          <w:szCs w:val="26"/>
          <w:rtl/>
        </w:rPr>
      </w:pPr>
    </w:p>
    <w:p w14:paraId="5CD36947" w14:textId="77777777" w:rsidR="00A42679" w:rsidRPr="00CD6618" w:rsidRDefault="00A42679" w:rsidP="00A42679">
      <w:pPr>
        <w:rPr>
          <w:spacing w:val="22"/>
          <w:sz w:val="26"/>
          <w:szCs w:val="26"/>
          <w:rtl/>
        </w:rPr>
      </w:pPr>
      <w:r w:rsidRPr="00CD6618">
        <w:rPr>
          <w:spacing w:val="22"/>
          <w:sz w:val="26"/>
          <w:szCs w:val="26"/>
          <w:rtl/>
        </w:rPr>
        <w:tab/>
      </w:r>
      <w:r w:rsidRPr="00CD6618">
        <w:rPr>
          <w:rFonts w:hint="cs"/>
          <w:spacing w:val="22"/>
          <w:sz w:val="26"/>
          <w:szCs w:val="26"/>
          <w:rtl/>
        </w:rPr>
        <w:t xml:space="preserve">זכות ערעור לבית משפט העליון בתוך 45 יום מהיום. </w:t>
      </w:r>
    </w:p>
    <w:p w14:paraId="357ABBF5" w14:textId="77777777" w:rsidR="00A42679" w:rsidRPr="00CD6618" w:rsidRDefault="00A42679" w:rsidP="00A42679">
      <w:pPr>
        <w:rPr>
          <w:spacing w:val="22"/>
          <w:sz w:val="26"/>
          <w:szCs w:val="26"/>
          <w:rtl/>
        </w:rPr>
      </w:pPr>
    </w:p>
    <w:p w14:paraId="408986D0" w14:textId="77777777" w:rsidR="00A42679" w:rsidRPr="00CD6618" w:rsidRDefault="00A42679" w:rsidP="00A42679">
      <w:pPr>
        <w:rPr>
          <w:spacing w:val="22"/>
          <w:sz w:val="26"/>
          <w:szCs w:val="26"/>
          <w:rtl/>
        </w:rPr>
      </w:pPr>
    </w:p>
    <w:p w14:paraId="7705A71C" w14:textId="77777777" w:rsidR="00A42679" w:rsidRPr="00CD6618" w:rsidRDefault="00C6098A" w:rsidP="00A42679">
      <w:pPr>
        <w:spacing w:line="360" w:lineRule="auto"/>
        <w:ind w:firstLine="720"/>
        <w:jc w:val="both"/>
        <w:rPr>
          <w:rFonts w:ascii="Arial" w:hAnsi="Arial"/>
          <w:spacing w:val="22"/>
          <w:rtl/>
        </w:rPr>
      </w:pPr>
      <w:bookmarkStart w:id="8" w:name="Nitan"/>
      <w:r>
        <w:rPr>
          <w:rFonts w:ascii="Arial" w:hAnsi="Arial"/>
          <w:spacing w:val="22"/>
          <w:rtl/>
        </w:rPr>
        <w:t xml:space="preserve">ניתן היום,  כ"ו ניסן תשפ"א, 08 אפריל 2021, במעמד ב"כ המאשימה, ב"כ </w:t>
      </w:r>
      <w:bookmarkEnd w:id="8"/>
      <w:r w:rsidR="00A42679" w:rsidRPr="00CD6618">
        <w:rPr>
          <w:rFonts w:ascii="Arial" w:hAnsi="Arial" w:hint="cs"/>
          <w:spacing w:val="22"/>
          <w:rtl/>
        </w:rPr>
        <w:t xml:space="preserve">הנאשם והנאשם בעצמו. </w:t>
      </w:r>
    </w:p>
    <w:p w14:paraId="2EE8DD4D" w14:textId="77777777" w:rsidR="00A42679" w:rsidRPr="00C6098A" w:rsidRDefault="00C6098A" w:rsidP="00A42679">
      <w:pPr>
        <w:spacing w:line="360" w:lineRule="auto"/>
        <w:ind w:firstLine="720"/>
        <w:jc w:val="both"/>
        <w:rPr>
          <w:rFonts w:ascii="Arial" w:hAnsi="Arial"/>
          <w:color w:val="FFFFFF"/>
          <w:sz w:val="2"/>
          <w:szCs w:val="2"/>
          <w:rtl/>
        </w:rPr>
      </w:pPr>
      <w:r w:rsidRPr="00C6098A">
        <w:rPr>
          <w:rFonts w:ascii="Arial" w:hAnsi="Arial"/>
          <w:color w:val="FFFFFF"/>
          <w:sz w:val="2"/>
          <w:szCs w:val="2"/>
          <w:rtl/>
        </w:rPr>
        <w:t>5129371</w:t>
      </w:r>
    </w:p>
    <w:tbl>
      <w:tblPr>
        <w:bidiVisual/>
        <w:tblW w:w="0" w:type="auto"/>
        <w:tblInd w:w="5444" w:type="dxa"/>
        <w:tblLook w:val="01E0" w:firstRow="1" w:lastRow="1" w:firstColumn="1" w:lastColumn="1" w:noHBand="0" w:noVBand="0"/>
      </w:tblPr>
      <w:tblGrid>
        <w:gridCol w:w="2775"/>
      </w:tblGrid>
      <w:tr w:rsidR="00A42679" w14:paraId="3279931A" w14:textId="77777777" w:rsidTr="00A42679">
        <w:tc>
          <w:tcPr>
            <w:tcW w:w="2775" w:type="dxa"/>
            <w:tcBorders>
              <w:top w:val="nil"/>
              <w:left w:val="nil"/>
              <w:bottom w:val="single" w:sz="4" w:space="0" w:color="auto"/>
              <w:right w:val="nil"/>
            </w:tcBorders>
            <w:shd w:val="clear" w:color="auto" w:fill="auto"/>
            <w:vAlign w:val="center"/>
          </w:tcPr>
          <w:p w14:paraId="367E9DD4" w14:textId="77777777" w:rsidR="00A42679" w:rsidRPr="00C6098A" w:rsidRDefault="00C6098A" w:rsidP="00A42679">
            <w:pPr>
              <w:jc w:val="center"/>
              <w:rPr>
                <w:rFonts w:ascii="Courier New" w:hAnsi="Courier New"/>
                <w:b/>
                <w:bCs/>
                <w:color w:val="FFFFFF"/>
                <w:sz w:val="2"/>
                <w:szCs w:val="2"/>
              </w:rPr>
            </w:pPr>
            <w:r w:rsidRPr="00C6098A">
              <w:rPr>
                <w:rFonts w:ascii="Courier New" w:hAnsi="Courier New"/>
                <w:b/>
                <w:bCs/>
                <w:color w:val="FFFFFF"/>
                <w:sz w:val="2"/>
                <w:szCs w:val="2"/>
                <w:rtl/>
              </w:rPr>
              <w:t>54678313</w:t>
            </w:r>
          </w:p>
        </w:tc>
      </w:tr>
      <w:tr w:rsidR="00A42679" w14:paraId="797A731B" w14:textId="77777777" w:rsidTr="00A42679">
        <w:tc>
          <w:tcPr>
            <w:tcW w:w="2775" w:type="dxa"/>
            <w:tcBorders>
              <w:top w:val="single" w:sz="4" w:space="0" w:color="auto"/>
              <w:left w:val="nil"/>
              <w:bottom w:val="nil"/>
              <w:right w:val="nil"/>
            </w:tcBorders>
            <w:shd w:val="clear" w:color="auto" w:fill="auto"/>
            <w:vAlign w:val="center"/>
          </w:tcPr>
          <w:p w14:paraId="7D0D120D" w14:textId="77777777" w:rsidR="00A42679" w:rsidRPr="00A42679" w:rsidRDefault="00A42679" w:rsidP="00A42679">
            <w:pPr>
              <w:spacing w:line="360" w:lineRule="auto"/>
              <w:jc w:val="center"/>
              <w:rPr>
                <w:b/>
                <w:bCs/>
                <w:noProof/>
              </w:rPr>
            </w:pPr>
            <w:r w:rsidRPr="00A42679">
              <w:rPr>
                <w:b/>
                <w:bCs/>
                <w:rtl/>
              </w:rPr>
              <w:t>השופט רפי כרמל, סגן נשיא</w:t>
            </w:r>
          </w:p>
        </w:tc>
      </w:tr>
    </w:tbl>
    <w:p w14:paraId="699ED2B5" w14:textId="77777777" w:rsidR="00A42679" w:rsidRDefault="00A42679" w:rsidP="00A42679"/>
    <w:p w14:paraId="0D066C5B" w14:textId="77777777" w:rsidR="00A42679" w:rsidRPr="00C503AA" w:rsidRDefault="00A42679" w:rsidP="00A42679"/>
    <w:p w14:paraId="4A77A989" w14:textId="77777777" w:rsidR="00FB60A7" w:rsidRPr="00C6098A" w:rsidRDefault="00FB60A7" w:rsidP="00C6098A">
      <w:pPr>
        <w:keepNext/>
        <w:rPr>
          <w:rFonts w:ascii="David" w:hAnsi="David"/>
          <w:color w:val="000000"/>
          <w:sz w:val="22"/>
          <w:szCs w:val="22"/>
          <w:rtl/>
        </w:rPr>
      </w:pPr>
    </w:p>
    <w:p w14:paraId="6BAFDBBC" w14:textId="77777777" w:rsidR="00C6098A" w:rsidRPr="00C6098A" w:rsidRDefault="00C6098A" w:rsidP="00C6098A">
      <w:pPr>
        <w:keepNext/>
        <w:rPr>
          <w:rFonts w:ascii="David" w:hAnsi="David"/>
          <w:color w:val="000000"/>
          <w:sz w:val="22"/>
          <w:szCs w:val="22"/>
          <w:rtl/>
        </w:rPr>
      </w:pPr>
      <w:r w:rsidRPr="00C6098A">
        <w:rPr>
          <w:rFonts w:ascii="David" w:hAnsi="David"/>
          <w:color w:val="000000"/>
          <w:sz w:val="22"/>
          <w:szCs w:val="22"/>
          <w:rtl/>
        </w:rPr>
        <w:t>בית המשפט המחוזי בירושלים 54678313</w:t>
      </w:r>
    </w:p>
    <w:p w14:paraId="548DBBDF" w14:textId="77777777" w:rsidR="00C6098A" w:rsidRDefault="00C6098A" w:rsidP="00C6098A">
      <w:r w:rsidRPr="00C6098A">
        <w:rPr>
          <w:color w:val="000000"/>
          <w:rtl/>
        </w:rPr>
        <w:t>נוסח מסמך זה כפוף לשינויי ניסוח ועריכה</w:t>
      </w:r>
    </w:p>
    <w:p w14:paraId="5C6D4E86" w14:textId="77777777" w:rsidR="00C6098A" w:rsidRDefault="00C6098A" w:rsidP="00C6098A">
      <w:pPr>
        <w:rPr>
          <w:rtl/>
        </w:rPr>
      </w:pPr>
    </w:p>
    <w:p w14:paraId="686A55D3" w14:textId="77777777" w:rsidR="00C6098A" w:rsidRDefault="00C6098A" w:rsidP="00C6098A">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526B761D" w14:textId="77777777" w:rsidR="00C6098A" w:rsidRPr="00C6098A" w:rsidRDefault="00C6098A" w:rsidP="00C6098A">
      <w:pPr>
        <w:jc w:val="center"/>
        <w:rPr>
          <w:color w:val="0000FF"/>
          <w:u w:val="single"/>
        </w:rPr>
      </w:pPr>
    </w:p>
    <w:sectPr w:rsidR="00C6098A" w:rsidRPr="00C6098A" w:rsidSect="00C6098A">
      <w:headerReference w:type="even" r:id="rId15"/>
      <w:headerReference w:type="default" r:id="rId16"/>
      <w:footerReference w:type="even" r:id="rId17"/>
      <w:footerReference w:type="default" r:id="rId1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E30C2" w14:textId="77777777" w:rsidR="00266111" w:rsidRDefault="00266111" w:rsidP="006908E5">
      <w:r>
        <w:separator/>
      </w:r>
    </w:p>
  </w:endnote>
  <w:endnote w:type="continuationSeparator" w:id="0">
    <w:p w14:paraId="58E38658" w14:textId="77777777" w:rsidR="00266111" w:rsidRDefault="00266111" w:rsidP="00690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73533" w14:textId="77777777" w:rsidR="00C6098A" w:rsidRDefault="00C6098A" w:rsidP="00C6098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1D0A597" w14:textId="77777777" w:rsidR="00422622" w:rsidRPr="00C6098A" w:rsidRDefault="00C6098A" w:rsidP="00C6098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6E94B" w14:textId="77777777" w:rsidR="00C6098A" w:rsidRDefault="00C6098A" w:rsidP="00C6098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D22E3">
      <w:rPr>
        <w:rFonts w:ascii="FrankRuehl" w:hAnsi="FrankRuehl" w:cs="FrankRuehl"/>
        <w:noProof/>
        <w:rtl/>
      </w:rPr>
      <w:t>1</w:t>
    </w:r>
    <w:r>
      <w:rPr>
        <w:rFonts w:ascii="FrankRuehl" w:hAnsi="FrankRuehl" w:cs="FrankRuehl"/>
        <w:rtl/>
      </w:rPr>
      <w:fldChar w:fldCharType="end"/>
    </w:r>
  </w:p>
  <w:p w14:paraId="68B0A2C2" w14:textId="77777777" w:rsidR="00422622" w:rsidRPr="00C6098A" w:rsidRDefault="00C6098A" w:rsidP="00C6098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7F233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3D90A" w14:textId="77777777" w:rsidR="00266111" w:rsidRDefault="00266111" w:rsidP="006908E5">
      <w:r>
        <w:separator/>
      </w:r>
    </w:p>
  </w:footnote>
  <w:footnote w:type="continuationSeparator" w:id="0">
    <w:p w14:paraId="3DBE4F64" w14:textId="77777777" w:rsidR="00266111" w:rsidRDefault="00266111" w:rsidP="00690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C16CA" w14:textId="77777777" w:rsidR="00C6098A" w:rsidRPr="00C6098A" w:rsidRDefault="00C6098A" w:rsidP="00C6098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23782-02-20</w:t>
    </w:r>
    <w:r>
      <w:rPr>
        <w:rFonts w:ascii="David" w:hAnsi="David"/>
        <w:color w:val="000000"/>
        <w:sz w:val="22"/>
        <w:szCs w:val="22"/>
        <w:rtl/>
      </w:rPr>
      <w:tab/>
      <w:t xml:space="preserve"> מדינת ישראל נ' מחמוד אבו ספא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CA2F0" w14:textId="77777777" w:rsidR="00C6098A" w:rsidRPr="00C6098A" w:rsidRDefault="00C6098A" w:rsidP="00C6098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23782-02-20</w:t>
    </w:r>
    <w:r>
      <w:rPr>
        <w:rFonts w:ascii="David" w:hAnsi="David"/>
        <w:color w:val="000000"/>
        <w:sz w:val="22"/>
        <w:szCs w:val="22"/>
        <w:rtl/>
      </w:rPr>
      <w:tab/>
      <w:t xml:space="preserve"> מדינת ישראל נ' מחמוד אבו ספא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42679"/>
    <w:rsid w:val="001B5A3B"/>
    <w:rsid w:val="001D22E3"/>
    <w:rsid w:val="00266111"/>
    <w:rsid w:val="00284A7B"/>
    <w:rsid w:val="003723F7"/>
    <w:rsid w:val="00422622"/>
    <w:rsid w:val="005F0A97"/>
    <w:rsid w:val="00615722"/>
    <w:rsid w:val="006908E5"/>
    <w:rsid w:val="00776906"/>
    <w:rsid w:val="00821C22"/>
    <w:rsid w:val="00A42679"/>
    <w:rsid w:val="00C56FA8"/>
    <w:rsid w:val="00C6098A"/>
    <w:rsid w:val="00CD1DEF"/>
    <w:rsid w:val="00F53834"/>
    <w:rsid w:val="00FB60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09E6FE"/>
  <w15:chartTrackingRefBased/>
  <w15:docId w15:val="{56683DA9-73AA-4AFF-A2C3-093A5FD8A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4267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42679"/>
    <w:pPr>
      <w:tabs>
        <w:tab w:val="center" w:pos="4153"/>
        <w:tab w:val="right" w:pos="8306"/>
      </w:tabs>
    </w:pPr>
  </w:style>
  <w:style w:type="character" w:customStyle="1" w:styleId="a4">
    <w:name w:val="כותרת עליונה תו"/>
    <w:link w:val="a3"/>
    <w:rsid w:val="00A42679"/>
    <w:rPr>
      <w:rFonts w:ascii="Times New Roman" w:eastAsia="Times New Roman" w:hAnsi="Times New Roman" w:cs="David"/>
      <w:sz w:val="24"/>
      <w:szCs w:val="24"/>
    </w:rPr>
  </w:style>
  <w:style w:type="paragraph" w:styleId="a5">
    <w:name w:val="footer"/>
    <w:basedOn w:val="a"/>
    <w:link w:val="a6"/>
    <w:rsid w:val="00A42679"/>
    <w:pPr>
      <w:tabs>
        <w:tab w:val="center" w:pos="4153"/>
        <w:tab w:val="right" w:pos="8306"/>
      </w:tabs>
    </w:pPr>
  </w:style>
  <w:style w:type="character" w:customStyle="1" w:styleId="a6">
    <w:name w:val="כותרת תחתונה תו"/>
    <w:link w:val="a5"/>
    <w:rsid w:val="00A42679"/>
    <w:rPr>
      <w:rFonts w:ascii="Times New Roman" w:eastAsia="Times New Roman" w:hAnsi="Times New Roman" w:cs="David"/>
      <w:sz w:val="24"/>
      <w:szCs w:val="24"/>
    </w:rPr>
  </w:style>
  <w:style w:type="table" w:styleId="a7">
    <w:name w:val="Table Grid"/>
    <w:basedOn w:val="a1"/>
    <w:rsid w:val="00A4267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42679"/>
  </w:style>
  <w:style w:type="character" w:styleId="Hyperlink">
    <w:name w:val="Hyperlink"/>
    <w:rsid w:val="00C609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2" TargetMode="External"/><Relationship Id="rId13" Type="http://schemas.openxmlformats.org/officeDocument/2006/relationships/hyperlink" Target="http://www.nevo.co.il/case/23750625"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144.b2" TargetMode="External"/><Relationship Id="rId12" Type="http://schemas.openxmlformats.org/officeDocument/2006/relationships/hyperlink" Target="http://www.nevo.co.il/case/5958231"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762686"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case/5821327"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1695</Words>
  <Characters>8480</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10155</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3604596</vt:i4>
      </vt:variant>
      <vt:variant>
        <vt:i4>21</vt:i4>
      </vt:variant>
      <vt:variant>
        <vt:i4>0</vt:i4>
      </vt:variant>
      <vt:variant>
        <vt:i4>5</vt:i4>
      </vt:variant>
      <vt:variant>
        <vt:lpwstr>http://www.nevo.co.il/case/23750625</vt:lpwstr>
      </vt:variant>
      <vt:variant>
        <vt:lpwstr/>
      </vt:variant>
      <vt:variant>
        <vt:i4>3342454</vt:i4>
      </vt:variant>
      <vt:variant>
        <vt:i4>18</vt:i4>
      </vt:variant>
      <vt:variant>
        <vt:i4>0</vt:i4>
      </vt:variant>
      <vt:variant>
        <vt:i4>5</vt:i4>
      </vt:variant>
      <vt:variant>
        <vt:lpwstr>http://www.nevo.co.il/case/5958231</vt:lpwstr>
      </vt:variant>
      <vt:variant>
        <vt:lpwstr/>
      </vt:variant>
      <vt:variant>
        <vt:i4>3342457</vt:i4>
      </vt:variant>
      <vt:variant>
        <vt:i4>15</vt:i4>
      </vt:variant>
      <vt:variant>
        <vt:i4>0</vt:i4>
      </vt:variant>
      <vt:variant>
        <vt:i4>5</vt:i4>
      </vt:variant>
      <vt:variant>
        <vt:lpwstr>http://www.nevo.co.il/case/5762686</vt:lpwstr>
      </vt:variant>
      <vt:variant>
        <vt:lpwstr/>
      </vt:variant>
      <vt:variant>
        <vt:i4>3342463</vt:i4>
      </vt:variant>
      <vt:variant>
        <vt:i4>12</vt:i4>
      </vt:variant>
      <vt:variant>
        <vt:i4>0</vt:i4>
      </vt:variant>
      <vt:variant>
        <vt:i4>5</vt:i4>
      </vt:variant>
      <vt:variant>
        <vt:lpwstr>http://www.nevo.co.il/case/5821327</vt:lpwstr>
      </vt:variant>
      <vt:variant>
        <vt:lpwstr/>
      </vt:variant>
      <vt:variant>
        <vt:i4>7995492</vt:i4>
      </vt:variant>
      <vt:variant>
        <vt:i4>9</vt:i4>
      </vt:variant>
      <vt:variant>
        <vt:i4>0</vt:i4>
      </vt:variant>
      <vt:variant>
        <vt:i4>5</vt:i4>
      </vt:variant>
      <vt:variant>
        <vt:lpwstr>http://www.nevo.co.il/law/70301</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8192050</vt:i4>
      </vt:variant>
      <vt:variant>
        <vt:i4>3</vt:i4>
      </vt:variant>
      <vt:variant>
        <vt:i4>0</vt:i4>
      </vt:variant>
      <vt:variant>
        <vt:i4>5</vt:i4>
      </vt:variant>
      <vt:variant>
        <vt:lpwstr>http://www.nevo.co.il/law/70301/144.b2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2025-01-19T16:31:00Z</dcterms:created>
  <dcterms:modified xsi:type="dcterms:W3CDTF">2025-01-19T16:31:00Z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23782</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מחמוד אבו ספא</vt:lpwstr>
  </property>
  <property fmtid="{D5CDD505-2E9C-101B-9397-08002B2CF9AE}" pid="10" name="LAWYER">
    <vt:lpwstr>רמי עותמאן</vt:lpwstr>
  </property>
  <property fmtid="{D5CDD505-2E9C-101B-9397-08002B2CF9AE}" pid="11" name="JUDGE">
    <vt:lpwstr>רפי כרמל</vt:lpwstr>
  </property>
  <property fmtid="{D5CDD505-2E9C-101B-9397-08002B2CF9AE}" pid="12" name="CITY">
    <vt:lpwstr>י-ם</vt:lpwstr>
  </property>
  <property fmtid="{D5CDD505-2E9C-101B-9397-08002B2CF9AE}" pid="13" name="DATE">
    <vt:lpwstr>20210408</vt:lpwstr>
  </property>
  <property fmtid="{D5CDD505-2E9C-101B-9397-08002B2CF9AE}" pid="14" name="TYPE_N_DATE">
    <vt:lpwstr>39020210408</vt:lpwstr>
  </property>
  <property fmtid="{D5CDD505-2E9C-101B-9397-08002B2CF9AE}" pid="15" name="WORDNUMPAGES">
    <vt:lpwstr>6</vt:lpwstr>
  </property>
  <property fmtid="{D5CDD505-2E9C-101B-9397-08002B2CF9AE}" pid="16" name="TYPE_ABS_DATE">
    <vt:lpwstr>390020210408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5821327;5762686;5958231;23750625</vt:lpwstr>
  </property>
  <property fmtid="{D5CDD505-2E9C-101B-9397-08002B2CF9AE}" pid="36" name="LAWLISTTMP1">
    <vt:lpwstr>70301/144.b2</vt:lpwstr>
  </property>
</Properties>
</file>