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052BD" w:rsidRPr="001610CC" w14:paraId="3D33CE89" w14:textId="77777777" w:rsidTr="00B905CD">
        <w:trPr>
          <w:trHeight w:hRule="exact" w:val="418"/>
          <w:jc w:val="center"/>
        </w:trPr>
        <w:tc>
          <w:tcPr>
            <w:tcW w:w="8721" w:type="dxa"/>
            <w:gridSpan w:val="2"/>
          </w:tcPr>
          <w:p w14:paraId="69DC22E6" w14:textId="77777777" w:rsidR="005052BD" w:rsidRPr="001610CC" w:rsidRDefault="005052BD" w:rsidP="004C77FD">
            <w:pPr>
              <w:pStyle w:val="a3"/>
              <w:jc w:val="center"/>
              <w:rPr>
                <w:rFonts w:ascii="Tahoma" w:hAnsi="Tahoma" w:cs="Tahoma"/>
                <w:color w:val="000080"/>
                <w:rtl/>
              </w:rPr>
            </w:pPr>
            <w:r w:rsidRPr="001610CC">
              <w:rPr>
                <w:rFonts w:ascii="Tahoma" w:hAnsi="Tahoma" w:cs="Tahoma"/>
                <w:b/>
                <w:bCs/>
                <w:color w:val="000080"/>
                <w:rtl/>
              </w:rPr>
              <w:t>בית המשפט המחוזי בבאר שבע</w:t>
            </w:r>
          </w:p>
        </w:tc>
      </w:tr>
      <w:tr w:rsidR="005052BD" w:rsidRPr="001610CC" w14:paraId="1D436F37" w14:textId="77777777" w:rsidTr="00B905CD">
        <w:trPr>
          <w:trHeight w:val="337"/>
          <w:jc w:val="center"/>
        </w:trPr>
        <w:tc>
          <w:tcPr>
            <w:tcW w:w="5055" w:type="dxa"/>
          </w:tcPr>
          <w:p w14:paraId="078736B7" w14:textId="77777777" w:rsidR="005052BD" w:rsidRPr="001610CC" w:rsidRDefault="005052BD" w:rsidP="004C77FD">
            <w:pPr>
              <w:rPr>
                <w:rFonts w:cs="FrankRuehl"/>
                <w:sz w:val="28"/>
                <w:szCs w:val="28"/>
                <w:rtl/>
              </w:rPr>
            </w:pPr>
            <w:r w:rsidRPr="001610CC">
              <w:rPr>
                <w:rFonts w:cs="FrankRuehl"/>
                <w:sz w:val="28"/>
                <w:szCs w:val="28"/>
                <w:rtl/>
              </w:rPr>
              <w:t>תפ"ח</w:t>
            </w:r>
            <w:r w:rsidRPr="001610CC">
              <w:rPr>
                <w:rFonts w:cs="FrankRuehl" w:hint="cs"/>
                <w:sz w:val="28"/>
                <w:szCs w:val="28"/>
                <w:rtl/>
              </w:rPr>
              <w:t xml:space="preserve"> </w:t>
            </w:r>
            <w:r w:rsidRPr="001610CC">
              <w:rPr>
                <w:rFonts w:cs="FrankRuehl"/>
                <w:sz w:val="28"/>
                <w:szCs w:val="28"/>
                <w:rtl/>
              </w:rPr>
              <w:t>53498-02-20</w:t>
            </w:r>
            <w:r w:rsidRPr="001610CC">
              <w:rPr>
                <w:rFonts w:cs="FrankRuehl" w:hint="cs"/>
                <w:sz w:val="28"/>
                <w:szCs w:val="28"/>
                <w:rtl/>
              </w:rPr>
              <w:t xml:space="preserve"> </w:t>
            </w:r>
            <w:r w:rsidRPr="001610CC">
              <w:rPr>
                <w:rFonts w:cs="FrankRuehl"/>
                <w:sz w:val="28"/>
                <w:szCs w:val="28"/>
                <w:rtl/>
              </w:rPr>
              <w:t>מדינת ישראל נ' אבו אלקיעאן</w:t>
            </w:r>
          </w:p>
          <w:p w14:paraId="694AAEE5" w14:textId="77777777" w:rsidR="005052BD" w:rsidRPr="001610CC" w:rsidRDefault="005052BD" w:rsidP="004C77FD">
            <w:pPr>
              <w:pStyle w:val="a3"/>
              <w:rPr>
                <w:rFonts w:cs="FrankRuehl"/>
                <w:sz w:val="28"/>
                <w:szCs w:val="28"/>
                <w:rtl/>
              </w:rPr>
            </w:pPr>
          </w:p>
        </w:tc>
        <w:tc>
          <w:tcPr>
            <w:tcW w:w="3666" w:type="dxa"/>
          </w:tcPr>
          <w:p w14:paraId="71246BAB" w14:textId="77777777" w:rsidR="005052BD" w:rsidRPr="001610CC" w:rsidRDefault="005052BD" w:rsidP="004C77FD">
            <w:pPr>
              <w:pStyle w:val="a3"/>
              <w:jc w:val="right"/>
              <w:rPr>
                <w:rFonts w:cs="FrankRuehl"/>
                <w:sz w:val="28"/>
                <w:szCs w:val="28"/>
                <w:rtl/>
              </w:rPr>
            </w:pPr>
          </w:p>
        </w:tc>
      </w:tr>
    </w:tbl>
    <w:p w14:paraId="3F0E60A1" w14:textId="77777777" w:rsidR="005052BD" w:rsidRPr="001610CC" w:rsidRDefault="005052BD" w:rsidP="005052BD">
      <w:pPr>
        <w:pStyle w:val="a3"/>
        <w:rPr>
          <w:rtl/>
        </w:rPr>
      </w:pPr>
      <w:r w:rsidRPr="001610CC">
        <w:rPr>
          <w:rFonts w:hint="cs"/>
          <w:rtl/>
        </w:rPr>
        <w:t xml:space="preserve"> </w:t>
      </w:r>
    </w:p>
    <w:p w14:paraId="259DDD8D" w14:textId="77777777" w:rsidR="005052BD" w:rsidRPr="001610CC" w:rsidRDefault="005052BD" w:rsidP="005052BD">
      <w:pPr>
        <w:rPr>
          <w:rFonts w:ascii="Arial" w:hAnsi="Arial"/>
          <w:b/>
          <w:bCs/>
          <w:sz w:val="26"/>
          <w:szCs w:val="26"/>
          <w:rtl/>
        </w:rPr>
      </w:pPr>
    </w:p>
    <w:p w14:paraId="344934A1" w14:textId="77777777" w:rsidR="005052BD" w:rsidRPr="001610CC" w:rsidRDefault="005052BD" w:rsidP="005052BD">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3602"/>
        <w:gridCol w:w="3483"/>
      </w:tblGrid>
      <w:tr w:rsidR="005052BD" w:rsidRPr="001610CC" w14:paraId="12084AFC" w14:textId="77777777" w:rsidTr="005052BD">
        <w:trPr>
          <w:gridAfter w:val="1"/>
          <w:wAfter w:w="3483" w:type="dxa"/>
          <w:trHeight w:val="355"/>
          <w:jc w:val="center"/>
        </w:trPr>
        <w:tc>
          <w:tcPr>
            <w:tcW w:w="5337" w:type="dxa"/>
            <w:gridSpan w:val="2"/>
            <w:tcBorders>
              <w:top w:val="nil"/>
              <w:left w:val="nil"/>
              <w:bottom w:val="nil"/>
              <w:right w:val="nil"/>
            </w:tcBorders>
            <w:shd w:val="clear" w:color="auto" w:fill="auto"/>
          </w:tcPr>
          <w:p w14:paraId="7774C61F" w14:textId="77777777" w:rsidR="005052BD" w:rsidRPr="001610CC" w:rsidRDefault="005052BD" w:rsidP="005052BD">
            <w:pPr>
              <w:spacing w:line="360" w:lineRule="auto"/>
              <w:jc w:val="both"/>
              <w:rPr>
                <w:rFonts w:ascii="David" w:hAnsi="David"/>
                <w:b/>
                <w:bCs/>
                <w:sz w:val="26"/>
                <w:szCs w:val="26"/>
              </w:rPr>
            </w:pPr>
            <w:r w:rsidRPr="001610CC">
              <w:rPr>
                <w:rFonts w:ascii="David" w:hAnsi="David"/>
                <w:b/>
                <w:bCs/>
                <w:sz w:val="26"/>
                <w:szCs w:val="26"/>
                <w:rtl/>
              </w:rPr>
              <w:t xml:space="preserve">לפני: כב' סגן הנשיאה, השופט נתן זלוצ'ובר – אב"ד </w:t>
            </w:r>
          </w:p>
          <w:p w14:paraId="55E197F5" w14:textId="77777777" w:rsidR="005052BD" w:rsidRPr="001610CC" w:rsidRDefault="005052BD" w:rsidP="005052BD">
            <w:pPr>
              <w:spacing w:line="360" w:lineRule="auto"/>
              <w:jc w:val="both"/>
              <w:rPr>
                <w:rFonts w:ascii="David" w:hAnsi="David"/>
                <w:b/>
                <w:bCs/>
                <w:sz w:val="26"/>
                <w:szCs w:val="26"/>
                <w:rtl/>
              </w:rPr>
            </w:pPr>
            <w:r w:rsidRPr="001610CC">
              <w:rPr>
                <w:rFonts w:ascii="David" w:hAnsi="David"/>
                <w:b/>
                <w:bCs/>
                <w:sz w:val="26"/>
                <w:szCs w:val="26"/>
                <w:rtl/>
              </w:rPr>
              <w:t xml:space="preserve">          כב' השופט דניאל בן טולילה</w:t>
            </w:r>
          </w:p>
          <w:p w14:paraId="4A8F8638" w14:textId="77777777" w:rsidR="005052BD" w:rsidRPr="001610CC" w:rsidRDefault="005052BD" w:rsidP="005052BD">
            <w:pPr>
              <w:spacing w:line="360" w:lineRule="auto"/>
              <w:jc w:val="both"/>
              <w:rPr>
                <w:rFonts w:ascii="David" w:hAnsi="David"/>
                <w:b/>
                <w:bCs/>
                <w:sz w:val="26"/>
                <w:szCs w:val="26"/>
                <w:rtl/>
              </w:rPr>
            </w:pPr>
            <w:r w:rsidRPr="001610CC">
              <w:rPr>
                <w:rFonts w:ascii="David" w:hAnsi="David"/>
                <w:b/>
                <w:bCs/>
                <w:sz w:val="26"/>
                <w:szCs w:val="26"/>
                <w:rtl/>
              </w:rPr>
              <w:t xml:space="preserve">          כב' השופטת טל לחיאני שהם</w:t>
            </w:r>
          </w:p>
          <w:p w14:paraId="7F1CE19D" w14:textId="77777777" w:rsidR="005052BD" w:rsidRPr="001610CC" w:rsidRDefault="005052BD" w:rsidP="005052BD">
            <w:pPr>
              <w:spacing w:line="360" w:lineRule="auto"/>
              <w:jc w:val="right"/>
              <w:rPr>
                <w:rFonts w:ascii="David" w:hAnsi="David"/>
                <w:b/>
                <w:bCs/>
                <w:sz w:val="26"/>
                <w:szCs w:val="26"/>
                <w:rtl/>
              </w:rPr>
            </w:pPr>
          </w:p>
        </w:tc>
      </w:tr>
      <w:tr w:rsidR="005052BD" w:rsidRPr="001610CC" w14:paraId="628096FC" w14:textId="77777777" w:rsidTr="005052BD">
        <w:trPr>
          <w:gridAfter w:val="1"/>
          <w:wAfter w:w="3483" w:type="dxa"/>
          <w:trHeight w:val="355"/>
          <w:jc w:val="center"/>
        </w:trPr>
        <w:tc>
          <w:tcPr>
            <w:tcW w:w="1735" w:type="dxa"/>
            <w:tcBorders>
              <w:top w:val="nil"/>
              <w:left w:val="nil"/>
              <w:bottom w:val="nil"/>
              <w:right w:val="nil"/>
            </w:tcBorders>
            <w:shd w:val="clear" w:color="auto" w:fill="auto"/>
          </w:tcPr>
          <w:p w14:paraId="63315E44" w14:textId="77777777" w:rsidR="005052BD" w:rsidRPr="001610CC" w:rsidRDefault="005052BD" w:rsidP="005052BD">
            <w:pPr>
              <w:spacing w:line="360" w:lineRule="auto"/>
              <w:jc w:val="both"/>
              <w:rPr>
                <w:rFonts w:ascii="David" w:hAnsi="David"/>
                <w:b/>
                <w:bCs/>
                <w:sz w:val="26"/>
                <w:szCs w:val="26"/>
                <w:rtl/>
              </w:rPr>
            </w:pPr>
            <w:bookmarkStart w:id="0" w:name="FirstAppellant"/>
            <w:bookmarkStart w:id="1" w:name="FirstLawyer"/>
            <w:bookmarkStart w:id="2" w:name="LastJudge"/>
            <w:bookmarkEnd w:id="2"/>
            <w:r w:rsidRPr="001610CC">
              <w:rPr>
                <w:rFonts w:ascii="David" w:hAnsi="David"/>
                <w:b/>
                <w:bCs/>
                <w:sz w:val="26"/>
                <w:szCs w:val="26"/>
                <w:rtl/>
              </w:rPr>
              <w:t>המאשימה:</w:t>
            </w:r>
          </w:p>
        </w:tc>
        <w:tc>
          <w:tcPr>
            <w:tcW w:w="3602" w:type="dxa"/>
            <w:tcBorders>
              <w:top w:val="nil"/>
              <w:left w:val="nil"/>
              <w:bottom w:val="nil"/>
              <w:right w:val="nil"/>
            </w:tcBorders>
            <w:shd w:val="clear" w:color="auto" w:fill="auto"/>
          </w:tcPr>
          <w:p w14:paraId="77FA43CC" w14:textId="77777777" w:rsidR="005052BD" w:rsidRPr="001610CC" w:rsidRDefault="005052BD" w:rsidP="005052BD">
            <w:pPr>
              <w:spacing w:line="360" w:lineRule="auto"/>
              <w:jc w:val="both"/>
              <w:rPr>
                <w:rFonts w:ascii="David" w:hAnsi="David"/>
                <w:b/>
                <w:bCs/>
                <w:sz w:val="26"/>
                <w:szCs w:val="26"/>
                <w:rtl/>
              </w:rPr>
            </w:pPr>
            <w:r w:rsidRPr="001610CC">
              <w:rPr>
                <w:rFonts w:ascii="David" w:hAnsi="David"/>
                <w:b/>
                <w:bCs/>
                <w:sz w:val="26"/>
                <w:szCs w:val="26"/>
                <w:rtl/>
              </w:rPr>
              <w:t>מדינת ישראל – פמ"ד</w:t>
            </w:r>
          </w:p>
          <w:p w14:paraId="5707D4EE" w14:textId="77777777" w:rsidR="005052BD" w:rsidRPr="001610CC" w:rsidRDefault="005052BD" w:rsidP="005052BD">
            <w:pPr>
              <w:spacing w:line="360" w:lineRule="auto"/>
              <w:jc w:val="both"/>
              <w:rPr>
                <w:rFonts w:ascii="David" w:hAnsi="David"/>
                <w:sz w:val="26"/>
                <w:szCs w:val="26"/>
                <w:rtl/>
              </w:rPr>
            </w:pPr>
            <w:r w:rsidRPr="001610CC">
              <w:rPr>
                <w:rFonts w:ascii="David" w:hAnsi="David"/>
                <w:sz w:val="26"/>
                <w:szCs w:val="26"/>
                <w:rtl/>
              </w:rPr>
              <w:t>על ידי ב"כ עו"ד גיורא חזן</w:t>
            </w:r>
          </w:p>
        </w:tc>
      </w:tr>
      <w:bookmarkEnd w:id="0"/>
      <w:bookmarkEnd w:id="1"/>
      <w:tr w:rsidR="005052BD" w:rsidRPr="001610CC" w14:paraId="005A53D9" w14:textId="77777777" w:rsidTr="005052BD">
        <w:trPr>
          <w:trHeight w:val="355"/>
          <w:jc w:val="center"/>
        </w:trPr>
        <w:tc>
          <w:tcPr>
            <w:tcW w:w="1735" w:type="dxa"/>
            <w:tcBorders>
              <w:top w:val="nil"/>
              <w:left w:val="nil"/>
              <w:bottom w:val="nil"/>
              <w:right w:val="nil"/>
            </w:tcBorders>
            <w:shd w:val="clear" w:color="auto" w:fill="auto"/>
          </w:tcPr>
          <w:p w14:paraId="7A2D2A4B" w14:textId="77777777" w:rsidR="005052BD" w:rsidRPr="001610CC" w:rsidRDefault="005052BD" w:rsidP="005052BD">
            <w:pPr>
              <w:spacing w:line="360" w:lineRule="auto"/>
              <w:jc w:val="both"/>
              <w:rPr>
                <w:rFonts w:ascii="David" w:hAnsi="David"/>
                <w:b/>
                <w:bCs/>
                <w:sz w:val="26"/>
                <w:szCs w:val="26"/>
                <w:rtl/>
              </w:rPr>
            </w:pPr>
          </w:p>
        </w:tc>
        <w:tc>
          <w:tcPr>
            <w:tcW w:w="7085" w:type="dxa"/>
            <w:gridSpan w:val="2"/>
            <w:tcBorders>
              <w:top w:val="nil"/>
              <w:left w:val="nil"/>
              <w:bottom w:val="nil"/>
              <w:right w:val="nil"/>
            </w:tcBorders>
            <w:shd w:val="clear" w:color="auto" w:fill="auto"/>
          </w:tcPr>
          <w:p w14:paraId="31BC7CE7" w14:textId="77777777" w:rsidR="005052BD" w:rsidRPr="001610CC" w:rsidRDefault="005052BD" w:rsidP="005052BD">
            <w:pPr>
              <w:spacing w:line="360" w:lineRule="auto"/>
              <w:jc w:val="center"/>
              <w:rPr>
                <w:rFonts w:ascii="David" w:hAnsi="David"/>
                <w:b/>
                <w:bCs/>
                <w:sz w:val="12"/>
                <w:szCs w:val="12"/>
                <w:rtl/>
              </w:rPr>
            </w:pPr>
          </w:p>
          <w:p w14:paraId="271074EC" w14:textId="77777777" w:rsidR="005052BD" w:rsidRPr="001610CC" w:rsidRDefault="005052BD" w:rsidP="005052BD">
            <w:pPr>
              <w:spacing w:line="360" w:lineRule="auto"/>
              <w:rPr>
                <w:rFonts w:ascii="David" w:hAnsi="David"/>
                <w:b/>
                <w:bCs/>
                <w:sz w:val="32"/>
                <w:szCs w:val="32"/>
                <w:rtl/>
              </w:rPr>
            </w:pPr>
            <w:r w:rsidRPr="001610CC">
              <w:rPr>
                <w:rFonts w:ascii="David" w:hAnsi="David" w:hint="cs"/>
                <w:b/>
                <w:bCs/>
                <w:sz w:val="32"/>
                <w:szCs w:val="32"/>
                <w:rtl/>
              </w:rPr>
              <w:t xml:space="preserve">         </w:t>
            </w:r>
            <w:r w:rsidRPr="001610CC">
              <w:rPr>
                <w:rFonts w:ascii="David" w:hAnsi="David"/>
                <w:b/>
                <w:bCs/>
                <w:sz w:val="32"/>
                <w:szCs w:val="32"/>
                <w:rtl/>
              </w:rPr>
              <w:t>נ ג ד</w:t>
            </w:r>
          </w:p>
          <w:p w14:paraId="3D6254C1" w14:textId="77777777" w:rsidR="005052BD" w:rsidRPr="001610CC" w:rsidRDefault="005052BD" w:rsidP="005052BD">
            <w:pPr>
              <w:spacing w:line="360" w:lineRule="auto"/>
              <w:jc w:val="both"/>
              <w:rPr>
                <w:rFonts w:ascii="David" w:hAnsi="David"/>
                <w:b/>
                <w:bCs/>
                <w:sz w:val="10"/>
                <w:szCs w:val="10"/>
                <w:rtl/>
              </w:rPr>
            </w:pPr>
          </w:p>
        </w:tc>
      </w:tr>
      <w:tr w:rsidR="005052BD" w:rsidRPr="001610CC" w14:paraId="792CB684" w14:textId="77777777" w:rsidTr="005052BD">
        <w:trPr>
          <w:gridAfter w:val="1"/>
          <w:wAfter w:w="3483" w:type="dxa"/>
          <w:trHeight w:val="355"/>
          <w:jc w:val="center"/>
        </w:trPr>
        <w:tc>
          <w:tcPr>
            <w:tcW w:w="1735" w:type="dxa"/>
            <w:tcBorders>
              <w:top w:val="nil"/>
              <w:left w:val="nil"/>
              <w:bottom w:val="nil"/>
              <w:right w:val="nil"/>
            </w:tcBorders>
            <w:shd w:val="clear" w:color="auto" w:fill="auto"/>
          </w:tcPr>
          <w:p w14:paraId="244F563E" w14:textId="77777777" w:rsidR="005052BD" w:rsidRPr="001610CC" w:rsidRDefault="005052BD" w:rsidP="005052BD">
            <w:pPr>
              <w:spacing w:line="360" w:lineRule="auto"/>
              <w:jc w:val="both"/>
              <w:rPr>
                <w:rFonts w:ascii="David" w:hAnsi="David"/>
                <w:b/>
                <w:bCs/>
                <w:sz w:val="26"/>
                <w:szCs w:val="26"/>
                <w:rtl/>
              </w:rPr>
            </w:pPr>
            <w:r w:rsidRPr="001610CC">
              <w:rPr>
                <w:rFonts w:ascii="David" w:hAnsi="David"/>
                <w:b/>
                <w:bCs/>
                <w:sz w:val="26"/>
                <w:szCs w:val="26"/>
                <w:rtl/>
              </w:rPr>
              <w:t>הנאשם:</w:t>
            </w:r>
          </w:p>
        </w:tc>
        <w:tc>
          <w:tcPr>
            <w:tcW w:w="3602" w:type="dxa"/>
            <w:tcBorders>
              <w:top w:val="nil"/>
              <w:left w:val="nil"/>
              <w:bottom w:val="nil"/>
              <w:right w:val="nil"/>
            </w:tcBorders>
            <w:shd w:val="clear" w:color="auto" w:fill="auto"/>
          </w:tcPr>
          <w:p w14:paraId="12AC5B06" w14:textId="77777777" w:rsidR="005052BD" w:rsidRPr="001610CC" w:rsidRDefault="005052BD" w:rsidP="005052BD">
            <w:pPr>
              <w:spacing w:line="360" w:lineRule="auto"/>
              <w:rPr>
                <w:rFonts w:ascii="David" w:hAnsi="David"/>
                <w:b/>
                <w:bCs/>
                <w:sz w:val="26"/>
                <w:szCs w:val="26"/>
                <w:rtl/>
              </w:rPr>
            </w:pPr>
            <w:r w:rsidRPr="001610CC">
              <w:rPr>
                <w:rFonts w:ascii="David" w:hAnsi="David"/>
                <w:b/>
                <w:bCs/>
                <w:sz w:val="26"/>
                <w:szCs w:val="26"/>
                <w:rtl/>
              </w:rPr>
              <w:t xml:space="preserve">חמדה אבו אלקיעאן </w:t>
            </w:r>
          </w:p>
        </w:tc>
      </w:tr>
      <w:tr w:rsidR="005052BD" w:rsidRPr="001610CC" w14:paraId="5C709C43" w14:textId="77777777" w:rsidTr="005052BD">
        <w:trPr>
          <w:gridAfter w:val="1"/>
          <w:wAfter w:w="3483" w:type="dxa"/>
          <w:trHeight w:val="355"/>
          <w:jc w:val="center"/>
        </w:trPr>
        <w:tc>
          <w:tcPr>
            <w:tcW w:w="1735" w:type="dxa"/>
            <w:tcBorders>
              <w:top w:val="nil"/>
              <w:left w:val="nil"/>
              <w:bottom w:val="nil"/>
              <w:right w:val="nil"/>
            </w:tcBorders>
            <w:shd w:val="clear" w:color="auto" w:fill="auto"/>
          </w:tcPr>
          <w:p w14:paraId="4362CEC7" w14:textId="77777777" w:rsidR="005052BD" w:rsidRPr="001610CC" w:rsidRDefault="005052BD" w:rsidP="005052BD">
            <w:pPr>
              <w:spacing w:line="360" w:lineRule="auto"/>
              <w:jc w:val="both"/>
              <w:rPr>
                <w:rFonts w:ascii="David" w:hAnsi="David"/>
                <w:b/>
                <w:bCs/>
                <w:sz w:val="26"/>
                <w:szCs w:val="26"/>
                <w:rtl/>
              </w:rPr>
            </w:pPr>
          </w:p>
        </w:tc>
        <w:tc>
          <w:tcPr>
            <w:tcW w:w="3602" w:type="dxa"/>
            <w:tcBorders>
              <w:top w:val="nil"/>
              <w:left w:val="nil"/>
              <w:bottom w:val="nil"/>
              <w:right w:val="nil"/>
            </w:tcBorders>
            <w:shd w:val="clear" w:color="auto" w:fill="auto"/>
          </w:tcPr>
          <w:p w14:paraId="40A386A1" w14:textId="77777777" w:rsidR="005052BD" w:rsidRPr="001610CC" w:rsidRDefault="005052BD" w:rsidP="005052BD">
            <w:pPr>
              <w:spacing w:line="360" w:lineRule="auto"/>
              <w:jc w:val="both"/>
              <w:rPr>
                <w:rFonts w:ascii="David" w:hAnsi="David"/>
                <w:sz w:val="26"/>
                <w:szCs w:val="26"/>
                <w:rtl/>
              </w:rPr>
            </w:pPr>
            <w:r w:rsidRPr="001610CC">
              <w:rPr>
                <w:rFonts w:ascii="David" w:hAnsi="David"/>
                <w:sz w:val="26"/>
                <w:szCs w:val="26"/>
                <w:rtl/>
              </w:rPr>
              <w:t>על ידי ב"כ עו"ד דוד יפתח</w:t>
            </w:r>
          </w:p>
        </w:tc>
      </w:tr>
    </w:tbl>
    <w:p w14:paraId="6727A502" w14:textId="77777777" w:rsidR="005052BD" w:rsidRPr="001610CC" w:rsidRDefault="005052BD" w:rsidP="005052BD">
      <w:pPr>
        <w:rPr>
          <w:vanish/>
        </w:rPr>
      </w:pPr>
    </w:p>
    <w:p w14:paraId="76F2226D" w14:textId="77777777" w:rsidR="00B905CD" w:rsidRPr="00B905CD" w:rsidRDefault="00B905CD" w:rsidP="00B905CD">
      <w:pPr>
        <w:spacing w:before="120" w:after="120" w:line="240" w:lineRule="exact"/>
        <w:ind w:left="283" w:hanging="283"/>
        <w:jc w:val="both"/>
        <w:rPr>
          <w:rFonts w:ascii="FrankRuehl" w:hAnsi="FrankRuehl" w:cs="FrankRuehl"/>
          <w:rtl/>
        </w:rPr>
      </w:pPr>
    </w:p>
    <w:p w14:paraId="421FB498" w14:textId="77777777" w:rsidR="00F10C2F" w:rsidRPr="00F10C2F" w:rsidRDefault="00F10C2F" w:rsidP="00F10C2F">
      <w:pPr>
        <w:spacing w:before="120" w:after="120" w:line="240" w:lineRule="exact"/>
        <w:ind w:left="283" w:hanging="283"/>
        <w:jc w:val="both"/>
        <w:rPr>
          <w:rFonts w:ascii="FrankRuehl" w:hAnsi="FrankRuehl" w:cs="FrankRuehl"/>
          <w:rtl/>
        </w:rPr>
      </w:pPr>
    </w:p>
    <w:p w14:paraId="556014F1" w14:textId="77777777" w:rsidR="00B14BCD" w:rsidRDefault="00B14BCD" w:rsidP="00B14BCD">
      <w:pPr>
        <w:rPr>
          <w:sz w:val="26"/>
          <w:szCs w:val="26"/>
          <w:rtl/>
        </w:rPr>
      </w:pPr>
      <w:bookmarkStart w:id="3" w:name="LawTable"/>
      <w:bookmarkEnd w:id="3"/>
    </w:p>
    <w:p w14:paraId="621046B4" w14:textId="77777777" w:rsidR="00B14BCD" w:rsidRPr="00B14BCD" w:rsidRDefault="00B14BCD" w:rsidP="00B14BCD">
      <w:pPr>
        <w:spacing w:before="120" w:after="120" w:line="240" w:lineRule="exact"/>
        <w:ind w:left="283" w:hanging="283"/>
        <w:jc w:val="both"/>
        <w:rPr>
          <w:rFonts w:ascii="FrankRuehl" w:hAnsi="FrankRuehl" w:cs="FrankRuehl"/>
          <w:rtl/>
        </w:rPr>
      </w:pPr>
    </w:p>
    <w:p w14:paraId="25754979" w14:textId="77777777" w:rsidR="00B14BCD" w:rsidRPr="00B14BCD" w:rsidRDefault="00B14BCD" w:rsidP="00B14BCD">
      <w:pPr>
        <w:spacing w:before="120" w:after="120" w:line="240" w:lineRule="exact"/>
        <w:ind w:left="283" w:hanging="283"/>
        <w:jc w:val="both"/>
        <w:rPr>
          <w:rFonts w:ascii="FrankRuehl" w:hAnsi="FrankRuehl" w:cs="FrankRuehl"/>
          <w:rtl/>
        </w:rPr>
      </w:pPr>
    </w:p>
    <w:p w14:paraId="1F9077E2" w14:textId="77777777" w:rsidR="00B14BCD" w:rsidRPr="00B14BCD" w:rsidRDefault="00B14BCD" w:rsidP="00B14BCD">
      <w:pPr>
        <w:spacing w:before="120" w:after="120" w:line="240" w:lineRule="exact"/>
        <w:ind w:left="283" w:hanging="283"/>
        <w:jc w:val="both"/>
        <w:rPr>
          <w:rFonts w:ascii="FrankRuehl" w:hAnsi="FrankRuehl" w:cs="FrankRuehl"/>
          <w:rtl/>
        </w:rPr>
      </w:pPr>
      <w:r w:rsidRPr="00B14BCD">
        <w:rPr>
          <w:rFonts w:ascii="FrankRuehl" w:hAnsi="FrankRuehl" w:cs="FrankRuehl"/>
          <w:rtl/>
        </w:rPr>
        <w:t xml:space="preserve">חקיקה שאוזכרה: </w:t>
      </w:r>
    </w:p>
    <w:p w14:paraId="0453D32D" w14:textId="77777777" w:rsidR="00B14BCD" w:rsidRPr="00B14BCD" w:rsidRDefault="00B14BCD" w:rsidP="00B14BCD">
      <w:pPr>
        <w:spacing w:before="120" w:after="120" w:line="240" w:lineRule="exact"/>
        <w:ind w:left="283" w:hanging="283"/>
        <w:jc w:val="both"/>
        <w:rPr>
          <w:rFonts w:ascii="FrankRuehl" w:hAnsi="FrankRuehl" w:cs="FrankRuehl"/>
          <w:rtl/>
        </w:rPr>
      </w:pPr>
      <w:hyperlink r:id="rId7" w:history="1">
        <w:r w:rsidRPr="00B14BCD">
          <w:rPr>
            <w:rFonts w:ascii="FrankRuehl" w:hAnsi="FrankRuehl" w:cs="FrankRuehl"/>
            <w:color w:val="0000FF"/>
            <w:rtl/>
          </w:rPr>
          <w:t>חוק העונשין, תשל"ז-1977</w:t>
        </w:r>
      </w:hyperlink>
      <w:r w:rsidRPr="00B14BCD">
        <w:rPr>
          <w:rFonts w:ascii="FrankRuehl" w:hAnsi="FrankRuehl" w:cs="FrankRuehl"/>
          <w:rtl/>
        </w:rPr>
        <w:t xml:space="preserve">: סע'  </w:t>
      </w:r>
      <w:hyperlink r:id="rId8" w:history="1">
        <w:r w:rsidRPr="00B14BCD">
          <w:rPr>
            <w:rFonts w:ascii="FrankRuehl" w:hAnsi="FrankRuehl" w:cs="FrankRuehl"/>
            <w:color w:val="0000FF"/>
            <w:rtl/>
          </w:rPr>
          <w:t>40ג(א)</w:t>
        </w:r>
      </w:hyperlink>
      <w:r w:rsidRPr="00B14BCD">
        <w:rPr>
          <w:rFonts w:ascii="FrankRuehl" w:hAnsi="FrankRuehl" w:cs="FrankRuehl"/>
          <w:rtl/>
        </w:rPr>
        <w:t xml:space="preserve">, </w:t>
      </w:r>
      <w:hyperlink r:id="rId9" w:history="1">
        <w:r w:rsidRPr="00B14BCD">
          <w:rPr>
            <w:rFonts w:ascii="FrankRuehl" w:hAnsi="FrankRuehl" w:cs="FrankRuehl"/>
            <w:color w:val="0000FF"/>
            <w:rtl/>
          </w:rPr>
          <w:t>40י(ב)</w:t>
        </w:r>
      </w:hyperlink>
      <w:r w:rsidRPr="00B14BCD">
        <w:rPr>
          <w:rFonts w:ascii="FrankRuehl" w:hAnsi="FrankRuehl" w:cs="FrankRuehl"/>
          <w:rtl/>
        </w:rPr>
        <w:t xml:space="preserve">, </w:t>
      </w:r>
      <w:hyperlink r:id="rId10" w:history="1">
        <w:r w:rsidRPr="00B14BCD">
          <w:rPr>
            <w:rFonts w:ascii="FrankRuehl" w:hAnsi="FrankRuehl" w:cs="FrankRuehl"/>
            <w:color w:val="0000FF"/>
            <w:rtl/>
          </w:rPr>
          <w:t>77</w:t>
        </w:r>
      </w:hyperlink>
      <w:r w:rsidRPr="00B14BCD">
        <w:rPr>
          <w:rFonts w:ascii="FrankRuehl" w:hAnsi="FrankRuehl" w:cs="FrankRuehl"/>
          <w:rtl/>
        </w:rPr>
        <w:t xml:space="preserve">, </w:t>
      </w:r>
      <w:hyperlink r:id="rId11" w:history="1">
        <w:r w:rsidRPr="00B14BCD">
          <w:rPr>
            <w:rFonts w:ascii="FrankRuehl" w:hAnsi="FrankRuehl" w:cs="FrankRuehl"/>
            <w:color w:val="0000FF"/>
            <w:rtl/>
          </w:rPr>
          <w:t>144(ב)</w:t>
        </w:r>
      </w:hyperlink>
      <w:r w:rsidRPr="00B14BCD">
        <w:rPr>
          <w:rFonts w:ascii="FrankRuehl" w:hAnsi="FrankRuehl" w:cs="FrankRuehl"/>
          <w:rtl/>
        </w:rPr>
        <w:t xml:space="preserve">, </w:t>
      </w:r>
      <w:hyperlink r:id="rId12" w:history="1">
        <w:r w:rsidRPr="00B14BCD">
          <w:rPr>
            <w:rFonts w:ascii="FrankRuehl" w:hAnsi="FrankRuehl" w:cs="FrankRuehl"/>
            <w:color w:val="0000FF"/>
            <w:rtl/>
          </w:rPr>
          <w:t>144(ז)</w:t>
        </w:r>
      </w:hyperlink>
      <w:r w:rsidRPr="00B14BCD">
        <w:rPr>
          <w:rFonts w:ascii="FrankRuehl" w:hAnsi="FrankRuehl" w:cs="FrankRuehl"/>
          <w:rtl/>
        </w:rPr>
        <w:t xml:space="preserve">, </w:t>
      </w:r>
      <w:hyperlink r:id="rId13" w:history="1">
        <w:r w:rsidRPr="00B14BCD">
          <w:rPr>
            <w:rFonts w:ascii="FrankRuehl" w:hAnsi="FrankRuehl" w:cs="FrankRuehl"/>
            <w:color w:val="0000FF"/>
            <w:rtl/>
          </w:rPr>
          <w:t>305(1)</w:t>
        </w:r>
      </w:hyperlink>
      <w:r w:rsidRPr="00B14BCD">
        <w:rPr>
          <w:rFonts w:ascii="FrankRuehl" w:hAnsi="FrankRuehl" w:cs="FrankRuehl"/>
          <w:rtl/>
        </w:rPr>
        <w:t xml:space="preserve">, </w:t>
      </w:r>
      <w:hyperlink r:id="rId14" w:history="1">
        <w:r w:rsidRPr="00B14BCD">
          <w:rPr>
            <w:rFonts w:ascii="FrankRuehl" w:hAnsi="FrankRuehl" w:cs="FrankRuehl"/>
            <w:color w:val="0000FF"/>
            <w:rtl/>
          </w:rPr>
          <w:t>340א(ב)(2)</w:t>
        </w:r>
      </w:hyperlink>
    </w:p>
    <w:p w14:paraId="1ED9100F" w14:textId="77777777" w:rsidR="00B14BCD" w:rsidRPr="00B14BCD" w:rsidRDefault="00B14BCD" w:rsidP="00B14BCD">
      <w:pPr>
        <w:spacing w:before="120" w:after="120" w:line="240" w:lineRule="exact"/>
        <w:ind w:left="283" w:hanging="283"/>
        <w:jc w:val="both"/>
        <w:rPr>
          <w:rFonts w:ascii="FrankRuehl" w:hAnsi="FrankRuehl" w:cs="FrankRuehl"/>
          <w:rtl/>
        </w:rPr>
      </w:pPr>
      <w:hyperlink r:id="rId15" w:history="1">
        <w:r w:rsidRPr="00B14BCD">
          <w:rPr>
            <w:rFonts w:ascii="FrankRuehl" w:hAnsi="FrankRuehl" w:cs="FrankRuehl"/>
            <w:color w:val="0000FF"/>
            <w:rtl/>
          </w:rPr>
          <w:t>פקודת התעבורה [נוסח חדש]</w:t>
        </w:r>
      </w:hyperlink>
      <w:r w:rsidRPr="00B14BCD">
        <w:rPr>
          <w:rFonts w:ascii="FrankRuehl" w:hAnsi="FrankRuehl" w:cs="FrankRuehl"/>
          <w:rtl/>
        </w:rPr>
        <w:t xml:space="preserve">: סע'  </w:t>
      </w:r>
      <w:hyperlink r:id="rId16" w:history="1">
        <w:r w:rsidRPr="00B14BCD">
          <w:rPr>
            <w:rFonts w:ascii="FrankRuehl" w:hAnsi="FrankRuehl" w:cs="FrankRuehl"/>
            <w:color w:val="0000FF"/>
            <w:rtl/>
          </w:rPr>
          <w:t>43</w:t>
        </w:r>
      </w:hyperlink>
    </w:p>
    <w:p w14:paraId="0849D776" w14:textId="77777777" w:rsidR="00B14BCD" w:rsidRPr="00B14BCD" w:rsidRDefault="00B14BCD" w:rsidP="00B14BCD">
      <w:pPr>
        <w:rPr>
          <w:sz w:val="26"/>
          <w:szCs w:val="26"/>
          <w:rtl/>
        </w:rPr>
      </w:pPr>
      <w:bookmarkStart w:id="4" w:name="LawTable_End"/>
      <w:bookmarkEnd w:id="4"/>
    </w:p>
    <w:p w14:paraId="13DB6C56" w14:textId="77777777" w:rsidR="005052BD" w:rsidRPr="00F10C2F" w:rsidRDefault="005052BD" w:rsidP="00F10C2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52BD" w:rsidRPr="00402509" w14:paraId="3640504B" w14:textId="77777777" w:rsidTr="005052BD">
        <w:trPr>
          <w:trHeight w:val="355"/>
          <w:jc w:val="center"/>
        </w:trPr>
        <w:tc>
          <w:tcPr>
            <w:tcW w:w="8820" w:type="dxa"/>
            <w:tcBorders>
              <w:top w:val="nil"/>
              <w:left w:val="nil"/>
              <w:bottom w:val="nil"/>
              <w:right w:val="nil"/>
            </w:tcBorders>
            <w:shd w:val="clear" w:color="auto" w:fill="auto"/>
          </w:tcPr>
          <w:p w14:paraId="63D7E7FF" w14:textId="77777777" w:rsidR="001610CC" w:rsidRPr="001610CC" w:rsidRDefault="001610CC" w:rsidP="001610CC">
            <w:pPr>
              <w:jc w:val="center"/>
              <w:rPr>
                <w:rFonts w:ascii="David" w:hAnsi="David"/>
                <w:b/>
                <w:bCs/>
                <w:sz w:val="32"/>
                <w:szCs w:val="32"/>
                <w:u w:val="single"/>
                <w:rtl/>
              </w:rPr>
            </w:pPr>
            <w:bookmarkStart w:id="5" w:name="PsakDin" w:colFirst="0" w:colLast="0"/>
            <w:r w:rsidRPr="001610CC">
              <w:rPr>
                <w:rFonts w:ascii="David" w:hAnsi="David"/>
                <w:b/>
                <w:bCs/>
                <w:sz w:val="32"/>
                <w:szCs w:val="32"/>
                <w:u w:val="single"/>
                <w:rtl/>
              </w:rPr>
              <w:t>גזר דין</w:t>
            </w:r>
          </w:p>
          <w:p w14:paraId="6CEC09C9" w14:textId="77777777" w:rsidR="005052BD" w:rsidRPr="001610CC" w:rsidRDefault="005052BD" w:rsidP="001610CC">
            <w:pPr>
              <w:jc w:val="center"/>
              <w:rPr>
                <w:rFonts w:ascii="David" w:hAnsi="David"/>
                <w:bCs/>
                <w:sz w:val="32"/>
                <w:szCs w:val="32"/>
                <w:u w:val="single"/>
                <w:rtl/>
              </w:rPr>
            </w:pPr>
          </w:p>
        </w:tc>
      </w:tr>
      <w:bookmarkEnd w:id="5"/>
    </w:tbl>
    <w:p w14:paraId="5C5512DA" w14:textId="77777777" w:rsidR="005052BD" w:rsidRPr="00402509" w:rsidRDefault="005052BD" w:rsidP="005052BD">
      <w:pPr>
        <w:rPr>
          <w:rFonts w:ascii="Arial" w:hAnsi="Arial"/>
          <w:b/>
          <w:bCs/>
          <w:sz w:val="26"/>
          <w:szCs w:val="26"/>
          <w:rtl/>
        </w:rPr>
      </w:pPr>
    </w:p>
    <w:p w14:paraId="46C12B95" w14:textId="77777777" w:rsidR="005052BD" w:rsidRPr="00402509" w:rsidRDefault="005052BD" w:rsidP="005052BD">
      <w:pPr>
        <w:spacing w:before="120" w:after="120" w:line="360" w:lineRule="auto"/>
        <w:jc w:val="both"/>
        <w:rPr>
          <w:rFonts w:ascii="Arial" w:hAnsi="Arial"/>
          <w:rtl/>
        </w:rPr>
      </w:pPr>
      <w:r w:rsidRPr="00402509">
        <w:rPr>
          <w:rFonts w:ascii="Arial" w:hAnsi="Arial"/>
          <w:b/>
          <w:bCs/>
          <w:u w:val="single"/>
          <w:rtl/>
        </w:rPr>
        <w:t>השופט דניאל בן טולילה:</w:t>
      </w:r>
    </w:p>
    <w:p w14:paraId="7BB1CCAA" w14:textId="77777777" w:rsidR="005052BD" w:rsidRPr="00402509" w:rsidRDefault="005052BD" w:rsidP="005052BD">
      <w:pPr>
        <w:spacing w:before="120" w:after="120" w:line="360" w:lineRule="auto"/>
        <w:jc w:val="both"/>
        <w:rPr>
          <w:rFonts w:ascii="Arial" w:hAnsi="Arial"/>
          <w:rtl/>
        </w:rPr>
      </w:pPr>
      <w:bookmarkStart w:id="6" w:name="ABSTRACT_START"/>
      <w:bookmarkEnd w:id="6"/>
      <w:r w:rsidRPr="00402509">
        <w:rPr>
          <w:rFonts w:ascii="Arial" w:hAnsi="Arial"/>
          <w:rtl/>
        </w:rPr>
        <w:t xml:space="preserve">הנאשם הורשע ביום 7.6.22 על סמך הודאתו בכתב אישום מתוקן, במסגרת הסדר טיעון, בניסיון רצח, עבירה לפי </w:t>
      </w:r>
      <w:hyperlink r:id="rId17" w:history="1">
        <w:r w:rsidR="00B905CD" w:rsidRPr="00B905CD">
          <w:rPr>
            <w:rStyle w:val="Hyperlink"/>
            <w:rFonts w:ascii="Arial" w:hAnsi="Arial"/>
            <w:rtl/>
          </w:rPr>
          <w:t>סעיף 305(1)</w:t>
        </w:r>
      </w:hyperlink>
      <w:r w:rsidRPr="00402509">
        <w:rPr>
          <w:rFonts w:ascii="Arial" w:hAnsi="Arial"/>
          <w:rtl/>
        </w:rPr>
        <w:t xml:space="preserve"> ל</w:t>
      </w:r>
      <w:hyperlink r:id="rId18" w:history="1">
        <w:r w:rsidR="001610CC" w:rsidRPr="001610CC">
          <w:rPr>
            <w:rFonts w:ascii="Arial" w:hAnsi="Arial"/>
            <w:color w:val="0000FF"/>
            <w:u w:val="single"/>
            <w:rtl/>
          </w:rPr>
          <w:t>חוק העונשין</w:t>
        </w:r>
      </w:hyperlink>
      <w:r w:rsidRPr="00402509">
        <w:rPr>
          <w:rFonts w:ascii="Arial" w:hAnsi="Arial"/>
          <w:rtl/>
        </w:rPr>
        <w:t>, התשל"ז-1977 (להלן: "</w:t>
      </w:r>
      <w:r w:rsidRPr="00402509">
        <w:rPr>
          <w:rFonts w:ascii="Arial" w:hAnsi="Arial"/>
          <w:b/>
          <w:bCs/>
          <w:rtl/>
        </w:rPr>
        <w:t>החוק</w:t>
      </w:r>
      <w:r w:rsidRPr="00402509">
        <w:rPr>
          <w:rFonts w:ascii="Arial" w:hAnsi="Arial"/>
          <w:rtl/>
        </w:rPr>
        <w:t xml:space="preserve">"). בנוסף, הנאשם הורשע בעבירה של נשיאה והובלת נשק וירי מנשק חם תוך סיכון חיי אדם, בהתאם להוראות </w:t>
      </w:r>
      <w:hyperlink r:id="rId19" w:history="1">
        <w:r w:rsidR="00B905CD" w:rsidRPr="00B905CD">
          <w:rPr>
            <w:rStyle w:val="Hyperlink"/>
            <w:rFonts w:ascii="Arial" w:hAnsi="Arial"/>
            <w:rtl/>
          </w:rPr>
          <w:t>סעיפים 144(ב)</w:t>
        </w:r>
      </w:hyperlink>
      <w:r w:rsidRPr="00402509">
        <w:rPr>
          <w:rFonts w:ascii="Arial" w:hAnsi="Arial"/>
          <w:rtl/>
        </w:rPr>
        <w:t xml:space="preserve"> רישא ו-</w:t>
      </w:r>
      <w:hyperlink r:id="rId20" w:history="1">
        <w:r w:rsidR="00B905CD" w:rsidRPr="00B905CD">
          <w:rPr>
            <w:rStyle w:val="Hyperlink"/>
            <w:rFonts w:ascii="Arial" w:hAnsi="Arial"/>
            <w:rtl/>
          </w:rPr>
          <w:t>340א(ב)(2)</w:t>
        </w:r>
      </w:hyperlink>
      <w:r w:rsidRPr="00402509">
        <w:rPr>
          <w:rFonts w:ascii="Arial" w:hAnsi="Arial"/>
          <w:rtl/>
        </w:rPr>
        <w:t xml:space="preserve"> לחוק, בהתאמה.</w:t>
      </w:r>
    </w:p>
    <w:p w14:paraId="6F059848" w14:textId="77777777" w:rsidR="005052BD" w:rsidRPr="00402509" w:rsidRDefault="005052BD" w:rsidP="005052BD">
      <w:pPr>
        <w:spacing w:before="120" w:after="120" w:line="360" w:lineRule="auto"/>
        <w:jc w:val="both"/>
        <w:rPr>
          <w:rFonts w:ascii="Arial" w:hAnsi="Arial"/>
          <w:rtl/>
        </w:rPr>
      </w:pPr>
      <w:bookmarkStart w:id="7" w:name="ABSTRACT_END"/>
      <w:bookmarkEnd w:id="7"/>
      <w:r w:rsidRPr="00402509">
        <w:rPr>
          <w:rFonts w:ascii="Arial" w:hAnsi="Arial"/>
          <w:rtl/>
        </w:rPr>
        <w:lastRenderedPageBreak/>
        <w:t>על פי המתואר בעובדות כתב האישום המתוקן, פלג חסן אבו אלקיעאן אליו משתייך הנאשם ופלג שחדה, אליו משתייך סהר אבו אלקיעאן ז"ל (להלן: "</w:t>
      </w:r>
      <w:r w:rsidRPr="00402509">
        <w:rPr>
          <w:rFonts w:ascii="Arial" w:hAnsi="Arial"/>
          <w:b/>
          <w:bCs/>
          <w:rtl/>
        </w:rPr>
        <w:t>המנוח</w:t>
      </w:r>
      <w:r w:rsidRPr="00402509">
        <w:rPr>
          <w:rFonts w:ascii="Arial" w:hAnsi="Arial"/>
          <w:rtl/>
        </w:rPr>
        <w:t>"), היו מסוכסכים וזאת מסיבה שאינה ידועה למאשימה.</w:t>
      </w:r>
    </w:p>
    <w:p w14:paraId="44AFEC2E"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ביום 11.1.20, סמוך לשעה 15:00, בין הנאשם אשר נהג ברכב מסוג סקודה אוקטביה, מ.ר. 8670770, לבין המנוח, אשר נהג ברכב טויוטה רב 4, מ.ר. 45-096-35, התפתחה מריבה בכביש פנימי בישוב חורה.</w:t>
      </w:r>
    </w:p>
    <w:p w14:paraId="2C047B73"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תוך כדי המריבה, הגיעו הנאשם והמנוח ברכביהם לשטח עפר על כביש צדדי סמוך ודרומית לרחוב אלסלאם בחורה, כאשר המנוח, באמצעות רכב הטויוטה, התנגש בצדו השמאלי של רכב הסקודה בו נהג הנאשם. מיד לאחר מכן, יצאו הנאשם ואחרים מרכב הסקודה. בו בזמן, יצא המנוח מרכב הטויוטה. תוך כדי כך, הגיעו מעורבים נוספים והתפתחה קטטה רבת משתתפים.</w:t>
      </w:r>
    </w:p>
    <w:p w14:paraId="4300C358"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הנאשם חזר לרכב הסקודה ונסע מהמקום. בשלב מסוים בסמוך לכך, גמלה בלבו של הנאשם ההחלטה להמית את המנוח. הנאשם הצטייד באקדח ולאחר כ-4 דקות, חזר לשטח העפר כאשר הוא נוהג ברכב הסקודה במהירות פרועה לעבר רכב הטויוטה השייך למנוח, בכוונה לגרום למותו באמצעות הרכב.</w:t>
      </w:r>
    </w:p>
    <w:p w14:paraId="0F52D546"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המנוח ואנשים נוספים שעמדו לידו, ראו את הנאשם שועט לעברם ברכב הסקודה והצליחו להימלט בריצה טרם פגיעת הנאשם. הנאשם פגע בחוזקה ברכב הטויוטה וגרם לו לנזקים כבדים. זמן קצר לאחר מכן, ירה הנאשם באוויר כדור אחד מהאקדח אותו נשא.</w:t>
      </w:r>
    </w:p>
    <w:p w14:paraId="77CC8AC9"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זמן קצר לאחר ההתנגשות, נורה המנוח בנסיבות שאינן ידועות למאשימה. כתוצאה מהירי נפגע המנוח בשליש העליון של הגב משמאל במרחק של כ-34.5 ס"מ מפסגת הקודקוד, כ-5.5 ס"מ מהקו האמצע האחורי.</w:t>
      </w:r>
    </w:p>
    <w:p w14:paraId="7CF52F3C"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בסמוך לאחר מכן התפתחה במקום קטטה שבה נטל חלק גם הנאשם ובסמוך לאחר מכן, ברח הנאשם מהמקום.</w:t>
      </w:r>
    </w:p>
    <w:p w14:paraId="6522187D"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המנוח הובהל למרכז הרפואי "סורוקה" באמצעות רכב של מי מפלג שחדה. בהגעתו לבית החולים היה המנוח ללא דופק וללא נשימה. המנוח הונשם, בוצעה פתיחת חזה ובוצעו פעולות נוספות שלא שיפרו את מצבו של המנוח. המנוח מת מפצעיו בבית החולים. מותו של המנוח נגרם כתוצאה מהירי אשר גרם להלם תת נפחי בעקבות נזקים חמורים לכלי דם בריאה השמאלית וכלי הדם הבין צלעיים בשל מעבר קליע דרך גב המנוח.</w:t>
      </w:r>
    </w:p>
    <w:p w14:paraId="681271D0"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הנאשם בשלב מסוים במהלך האירועים המתוארים לעיל, נפצע בראשו ונגרמו לו חתכים שהצריכו טיפול רפואי וסגירתם בתפרים.</w:t>
      </w:r>
    </w:p>
    <w:p w14:paraId="26A522D0" w14:textId="77777777" w:rsidR="005052BD" w:rsidRPr="00402509" w:rsidRDefault="005052BD" w:rsidP="005052BD">
      <w:pPr>
        <w:tabs>
          <w:tab w:val="left" w:pos="2553"/>
        </w:tabs>
        <w:spacing w:before="120" w:after="120" w:line="360" w:lineRule="auto"/>
        <w:jc w:val="both"/>
        <w:rPr>
          <w:rFonts w:ascii="Arial" w:hAnsi="Arial"/>
        </w:rPr>
      </w:pPr>
      <w:r w:rsidRPr="00402509">
        <w:rPr>
          <w:rFonts w:ascii="Arial" w:hAnsi="Arial"/>
          <w:rtl/>
        </w:rPr>
        <w:t>עד כאן עובדות כתב האישום המתוקן.</w:t>
      </w:r>
    </w:p>
    <w:p w14:paraId="28354EC5" w14:textId="77777777" w:rsidR="005052BD" w:rsidRPr="00402509" w:rsidRDefault="005052BD" w:rsidP="005052BD">
      <w:pPr>
        <w:spacing w:before="120" w:after="120" w:line="360" w:lineRule="auto"/>
        <w:jc w:val="both"/>
        <w:rPr>
          <w:rFonts w:ascii="Arial" w:hAnsi="Arial"/>
          <w:rtl/>
        </w:rPr>
      </w:pPr>
      <w:r w:rsidRPr="00402509">
        <w:rPr>
          <w:rFonts w:ascii="David" w:hAnsi="David"/>
          <w:rtl/>
        </w:rPr>
        <w:t>במסגרת הסדר הטיעון, סוכם כי המאשימה תטען לעונש מאסר בן</w:t>
      </w:r>
      <w:r w:rsidRPr="00402509">
        <w:rPr>
          <w:rFonts w:ascii="Arial" w:hAnsi="Arial"/>
          <w:rtl/>
        </w:rPr>
        <w:t xml:space="preserve"> 11 שנים, מאסר על תנאי, קנס ופיצוי ואילו ההגנה תהא חופשית בטיעוניה.</w:t>
      </w:r>
    </w:p>
    <w:p w14:paraId="201BA0CD" w14:textId="77777777" w:rsidR="005052BD" w:rsidRPr="00402509" w:rsidRDefault="005052BD" w:rsidP="005052BD">
      <w:pPr>
        <w:spacing w:before="120" w:after="120" w:line="360" w:lineRule="auto"/>
        <w:jc w:val="both"/>
        <w:rPr>
          <w:rFonts w:ascii="Arial" w:hAnsi="Arial"/>
          <w:rtl/>
        </w:rPr>
      </w:pPr>
      <w:r w:rsidRPr="00402509">
        <w:rPr>
          <w:rFonts w:ascii="Arial" w:hAnsi="Arial"/>
          <w:b/>
          <w:bCs/>
          <w:u w:val="single"/>
          <w:rtl/>
        </w:rPr>
        <w:lastRenderedPageBreak/>
        <w:t>תסקיר שירות המבחן</w:t>
      </w:r>
      <w:r w:rsidRPr="00402509">
        <w:rPr>
          <w:rFonts w:ascii="Arial" w:hAnsi="Arial"/>
          <w:rtl/>
        </w:rPr>
        <w:t>:</w:t>
      </w:r>
    </w:p>
    <w:p w14:paraId="5EF4AC04"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הנאשם כבן 21, לאחרונה התארס לבת דודו. עובר למעצרו התגורר בחורה ומזה למעלה משנה מתגורר בשכירות בכפר ג'ת ומצוי בתנאים מגבילים של מעצר בית לילי. הנאשם עובד עם אביו וגיסו בהרכבת שיש ועבודות בניה. לדבריו, סיים 12 שנות לימוד בהמשך השתלב בלימודי תכנות במשך שנה וחצי כשבמקביל השתלב בעבודה במוסכים בחנות מוצרי חשמל זאת עד למעצרו. הנאשם מסר כי לאחר שחרורו המשיך את לימודיו.</w:t>
      </w:r>
    </w:p>
    <w:p w14:paraId="6B780398"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במשפחת מוצאו הוא השלישי מבין 7 אחאים. אביו בן 50 מרכיב שיש ואמו בת 45 עקרת בית. נטען כי משפחתו מגנה את מעשיו ותומכת במאמציו לשקם את מצבו. לדבריו, משפחתו סובלת מאיומים וקיים מתח תמידי על רקע העבירות הנדונות. ציין כי במסגרת נקמת דם, דודו מצד אביו נרצח, על כן כעת קיימים מגעים לסולחה עם משפחת המנוח.</w:t>
      </w:r>
    </w:p>
    <w:p w14:paraId="762EDEDE"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במסגרת אבחון שנערך לנאשם במרכז פרטי "בדידאת" ליעוץ, אבחון וטיפול בעוברי חוק, קיבל הנאשם אחריות מלאה על התנהגותו האלימה ובטא צער וחרטה. פירט כי הרקע להתנהגותו הקיצונית הוא פציעתו בראש על ידי המנוח ואחרים שהתנגשו ברכבו במכוון, חסמו את דרך נסיעתו ותקפו אותו במקלות ובצינורות מתכת. תיאר שבאזור בו מתגורר נהוג להגיב על מקרי אלימות ולהשתמש בנשק והיה ידוע לו על מקום הימצאו של נשק. לדבריו פעל מתוך תחושות של השפלה, הנמכה, כאב וצורך להרתיע אותם, לנקום על הפגיעה בו ולמנוע תיוגו כבחור חלש.</w:t>
      </w:r>
    </w:p>
    <w:p w14:paraId="7F28E634"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הנאשם מסר כי מעצרו הממושך מאחורי סורג ובריח ובהמשך באיזוק אלקטרוני, לראשונה בחייו, כשהוא בן 19, לצד התוצאה הטרגית (מות המנוח, מות דוד כנקמה שהיה אך בן 26 נשוי ואב לתינוק, פציעת דוד נוסף וניסיונות פגיעה בדוד אחר) חידדו את חומרת התנהגותו והשלכותיה. במהלך המעצר, התבודד, סבל מאובדן החופש וממחשבות טורדניות. עוד ציין תחושות של בושה ואכזבה שפקדו אותו ואת משפחת מוצאו סביב העובדה כי המנוח שייך לחמולה הרחבה שלהם, דבר המהווה כתם מבחינת הקודים הבדואים. עוד ביטא הנאשם נכונות לשאת בתוצאות מעשיו לצד חששו ממאסר בפועל, בעיקר בשל הפחד ממפגש עם אסירים מהפלג השייך למנוח ומאחרים המזוהים עמם העלולים לפגוע בו.</w:t>
      </w:r>
    </w:p>
    <w:p w14:paraId="5F1446F5"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לדבריו, במהלך מעצרו בבית מעצר "ניצן" השתלב בתכנית חינוך, קבוצת אלימות, קבוצת תקשורת ולמד איך לתקשר ולבטא כעסים בדרך אדפטיבית. מסר כי היום מודע יותר לאלטרנטיבות יעילות שעומדות לרשותו במצבים מורכבים רגשית. כן מסר כי השתלב בטיפול במרכז "בדידאת" שמתקיים אחת לשבוע (אותו החל ביוני 2022). מעיון בחוות הדעת מיום 24.11.22 אודות הטיפול שעובר במרכז "בדידאת" עולה כי הנאשם משולב בהליך טיפולי פסיכוסוציאלי וייעודי לעבירות בהן הורשע. בשיחות עמו מגלה עניין בתכנים, מוטיבציה להבנה מעמיקה לדינמיקה שהובילה להסתבכותו ורוכש כלים להתמודדות מיטיבה במצבי לחץ. הנאשם מכיר במאפייני אישיותו שעמדו ברקע לעבירות. ניכר כי הנאשם מגלה פתיחות רגשית ומחשבתית, חושף תכנים מחייו ומשתף פעולה באופן מלא. הגורמים הטיפוליים במרכז סבורים כי תהליך שיקומי ארוך ומשמעותי יוביל להפחתת הסיכון להישנות ביצוע העבירות.</w:t>
      </w:r>
    </w:p>
    <w:p w14:paraId="27F31EC4"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התרשמות שירות המבחן היא כי הנאשם מפנים את השפה הטיפולית ועושה מאמצים כנים להתבונן בקשייו ובנסיבות הרגשיות שעמדו בבסיס ביצוע העבירות. בנוסף, הנאשם מודע לצורך בהמשך מעורבות טיפולית במצבו על מנת לעבד את השלכות מעשיו ולרכוש כלים להתמודדות נורמטיבית במצבים מורכבים רגשית.</w:t>
      </w:r>
    </w:p>
    <w:p w14:paraId="34EFFF0C" w14:textId="77777777" w:rsidR="005052BD" w:rsidRPr="00402509" w:rsidRDefault="005052BD" w:rsidP="005052BD">
      <w:pPr>
        <w:spacing w:before="120" w:after="120" w:line="360" w:lineRule="auto"/>
        <w:jc w:val="both"/>
        <w:rPr>
          <w:rFonts w:ascii="Arial" w:hAnsi="Arial"/>
          <w:u w:val="single"/>
          <w:rtl/>
        </w:rPr>
      </w:pPr>
      <w:r w:rsidRPr="00402509">
        <w:rPr>
          <w:rFonts w:ascii="Arial" w:hAnsi="Arial"/>
          <w:rtl/>
        </w:rPr>
        <w:t xml:space="preserve">בבחינת </w:t>
      </w:r>
      <w:r w:rsidRPr="00402509">
        <w:rPr>
          <w:rFonts w:ascii="Arial" w:hAnsi="Arial"/>
          <w:u w:val="single"/>
          <w:rtl/>
        </w:rPr>
        <w:t>גורמי הסיכון</w:t>
      </w:r>
      <w:r w:rsidRPr="00402509">
        <w:rPr>
          <w:rFonts w:ascii="Arial" w:hAnsi="Arial"/>
          <w:rtl/>
        </w:rPr>
        <w:t xml:space="preserve"> לאלימות והישנות עבירות, שירות המבחן מונה את חומרת התנהגותו ותוצאותיה; מאפייניו הרגשיים והתפקודיים; סוגיית ההגנה לעצמו ולסביבתו; גדילתו לסביבה הנותנת לגיטימציה לשימוש באלימות במצבים מסוימים; השימוש בנשק; חוסר בשלות רגשית; העדר כישורים להתמודדות יעילה במצבי דחק; סכסוך אשר טרם בא לסיומו; קושי בוויסות דחפים; העדר הפעלת שיקול דעת אודות מעשיו; קשיי נפרדות; חשיפה לעבריינות בסביבת מגוריו; מיקוד שליטה פנימי נמוך. </w:t>
      </w:r>
    </w:p>
    <w:p w14:paraId="761851E3" w14:textId="77777777" w:rsidR="005052BD" w:rsidRPr="00402509" w:rsidRDefault="005052BD" w:rsidP="005052BD">
      <w:pPr>
        <w:spacing w:before="120" w:after="120" w:line="360" w:lineRule="auto"/>
        <w:jc w:val="both"/>
        <w:rPr>
          <w:rFonts w:ascii="Arial" w:hAnsi="Arial"/>
          <w:rtl/>
        </w:rPr>
      </w:pPr>
      <w:r w:rsidRPr="00402509">
        <w:rPr>
          <w:rFonts w:ascii="Arial" w:hAnsi="Arial"/>
          <w:u w:val="single"/>
          <w:rtl/>
        </w:rPr>
        <w:t>כגורמי סיכוי לשיקום</w:t>
      </w:r>
      <w:r w:rsidRPr="00402509">
        <w:rPr>
          <w:rFonts w:ascii="Arial" w:hAnsi="Arial"/>
          <w:rtl/>
        </w:rPr>
        <w:t>, מונה שירות המבחן את גילו הצעיר של הנאשם; היעדר הרשעות קודמות; קבלת אחריות מלאה על התנהגותו האלימה; ביטוי צער וחרטה; יכולת לגילוי אמפטיה; נכונות לשאת בתוצאות מעשיו; יכולת הסתגלות ויציבות בלימודים ובעבודה; ביטחון בקשר עם גורמי הטיפול; גילוי מוטיבציה לשקם את מצבו; שמירתו על התנאים המגבילים; ההתרשמות כי הליכי מעצרו מרתיעים עבורו; ההתרשמות כי רמת הסיכון להישנות התנהגות אלימה הנה נמוכה וכי במידה ויבצע עבירת אלימות חומרתה תהיה בינונית עד נמוכה; הערכה כי מעורבות טיפולית תפחית את הסיכון להישנות התנהגותו העבריינית.</w:t>
      </w:r>
    </w:p>
    <w:p w14:paraId="1E0A6C33"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שירות המבחן סבור כי ריצוי עונש מאסר מאחורי סורג ובריח עלול להביא לנסיגה במצבו ולהקטין סיכויי שיקומו בעתיד, אולם בשל חומרת העבירות, ככל שבית המשפט ימצא להשית עליו עונש מאסר בפועל, מומלץ לקחת בחשבון את מעצרו הממושך וכן להורות לשב"ס לשלב אותו בהליך שיקומי.</w:t>
      </w:r>
    </w:p>
    <w:p w14:paraId="10E5A863" w14:textId="77777777" w:rsidR="005052BD" w:rsidRPr="00402509" w:rsidRDefault="005052BD" w:rsidP="005052BD">
      <w:pPr>
        <w:spacing w:before="120" w:after="120" w:line="360" w:lineRule="auto"/>
        <w:jc w:val="both"/>
        <w:rPr>
          <w:rFonts w:ascii="David" w:hAnsi="David"/>
          <w:b/>
          <w:bCs/>
          <w:noProof/>
          <w:u w:val="single"/>
          <w:rtl/>
        </w:rPr>
      </w:pPr>
      <w:r w:rsidRPr="00402509">
        <w:rPr>
          <w:rFonts w:ascii="David" w:hAnsi="David"/>
          <w:b/>
          <w:bCs/>
          <w:noProof/>
          <w:u w:val="single"/>
          <w:rtl/>
        </w:rPr>
        <w:t xml:space="preserve">ראיות המאשימה לעונש: </w:t>
      </w:r>
    </w:p>
    <w:p w14:paraId="557998DC" w14:textId="77777777" w:rsidR="005052BD" w:rsidRPr="00402509" w:rsidRDefault="005052BD" w:rsidP="005052BD">
      <w:pPr>
        <w:spacing w:before="120" w:after="120" w:line="360" w:lineRule="auto"/>
        <w:jc w:val="both"/>
        <w:rPr>
          <w:rFonts w:ascii="Arial" w:hAnsi="Arial"/>
          <w:rtl/>
        </w:rPr>
      </w:pPr>
      <w:r w:rsidRPr="00402509">
        <w:rPr>
          <w:rFonts w:ascii="Arial" w:hAnsi="Arial"/>
          <w:rtl/>
        </w:rPr>
        <w:t xml:space="preserve">אביו של המנוח, מר מוחמד אבו אלקיעאן העיד מטעם המאשימה לעניין העונש. לדבריו, בנו המנוח ניהל אורח חיים יצרני, היה נשוי ואב ל- 5 ילדים כשאשתו הייתה בהריון. שניים מילדיו של המנוח הם נכים והעד הוא האפוטרופוס שלהם ומסייע לכלתו בטיפול בהם. </w:t>
      </w:r>
      <w:r w:rsidRPr="00402509">
        <w:rPr>
          <w:rFonts w:ascii="David" w:hAnsi="David"/>
          <w:rtl/>
        </w:rPr>
        <w:t>העד תיאר את החלל העצום שנוצר בחייהם בעקבות הירצחו של המנוח ואת מורת רוחו מהסדר הטיעון. העד ביקש מבית המשפט להשית על הנאשם עונש כבד ככל האפשר.</w:t>
      </w:r>
    </w:p>
    <w:p w14:paraId="34EA00EC" w14:textId="77777777" w:rsidR="005052BD" w:rsidRPr="00402509" w:rsidRDefault="005052BD" w:rsidP="005052BD">
      <w:pPr>
        <w:spacing w:line="360" w:lineRule="auto"/>
        <w:rPr>
          <w:rFonts w:ascii="Arial" w:hAnsi="Arial"/>
          <w:b/>
          <w:bCs/>
          <w:sz w:val="26"/>
          <w:szCs w:val="26"/>
          <w:rtl/>
        </w:rPr>
      </w:pPr>
      <w:r w:rsidRPr="00402509">
        <w:rPr>
          <w:rFonts w:ascii="Arial" w:hAnsi="Arial"/>
          <w:b/>
          <w:bCs/>
          <w:sz w:val="26"/>
          <w:szCs w:val="26"/>
          <w:u w:val="single"/>
          <w:rtl/>
        </w:rPr>
        <w:t>טיעוני הצדדים לעונש</w:t>
      </w:r>
      <w:r w:rsidRPr="00402509">
        <w:rPr>
          <w:rFonts w:ascii="Arial" w:hAnsi="Arial"/>
          <w:b/>
          <w:bCs/>
          <w:sz w:val="26"/>
          <w:szCs w:val="26"/>
          <w:rtl/>
        </w:rPr>
        <w:t>:</w:t>
      </w:r>
    </w:p>
    <w:p w14:paraId="10321EC6" w14:textId="77777777" w:rsidR="005052BD" w:rsidRPr="00402509" w:rsidRDefault="005052BD" w:rsidP="005052BD">
      <w:pPr>
        <w:spacing w:line="360" w:lineRule="auto"/>
        <w:jc w:val="both"/>
        <w:rPr>
          <w:rtl/>
        </w:rPr>
      </w:pPr>
      <w:r w:rsidRPr="00402509">
        <w:rPr>
          <w:rtl/>
        </w:rPr>
        <w:t>ב"כ המאשימה, במסגרת טיעוניו לעונש, סבור כי</w:t>
      </w:r>
      <w:r w:rsidRPr="00402509">
        <w:rPr>
          <w:b/>
          <w:bCs/>
          <w:rtl/>
        </w:rPr>
        <w:t xml:space="preserve"> </w:t>
      </w:r>
      <w:r w:rsidRPr="00402509">
        <w:rPr>
          <w:rtl/>
        </w:rPr>
        <w:t xml:space="preserve">מידת הפגיעה של הנאשם בערכים החברתיים המוגנים היא חמורה. הודגש כי הנאשם עזב את מקום האירוע, נסע, הצטייד באקדח וחזר לזירה כדי להמית את המנוח. בדרך נס הנאשם לא פגע במנוח ובאלו שעמדו לצדו אך בשל כך שאלה הבחינו ברכבו של הנאשם מבעוד מועד, והצליחו להימלט. אילולא כך, ייתכן ויותר מאדם אחד היה מאבד את חייו. נטען כי בהיותו של הרכב בבחינת "כלי נשק" משתקפת חומרה יתרה. הירי באוויר שביצע הנאשם לאחר ההתנגשות בלב התקהלות המונית מצביע על נחישות ועל התנהגות בריונית ואלימה.  אמנם לא מיוחס לנאשם כי ביצע את הירי שהוביל למותו של המנוח, אולם העובדה שבמהלך האירוע המנוח נרצח מלמדת על אירוע אלים וקשה. הנאשם לא חדל מליטול חלק בהתרחשויות, וגם לאחר הרצח, השתתף בקטטה שהתפתחה במקום. הרצח משליך על כל משפחת המנוח כפי שהדבר מצא ביטוי בדברי אביו לעונש. </w:t>
      </w:r>
      <w:r w:rsidRPr="00402509">
        <w:rPr>
          <w:rFonts w:ascii="David" w:hAnsi="David"/>
          <w:b/>
          <w:rtl/>
        </w:rPr>
        <w:t>אשר לנסיבות שאינן קשורות לביצוע העבירה, הודגש</w:t>
      </w:r>
      <w:r w:rsidRPr="00402509">
        <w:rPr>
          <w:rFonts w:ascii="David" w:hAnsi="David"/>
          <w:rtl/>
        </w:rPr>
        <w:t xml:space="preserve"> הצורך בהרתעת הרבים וההגנה על שלום הציבור בעבירות מעין אלו.</w:t>
      </w:r>
      <w:r w:rsidRPr="00402509">
        <w:rPr>
          <w:rtl/>
        </w:rPr>
        <w:t xml:space="preserve"> בשל כל אלה ולפסיקה שהוגשה מטעמה, עתרה המאשימה לעונש מאסר של 11 שנים בפועל לצד ענישה נלווית. עונש זה מהווה לשיטתה את הרף התחתון של המתחם ונמצא בהלימה לנתוניו של הנאשם כפי שעלו מן התסקיר ועם הקשיים הראייתיים בתיק.</w:t>
      </w:r>
    </w:p>
    <w:p w14:paraId="6DD35EE1" w14:textId="77777777" w:rsidR="005052BD" w:rsidRPr="00402509" w:rsidRDefault="005052BD" w:rsidP="005052BD">
      <w:pPr>
        <w:spacing w:before="120" w:after="120" w:line="360" w:lineRule="auto"/>
        <w:jc w:val="both"/>
        <w:rPr>
          <w:rtl/>
        </w:rPr>
      </w:pPr>
      <w:r w:rsidRPr="00402509">
        <w:rPr>
          <w:u w:val="single"/>
          <w:rtl/>
        </w:rPr>
        <w:t>ההגנה</w:t>
      </w:r>
      <w:r w:rsidRPr="00402509">
        <w:rPr>
          <w:b/>
          <w:bCs/>
          <w:rtl/>
        </w:rPr>
        <w:t xml:space="preserve"> </w:t>
      </w:r>
      <w:r w:rsidRPr="00402509">
        <w:rPr>
          <w:rtl/>
        </w:rPr>
        <w:t>מצדה</w:t>
      </w:r>
      <w:r w:rsidRPr="00402509">
        <w:rPr>
          <w:b/>
          <w:bCs/>
          <w:rtl/>
        </w:rPr>
        <w:t xml:space="preserve"> </w:t>
      </w:r>
      <w:r w:rsidRPr="00402509">
        <w:rPr>
          <w:rtl/>
        </w:rPr>
        <w:t>עתרה לבית המשפט שלא למצות את הדין עם הנאשם. זו הדגישה בפתח טיעוניה כי בהתאם להסדר הטיעון ולעובדות כתב האישום המתוקן, לנאשם אין כל קשר למותו של המנוח. לשיטתה נוסחו של כתב האישום מותיר פתח לכל תרחיש אפשרי לרבות תרחיש לפיו אדם הנמנה בכלל על חבורתו של המנוח היה זה שהביא למותו.</w:t>
      </w:r>
    </w:p>
    <w:p w14:paraId="60EBCC7B" w14:textId="77777777" w:rsidR="005052BD" w:rsidRPr="00402509" w:rsidRDefault="005052BD" w:rsidP="005052BD">
      <w:pPr>
        <w:spacing w:before="120" w:after="120" w:line="360" w:lineRule="auto"/>
        <w:jc w:val="both"/>
        <w:rPr>
          <w:rtl/>
        </w:rPr>
      </w:pPr>
      <w:r w:rsidRPr="00402509">
        <w:rPr>
          <w:rtl/>
        </w:rPr>
        <w:t xml:space="preserve">נטען כי מדובר בנאשם צעיר שעד לאירוע ניהל אורח חיים נורמטיבי. ביום האירוע הנאשם נסע ברכבו והמנוח היה זה שניגח את רכבו בזה של הנאשם. במקום התפתחה קטטה שכתוצאה ממנה נפצע הנאשם בראשו, דבר שהצריך טיפול רפואי. הנאשם אמנם עזב את המקום וחזר לאחר 4 דקות כשהוא מצויד באקדח, ברם לשיטתו של הסנגור, יציאתו של הנאשם מהרכב והירי לאוויר ולא לעבר המנוח, מלמדים על כך שלא היה עוד ברצונו לגרום למותו של המנוח. </w:t>
      </w:r>
    </w:p>
    <w:p w14:paraId="51107681" w14:textId="77777777" w:rsidR="005052BD" w:rsidRPr="00402509" w:rsidRDefault="005052BD" w:rsidP="005052BD">
      <w:pPr>
        <w:spacing w:before="120" w:after="120" w:line="360" w:lineRule="auto"/>
        <w:jc w:val="both"/>
        <w:rPr>
          <w:rtl/>
        </w:rPr>
      </w:pPr>
      <w:r w:rsidRPr="00402509">
        <w:rPr>
          <w:rtl/>
        </w:rPr>
        <w:t>הנאשם לקח אחריות מלאה למעשיו, השתתף בקבוצות טיפוליות במסגרת מעצרו ובהמשך השתלב בטיפול אחת לשבוע במרכז "בדידאאת". כמפורט בתסקיר, הנאשם בעל סיכוי רב להשתקם. מאפייניו והדרך הטיפולית אותה עבר הובילו את שירות המבחן לקבוע באופן חריג כי רמת הסיכון הנשקפת ממנו להישנות התנהגות אלימה הנה נמוכה. הנאשם היה "על גבול הקטינות" בעת ביצוע העבירות ומכאן שיש להמלצת התסקיר ולשיקולי השיקום משנה חשיבות.</w:t>
      </w:r>
    </w:p>
    <w:p w14:paraId="7F9F1B4F" w14:textId="77777777" w:rsidR="005052BD" w:rsidRPr="00402509" w:rsidRDefault="005052BD" w:rsidP="005052BD">
      <w:pPr>
        <w:spacing w:before="120" w:after="120" w:line="360" w:lineRule="auto"/>
        <w:jc w:val="both"/>
        <w:rPr>
          <w:rtl/>
        </w:rPr>
      </w:pPr>
      <w:r w:rsidRPr="00402509">
        <w:rPr>
          <w:rtl/>
        </w:rPr>
        <w:t xml:space="preserve">נטען כי העונש לו עותרת המאשימה אינו עומד בקנה אחד עם נסיבות ביצוע העבירה כמו גם עם הפסיקה עליה היא מסתמכת. הוטעם כי אין בנמצא פסקי דין העוסקים בעבירות של ניסיון רצח ללא נזק, למעט עבירות ביטחוניות שאין להקיש מהן למקרה הנדון. </w:t>
      </w:r>
    </w:p>
    <w:p w14:paraId="15E7ADD9" w14:textId="77777777" w:rsidR="005052BD" w:rsidRPr="00402509" w:rsidRDefault="005052BD" w:rsidP="005052BD">
      <w:pPr>
        <w:spacing w:before="120" w:after="120" w:line="360" w:lineRule="auto"/>
        <w:jc w:val="both"/>
        <w:rPr>
          <w:rtl/>
        </w:rPr>
      </w:pPr>
      <w:r w:rsidRPr="00402509">
        <w:rPr>
          <w:rtl/>
        </w:rPr>
        <w:t xml:space="preserve">בשל כל אלה, הסנגור עתר לבית המשפט להסתפק בתקופת מעצרו של הנאשם (המגיעה לכדי כשנתיים) ולהימנע מלשלוח אותו בחזרה מאחורי סורג ובריח. לשיטתו זהו העונש הראוי בנסיבות העניין. ביחס לפיצוי נטען כי שעה שמותו של המנוח לא מיוחס לנאשם, אין מקום כלל להשית פיצוי. חרף כך, ההגנה אינה מתנגדת לכך שיושת פיצוי סמלי. </w:t>
      </w:r>
    </w:p>
    <w:p w14:paraId="740512F4" w14:textId="77777777" w:rsidR="005052BD" w:rsidRPr="00402509" w:rsidRDefault="005052BD" w:rsidP="005052BD">
      <w:pPr>
        <w:spacing w:before="120" w:after="120" w:line="360" w:lineRule="auto"/>
        <w:jc w:val="both"/>
        <w:rPr>
          <w:rtl/>
        </w:rPr>
      </w:pPr>
      <w:r w:rsidRPr="00402509">
        <w:rPr>
          <w:u w:val="single"/>
          <w:rtl/>
        </w:rPr>
        <w:t>הנאשם</w:t>
      </w:r>
      <w:r w:rsidRPr="00402509">
        <w:rPr>
          <w:rtl/>
        </w:rPr>
        <w:t xml:space="preserve"> בדבריו האחרונים הביע צער על האירוע, "אני יודע שזה חמור מאוד". לדבריו, עבר טיפול תקופה ארוכה והוא משתקם. הוא מבקש את התחשבות בית המשפט.</w:t>
      </w:r>
    </w:p>
    <w:p w14:paraId="01B51288" w14:textId="77777777" w:rsidR="005052BD" w:rsidRPr="00402509" w:rsidRDefault="005052BD" w:rsidP="005052BD">
      <w:pPr>
        <w:spacing w:before="120" w:after="120" w:line="360" w:lineRule="auto"/>
        <w:jc w:val="both"/>
        <w:rPr>
          <w:rtl/>
        </w:rPr>
      </w:pPr>
    </w:p>
    <w:p w14:paraId="1A949080" w14:textId="77777777" w:rsidR="005052BD" w:rsidRPr="00402509" w:rsidRDefault="005052BD" w:rsidP="005052BD">
      <w:pPr>
        <w:spacing w:line="360" w:lineRule="auto"/>
        <w:jc w:val="center"/>
        <w:rPr>
          <w:rFonts w:ascii="David" w:hAnsi="David"/>
          <w:sz w:val="28"/>
          <w:szCs w:val="28"/>
        </w:rPr>
      </w:pPr>
      <w:r w:rsidRPr="00402509">
        <w:rPr>
          <w:rFonts w:ascii="David" w:hAnsi="David"/>
          <w:b/>
          <w:bCs/>
          <w:sz w:val="28"/>
          <w:szCs w:val="28"/>
          <w:u w:val="single"/>
          <w:rtl/>
        </w:rPr>
        <w:t>דיון והכרעה</w:t>
      </w:r>
      <w:r w:rsidRPr="00402509">
        <w:rPr>
          <w:rFonts w:ascii="David" w:hAnsi="David"/>
          <w:sz w:val="28"/>
          <w:szCs w:val="28"/>
          <w:rtl/>
        </w:rPr>
        <w:t>:</w:t>
      </w:r>
    </w:p>
    <w:p w14:paraId="50782E9B" w14:textId="77777777" w:rsidR="005052BD" w:rsidRPr="00402509" w:rsidRDefault="005052BD" w:rsidP="005052BD">
      <w:pPr>
        <w:spacing w:line="360" w:lineRule="auto"/>
        <w:jc w:val="both"/>
        <w:rPr>
          <w:rFonts w:ascii="Arial" w:hAnsi="Arial"/>
          <w:rtl/>
        </w:rPr>
      </w:pPr>
      <w:r w:rsidRPr="00402509">
        <w:rPr>
          <w:rFonts w:ascii="Arial" w:hAnsi="Arial"/>
          <w:rtl/>
        </w:rPr>
        <w:t xml:space="preserve">על פי </w:t>
      </w:r>
      <w:hyperlink r:id="rId21" w:history="1">
        <w:r w:rsidR="00B905CD" w:rsidRPr="00B905CD">
          <w:rPr>
            <w:rStyle w:val="Hyperlink"/>
            <w:rFonts w:ascii="Arial" w:hAnsi="Arial"/>
            <w:rtl/>
          </w:rPr>
          <w:t>סעיף 40ג(א)</w:t>
        </w:r>
      </w:hyperlink>
      <w:r w:rsidRPr="00402509">
        <w:rPr>
          <w:rFonts w:ascii="Arial" w:hAnsi="Arial"/>
          <w:rtl/>
        </w:rPr>
        <w:t xml:space="preserve"> ל</w:t>
      </w:r>
      <w:hyperlink r:id="rId22" w:history="1">
        <w:r w:rsidR="001610CC" w:rsidRPr="001610CC">
          <w:rPr>
            <w:rFonts w:ascii="Arial" w:hAnsi="Arial"/>
            <w:color w:val="0000FF"/>
            <w:u w:val="single"/>
            <w:rtl/>
          </w:rPr>
          <w:t>חוק העונשין</w:t>
        </w:r>
      </w:hyperlink>
      <w:r w:rsidRPr="00402509">
        <w:rPr>
          <w:rFonts w:ascii="Arial" w:hAnsi="Arial"/>
          <w:rtl/>
        </w:rPr>
        <w:t>, בקביעת מתחם העונש בהתאם לעקרון ההלימה, על בית המשפט להתחשב: "</w:t>
      </w:r>
      <w:r w:rsidRPr="00402509">
        <w:rPr>
          <w:rFonts w:ascii="Arial" w:hAnsi="Arial"/>
          <w:b/>
          <w:bCs/>
          <w:rtl/>
        </w:rPr>
        <w:t>בערך החברתי שנפגע מביצוע העבירה, במידת הפגיעה בו, במדיניות הענישה הנהוגה ובנסיבות הקשורות בביצוע העבירה</w:t>
      </w:r>
      <w:r w:rsidRPr="00402509">
        <w:rPr>
          <w:rFonts w:ascii="Arial" w:hAnsi="Arial"/>
          <w:rtl/>
        </w:rPr>
        <w:t>".</w:t>
      </w:r>
    </w:p>
    <w:p w14:paraId="2DA0D251" w14:textId="77777777" w:rsidR="005052BD" w:rsidRPr="00402509" w:rsidRDefault="005052BD" w:rsidP="005052BD">
      <w:pPr>
        <w:spacing w:before="120" w:after="120" w:line="360" w:lineRule="auto"/>
        <w:jc w:val="both"/>
        <w:rPr>
          <w:rFonts w:ascii="David" w:hAnsi="David"/>
        </w:rPr>
      </w:pPr>
      <w:r w:rsidRPr="00402509">
        <w:rPr>
          <w:rFonts w:ascii="David" w:hAnsi="David"/>
          <w:rtl/>
        </w:rPr>
        <w:t>הערכים החברתיים המוגנים אשר נפגעו כתוצאה ממעשיו של הנאשם בעבירה של</w:t>
      </w:r>
      <w:r w:rsidRPr="00402509">
        <w:rPr>
          <w:rFonts w:ascii="David" w:hAnsi="David"/>
          <w:b/>
          <w:bCs/>
          <w:rtl/>
        </w:rPr>
        <w:t xml:space="preserve"> ניסיון לרצח </w:t>
      </w:r>
      <w:r w:rsidRPr="00402509">
        <w:rPr>
          <w:rFonts w:ascii="David" w:hAnsi="David"/>
          <w:rtl/>
        </w:rPr>
        <w:t>הם קדושת החיים, שלמות הגוף והזכות לביטחון אישי.</w:t>
      </w:r>
      <w:r w:rsidRPr="00402509">
        <w:rPr>
          <w:rtl/>
        </w:rPr>
        <w:t xml:space="preserve"> </w:t>
      </w:r>
      <w:r w:rsidRPr="00402509">
        <w:rPr>
          <w:rFonts w:ascii="David" w:hAnsi="David"/>
          <w:rtl/>
        </w:rPr>
        <w:t>העבירה של ניסיון לרצח נמנית על החמורות שבקודקס הפלילי שעונש המקסימום לצדה עומד על 20 שנים מאסר בפועל. בכך חיווה דעתו המחוקק על החומרה הרבה הגלומה בעבירה זו. יפים לעניין זה דבריו של בית המשפט העליון ב</w:t>
      </w:r>
      <w:hyperlink r:id="rId23" w:history="1">
        <w:r w:rsidR="001610CC" w:rsidRPr="001610CC">
          <w:rPr>
            <w:rFonts w:ascii="David" w:hAnsi="David"/>
            <w:color w:val="0000FF"/>
            <w:u w:val="single"/>
            <w:rtl/>
          </w:rPr>
          <w:t>ע"פ 4372/13</w:t>
        </w:r>
      </w:hyperlink>
      <w:r w:rsidRPr="00402509">
        <w:rPr>
          <w:rFonts w:ascii="Calibri" w:hAnsi="Calibri"/>
          <w:rtl/>
        </w:rPr>
        <w:t xml:space="preserve"> </w:t>
      </w:r>
      <w:r w:rsidRPr="00402509">
        <w:rPr>
          <w:rFonts w:ascii="Calibri" w:hAnsi="Calibri" w:hint="eastAsia"/>
          <w:b/>
          <w:bCs/>
          <w:rtl/>
        </w:rPr>
        <w:t>סיסאי</w:t>
      </w:r>
      <w:r w:rsidRPr="00402509">
        <w:rPr>
          <w:rFonts w:ascii="Calibri" w:hAnsi="Calibri"/>
          <w:b/>
          <w:bCs/>
          <w:rtl/>
        </w:rPr>
        <w:t xml:space="preserve"> </w:t>
      </w:r>
      <w:r w:rsidRPr="00402509">
        <w:rPr>
          <w:rFonts w:ascii="Calibri" w:hAnsi="Calibri" w:hint="eastAsia"/>
          <w:b/>
          <w:bCs/>
          <w:rtl/>
        </w:rPr>
        <w:t>נ</w:t>
      </w:r>
      <w:r w:rsidRPr="00402509">
        <w:rPr>
          <w:rFonts w:ascii="Calibri" w:hAnsi="Calibri"/>
          <w:b/>
          <w:bCs/>
          <w:rtl/>
        </w:rPr>
        <w:t xml:space="preserve">' </w:t>
      </w:r>
      <w:r w:rsidRPr="00402509">
        <w:rPr>
          <w:rFonts w:ascii="Calibri" w:hAnsi="Calibri" w:hint="eastAsia"/>
          <w:b/>
          <w:bCs/>
          <w:rtl/>
        </w:rPr>
        <w:t>מדינת</w:t>
      </w:r>
      <w:r w:rsidRPr="00402509">
        <w:rPr>
          <w:rFonts w:ascii="Calibri" w:hAnsi="Calibri"/>
          <w:b/>
          <w:bCs/>
          <w:rtl/>
        </w:rPr>
        <w:t xml:space="preserve"> </w:t>
      </w:r>
      <w:r w:rsidRPr="00402509">
        <w:rPr>
          <w:rFonts w:ascii="Calibri" w:hAnsi="Calibri" w:hint="eastAsia"/>
          <w:b/>
          <w:bCs/>
          <w:rtl/>
        </w:rPr>
        <w:t>ישראל</w:t>
      </w:r>
      <w:r w:rsidRPr="00402509">
        <w:rPr>
          <w:rFonts w:ascii="Calibri" w:hAnsi="Calibri"/>
          <w:b/>
          <w:bCs/>
          <w:rtl/>
        </w:rPr>
        <w:t xml:space="preserve"> </w:t>
      </w:r>
      <w:r w:rsidRPr="00402509">
        <w:rPr>
          <w:rFonts w:ascii="Calibri" w:hAnsi="Calibri"/>
          <w:rtl/>
        </w:rPr>
        <w:t>[</w:t>
      </w:r>
      <w:r w:rsidRPr="00402509">
        <w:rPr>
          <w:rFonts w:ascii="Calibri" w:hAnsi="Calibri" w:hint="eastAsia"/>
          <w:rtl/>
        </w:rPr>
        <w:t>פסקה</w:t>
      </w:r>
      <w:r w:rsidRPr="00402509">
        <w:rPr>
          <w:rFonts w:ascii="Calibri" w:hAnsi="Calibri"/>
          <w:rtl/>
        </w:rPr>
        <w:t xml:space="preserve"> 18 </w:t>
      </w:r>
      <w:r w:rsidRPr="00402509">
        <w:rPr>
          <w:rFonts w:ascii="Calibri" w:hAnsi="Calibri" w:hint="eastAsia"/>
          <w:rtl/>
        </w:rPr>
        <w:t>לפסק</w:t>
      </w:r>
      <w:r w:rsidRPr="00402509">
        <w:rPr>
          <w:rFonts w:ascii="Calibri" w:hAnsi="Calibri"/>
          <w:rtl/>
        </w:rPr>
        <w:t xml:space="preserve"> </w:t>
      </w:r>
      <w:r w:rsidRPr="00402509">
        <w:rPr>
          <w:rFonts w:ascii="Calibri" w:hAnsi="Calibri" w:hint="eastAsia"/>
          <w:rtl/>
        </w:rPr>
        <w:t>דינו</w:t>
      </w:r>
      <w:r w:rsidRPr="00402509">
        <w:rPr>
          <w:rFonts w:ascii="Calibri" w:hAnsi="Calibri"/>
          <w:rtl/>
        </w:rPr>
        <w:t xml:space="preserve"> </w:t>
      </w:r>
      <w:r w:rsidRPr="00402509">
        <w:rPr>
          <w:rFonts w:ascii="Calibri" w:hAnsi="Calibri" w:hint="eastAsia"/>
          <w:rtl/>
        </w:rPr>
        <w:t>של</w:t>
      </w:r>
      <w:r w:rsidRPr="00402509">
        <w:rPr>
          <w:rFonts w:ascii="Calibri" w:hAnsi="Calibri"/>
          <w:rtl/>
        </w:rPr>
        <w:t xml:space="preserve"> </w:t>
      </w:r>
      <w:r w:rsidRPr="00402509">
        <w:rPr>
          <w:rFonts w:ascii="Calibri" w:hAnsi="Calibri" w:hint="eastAsia"/>
          <w:rtl/>
        </w:rPr>
        <w:t>כב</w:t>
      </w:r>
      <w:r w:rsidRPr="00402509">
        <w:rPr>
          <w:rFonts w:ascii="Calibri" w:hAnsi="Calibri"/>
          <w:rtl/>
        </w:rPr>
        <w:t xml:space="preserve">' </w:t>
      </w:r>
      <w:r w:rsidRPr="00402509">
        <w:rPr>
          <w:rFonts w:ascii="Calibri" w:hAnsi="Calibri" w:hint="eastAsia"/>
          <w:rtl/>
        </w:rPr>
        <w:t>הש</w:t>
      </w:r>
      <w:r w:rsidRPr="00402509">
        <w:rPr>
          <w:rFonts w:ascii="Calibri" w:hAnsi="Calibri"/>
          <w:rtl/>
        </w:rPr>
        <w:t xml:space="preserve">' </w:t>
      </w:r>
      <w:r w:rsidRPr="00402509">
        <w:rPr>
          <w:rFonts w:ascii="Calibri" w:hAnsi="Calibri" w:hint="eastAsia"/>
          <w:rtl/>
        </w:rPr>
        <w:t>שהם</w:t>
      </w:r>
      <w:r w:rsidRPr="00402509">
        <w:rPr>
          <w:rFonts w:ascii="Calibri" w:hAnsi="Calibri"/>
          <w:rtl/>
        </w:rPr>
        <w:t>](</w:t>
      </w:r>
      <w:r w:rsidRPr="00402509">
        <w:rPr>
          <w:rFonts w:ascii="Calibri" w:hAnsi="Calibri" w:hint="eastAsia"/>
          <w:rtl/>
        </w:rPr>
        <w:t>פורסם</w:t>
      </w:r>
      <w:r w:rsidRPr="00402509">
        <w:rPr>
          <w:rFonts w:ascii="Calibri" w:hAnsi="Calibri"/>
          <w:rtl/>
        </w:rPr>
        <w:t xml:space="preserve"> </w:t>
      </w:r>
      <w:r w:rsidRPr="00402509">
        <w:rPr>
          <w:rFonts w:ascii="Calibri" w:hAnsi="Calibri" w:hint="eastAsia"/>
          <w:rtl/>
        </w:rPr>
        <w:t>בנבו</w:t>
      </w:r>
      <w:r w:rsidRPr="00402509">
        <w:rPr>
          <w:rFonts w:ascii="Calibri" w:hAnsi="Calibri"/>
          <w:rtl/>
        </w:rPr>
        <w:t>, 6.8.14):</w:t>
      </w:r>
    </w:p>
    <w:p w14:paraId="0DB13762" w14:textId="77777777" w:rsidR="005052BD" w:rsidRPr="00402509" w:rsidRDefault="005052BD" w:rsidP="005052BD">
      <w:pPr>
        <w:shd w:val="clear" w:color="auto" w:fill="FFFFFF"/>
        <w:spacing w:before="120" w:after="120"/>
        <w:ind w:left="567" w:right="567"/>
        <w:jc w:val="both"/>
        <w:rPr>
          <w:rFonts w:ascii="David" w:hAnsi="David"/>
          <w:rtl/>
        </w:rPr>
      </w:pPr>
      <w:r w:rsidRPr="00402509">
        <w:rPr>
          <w:rFonts w:ascii="David" w:hAnsi="David"/>
          <w:b/>
          <w:bCs/>
          <w:rtl/>
        </w:rPr>
        <w:t>"העבירה שעניינה ניסיון לרצח היא מן החמורות שבספר החוקים, כאשר הערך המוגן בעבירה זו, הינו הערך העליון של קדושת חיי אדם. היסוד הנפשי והפוטנציאל לקיפוד חייו של אדם, הגלום בעבירה של ניסיון לרצח, ממחישים היטב את חומרתה של העבירה... אשר על כן, מדיניות הענישה בעבירה זו, מחייבת גישה מחמירה, באופן ההולם את חומרת הפגיעה בזולת ואת מעמדו של הערך המוגן. שיקולים של גמול והרתעה, מקבלים את משקל הבכורה, ומחייבים להשית על מי שהורשע בניסיון לרצח עונש מאסר לתקופה ממושכת, הנמדדת בשנים ארוכות..."</w:t>
      </w:r>
    </w:p>
    <w:p w14:paraId="62A668CA" w14:textId="77777777" w:rsidR="005052BD" w:rsidRPr="00402509" w:rsidRDefault="005052BD" w:rsidP="005052BD">
      <w:pPr>
        <w:shd w:val="clear" w:color="auto" w:fill="FFFFFF"/>
        <w:tabs>
          <w:tab w:val="left" w:pos="8505"/>
        </w:tabs>
        <w:spacing w:before="120" w:after="120" w:line="360" w:lineRule="auto"/>
        <w:jc w:val="both"/>
        <w:rPr>
          <w:rFonts w:ascii="David" w:hAnsi="David"/>
          <w:rtl/>
        </w:rPr>
      </w:pPr>
      <w:r w:rsidRPr="00402509">
        <w:rPr>
          <w:rFonts w:ascii="David" w:hAnsi="David"/>
          <w:rtl/>
        </w:rPr>
        <w:t xml:space="preserve">הערכים המוגנים שנפגעו ממעשיו של הנאשם בעבירות הנשק ובירי מנשק חם באופן שיש בו לסכן חיי אדם הם בראש ובראשונה הגנה על שלום הציבור וביטחונו. עוד יש במעשים אלו פגיעה בשלטון החוק. בית המשפט העליון עמד בשורה ארוכה של פסקי דין על חומרתן הרבה של עבירות הנשק. ר' לעניין זה </w:t>
      </w:r>
      <w:hyperlink r:id="rId24" w:history="1">
        <w:r w:rsidR="001610CC" w:rsidRPr="001610CC">
          <w:rPr>
            <w:rFonts w:ascii="David" w:hAnsi="David"/>
            <w:color w:val="0000FF"/>
            <w:u w:val="single"/>
            <w:rtl/>
          </w:rPr>
          <w:t>ע"פ 4406/19</w:t>
        </w:r>
      </w:hyperlink>
      <w:r w:rsidRPr="00402509">
        <w:rPr>
          <w:rFonts w:ascii="David" w:hAnsi="David"/>
          <w:rtl/>
        </w:rPr>
        <w:t xml:space="preserve"> </w:t>
      </w:r>
      <w:r w:rsidRPr="00402509">
        <w:rPr>
          <w:rFonts w:ascii="David" w:hAnsi="David"/>
          <w:b/>
          <w:bCs/>
          <w:rtl/>
        </w:rPr>
        <w:t>מדינת ישראל נ' יונס סובח</w:t>
      </w:r>
      <w:r w:rsidRPr="00402509">
        <w:rPr>
          <w:rFonts w:ascii="David" w:hAnsi="David"/>
          <w:rtl/>
        </w:rPr>
        <w:t xml:space="preserve"> [פסקה 17-16 לפסק דינו של כב' הש' אלרון] (פורסם באר"ש, 5.11.19)</w:t>
      </w:r>
      <w:r w:rsidRPr="00402509">
        <w:rPr>
          <w:rFonts w:ascii="David" w:hAnsi="David"/>
        </w:rPr>
        <w:t>:</w:t>
      </w:r>
    </w:p>
    <w:p w14:paraId="250F0472" w14:textId="77777777" w:rsidR="005052BD" w:rsidRPr="00402509" w:rsidRDefault="005052BD" w:rsidP="005052BD">
      <w:pPr>
        <w:spacing w:after="160" w:line="259" w:lineRule="auto"/>
        <w:ind w:left="567" w:right="567"/>
        <w:jc w:val="both"/>
        <w:rPr>
          <w:rFonts w:ascii="David" w:hAnsi="David"/>
          <w:rtl/>
        </w:rPr>
      </w:pPr>
      <w:r w:rsidRPr="00402509">
        <w:rPr>
          <w:rFonts w:ascii="David" w:hAnsi="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 על רקע המציאות אותה אנו חווים למרבה הצער מדי יום, אנו עדים לקריאה ציבורית נרגשת להגברת האכיפה כלפי עבירות נשק – ולהחמרה במדיניות הענישה הנוהגת. בית משפט זה לא נותר אדיש למול השימוש הגובר בנשק חם, והדגיש לא אחת את הצורך בענישה מחמירה ומרתיעה כלפי השימוש בו לשם פתרון סכסוכים... "</w:t>
      </w:r>
    </w:p>
    <w:p w14:paraId="4C2A54F1" w14:textId="77777777" w:rsidR="005052BD" w:rsidRPr="00402509" w:rsidRDefault="005052BD" w:rsidP="005052BD">
      <w:pPr>
        <w:shd w:val="clear" w:color="auto" w:fill="FFFFFF"/>
        <w:tabs>
          <w:tab w:val="left" w:pos="8505"/>
        </w:tabs>
        <w:spacing w:before="120" w:after="120" w:line="360" w:lineRule="auto"/>
        <w:jc w:val="both"/>
        <w:rPr>
          <w:rFonts w:ascii="David" w:hAnsi="David"/>
          <w:rtl/>
        </w:rPr>
      </w:pPr>
      <w:r w:rsidRPr="00402509">
        <w:rPr>
          <w:rFonts w:ascii="David" w:hAnsi="David"/>
          <w:rtl/>
        </w:rPr>
        <w:t xml:space="preserve">המחוקק קבע לצדה של עבירת נשיאת הנשק שלא כדין עונש מרבי של 10 שנים מאסר בפועל ולעבירה של ירי מנשק חם באופן שיש בו לסכן חיי אדם עונש מרבי של 5 שנות מאסר בפועל. לאחרונה חוקק </w:t>
      </w:r>
      <w:hyperlink r:id="rId25" w:history="1">
        <w:r w:rsidR="00B905CD" w:rsidRPr="00B905CD">
          <w:rPr>
            <w:rStyle w:val="Hyperlink"/>
            <w:rFonts w:ascii="David" w:hAnsi="David"/>
            <w:rtl/>
          </w:rPr>
          <w:t>סעיף 144(ז)</w:t>
        </w:r>
      </w:hyperlink>
      <w:r w:rsidRPr="00402509">
        <w:rPr>
          <w:rFonts w:ascii="David" w:hAnsi="David"/>
          <w:rtl/>
        </w:rPr>
        <w:t xml:space="preserve"> לחוק (עבירות בנשק), במסגרת תיקון מס' 140 (ר' </w:t>
      </w:r>
      <w:hyperlink r:id="rId26" w:history="1">
        <w:r w:rsidR="001610CC" w:rsidRPr="001610CC">
          <w:rPr>
            <w:rFonts w:ascii="David" w:hAnsi="David"/>
            <w:color w:val="0000FF"/>
            <w:u w:val="single"/>
            <w:rtl/>
          </w:rPr>
          <w:t>חוק העונשין</w:t>
        </w:r>
      </w:hyperlink>
      <w:r w:rsidRPr="00402509">
        <w:rPr>
          <w:rFonts w:ascii="David" w:hAnsi="David"/>
          <w:rtl/>
        </w:rPr>
        <w:t xml:space="preserve"> (תיקון מס' 140 – הוראת שעה), התשפ"ב-2021, ס"ח 2938), הקובע: </w:t>
      </w:r>
      <w:r w:rsidRPr="00402509">
        <w:rPr>
          <w:rFonts w:ascii="David" w:hAnsi="David"/>
          <w:b/>
          <w:bCs/>
          <w:rtl/>
        </w:rPr>
        <w:t xml:space="preserve">"הורשע אדם בעבירה לפי סעיף קטן (א) רישה, (ב) רישה, (ב2) או (ב3) רישה, 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 </w:t>
      </w:r>
      <w:r w:rsidRPr="00402509">
        <w:rPr>
          <w:rFonts w:ascii="David" w:hAnsi="David"/>
          <w:rtl/>
        </w:rPr>
        <w:t xml:space="preserve">אמנם התיקון לחוק לא חל בענייננו, אף שכך, יש לראות בו ביטוי נוסף לחומרה בה רואה המחוקק עבירות שכאלה כמו גם למגמת החמרת הענישה בעבירות נשק. </w:t>
      </w:r>
    </w:p>
    <w:p w14:paraId="0F097EFD" w14:textId="77777777" w:rsidR="005052BD" w:rsidRPr="00402509" w:rsidRDefault="005052BD" w:rsidP="005052BD">
      <w:pPr>
        <w:spacing w:before="120" w:after="120" w:line="360" w:lineRule="auto"/>
        <w:jc w:val="both"/>
        <w:rPr>
          <w:rtl/>
        </w:rPr>
      </w:pPr>
      <w:r w:rsidRPr="00402509">
        <w:rPr>
          <w:rtl/>
        </w:rPr>
        <w:t xml:space="preserve">על היחס בין עונשי המקסימום ואופן גזירת עונשו של נאשם ראה </w:t>
      </w:r>
      <w:hyperlink r:id="rId27" w:history="1">
        <w:r w:rsidR="001610CC" w:rsidRPr="001610CC">
          <w:rPr>
            <w:color w:val="0000FF"/>
            <w:u w:val="single"/>
            <w:rtl/>
          </w:rPr>
          <w:t>ע"פ 2352/19</w:t>
        </w:r>
      </w:hyperlink>
      <w:r w:rsidRPr="00402509">
        <w:rPr>
          <w:rtl/>
        </w:rPr>
        <w:t xml:space="preserve"> </w:t>
      </w:r>
      <w:r w:rsidRPr="00402509">
        <w:rPr>
          <w:b/>
          <w:bCs/>
          <w:rtl/>
        </w:rPr>
        <w:t>אלדר דנילוב נ' מדינת ישראל</w:t>
      </w:r>
      <w:r w:rsidRPr="00402509">
        <w:rPr>
          <w:rtl/>
        </w:rPr>
        <w:t xml:space="preserve"> [פסקה 11 לפסק דינו של כב' הש' שטיין] (פורסם בנבו, 15.10.19): </w:t>
      </w:r>
      <w:r w:rsidRPr="00402509">
        <w:rPr>
          <w:b/>
          <w:bCs/>
          <w:rtl/>
        </w:rPr>
        <w:t>"כבר נזדמן לי להעיר ב</w:t>
      </w:r>
      <w:hyperlink r:id="rId28" w:history="1">
        <w:r w:rsidR="001610CC" w:rsidRPr="001610CC">
          <w:rPr>
            <w:b/>
            <w:bCs/>
            <w:color w:val="0000FF"/>
            <w:u w:val="single"/>
            <w:rtl/>
          </w:rPr>
          <w:t>ע"פ 4344/18</w:t>
        </w:r>
      </w:hyperlink>
      <w:r w:rsidRPr="00402509">
        <w:rPr>
          <w:b/>
          <w:bCs/>
          <w:rtl/>
        </w:rPr>
        <w:t xml:space="preserve"> גאבר נ' מדינת ישראל, פסקה 4 (‏16.8.2019) כי עונשי המקסימום הקבועים בצד עבירות אינם רק מגדירים את גבולה העליון של סמכות הענישה שבידי בתי המשפט, אלא גם מבטאים את עמדת המחוקק ביחס לחומרת העבירות. כפי שציינתי שם, בקבעו את עונשי מקסימום אלו המחוקק לא דיבר לריק – שומה עלינו להתאים את הענישה הנוהגת לעמדתו זו".</w:t>
      </w:r>
    </w:p>
    <w:p w14:paraId="7A5976CA" w14:textId="77777777" w:rsidR="005052BD" w:rsidRPr="00402509" w:rsidRDefault="005052BD" w:rsidP="005052BD">
      <w:pPr>
        <w:spacing w:before="120" w:after="120" w:line="360" w:lineRule="auto"/>
        <w:jc w:val="both"/>
        <w:rPr>
          <w:rtl/>
        </w:rPr>
      </w:pPr>
      <w:r w:rsidRPr="00402509">
        <w:rPr>
          <w:b/>
          <w:bCs/>
          <w:u w:val="single"/>
          <w:rtl/>
        </w:rPr>
        <w:t>פסיקה נוהגת</w:t>
      </w:r>
      <w:r w:rsidRPr="00402509">
        <w:rPr>
          <w:rtl/>
        </w:rPr>
        <w:t>:</w:t>
      </w:r>
    </w:p>
    <w:p w14:paraId="552F1D24" w14:textId="77777777" w:rsidR="005052BD" w:rsidRPr="00402509" w:rsidRDefault="005052BD" w:rsidP="005052BD">
      <w:pPr>
        <w:spacing w:before="120" w:after="120" w:line="360" w:lineRule="auto"/>
        <w:jc w:val="both"/>
        <w:rPr>
          <w:rtl/>
        </w:rPr>
      </w:pPr>
      <w:r w:rsidRPr="00402509">
        <w:rPr>
          <w:rtl/>
        </w:rPr>
        <w:t xml:space="preserve">בטרם תפורט הענישה הנוהגת יוער כי בדומה לעבירות רבות אחרות, גם בעבירות בהן הורשע הנאשם ניתן למצוא משרעת רחבה יחסית של עונשים. בעבירה של ניסיון רצח, בית המשפט שת ליבו, בין היתר, לפרמטרים הבאים: האם מדובר במעשה שקדמו לו תכנון ומחשבה או אירוע ספונטני; האם נעשה שימוש בנשק חם או קר; האם המעשים בוצעו בצוותא חדא; האם ננקטה אלימות ואם כן תוצאותיה; הרקע והמניע לביצוע המעשים; הסיבה בגינה לא הושלם מעשה הרצח; מאפייניו האישיים של הנאשם. עוד נעיר, כי הפסיקה הנוהגת מהווה אך פרמטר אחד שעל בית המשפט לקחתו בחשבון וכי אל לו לבית המשפט להיות כבול לרמת הענישה הנהוגה אם הוא סבור שיש מקום לשנותה, או מקום שבו נסיבותיו של התיק הנדון מצדיקות קביעתו של מתחם עונש שאינו עולה בהכרח בקנה אחד עם הענישה הנוהגת. אחר הקדמה זו, להלן פירוט הפסיקה הנוהגת.  </w:t>
      </w:r>
    </w:p>
    <w:p w14:paraId="0B7DCE5D" w14:textId="77777777" w:rsidR="005052BD" w:rsidRPr="00402509" w:rsidRDefault="005052BD" w:rsidP="005052BD">
      <w:pPr>
        <w:spacing w:before="120" w:after="120" w:line="360" w:lineRule="auto"/>
        <w:jc w:val="both"/>
        <w:rPr>
          <w:rFonts w:ascii="Calibri" w:hAnsi="Calibri" w:cs="Arial"/>
          <w:sz w:val="22"/>
          <w:szCs w:val="22"/>
          <w:rtl/>
        </w:rPr>
      </w:pPr>
      <w:r w:rsidRPr="00402509">
        <w:rPr>
          <w:u w:val="single"/>
          <w:rtl/>
        </w:rPr>
        <w:t>ב</w:t>
      </w:r>
      <w:hyperlink r:id="rId29" w:history="1">
        <w:r w:rsidR="001610CC" w:rsidRPr="001610CC">
          <w:rPr>
            <w:color w:val="0000FF"/>
            <w:u w:val="single"/>
            <w:rtl/>
          </w:rPr>
          <w:t>ע"פ 3030/15</w:t>
        </w:r>
      </w:hyperlink>
      <w:r w:rsidRPr="00402509">
        <w:rPr>
          <w:u w:val="single"/>
          <w:rtl/>
        </w:rPr>
        <w:t xml:space="preserve"> </w:t>
      </w:r>
      <w:r w:rsidRPr="00402509">
        <w:rPr>
          <w:b/>
          <w:bCs/>
          <w:u w:val="single"/>
          <w:rtl/>
        </w:rPr>
        <w:t>אחמד מוגרבי נ' מדינת ישראל</w:t>
      </w:r>
      <w:r w:rsidRPr="00402509">
        <w:rPr>
          <w:u w:val="single"/>
          <w:rtl/>
        </w:rPr>
        <w:t xml:space="preserve"> (פורסם בנבו, 19.4.16)</w:t>
      </w:r>
      <w:r w:rsidRPr="00402509">
        <w:rPr>
          <w:rtl/>
        </w:rPr>
        <w:t xml:space="preserve"> – נדחה ערעורו של העורר שהורשע בעבירות של ניסיון לרצח וחבלה במזיד ברכב ונגזרו </w:t>
      </w:r>
      <w:r w:rsidRPr="00402509">
        <w:rPr>
          <w:rFonts w:ascii="David" w:hAnsi="David"/>
          <w:rtl/>
        </w:rPr>
        <w:t>עליו 10 שנות מאסר. על פי המתואר, בעקבות סכסוך משפחות, עקף הג'יפ בו שהה המערער את רכבו של המתלונן ומהג'יפ ירדו המערער ושלושה מהאחרים – כאשר המערער אחז בידו אקדח, והאחרים החזיקו אלה וקופיץ. האחרים החלו להכות בשמשת הרכב, ואילו המערער ירה במתלונן מספר יריות מטווח קצר אשר פגעו בצד השמאלי של חזהו ובזרועו הימנית. המתלונן הצליח להימלט מהמקום ברכבו, ופינה עצמו לבית החולים. בגזירת עונשו של המערער התחשב בית המשפט המחוזי בפגיעה הפיזית הקלה שנגרמה למתלונן. בית המשפט העליון דחה את הערעור.</w:t>
      </w:r>
    </w:p>
    <w:p w14:paraId="746288EB" w14:textId="77777777" w:rsidR="005052BD" w:rsidRPr="00402509" w:rsidRDefault="005052BD" w:rsidP="005052BD">
      <w:pPr>
        <w:spacing w:before="120" w:after="120" w:line="360" w:lineRule="auto"/>
        <w:jc w:val="both"/>
        <w:rPr>
          <w:rtl/>
        </w:rPr>
      </w:pPr>
      <w:r w:rsidRPr="00402509">
        <w:rPr>
          <w:u w:val="single"/>
          <w:rtl/>
        </w:rPr>
        <w:t>ב</w:t>
      </w:r>
      <w:hyperlink r:id="rId30" w:history="1">
        <w:r w:rsidR="001610CC" w:rsidRPr="001610CC">
          <w:rPr>
            <w:color w:val="0000FF"/>
            <w:u w:val="single"/>
            <w:rtl/>
          </w:rPr>
          <w:t>ע"פ 7049/20</w:t>
        </w:r>
      </w:hyperlink>
      <w:r w:rsidRPr="00402509">
        <w:rPr>
          <w:u w:val="single"/>
          <w:rtl/>
        </w:rPr>
        <w:t xml:space="preserve"> </w:t>
      </w:r>
      <w:r w:rsidRPr="00402509">
        <w:rPr>
          <w:b/>
          <w:bCs/>
          <w:u w:val="single"/>
          <w:rtl/>
        </w:rPr>
        <w:t>חביב אלטורה נ' מדינת ישראל</w:t>
      </w:r>
      <w:r w:rsidRPr="00402509">
        <w:rPr>
          <w:u w:val="single"/>
          <w:rtl/>
        </w:rPr>
        <w:t xml:space="preserve"> (פורסם באר"ש, 26.6.22</w:t>
      </w:r>
      <w:r w:rsidRPr="00402509">
        <w:rPr>
          <w:rtl/>
        </w:rPr>
        <w:t>) – נדון עניינו של מי שהורשע, לאחר שמיעת ראיות בעבירות של ניסיון לרצח, נשיאת נשק או תחמושת וגניבה ונגזרו עליו 14 שנות מאסר ו-130,000 ₪ פיצוי למתלוננת. על פי המתואר, המתלוננת ביטלה את האירוסים למערער שהנו בן דודה. לאחר מספר שנים הנאשם ביקש לקיים עמה יחסי מין ובשל סירובה גמלה בלבו החלטה להמיתה. הציע למתלוננת לסייע לה כלכלית. המתלוננת הגיעה במונית למקום המפגש, המערער נטל מידיה את הטלפון הנייד שלה, ירה במתלוננת ופגע בלחיה ואצבע ידה. המתלוננת נפלה לרצפה מדממת, המערער התכופף לעברה, בחן את מצבה וברח מהמקום עם הטלפון הנייד שלה. המתלוננת ברחה בשארית כוחותיה מהמקום ופונתה לבית החולים.</w:t>
      </w:r>
      <w:r w:rsidRPr="00402509">
        <w:rPr>
          <w:rFonts w:ascii="Garamond" w:hAnsi="Garamond" w:cs="FrankRuehl"/>
          <w:spacing w:val="10"/>
          <w:szCs w:val="28"/>
          <w:rtl/>
        </w:rPr>
        <w:t xml:space="preserve"> </w:t>
      </w:r>
      <w:r w:rsidRPr="00402509">
        <w:rPr>
          <w:rtl/>
        </w:rPr>
        <w:t xml:space="preserve">בית המשפט העליון דחה את הערעור, תוך שציין </w:t>
      </w:r>
      <w:r w:rsidRPr="00402509">
        <w:rPr>
          <w:b/>
          <w:bCs/>
          <w:rtl/>
        </w:rPr>
        <w:t>"העונש שהוטל על המערער אינו חמור כלל ועיקר,  ובזהירות המתבקשת אעיר, כי לוּ היה מוגש ערעור על קולת עונשו – אני סבור כי דינו היה להתקבל</w:t>
      </w:r>
      <w:r w:rsidRPr="00402509">
        <w:rPr>
          <w:rtl/>
        </w:rPr>
        <w:t xml:space="preserve">" (פסקה 38 לפסק דינו של כב' הש' אלרון). </w:t>
      </w:r>
    </w:p>
    <w:p w14:paraId="032B95FD" w14:textId="77777777" w:rsidR="005052BD" w:rsidRPr="00402509" w:rsidRDefault="005052BD" w:rsidP="005052BD">
      <w:pPr>
        <w:spacing w:before="120" w:after="120" w:line="360" w:lineRule="auto"/>
        <w:jc w:val="both"/>
        <w:rPr>
          <w:rFonts w:ascii="David" w:hAnsi="David"/>
          <w:rtl/>
          <w:lang w:eastAsia="he-IL"/>
        </w:rPr>
      </w:pPr>
      <w:r w:rsidRPr="00402509">
        <w:rPr>
          <w:rFonts w:ascii="David" w:hAnsi="David"/>
          <w:u w:val="single"/>
          <w:rtl/>
          <w:lang w:eastAsia="he-IL"/>
        </w:rPr>
        <w:t>ב</w:t>
      </w:r>
      <w:hyperlink r:id="rId31" w:history="1">
        <w:r w:rsidR="001610CC" w:rsidRPr="001610CC">
          <w:rPr>
            <w:rFonts w:ascii="David" w:hAnsi="David"/>
            <w:color w:val="0000FF"/>
            <w:u w:val="single"/>
            <w:rtl/>
            <w:lang w:eastAsia="he-IL"/>
          </w:rPr>
          <w:t>ע"פ 9560/17</w:t>
        </w:r>
      </w:hyperlink>
      <w:r w:rsidRPr="00402509">
        <w:rPr>
          <w:rFonts w:ascii="David" w:hAnsi="David"/>
          <w:u w:val="single"/>
          <w:rtl/>
          <w:lang w:eastAsia="he-IL"/>
        </w:rPr>
        <w:t xml:space="preserve"> </w:t>
      </w:r>
      <w:r w:rsidRPr="00402509">
        <w:rPr>
          <w:rFonts w:ascii="David" w:hAnsi="David"/>
          <w:b/>
          <w:bCs/>
          <w:u w:val="single"/>
          <w:rtl/>
        </w:rPr>
        <w:t>בהאא עויסאת נ' מדינת ישראל</w:t>
      </w:r>
      <w:r w:rsidRPr="00402509">
        <w:rPr>
          <w:rFonts w:ascii="David" w:hAnsi="David"/>
          <w:u w:val="single"/>
          <w:rtl/>
        </w:rPr>
        <w:t xml:space="preserve"> (פורסם באר"ש, </w:t>
      </w:r>
      <w:r w:rsidRPr="00402509">
        <w:rPr>
          <w:rFonts w:ascii="David" w:hAnsi="David"/>
          <w:u w:val="single"/>
          <w:rtl/>
          <w:lang w:eastAsia="he-IL"/>
        </w:rPr>
        <w:t>21.5.20</w:t>
      </w:r>
      <w:r w:rsidRPr="00402509">
        <w:rPr>
          <w:rFonts w:ascii="David" w:hAnsi="David"/>
          <w:rtl/>
          <w:lang w:eastAsia="he-IL"/>
        </w:rPr>
        <w:t>) -  נדון ערעורו של תושב מזרח ירושלים שהורשע בעבירות של ניסיון לרצח והחזקת סכין לאחר שהגיע לשכונה הסמוכה לאזור מגוריו מצויד בסכין מטבח ותר אחר קרבן יהודי. לבקשת שוטר שהוזעק למקום הרים</w:t>
      </w:r>
      <w:r w:rsidRPr="00402509">
        <w:rPr>
          <w:rFonts w:ascii="David" w:hAnsi="David"/>
          <w:rtl/>
        </w:rPr>
        <w:t xml:space="preserve"> המערער את ידו השמאלית, ואילו את ידו הימנית הצמיד אל הגדר שלצדו. בשלב זה, ביקש המערער להרים את ידו על מנת לפגוע בשוטר שעמד מולו, אך בטרם הספיק לעשות זאת, הבחינו השוטרים בלהב הסכין המבצבצת משרוולו והשתלטו עליו.</w:t>
      </w:r>
      <w:r w:rsidRPr="00402509">
        <w:rPr>
          <w:rFonts w:ascii="David" w:hAnsi="David"/>
          <w:rtl/>
          <w:lang w:eastAsia="he-IL"/>
        </w:rPr>
        <w:t xml:space="preserve"> בית המשפט המחוזי גזר על המערער 16 שנות מאסר. בית המשפט העליון קיבל את הערעור על חומרת העונש והעמיד את עונשו על 14 שנות מאסר בפועל זאת בשל כך שהעונש שנגזר עליו תואם מקרים חמורים יותר בהם נפגעה בפועל שלמות גופו של אדם וכן נוכח העדר עבר פלילי ונסיבותיו האישיות. יובהר כי אירוע זה התרחש טרם כניסתו לתוקף של חוק המאבק בטרור שהחמיר את הענישה בגין מעשה טרור של ניסיון לרצח.</w:t>
      </w:r>
    </w:p>
    <w:p w14:paraId="3A25ACB4" w14:textId="77777777" w:rsidR="005052BD" w:rsidRPr="00402509" w:rsidRDefault="005052BD" w:rsidP="005052BD">
      <w:pPr>
        <w:spacing w:before="120" w:after="120" w:line="360" w:lineRule="auto"/>
        <w:jc w:val="both"/>
        <w:rPr>
          <w:rFonts w:ascii="David" w:hAnsi="David"/>
          <w:rtl/>
        </w:rPr>
      </w:pPr>
      <w:r w:rsidRPr="00402509">
        <w:rPr>
          <w:rFonts w:ascii="David" w:hAnsi="David"/>
          <w:u w:val="single"/>
          <w:rtl/>
        </w:rPr>
        <w:t>ב</w:t>
      </w:r>
      <w:hyperlink r:id="rId32" w:history="1">
        <w:r w:rsidR="001610CC" w:rsidRPr="001610CC">
          <w:rPr>
            <w:rFonts w:ascii="David" w:hAnsi="David"/>
            <w:color w:val="0000FF"/>
            <w:u w:val="single"/>
            <w:rtl/>
          </w:rPr>
          <w:t>ע"פ 8309/03</w:t>
        </w:r>
      </w:hyperlink>
      <w:r w:rsidRPr="00402509">
        <w:rPr>
          <w:rFonts w:ascii="David" w:hAnsi="David"/>
          <w:u w:val="single"/>
          <w:rtl/>
        </w:rPr>
        <w:t xml:space="preserve"> </w:t>
      </w:r>
      <w:r w:rsidRPr="00402509">
        <w:rPr>
          <w:rFonts w:ascii="David" w:hAnsi="David"/>
          <w:b/>
          <w:bCs/>
          <w:u w:val="single"/>
          <w:rtl/>
        </w:rPr>
        <w:t>מייק מויאל נ' מדינת ישראל</w:t>
      </w:r>
      <w:r w:rsidRPr="00402509">
        <w:rPr>
          <w:rFonts w:ascii="David" w:hAnsi="David"/>
          <w:u w:val="single"/>
          <w:rtl/>
        </w:rPr>
        <w:t xml:space="preserve"> (פורסם בנבו, 3.1.05</w:t>
      </w:r>
      <w:r w:rsidRPr="00402509">
        <w:rPr>
          <w:rFonts w:ascii="David" w:hAnsi="David"/>
          <w:rtl/>
        </w:rPr>
        <w:t>) - נדון ערעורו של המערער על הרשעתו בשני אישומים, ביחס לאישום הראשון הערעור התקבל והמערער הורשע בעבירת האיומים. עניינו של האישום השני בעבירות של ניסיון לרצח, תקיפת שוטרים בנסיבות מחמירות והפרעה לשוטר. על פי המתואר בעת ניסיון לעצרו דרך וכיוון המערער אקדח לעבר שוטר ולאחר שהשוטרים קפצו עליו לחץ על ההדק אך לא נורתה ירייה. בית המשפט העליון הפחית את עונשו מעשר שנות מאסר בפועל לשמונה שנים מאסר בפועל זאת עשה תוך התחשבות בנסיבותיו האישיות הקשות, בכללן הנזק המוחי ממנו סובל ומצבו הנפשי.</w:t>
      </w:r>
    </w:p>
    <w:p w14:paraId="525F4C29"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ביחס לעבירת נשיאת הנשק וירי מנשק חם:</w:t>
      </w:r>
    </w:p>
    <w:p w14:paraId="2CF9986A" w14:textId="77777777" w:rsidR="005052BD" w:rsidRPr="00402509" w:rsidRDefault="005052BD" w:rsidP="005052BD">
      <w:pPr>
        <w:spacing w:before="120" w:after="120" w:line="360" w:lineRule="auto"/>
        <w:jc w:val="both"/>
        <w:rPr>
          <w:rFonts w:ascii="David" w:hAnsi="David"/>
          <w:rtl/>
        </w:rPr>
      </w:pPr>
      <w:r w:rsidRPr="00402509">
        <w:rPr>
          <w:rFonts w:ascii="David" w:hAnsi="David"/>
          <w:u w:val="single"/>
          <w:rtl/>
        </w:rPr>
        <w:t>ב</w:t>
      </w:r>
      <w:hyperlink r:id="rId33" w:history="1">
        <w:r w:rsidR="001610CC" w:rsidRPr="001610CC">
          <w:rPr>
            <w:rFonts w:ascii="David" w:hAnsi="David"/>
            <w:color w:val="0000FF"/>
            <w:u w:val="single"/>
            <w:rtl/>
          </w:rPr>
          <w:t>ע"פ 1509/20</w:t>
        </w:r>
      </w:hyperlink>
      <w:r w:rsidRPr="00402509">
        <w:rPr>
          <w:rFonts w:ascii="David" w:hAnsi="David"/>
          <w:u w:val="single"/>
          <w:rtl/>
        </w:rPr>
        <w:t xml:space="preserve"> </w:t>
      </w:r>
      <w:r w:rsidRPr="00402509">
        <w:rPr>
          <w:rFonts w:ascii="David" w:hAnsi="David"/>
          <w:b/>
          <w:bCs/>
          <w:u w:val="single"/>
          <w:rtl/>
        </w:rPr>
        <w:t>מדינת ישראל נ' ראפאת נבארי</w:t>
      </w:r>
      <w:r w:rsidRPr="00402509">
        <w:rPr>
          <w:rFonts w:ascii="David" w:hAnsi="David"/>
          <w:u w:val="single"/>
          <w:rtl/>
        </w:rPr>
        <w:t xml:space="preserve"> (פורסם באר"ש, 2.7.20</w:t>
      </w:r>
      <w:r w:rsidRPr="00402509">
        <w:rPr>
          <w:rFonts w:ascii="David" w:hAnsi="David"/>
          <w:rtl/>
        </w:rPr>
        <w:t>) – הורשע המשיב על סמך הודאתו במסגרת הסדר טיעון בעבירות של נשיאה והובלה של נשק ובירי מנשק חם באזור מגורים ונגזרו עליו 27 חודשי מאסר בפועל. על פי המתואר, המשיב נהג ברכב כשברשותו תת מקלע מאולתר מסוג קרלו. הנשק היה דרוך ובו מחסנית טעונה בכדורים. מסיבה בלתי ידועה, המשיב ירה שני כדורים באזור מגורים ועזב את המקום ברכבו.  לאחר מכן,  עצר המשיב את רכבו בחניית עפר ויצא מהרכב כשברשותו הנשק. לאחר שהמשיב הבחין בשוטרים, אשר הגיעו למקום בעקבות דווח תושבים על אירוע הירי, השליך את הנשק מידיו ארצה ובהמשך נעצר על ידי השוטרים. בית המשפט העליון קיבל את ערעור המדינה והעמיד את עונשו של המשיב, בעל עבר פלילי, על 36 חודשי מאסר בפועל, תוך שקבע כי הרף התחתון של מתחם העונש ההולם צריך להיות גבוה משמעותית מ-20 חודשי מאסר.</w:t>
      </w:r>
    </w:p>
    <w:p w14:paraId="7E58D3F9" w14:textId="77777777" w:rsidR="005052BD" w:rsidRPr="00402509" w:rsidRDefault="005052BD" w:rsidP="005052BD">
      <w:pPr>
        <w:spacing w:line="360" w:lineRule="auto"/>
        <w:jc w:val="both"/>
        <w:rPr>
          <w:rFonts w:ascii="David" w:hAnsi="David"/>
        </w:rPr>
      </w:pPr>
      <w:r w:rsidRPr="00402509">
        <w:rPr>
          <w:rFonts w:ascii="Calibri" w:hAnsi="Calibri" w:hint="eastAsia"/>
          <w:u w:val="single"/>
          <w:rtl/>
        </w:rPr>
        <w:t>ב</w:t>
      </w:r>
      <w:hyperlink r:id="rId34" w:history="1">
        <w:r w:rsidR="001610CC" w:rsidRPr="001610CC">
          <w:rPr>
            <w:rFonts w:ascii="Calibri" w:hAnsi="Calibri" w:hint="eastAsia"/>
            <w:color w:val="0000FF"/>
            <w:u w:val="single"/>
            <w:rtl/>
          </w:rPr>
          <w:t>ע</w:t>
        </w:r>
        <w:r w:rsidR="001610CC" w:rsidRPr="001610CC">
          <w:rPr>
            <w:rFonts w:ascii="Calibri" w:hAnsi="Calibri"/>
            <w:color w:val="0000FF"/>
            <w:u w:val="single"/>
            <w:rtl/>
          </w:rPr>
          <w:t>"</w:t>
        </w:r>
        <w:r w:rsidR="001610CC" w:rsidRPr="001610CC">
          <w:rPr>
            <w:rFonts w:ascii="Calibri" w:hAnsi="Calibri" w:hint="eastAsia"/>
            <w:color w:val="0000FF"/>
            <w:u w:val="single"/>
            <w:rtl/>
          </w:rPr>
          <w:t>פ</w:t>
        </w:r>
        <w:r w:rsidR="001610CC" w:rsidRPr="001610CC">
          <w:rPr>
            <w:rFonts w:ascii="Calibri" w:hAnsi="Calibri"/>
            <w:color w:val="0000FF"/>
            <w:u w:val="single"/>
            <w:rtl/>
          </w:rPr>
          <w:t xml:space="preserve"> 6068/21</w:t>
        </w:r>
      </w:hyperlink>
      <w:r w:rsidRPr="00402509">
        <w:rPr>
          <w:rFonts w:ascii="Calibri" w:hAnsi="Calibri"/>
          <w:u w:val="single"/>
          <w:rtl/>
        </w:rPr>
        <w:t xml:space="preserve"> </w:t>
      </w:r>
      <w:r w:rsidRPr="00402509">
        <w:rPr>
          <w:rFonts w:ascii="Calibri" w:hAnsi="Calibri" w:hint="eastAsia"/>
          <w:b/>
          <w:bCs/>
          <w:u w:val="single"/>
          <w:rtl/>
        </w:rPr>
        <w:t>מדינת</w:t>
      </w:r>
      <w:r w:rsidRPr="00402509">
        <w:rPr>
          <w:rFonts w:ascii="Calibri" w:hAnsi="Calibri"/>
          <w:b/>
          <w:bCs/>
          <w:u w:val="single"/>
          <w:rtl/>
        </w:rPr>
        <w:t xml:space="preserve"> </w:t>
      </w:r>
      <w:r w:rsidRPr="00402509">
        <w:rPr>
          <w:rFonts w:ascii="Calibri" w:hAnsi="Calibri" w:hint="eastAsia"/>
          <w:b/>
          <w:bCs/>
          <w:u w:val="single"/>
          <w:rtl/>
        </w:rPr>
        <w:t>ישראל</w:t>
      </w:r>
      <w:r w:rsidRPr="00402509">
        <w:rPr>
          <w:rFonts w:ascii="Calibri" w:hAnsi="Calibri"/>
          <w:b/>
          <w:bCs/>
          <w:u w:val="single"/>
          <w:rtl/>
        </w:rPr>
        <w:t xml:space="preserve"> </w:t>
      </w:r>
      <w:r w:rsidRPr="00402509">
        <w:rPr>
          <w:rFonts w:ascii="Calibri" w:hAnsi="Calibri" w:hint="eastAsia"/>
          <w:b/>
          <w:bCs/>
          <w:u w:val="single"/>
          <w:rtl/>
        </w:rPr>
        <w:t>נ</w:t>
      </w:r>
      <w:r w:rsidRPr="00402509">
        <w:rPr>
          <w:rFonts w:ascii="Calibri" w:hAnsi="Calibri"/>
          <w:b/>
          <w:bCs/>
          <w:u w:val="single"/>
          <w:rtl/>
        </w:rPr>
        <w:t xml:space="preserve">' </w:t>
      </w:r>
      <w:r w:rsidRPr="00402509">
        <w:rPr>
          <w:rFonts w:ascii="Calibri" w:hAnsi="Calibri" w:hint="eastAsia"/>
          <w:b/>
          <w:bCs/>
          <w:u w:val="single"/>
          <w:rtl/>
        </w:rPr>
        <w:t>אברהים</w:t>
      </w:r>
      <w:r w:rsidRPr="00402509">
        <w:rPr>
          <w:rFonts w:ascii="Calibri" w:hAnsi="Calibri"/>
          <w:b/>
          <w:bCs/>
          <w:u w:val="single"/>
          <w:rtl/>
        </w:rPr>
        <w:t xml:space="preserve"> </w:t>
      </w:r>
      <w:r w:rsidRPr="00402509">
        <w:rPr>
          <w:rFonts w:ascii="Calibri" w:hAnsi="Calibri" w:hint="eastAsia"/>
          <w:b/>
          <w:bCs/>
          <w:u w:val="single"/>
          <w:rtl/>
        </w:rPr>
        <w:t>פקיה</w:t>
      </w:r>
      <w:r w:rsidRPr="00402509">
        <w:rPr>
          <w:rFonts w:ascii="Calibri" w:hAnsi="Calibri"/>
          <w:u w:val="single"/>
          <w:rtl/>
        </w:rPr>
        <w:t xml:space="preserve"> (</w:t>
      </w:r>
      <w:r w:rsidRPr="00402509">
        <w:rPr>
          <w:rFonts w:ascii="Calibri" w:hAnsi="Calibri" w:hint="eastAsia"/>
          <w:u w:val="single"/>
          <w:rtl/>
        </w:rPr>
        <w:t>פורסם</w:t>
      </w:r>
      <w:r w:rsidRPr="00402509">
        <w:rPr>
          <w:rFonts w:ascii="Calibri" w:hAnsi="Calibri"/>
          <w:u w:val="single"/>
          <w:rtl/>
        </w:rPr>
        <w:t xml:space="preserve"> </w:t>
      </w:r>
      <w:r w:rsidRPr="00402509">
        <w:rPr>
          <w:rFonts w:ascii="Calibri" w:hAnsi="Calibri" w:hint="eastAsia"/>
          <w:u w:val="single"/>
          <w:rtl/>
        </w:rPr>
        <w:t>באר</w:t>
      </w:r>
      <w:r w:rsidRPr="00402509">
        <w:rPr>
          <w:rFonts w:ascii="Calibri" w:hAnsi="Calibri"/>
          <w:u w:val="single"/>
          <w:rtl/>
        </w:rPr>
        <w:t>"</w:t>
      </w:r>
      <w:r w:rsidRPr="00402509">
        <w:rPr>
          <w:rFonts w:ascii="Calibri" w:hAnsi="Calibri" w:hint="eastAsia"/>
          <w:u w:val="single"/>
          <w:rtl/>
        </w:rPr>
        <w:t>ש</w:t>
      </w:r>
      <w:r w:rsidRPr="00402509">
        <w:rPr>
          <w:rFonts w:ascii="Calibri" w:hAnsi="Calibri"/>
          <w:u w:val="single"/>
          <w:rtl/>
        </w:rPr>
        <w:t>, 19.12.21)</w:t>
      </w:r>
      <w:r w:rsidRPr="00402509">
        <w:rPr>
          <w:rFonts w:ascii="Calibri" w:hAnsi="Calibri"/>
          <w:rtl/>
        </w:rPr>
        <w:t xml:space="preserve"> – </w:t>
      </w:r>
      <w:r w:rsidRPr="00402509">
        <w:rPr>
          <w:rFonts w:ascii="Calibri" w:hAnsi="Calibri" w:hint="eastAsia"/>
          <w:rtl/>
        </w:rPr>
        <w:t>הורשע</w:t>
      </w:r>
      <w:r w:rsidRPr="00402509">
        <w:rPr>
          <w:rFonts w:ascii="Calibri" w:hAnsi="Calibri"/>
          <w:rtl/>
        </w:rPr>
        <w:t xml:space="preserve"> </w:t>
      </w:r>
      <w:r w:rsidRPr="00402509">
        <w:rPr>
          <w:rFonts w:ascii="Calibri" w:hAnsi="Calibri" w:hint="eastAsia"/>
          <w:rtl/>
        </w:rPr>
        <w:t>המשיב</w:t>
      </w:r>
      <w:r w:rsidRPr="00402509">
        <w:rPr>
          <w:rFonts w:ascii="Calibri" w:hAnsi="Calibri"/>
          <w:rtl/>
        </w:rPr>
        <w:t xml:space="preserve"> </w:t>
      </w:r>
      <w:r w:rsidRPr="00402509">
        <w:rPr>
          <w:rFonts w:ascii="Calibri" w:hAnsi="Calibri" w:hint="eastAsia"/>
          <w:rtl/>
        </w:rPr>
        <w:t>על</w:t>
      </w:r>
      <w:r w:rsidRPr="00402509">
        <w:rPr>
          <w:rFonts w:ascii="Calibri" w:hAnsi="Calibri"/>
          <w:rtl/>
        </w:rPr>
        <w:t xml:space="preserve"> </w:t>
      </w:r>
      <w:r w:rsidRPr="00402509">
        <w:rPr>
          <w:rFonts w:ascii="Calibri" w:hAnsi="Calibri" w:hint="eastAsia"/>
          <w:rtl/>
        </w:rPr>
        <w:t>פי</w:t>
      </w:r>
      <w:r w:rsidRPr="00402509">
        <w:rPr>
          <w:rFonts w:ascii="Calibri" w:hAnsi="Calibri"/>
          <w:rtl/>
        </w:rPr>
        <w:t xml:space="preserve"> </w:t>
      </w:r>
      <w:r w:rsidRPr="00402509">
        <w:rPr>
          <w:rFonts w:ascii="Calibri" w:hAnsi="Calibri" w:hint="eastAsia"/>
          <w:rtl/>
        </w:rPr>
        <w:t>הודאתו</w:t>
      </w:r>
      <w:r w:rsidRPr="00402509">
        <w:rPr>
          <w:rFonts w:ascii="Calibri" w:hAnsi="Calibri"/>
          <w:rtl/>
        </w:rPr>
        <w:t xml:space="preserve"> </w:t>
      </w:r>
      <w:r w:rsidRPr="00402509">
        <w:rPr>
          <w:rFonts w:ascii="Calibri" w:hAnsi="Calibri" w:hint="eastAsia"/>
          <w:rtl/>
        </w:rPr>
        <w:t>במסגרת</w:t>
      </w:r>
      <w:r w:rsidRPr="00402509">
        <w:rPr>
          <w:rFonts w:ascii="Calibri" w:hAnsi="Calibri"/>
          <w:rtl/>
        </w:rPr>
        <w:t xml:space="preserve"> </w:t>
      </w:r>
      <w:r w:rsidRPr="00402509">
        <w:rPr>
          <w:rFonts w:ascii="Calibri" w:hAnsi="Calibri" w:hint="eastAsia"/>
          <w:rtl/>
        </w:rPr>
        <w:t>הסדר</w:t>
      </w:r>
      <w:r w:rsidRPr="00402509">
        <w:rPr>
          <w:rFonts w:ascii="Calibri" w:hAnsi="Calibri"/>
          <w:rtl/>
        </w:rPr>
        <w:t xml:space="preserve"> </w:t>
      </w:r>
      <w:r w:rsidRPr="00402509">
        <w:rPr>
          <w:rFonts w:ascii="Calibri" w:hAnsi="Calibri" w:hint="eastAsia"/>
          <w:rtl/>
        </w:rPr>
        <w:t>טיעון</w:t>
      </w:r>
      <w:r w:rsidRPr="00402509">
        <w:rPr>
          <w:rFonts w:ascii="Calibri" w:hAnsi="Calibri"/>
          <w:rtl/>
        </w:rPr>
        <w:t xml:space="preserve"> </w:t>
      </w:r>
      <w:r w:rsidRPr="00402509">
        <w:rPr>
          <w:rFonts w:ascii="Calibri" w:hAnsi="Calibri" w:hint="eastAsia"/>
          <w:rtl/>
        </w:rPr>
        <w:t>בעבירות</w:t>
      </w:r>
      <w:r w:rsidRPr="00402509">
        <w:rPr>
          <w:rFonts w:ascii="Calibri" w:hAnsi="Calibri"/>
          <w:rtl/>
        </w:rPr>
        <w:t xml:space="preserve"> </w:t>
      </w:r>
      <w:r w:rsidRPr="00402509">
        <w:rPr>
          <w:rFonts w:ascii="Calibri" w:hAnsi="Calibri" w:hint="eastAsia"/>
          <w:rtl/>
        </w:rPr>
        <w:t>של</w:t>
      </w:r>
      <w:r w:rsidRPr="00402509">
        <w:rPr>
          <w:rFonts w:ascii="Calibri" w:hAnsi="Calibri"/>
          <w:rtl/>
        </w:rPr>
        <w:t xml:space="preserve"> </w:t>
      </w:r>
      <w:r w:rsidRPr="00402509">
        <w:rPr>
          <w:rFonts w:ascii="Calibri" w:hAnsi="Calibri" w:hint="eastAsia"/>
          <w:rtl/>
        </w:rPr>
        <w:t>נשיאת</w:t>
      </w:r>
      <w:r w:rsidRPr="00402509">
        <w:rPr>
          <w:rFonts w:ascii="Calibri" w:hAnsi="Calibri"/>
          <w:rtl/>
        </w:rPr>
        <w:t xml:space="preserve"> </w:t>
      </w:r>
      <w:r w:rsidRPr="00402509">
        <w:rPr>
          <w:rFonts w:ascii="Calibri" w:hAnsi="Calibri" w:hint="eastAsia"/>
          <w:rtl/>
        </w:rPr>
        <w:t>נשק</w:t>
      </w:r>
      <w:r w:rsidRPr="00402509">
        <w:rPr>
          <w:rFonts w:ascii="Calibri" w:hAnsi="Calibri"/>
          <w:rtl/>
        </w:rPr>
        <w:t xml:space="preserve"> </w:t>
      </w:r>
      <w:r w:rsidRPr="00402509">
        <w:rPr>
          <w:rFonts w:ascii="Calibri" w:hAnsi="Calibri" w:hint="eastAsia"/>
          <w:rtl/>
        </w:rPr>
        <w:t>וירי</w:t>
      </w:r>
      <w:r w:rsidRPr="00402509">
        <w:rPr>
          <w:rFonts w:ascii="Calibri" w:hAnsi="Calibri"/>
          <w:rtl/>
        </w:rPr>
        <w:t xml:space="preserve"> </w:t>
      </w:r>
      <w:r w:rsidRPr="00402509">
        <w:rPr>
          <w:rFonts w:ascii="Calibri" w:hAnsi="Calibri" w:hint="eastAsia"/>
          <w:rtl/>
        </w:rPr>
        <w:t>מנשק</w:t>
      </w:r>
      <w:r w:rsidRPr="00402509">
        <w:rPr>
          <w:rFonts w:ascii="Calibri" w:hAnsi="Calibri"/>
          <w:rtl/>
        </w:rPr>
        <w:t xml:space="preserve"> </w:t>
      </w:r>
      <w:r w:rsidRPr="00402509">
        <w:rPr>
          <w:rFonts w:ascii="Calibri" w:hAnsi="Calibri" w:hint="eastAsia"/>
          <w:rtl/>
        </w:rPr>
        <w:t>חם</w:t>
      </w:r>
      <w:r w:rsidRPr="00402509">
        <w:rPr>
          <w:rFonts w:ascii="Calibri" w:hAnsi="Calibri"/>
          <w:rtl/>
        </w:rPr>
        <w:t xml:space="preserve"> </w:t>
      </w:r>
      <w:r w:rsidRPr="00402509">
        <w:rPr>
          <w:rFonts w:ascii="Calibri" w:hAnsi="Calibri" w:hint="eastAsia"/>
          <w:rtl/>
        </w:rPr>
        <w:t>באזור</w:t>
      </w:r>
      <w:r w:rsidRPr="00402509">
        <w:rPr>
          <w:rFonts w:ascii="Calibri" w:hAnsi="Calibri"/>
          <w:rtl/>
        </w:rPr>
        <w:t xml:space="preserve"> </w:t>
      </w:r>
      <w:r w:rsidRPr="00402509">
        <w:rPr>
          <w:rFonts w:ascii="Calibri" w:hAnsi="Calibri" w:hint="eastAsia"/>
          <w:rtl/>
        </w:rPr>
        <w:t>מגורים</w:t>
      </w:r>
      <w:r w:rsidRPr="00402509">
        <w:rPr>
          <w:rFonts w:ascii="Calibri" w:hAnsi="Calibri"/>
          <w:rtl/>
        </w:rPr>
        <w:t xml:space="preserve"> </w:t>
      </w:r>
      <w:r w:rsidRPr="00402509">
        <w:rPr>
          <w:rFonts w:ascii="Calibri" w:hAnsi="Calibri" w:hint="eastAsia"/>
          <w:rtl/>
        </w:rPr>
        <w:t>ונגזרו</w:t>
      </w:r>
      <w:r w:rsidRPr="00402509">
        <w:rPr>
          <w:rFonts w:ascii="Calibri" w:hAnsi="Calibri"/>
          <w:rtl/>
        </w:rPr>
        <w:t xml:space="preserve"> </w:t>
      </w:r>
      <w:r w:rsidRPr="00402509">
        <w:rPr>
          <w:rFonts w:ascii="Calibri" w:hAnsi="Calibri" w:hint="eastAsia"/>
          <w:rtl/>
        </w:rPr>
        <w:t>עליו</w:t>
      </w:r>
      <w:r w:rsidRPr="00402509">
        <w:rPr>
          <w:rFonts w:ascii="Calibri" w:hAnsi="Calibri"/>
          <w:rtl/>
        </w:rPr>
        <w:t xml:space="preserve"> 14 </w:t>
      </w:r>
      <w:r w:rsidRPr="00402509">
        <w:rPr>
          <w:rFonts w:ascii="Calibri" w:hAnsi="Calibri" w:hint="eastAsia"/>
          <w:rtl/>
        </w:rPr>
        <w:t>חודשי</w:t>
      </w:r>
      <w:r w:rsidRPr="00402509">
        <w:rPr>
          <w:rFonts w:ascii="Calibri" w:hAnsi="Calibri"/>
          <w:rtl/>
        </w:rPr>
        <w:t xml:space="preserve"> </w:t>
      </w:r>
      <w:r w:rsidRPr="00402509">
        <w:rPr>
          <w:rFonts w:ascii="Calibri" w:hAnsi="Calibri" w:hint="eastAsia"/>
          <w:rtl/>
        </w:rPr>
        <w:t>מאסר</w:t>
      </w:r>
      <w:r w:rsidRPr="00402509">
        <w:rPr>
          <w:rFonts w:ascii="Calibri" w:hAnsi="Calibri"/>
          <w:rtl/>
        </w:rPr>
        <w:t xml:space="preserve"> </w:t>
      </w:r>
      <w:r w:rsidRPr="00402509">
        <w:rPr>
          <w:rFonts w:ascii="Calibri" w:hAnsi="Calibri" w:hint="eastAsia"/>
          <w:rtl/>
        </w:rPr>
        <w:t>בפועל</w:t>
      </w:r>
      <w:r w:rsidRPr="00402509">
        <w:rPr>
          <w:rFonts w:ascii="Calibri" w:hAnsi="Calibri"/>
          <w:rtl/>
        </w:rPr>
        <w:t xml:space="preserve">. </w:t>
      </w:r>
      <w:r w:rsidRPr="00402509">
        <w:rPr>
          <w:rFonts w:ascii="Calibri" w:hAnsi="Calibri" w:hint="eastAsia"/>
          <w:rtl/>
        </w:rPr>
        <w:t>על</w:t>
      </w:r>
      <w:r w:rsidRPr="00402509">
        <w:rPr>
          <w:rFonts w:ascii="Calibri" w:hAnsi="Calibri"/>
          <w:rtl/>
        </w:rPr>
        <w:t xml:space="preserve"> </w:t>
      </w:r>
      <w:r w:rsidRPr="00402509">
        <w:rPr>
          <w:rFonts w:ascii="Calibri" w:hAnsi="Calibri" w:hint="eastAsia"/>
          <w:rtl/>
        </w:rPr>
        <w:t>פי</w:t>
      </w:r>
      <w:r w:rsidRPr="00402509">
        <w:rPr>
          <w:rFonts w:ascii="Calibri" w:hAnsi="Calibri"/>
          <w:rtl/>
        </w:rPr>
        <w:t xml:space="preserve"> </w:t>
      </w:r>
      <w:r w:rsidRPr="00402509">
        <w:rPr>
          <w:rFonts w:ascii="Calibri" w:hAnsi="Calibri" w:hint="eastAsia"/>
          <w:rtl/>
        </w:rPr>
        <w:t>המתואר</w:t>
      </w:r>
      <w:r w:rsidRPr="00402509">
        <w:rPr>
          <w:rFonts w:ascii="Calibri" w:hAnsi="Calibri"/>
          <w:rtl/>
        </w:rPr>
        <w:t xml:space="preserve">, </w:t>
      </w:r>
      <w:r w:rsidRPr="00402509">
        <w:rPr>
          <w:rFonts w:ascii="Calibri" w:hAnsi="Calibri" w:hint="eastAsia"/>
          <w:rtl/>
        </w:rPr>
        <w:t>הגיע</w:t>
      </w:r>
      <w:r w:rsidRPr="00402509">
        <w:rPr>
          <w:rFonts w:ascii="Calibri" w:hAnsi="Calibri"/>
          <w:rtl/>
        </w:rPr>
        <w:t xml:space="preserve"> </w:t>
      </w:r>
      <w:r w:rsidRPr="00402509">
        <w:rPr>
          <w:rFonts w:ascii="Calibri" w:hAnsi="Calibri" w:hint="eastAsia"/>
          <w:rtl/>
        </w:rPr>
        <w:t>המשיב</w:t>
      </w:r>
      <w:r w:rsidRPr="00402509">
        <w:rPr>
          <w:rFonts w:ascii="Calibri" w:hAnsi="Calibri"/>
          <w:rtl/>
        </w:rPr>
        <w:t xml:space="preserve"> </w:t>
      </w:r>
      <w:r w:rsidRPr="00402509">
        <w:rPr>
          <w:rFonts w:ascii="Calibri" w:hAnsi="Calibri" w:hint="eastAsia"/>
          <w:rtl/>
        </w:rPr>
        <w:t>עם</w:t>
      </w:r>
      <w:r w:rsidRPr="00402509">
        <w:rPr>
          <w:rFonts w:ascii="Calibri" w:hAnsi="Calibri"/>
          <w:rtl/>
        </w:rPr>
        <w:t xml:space="preserve"> </w:t>
      </w:r>
      <w:r w:rsidRPr="00402509">
        <w:rPr>
          <w:rFonts w:ascii="Calibri" w:hAnsi="Calibri" w:hint="eastAsia"/>
          <w:rtl/>
        </w:rPr>
        <w:t>קטנוע</w:t>
      </w:r>
      <w:r w:rsidRPr="00402509">
        <w:rPr>
          <w:rFonts w:ascii="Calibri" w:hAnsi="Calibri"/>
          <w:rtl/>
        </w:rPr>
        <w:t xml:space="preserve"> </w:t>
      </w:r>
      <w:r w:rsidRPr="00402509">
        <w:rPr>
          <w:rFonts w:ascii="Calibri" w:hAnsi="Calibri" w:hint="eastAsia"/>
          <w:rtl/>
        </w:rPr>
        <w:t>סמוך</w:t>
      </w:r>
      <w:r w:rsidRPr="00402509">
        <w:rPr>
          <w:rFonts w:ascii="Calibri" w:hAnsi="Calibri"/>
          <w:rtl/>
        </w:rPr>
        <w:t xml:space="preserve"> </w:t>
      </w:r>
      <w:r w:rsidRPr="00402509">
        <w:rPr>
          <w:rFonts w:ascii="Calibri" w:hAnsi="Calibri" w:hint="eastAsia"/>
          <w:rtl/>
        </w:rPr>
        <w:t>לאולם</w:t>
      </w:r>
      <w:r w:rsidRPr="00402509">
        <w:rPr>
          <w:rFonts w:ascii="Calibri" w:hAnsi="Calibri"/>
          <w:rtl/>
        </w:rPr>
        <w:t xml:space="preserve"> </w:t>
      </w:r>
      <w:r w:rsidRPr="00402509">
        <w:rPr>
          <w:rFonts w:ascii="Calibri" w:hAnsi="Calibri" w:hint="eastAsia"/>
          <w:rtl/>
        </w:rPr>
        <w:t>אירועים</w:t>
      </w:r>
      <w:r w:rsidRPr="00402509">
        <w:rPr>
          <w:rFonts w:ascii="Calibri" w:hAnsi="Calibri"/>
          <w:rtl/>
        </w:rPr>
        <w:t xml:space="preserve"> </w:t>
      </w:r>
      <w:r w:rsidRPr="00402509">
        <w:rPr>
          <w:rFonts w:ascii="Calibri" w:hAnsi="Calibri" w:hint="eastAsia"/>
          <w:rtl/>
        </w:rPr>
        <w:t>כשהוא</w:t>
      </w:r>
      <w:r w:rsidRPr="00402509">
        <w:rPr>
          <w:rFonts w:ascii="Calibri" w:hAnsi="Calibri"/>
          <w:rtl/>
        </w:rPr>
        <w:t xml:space="preserve"> </w:t>
      </w:r>
      <w:r w:rsidRPr="00402509">
        <w:rPr>
          <w:rFonts w:ascii="Calibri" w:hAnsi="Calibri" w:hint="eastAsia"/>
          <w:rtl/>
        </w:rPr>
        <w:t>מחזיק</w:t>
      </w:r>
      <w:r w:rsidRPr="00402509">
        <w:rPr>
          <w:rFonts w:ascii="Calibri" w:hAnsi="Calibri"/>
          <w:rtl/>
        </w:rPr>
        <w:t xml:space="preserve"> </w:t>
      </w:r>
      <w:r w:rsidRPr="00402509">
        <w:rPr>
          <w:rFonts w:ascii="Calibri" w:hAnsi="Calibri" w:hint="eastAsia"/>
          <w:rtl/>
        </w:rPr>
        <w:t>בנשק</w:t>
      </w:r>
      <w:r w:rsidRPr="00402509">
        <w:rPr>
          <w:rFonts w:ascii="Calibri" w:hAnsi="Calibri"/>
          <w:rtl/>
        </w:rPr>
        <w:t xml:space="preserve"> </w:t>
      </w:r>
      <w:r w:rsidRPr="00402509">
        <w:rPr>
          <w:rFonts w:ascii="Calibri" w:hAnsi="Calibri" w:hint="eastAsia"/>
          <w:rtl/>
        </w:rPr>
        <w:t>שלא</w:t>
      </w:r>
      <w:r w:rsidRPr="00402509">
        <w:rPr>
          <w:rFonts w:ascii="Calibri" w:hAnsi="Calibri"/>
          <w:rtl/>
        </w:rPr>
        <w:t xml:space="preserve"> </w:t>
      </w:r>
      <w:r w:rsidRPr="00402509">
        <w:rPr>
          <w:rFonts w:ascii="Calibri" w:hAnsi="Calibri" w:hint="eastAsia"/>
          <w:rtl/>
        </w:rPr>
        <w:t>כדין</w:t>
      </w:r>
      <w:r w:rsidRPr="00402509">
        <w:rPr>
          <w:rFonts w:ascii="Calibri" w:hAnsi="Calibri"/>
          <w:rtl/>
        </w:rPr>
        <w:t xml:space="preserve">. </w:t>
      </w:r>
      <w:r w:rsidRPr="00402509">
        <w:rPr>
          <w:rFonts w:ascii="Calibri" w:hAnsi="Calibri" w:hint="eastAsia"/>
          <w:rtl/>
        </w:rPr>
        <w:t>בהמשך</w:t>
      </w:r>
      <w:r w:rsidRPr="00402509">
        <w:rPr>
          <w:rFonts w:ascii="Calibri" w:hAnsi="Calibri"/>
          <w:rtl/>
        </w:rPr>
        <w:t xml:space="preserve"> </w:t>
      </w:r>
      <w:r w:rsidRPr="00402509">
        <w:rPr>
          <w:rFonts w:ascii="Calibri" w:hAnsi="Calibri" w:hint="eastAsia"/>
          <w:rtl/>
        </w:rPr>
        <w:t>הוציא</w:t>
      </w:r>
      <w:r w:rsidRPr="00402509">
        <w:rPr>
          <w:rFonts w:ascii="Calibri" w:hAnsi="Calibri"/>
          <w:rtl/>
        </w:rPr>
        <w:t xml:space="preserve"> </w:t>
      </w:r>
      <w:r w:rsidRPr="00402509">
        <w:rPr>
          <w:rFonts w:ascii="Calibri" w:hAnsi="Calibri" w:hint="eastAsia"/>
          <w:rtl/>
        </w:rPr>
        <w:t>את</w:t>
      </w:r>
      <w:r w:rsidRPr="00402509">
        <w:rPr>
          <w:rFonts w:ascii="Calibri" w:hAnsi="Calibri"/>
          <w:rtl/>
        </w:rPr>
        <w:t xml:space="preserve"> </w:t>
      </w:r>
      <w:r w:rsidRPr="00402509">
        <w:rPr>
          <w:rFonts w:ascii="Calibri" w:hAnsi="Calibri" w:hint="eastAsia"/>
          <w:rtl/>
        </w:rPr>
        <w:t>נשקו</w:t>
      </w:r>
      <w:r w:rsidRPr="00402509">
        <w:rPr>
          <w:rFonts w:ascii="Calibri" w:hAnsi="Calibri"/>
          <w:rtl/>
        </w:rPr>
        <w:t xml:space="preserve"> </w:t>
      </w:r>
      <w:r w:rsidRPr="00402509">
        <w:rPr>
          <w:rFonts w:ascii="Calibri" w:hAnsi="Calibri" w:hint="eastAsia"/>
          <w:rtl/>
        </w:rPr>
        <w:t>מהקטנוע</w:t>
      </w:r>
      <w:r w:rsidRPr="00402509">
        <w:rPr>
          <w:rFonts w:ascii="Calibri" w:hAnsi="Calibri"/>
          <w:rtl/>
        </w:rPr>
        <w:t xml:space="preserve"> </w:t>
      </w:r>
      <w:r w:rsidRPr="00402509">
        <w:rPr>
          <w:rFonts w:ascii="Calibri" w:hAnsi="Calibri" w:hint="eastAsia"/>
          <w:rtl/>
        </w:rPr>
        <w:t>וירה</w:t>
      </w:r>
      <w:r w:rsidRPr="00402509">
        <w:rPr>
          <w:rFonts w:ascii="Calibri" w:hAnsi="Calibri"/>
          <w:rtl/>
        </w:rPr>
        <w:t xml:space="preserve"> </w:t>
      </w:r>
      <w:r w:rsidRPr="00402509">
        <w:rPr>
          <w:rFonts w:ascii="Calibri" w:hAnsi="Calibri" w:hint="eastAsia"/>
          <w:rtl/>
        </w:rPr>
        <w:t>באוויר</w:t>
      </w:r>
      <w:r w:rsidRPr="00402509">
        <w:rPr>
          <w:rFonts w:ascii="Calibri" w:hAnsi="Calibri"/>
          <w:rtl/>
        </w:rPr>
        <w:t xml:space="preserve"> </w:t>
      </w:r>
      <w:r w:rsidRPr="00402509">
        <w:rPr>
          <w:rFonts w:ascii="Calibri" w:hAnsi="Calibri" w:hint="eastAsia"/>
          <w:rtl/>
        </w:rPr>
        <w:t>מספר</w:t>
      </w:r>
      <w:r w:rsidRPr="00402509">
        <w:rPr>
          <w:rFonts w:ascii="Calibri" w:hAnsi="Calibri"/>
          <w:rtl/>
        </w:rPr>
        <w:t xml:space="preserve"> </w:t>
      </w:r>
      <w:r w:rsidRPr="00402509">
        <w:rPr>
          <w:rFonts w:ascii="Calibri" w:hAnsi="Calibri" w:hint="eastAsia"/>
          <w:rtl/>
        </w:rPr>
        <w:t>כדורים</w:t>
      </w:r>
      <w:r w:rsidRPr="00402509">
        <w:rPr>
          <w:rFonts w:ascii="Calibri" w:hAnsi="Calibri"/>
          <w:rtl/>
        </w:rPr>
        <w:t xml:space="preserve">. </w:t>
      </w:r>
      <w:r w:rsidRPr="00402509">
        <w:rPr>
          <w:rFonts w:ascii="Calibri" w:hAnsi="Calibri" w:hint="eastAsia"/>
          <w:rtl/>
        </w:rPr>
        <w:t>בית</w:t>
      </w:r>
      <w:r w:rsidRPr="00402509">
        <w:rPr>
          <w:rFonts w:ascii="Calibri" w:hAnsi="Calibri"/>
          <w:rtl/>
        </w:rPr>
        <w:t xml:space="preserve"> </w:t>
      </w:r>
      <w:r w:rsidRPr="00402509">
        <w:rPr>
          <w:rFonts w:ascii="Calibri" w:hAnsi="Calibri" w:hint="eastAsia"/>
          <w:rtl/>
        </w:rPr>
        <w:t>המשפט</w:t>
      </w:r>
      <w:r w:rsidRPr="00402509">
        <w:rPr>
          <w:rFonts w:ascii="Calibri" w:hAnsi="Calibri"/>
          <w:rtl/>
        </w:rPr>
        <w:t xml:space="preserve"> </w:t>
      </w:r>
      <w:r w:rsidRPr="00402509">
        <w:rPr>
          <w:rFonts w:ascii="Calibri" w:hAnsi="Calibri" w:hint="eastAsia"/>
          <w:rtl/>
        </w:rPr>
        <w:t>העליון</w:t>
      </w:r>
      <w:r w:rsidRPr="00402509">
        <w:rPr>
          <w:rFonts w:ascii="Calibri" w:hAnsi="Calibri"/>
          <w:rtl/>
        </w:rPr>
        <w:t xml:space="preserve"> </w:t>
      </w:r>
      <w:r w:rsidRPr="00402509">
        <w:rPr>
          <w:rFonts w:ascii="Calibri" w:hAnsi="Calibri" w:hint="eastAsia"/>
          <w:rtl/>
        </w:rPr>
        <w:t>העמיד</w:t>
      </w:r>
      <w:r w:rsidRPr="00402509">
        <w:rPr>
          <w:rFonts w:ascii="Calibri" w:hAnsi="Calibri"/>
          <w:rtl/>
        </w:rPr>
        <w:t xml:space="preserve"> </w:t>
      </w:r>
      <w:r w:rsidRPr="00402509">
        <w:rPr>
          <w:rFonts w:ascii="Calibri" w:hAnsi="Calibri" w:hint="eastAsia"/>
          <w:rtl/>
        </w:rPr>
        <w:t>את</w:t>
      </w:r>
      <w:r w:rsidRPr="00402509">
        <w:rPr>
          <w:rFonts w:ascii="Calibri" w:hAnsi="Calibri"/>
          <w:rtl/>
        </w:rPr>
        <w:t xml:space="preserve"> </w:t>
      </w:r>
      <w:r w:rsidRPr="00402509">
        <w:rPr>
          <w:rFonts w:ascii="Calibri" w:hAnsi="Calibri" w:hint="eastAsia"/>
          <w:rtl/>
        </w:rPr>
        <w:t>עונשו</w:t>
      </w:r>
      <w:r w:rsidRPr="00402509">
        <w:rPr>
          <w:rFonts w:ascii="Calibri" w:hAnsi="Calibri"/>
          <w:rtl/>
        </w:rPr>
        <w:t xml:space="preserve"> </w:t>
      </w:r>
      <w:r w:rsidRPr="00402509">
        <w:rPr>
          <w:rFonts w:ascii="Calibri" w:hAnsi="Calibri" w:hint="eastAsia"/>
          <w:rtl/>
        </w:rPr>
        <w:t>על</w:t>
      </w:r>
      <w:r w:rsidRPr="00402509">
        <w:rPr>
          <w:rFonts w:ascii="Calibri" w:hAnsi="Calibri"/>
          <w:rtl/>
        </w:rPr>
        <w:t xml:space="preserve"> 25 </w:t>
      </w:r>
      <w:r w:rsidRPr="00402509">
        <w:rPr>
          <w:rFonts w:ascii="Calibri" w:hAnsi="Calibri" w:hint="eastAsia"/>
          <w:rtl/>
        </w:rPr>
        <w:t>חודשים</w:t>
      </w:r>
      <w:r w:rsidRPr="00402509">
        <w:rPr>
          <w:rFonts w:ascii="Calibri" w:hAnsi="Calibri"/>
          <w:rtl/>
        </w:rPr>
        <w:t xml:space="preserve"> </w:t>
      </w:r>
      <w:r w:rsidRPr="00402509">
        <w:rPr>
          <w:rFonts w:ascii="Calibri" w:hAnsi="Calibri" w:hint="eastAsia"/>
          <w:rtl/>
        </w:rPr>
        <w:t>מתוך</w:t>
      </w:r>
      <w:r w:rsidRPr="00402509">
        <w:rPr>
          <w:rFonts w:ascii="Calibri" w:hAnsi="Calibri"/>
          <w:rtl/>
        </w:rPr>
        <w:t xml:space="preserve"> </w:t>
      </w:r>
      <w:r w:rsidRPr="00402509">
        <w:rPr>
          <w:rFonts w:ascii="Calibri" w:hAnsi="Calibri" w:hint="eastAsia"/>
          <w:rtl/>
        </w:rPr>
        <w:t>הכלל</w:t>
      </w:r>
      <w:r w:rsidRPr="00402509">
        <w:rPr>
          <w:rFonts w:ascii="Calibri" w:hAnsi="Calibri"/>
          <w:rtl/>
        </w:rPr>
        <w:t xml:space="preserve"> </w:t>
      </w:r>
      <w:r w:rsidRPr="00402509">
        <w:rPr>
          <w:rFonts w:ascii="Calibri" w:hAnsi="Calibri" w:hint="eastAsia"/>
          <w:rtl/>
        </w:rPr>
        <w:t>שערכאת</w:t>
      </w:r>
      <w:r w:rsidRPr="00402509">
        <w:rPr>
          <w:rFonts w:ascii="Calibri" w:hAnsi="Calibri"/>
          <w:rtl/>
        </w:rPr>
        <w:t xml:space="preserve"> </w:t>
      </w:r>
      <w:r w:rsidRPr="00402509">
        <w:rPr>
          <w:rFonts w:ascii="Calibri" w:hAnsi="Calibri" w:hint="eastAsia"/>
          <w:rtl/>
        </w:rPr>
        <w:t>הערעור</w:t>
      </w:r>
      <w:r w:rsidRPr="00402509">
        <w:rPr>
          <w:rFonts w:ascii="Calibri" w:hAnsi="Calibri"/>
          <w:rtl/>
        </w:rPr>
        <w:t xml:space="preserve"> </w:t>
      </w:r>
      <w:r w:rsidRPr="00402509">
        <w:rPr>
          <w:rFonts w:ascii="Calibri" w:hAnsi="Calibri" w:hint="eastAsia"/>
          <w:rtl/>
        </w:rPr>
        <w:t>אינה</w:t>
      </w:r>
      <w:r w:rsidRPr="00402509">
        <w:rPr>
          <w:rFonts w:ascii="Calibri" w:hAnsi="Calibri"/>
          <w:rtl/>
        </w:rPr>
        <w:t xml:space="preserve"> </w:t>
      </w:r>
      <w:r w:rsidRPr="00402509">
        <w:rPr>
          <w:rFonts w:ascii="Calibri" w:hAnsi="Calibri" w:hint="eastAsia"/>
          <w:rtl/>
        </w:rPr>
        <w:t>ממצה</w:t>
      </w:r>
      <w:r w:rsidRPr="00402509">
        <w:rPr>
          <w:rFonts w:ascii="Calibri" w:hAnsi="Calibri"/>
          <w:rtl/>
        </w:rPr>
        <w:t xml:space="preserve"> </w:t>
      </w:r>
      <w:r w:rsidRPr="00402509">
        <w:rPr>
          <w:rFonts w:ascii="Calibri" w:hAnsi="Calibri" w:hint="eastAsia"/>
          <w:rtl/>
        </w:rPr>
        <w:t>את</w:t>
      </w:r>
      <w:r w:rsidRPr="00402509">
        <w:rPr>
          <w:rFonts w:ascii="Calibri" w:hAnsi="Calibri"/>
          <w:rtl/>
        </w:rPr>
        <w:t xml:space="preserve"> </w:t>
      </w:r>
      <w:r w:rsidRPr="00402509">
        <w:rPr>
          <w:rFonts w:ascii="Calibri" w:hAnsi="Calibri" w:hint="eastAsia"/>
          <w:rtl/>
        </w:rPr>
        <w:t>הדין</w:t>
      </w:r>
      <w:r w:rsidRPr="00402509">
        <w:rPr>
          <w:rFonts w:ascii="Calibri" w:hAnsi="Calibri"/>
          <w:rtl/>
        </w:rPr>
        <w:t>.</w:t>
      </w:r>
    </w:p>
    <w:p w14:paraId="30C903E0" w14:textId="77777777" w:rsidR="005052BD" w:rsidRDefault="005052BD" w:rsidP="005052BD">
      <w:pPr>
        <w:spacing w:before="120" w:after="120" w:line="360" w:lineRule="auto"/>
        <w:jc w:val="both"/>
        <w:rPr>
          <w:rFonts w:ascii="David" w:hAnsi="David"/>
          <w:b/>
          <w:bCs/>
          <w:u w:val="single"/>
          <w:rtl/>
        </w:rPr>
      </w:pPr>
    </w:p>
    <w:p w14:paraId="2AA66B23" w14:textId="77777777" w:rsidR="005052BD" w:rsidRDefault="005052BD" w:rsidP="005052BD">
      <w:pPr>
        <w:spacing w:before="120" w:after="120" w:line="360" w:lineRule="auto"/>
        <w:jc w:val="both"/>
        <w:rPr>
          <w:rFonts w:ascii="David" w:hAnsi="David"/>
          <w:b/>
          <w:bCs/>
          <w:u w:val="single"/>
          <w:rtl/>
        </w:rPr>
      </w:pPr>
    </w:p>
    <w:p w14:paraId="4D68F17C" w14:textId="77777777" w:rsidR="005052BD" w:rsidRDefault="005052BD" w:rsidP="005052BD">
      <w:pPr>
        <w:spacing w:before="120" w:after="120" w:line="360" w:lineRule="auto"/>
        <w:jc w:val="both"/>
        <w:rPr>
          <w:rFonts w:ascii="David" w:hAnsi="David"/>
          <w:b/>
          <w:bCs/>
          <w:u w:val="single"/>
          <w:rtl/>
        </w:rPr>
      </w:pPr>
    </w:p>
    <w:p w14:paraId="4E04FEBC" w14:textId="77777777" w:rsidR="005052BD" w:rsidRPr="00402509" w:rsidRDefault="005052BD" w:rsidP="005052BD">
      <w:pPr>
        <w:spacing w:before="120" w:after="120" w:line="360" w:lineRule="auto"/>
        <w:jc w:val="both"/>
        <w:rPr>
          <w:rFonts w:ascii="David" w:hAnsi="David"/>
          <w:b/>
          <w:bCs/>
          <w:u w:val="single"/>
          <w:rtl/>
        </w:rPr>
      </w:pPr>
      <w:r w:rsidRPr="00402509">
        <w:rPr>
          <w:rFonts w:ascii="David" w:hAnsi="David"/>
          <w:b/>
          <w:bCs/>
          <w:u w:val="single"/>
          <w:rtl/>
        </w:rPr>
        <w:t xml:space="preserve">נסיבות ביצוע העבירה: </w:t>
      </w:r>
    </w:p>
    <w:p w14:paraId="30AD4039"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במעשיו האמורים, פגע הנאשם פגיעה חמורה וקשה בערכים החברתיים המוגנים. ברקע מעשיו של הנאשם עומד סכסוך בין שני פלגים ממשפחת אבו אלקיעאן שטיבו אינו ידוע. בתוך כך, נדמה כי כולם באשר הם רואים עצמם חלק מאותו סכסוך, כאשר די בעימות קטן, "ניצוץ", על מנת שרבים מכל צד יגיעו ויצטרפו עד מהרה לכדי קטטה המונית אלימה. </w:t>
      </w:r>
    </w:p>
    <w:p w14:paraId="0185A0F4"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בעניין זה, כתב האישום המתוקן מלמדנו כי בין המנוח לבין הנאשם התפתחה מריבה בכביש פנימי בחורה, במהלכה השניים הגיעו לשטח עפר והמנוח פגע עם רכבו בצדו השמאלי של רכב הסקודה בו נהג הנאשם. כמתואר, השניים יצאו ובתוך כך הגיעו מעורבים נוספים והתפתחה קטטה רבת משתתפים. בשלב מסוים, הנאשם חזר לרכב הסקודה ונסע מהמקום. </w:t>
      </w:r>
    </w:p>
    <w:p w14:paraId="7E7C66BC"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מצופה היה מהנאשם, כפי שיש לצפות מכל מי שנטען לגביו כי הוא אדם נורמטיבי, כי בשלב זה ככל שלשיטתו נגרם לו עוול, יפנה למשטרה ויבקש את עזרתה. כך גם נכון היה לקוות כי עזיבת המקום יהיה בה כדי "לצנן" את רוח הקרב של הנאשם ותמנע את התדרדרותו של האירוע לכדי פסים אלימים יותר.</w:t>
      </w:r>
    </w:p>
    <w:p w14:paraId="057E400D"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דא עקא, לא זו בלבד שהנאשם נמנע מלפנות לגורמי אכיפת החוק, בשלב זה גמלה בליבו להמית את המנוח. כאמור, בדברי הנאשם  לקצינת המבחן "</w:t>
      </w:r>
      <w:r w:rsidRPr="00402509">
        <w:rPr>
          <w:rFonts w:ascii="David" w:hAnsi="David"/>
          <w:b/>
          <w:bCs/>
          <w:rtl/>
        </w:rPr>
        <w:t xml:space="preserve">באזור בו הוא מתגורר נהוג להגיב על מקרה אלימות ולהשתמש בנשק והוא עצמו ידע על קיומו של נשק במקום מסוים. </w:t>
      </w:r>
      <w:r w:rsidRPr="00402509">
        <w:rPr>
          <w:rFonts w:ascii="David" w:hAnsi="David"/>
          <w:rtl/>
        </w:rPr>
        <w:t>(הוא)</w:t>
      </w:r>
      <w:r w:rsidRPr="00402509">
        <w:rPr>
          <w:rFonts w:ascii="David" w:hAnsi="David"/>
          <w:b/>
          <w:bCs/>
          <w:rtl/>
        </w:rPr>
        <w:t xml:space="preserve"> פעל מתוך תחושות של השפלה, הנמכה, כאב וצורך להרתיע אותם, לנקום על הפגיעה בו ולמנוע תיוגו כבחור חלש</w:t>
      </w:r>
      <w:r w:rsidRPr="00402509">
        <w:rPr>
          <w:rFonts w:ascii="David" w:hAnsi="David"/>
          <w:rtl/>
        </w:rPr>
        <w:t xml:space="preserve">". ואכן, כחלק מאותה החלטה, הנאשם הצטייד באקדח ולאחר מספר דקות חזר לאותה נקודה שבה התפתחה הקטטה כשהוא נוהג ברכב הסקודה. </w:t>
      </w:r>
    </w:p>
    <w:p w14:paraId="576BD437"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אף שברשותו אקדח, הנאשם בחר לממש את כוונת הרצח על ידי כך ששעט ברכבו לעבר </w:t>
      </w:r>
      <w:r w:rsidRPr="00402509">
        <w:rPr>
          <w:rFonts w:ascii="David" w:hAnsi="David"/>
          <w:u w:val="single"/>
          <w:rtl/>
        </w:rPr>
        <w:t>המנוח ולעבר אנשים נוספים</w:t>
      </w:r>
      <w:r w:rsidRPr="00402509">
        <w:rPr>
          <w:rFonts w:ascii="David" w:hAnsi="David"/>
          <w:rtl/>
        </w:rPr>
        <w:t xml:space="preserve"> שעמדו לידו בכוונה לגרום למותו. למזלם של אותם אנשים, הם כמו גם המנוח הבחינו בנאשם שועט לעברם והצליחו להימלט בריצה טרם פגיעת הנאשם. בדין נטען על ידי בא כוח המאשימה כי נהיגתו הפרועה של הנאשם אל עבר קבוצת הנוכחים במקום משולה לכדור שכבר נורה מהרובה בדרכו לפגוע בקורבן.</w:t>
      </w:r>
    </w:p>
    <w:p w14:paraId="5EB9233C" w14:textId="77777777" w:rsidR="005052BD" w:rsidRPr="00402509" w:rsidRDefault="005052BD" w:rsidP="005052BD">
      <w:pPr>
        <w:spacing w:before="120" w:after="120" w:line="360" w:lineRule="auto"/>
        <w:contextualSpacing/>
        <w:jc w:val="both"/>
      </w:pPr>
      <w:r w:rsidRPr="00402509">
        <w:rPr>
          <w:rFonts w:ascii="David" w:hAnsi="David"/>
          <w:rtl/>
        </w:rPr>
        <w:t xml:space="preserve">רכב מטיבו וטבעו תוכנן להסיע אנשים בנוחות ובבטיחות ממקום למקום. ברם, מקום שבו הוא נהוג בכוונת מכוון לעבר קבוצת אנשים, פוטנציאל הנזק, לעיתים, גדול אף יותר מאשר שימוש באקדח או כלי ירייה אחר. לדאבוננו המציאות מלמדת זאת. בעניין זה, ר' למשל </w:t>
      </w:r>
      <w:hyperlink r:id="rId35" w:history="1">
        <w:r w:rsidR="001610CC" w:rsidRPr="001610CC">
          <w:rPr>
            <w:color w:val="0000FF"/>
            <w:u w:val="single"/>
            <w:rtl/>
          </w:rPr>
          <w:t>ע"פ 3187/21</w:t>
        </w:r>
      </w:hyperlink>
      <w:r w:rsidRPr="00402509">
        <w:rPr>
          <w:rtl/>
        </w:rPr>
        <w:t xml:space="preserve"> </w:t>
      </w:r>
      <w:r w:rsidRPr="00402509">
        <w:rPr>
          <w:b/>
          <w:bCs/>
          <w:rtl/>
        </w:rPr>
        <w:t>סנאד אלקאדי נ' מדינת ישראל</w:t>
      </w:r>
      <w:r w:rsidRPr="00402509">
        <w:rPr>
          <w:rtl/>
        </w:rPr>
        <w:t xml:space="preserve"> (פורסם באר"ש, 21.8.22) (להלן: </w:t>
      </w:r>
      <w:r w:rsidRPr="00402509">
        <w:rPr>
          <w:b/>
          <w:bCs/>
          <w:rtl/>
        </w:rPr>
        <w:t>"עניין אלקאדי"</w:t>
      </w:r>
      <w:r w:rsidRPr="00402509">
        <w:rPr>
          <w:rtl/>
        </w:rPr>
        <w:t>) שדן באירוע דומה אם לא זהה למקרה שלנו, בהבדל אחד: בעניין אלקאדי, לא עלה בידי המנוח ואלה שלצדו לברוח מבעוד מועד ולמנוע את הפגיעה בהם. כך הדברים תוארו בפסק הדין:</w:t>
      </w:r>
    </w:p>
    <w:p w14:paraId="7F89AC27" w14:textId="77777777" w:rsidR="005052BD" w:rsidRPr="00402509" w:rsidRDefault="005052BD" w:rsidP="005052BD">
      <w:pPr>
        <w:spacing w:before="120" w:after="120"/>
        <w:ind w:left="567" w:right="567"/>
        <w:jc w:val="both"/>
        <w:rPr>
          <w:rFonts w:ascii="David" w:hAnsi="David"/>
          <w:b/>
          <w:bCs/>
          <w:rtl/>
        </w:rPr>
      </w:pPr>
      <w:r w:rsidRPr="00402509">
        <w:rPr>
          <w:rFonts w:ascii="David" w:hAnsi="David"/>
          <w:rtl/>
        </w:rPr>
        <w:t>"</w:t>
      </w:r>
      <w:r w:rsidRPr="00402509">
        <w:rPr>
          <w:rFonts w:ascii="David" w:hAnsi="David"/>
          <w:b/>
          <w:bCs/>
          <w:rtl/>
        </w:rPr>
        <w:t>המערער שש אלי קרב לקטטה שהתפתחה בעיר רהט בין בני משפחתו לבין בני משפחת אלנססרה, ובמקום להסתלק מהמקום לאחר שהוכה בראשו, נכנס לרכב מונע ונסע לכיוון הצומת אשר בה אותה העת עמדו עשרות אנשים בהם גם חדרה והמנוח. בנסיעתו פגע בחדרה, העיף אותה לצדי הכביש, והמשיך בנסיעה מהירה עד אשר פגע במנוח חרף העובדה שסימן למערער לעצור את נסיעתו. המערער לא עצר את רכבו כדי להגיש עזרה למנוח ולדודתו השרועים על הכביש, ונעצר רק לאחר שפגע ברכבים אחרים שחנו בסמוך".</w:t>
      </w:r>
    </w:p>
    <w:p w14:paraId="5F9E61EE"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בכך אין סגי שכן גם לאחר שהתנגש בעוצמה ברכב הטויוטה וגרם לו נזקים כבדים, הנאשם יצא מרכבו וירה באמצעות האקדח שברשותו כדור באוויר. בעניין זה עצם ההגעה של הנאשם לקטטה המונית אלימה כשהוא מצויד באקדח גם אם לא היה עושה בו כל שימוש, מהווה נסיבה לחומרא המצדיקה החמרה בעונשו. יודגש כי אין המדובר בסיטואציה שבה נאשם מנסה לרצוח באמצעות אקדח שאז נשיאת האקדח והשימוש בו "נבלעים" בעונש של עבירת ניסיון הרצח הגם שמדובר בעבירה נפרדת. </w:t>
      </w:r>
    </w:p>
    <w:p w14:paraId="5A1FDAC6"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יתרה מכך, גם אם הנאשם ירה באוויר, נדמה כי השימוש בנשק חם בסיטואציה הנתונה, יש בו מבחינה פוטנציאלית, להלהיט את הרוחות. בעניין זה לא ניתן לשלול כי מי מבין הנוכחים הרבים שבמקום (שאינו מבחין מי יורה ולאן) יכול לטעות ולחשוב כי בשלב זה המעורבים בקטטה החלו עושים שימוש בנשק חם. למעשה, כתב האישום המתוקן מלמדנו כי בנוסף לאותה ירייה נורו אחריה יריות נוספות בנסיבות שאינן ידועות למאשימה שהובילו למותו של המנוח. </w:t>
      </w:r>
    </w:p>
    <w:p w14:paraId="1318CCAD"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לשון אחר, העבירות של נשיאת נשק והירי תוך סיכון חיי אדם אינם בבחינת "סרח עודף" לעבירת ניסיון הרצח. </w:t>
      </w:r>
      <w:r w:rsidRPr="00402509">
        <w:rPr>
          <w:rFonts w:ascii="David" w:hAnsi="David"/>
          <w:u w:val="single"/>
          <w:rtl/>
        </w:rPr>
        <w:t>מעשים אלו לבדם מצדיקים השתת עונש מאסר בפועל חמור יותר מזה שעותרת לו ההגנה בגין מכלול העבירות.</w:t>
      </w:r>
      <w:r w:rsidRPr="00402509">
        <w:rPr>
          <w:rFonts w:ascii="David" w:hAnsi="David"/>
          <w:rtl/>
        </w:rPr>
        <w:t xml:space="preserve"> בעניין זה ר' דברי בית המשפט העליון ב</w:t>
      </w:r>
      <w:hyperlink r:id="rId36" w:history="1">
        <w:r w:rsidR="001610CC" w:rsidRPr="001610CC">
          <w:rPr>
            <w:rFonts w:ascii="David" w:hAnsi="David"/>
            <w:color w:val="0000FF"/>
            <w:u w:val="single"/>
            <w:rtl/>
          </w:rPr>
          <w:t>ע"פ 5602/22</w:t>
        </w:r>
      </w:hyperlink>
      <w:r w:rsidRPr="00402509">
        <w:rPr>
          <w:rFonts w:ascii="David" w:hAnsi="David"/>
          <w:rtl/>
        </w:rPr>
        <w:t xml:space="preserve"> </w:t>
      </w:r>
      <w:r w:rsidRPr="00402509">
        <w:rPr>
          <w:rFonts w:ascii="David" w:hAnsi="David"/>
          <w:b/>
          <w:bCs/>
          <w:rtl/>
        </w:rPr>
        <w:t>מדינת ישראל נ' פלוני</w:t>
      </w:r>
      <w:r w:rsidRPr="00402509">
        <w:rPr>
          <w:rFonts w:ascii="David" w:hAnsi="David"/>
          <w:rtl/>
        </w:rPr>
        <w:t xml:space="preserve">  [פסקה 16 לפסק דינו של כב' הש' שטיין] (פורסם באר"ש, 14.9.22) (להלן: "</w:t>
      </w:r>
      <w:r w:rsidRPr="00402509">
        <w:rPr>
          <w:rFonts w:ascii="David" w:hAnsi="David"/>
          <w:b/>
          <w:bCs/>
          <w:rtl/>
        </w:rPr>
        <w:t>עניין פלוני</w:t>
      </w:r>
      <w:r w:rsidRPr="00402509">
        <w:rPr>
          <w:rFonts w:ascii="David" w:hAnsi="David"/>
          <w:rtl/>
        </w:rPr>
        <w:t>"):</w:t>
      </w:r>
      <w:r w:rsidRPr="00402509">
        <w:rPr>
          <w:rFonts w:ascii="David" w:hAnsi="David" w:cs="Arial"/>
          <w:b/>
          <w:bCs/>
          <w:sz w:val="22"/>
          <w:szCs w:val="22"/>
          <w:rtl/>
        </w:rPr>
        <w:t xml:space="preserve"> </w:t>
      </w:r>
      <w:r w:rsidRPr="00402509">
        <w:rPr>
          <w:rtl/>
        </w:rPr>
        <w:t>"</w:t>
      </w:r>
      <w:r w:rsidRPr="00402509">
        <w:rPr>
          <w:b/>
          <w:bCs/>
          <w:rtl/>
        </w:rPr>
        <w:t xml:space="preserve">כעולה מפסיקתו של בית משפט זה, מתחם הענישה הרגיל שראוי לקבוע לנאשם בגיר בגין נשיאה בלתי חוקית של נשק חם במרחב הציבורי נע בין 30 ל-42 חודשי מאסר בין סורג ובריח [...] הווה אומר: באין נסיבות מיוחדות </w:t>
      </w:r>
      <w:r w:rsidRPr="00402509">
        <w:rPr>
          <w:rFonts w:ascii="David" w:hAnsi="David"/>
          <w:b/>
          <w:bCs/>
          <w:rtl/>
        </w:rPr>
        <w:t>לחומרא או לקולא, יהא זה בהחלט סביר אם בית משפט יטיל על נאשם כאמור עונש של 36 חודשי מאסר לריצוי בפועל</w:t>
      </w:r>
      <w:r w:rsidRPr="00402509">
        <w:rPr>
          <w:rFonts w:ascii="David" w:hAnsi="David"/>
          <w:rtl/>
        </w:rPr>
        <w:t xml:space="preserve">" (ובדומה ר' </w:t>
      </w:r>
      <w:hyperlink r:id="rId37" w:history="1">
        <w:r w:rsidR="001610CC" w:rsidRPr="001610CC">
          <w:rPr>
            <w:rFonts w:ascii="David" w:hAnsi="David"/>
            <w:color w:val="0000FF"/>
            <w:u w:val="single"/>
            <w:rtl/>
          </w:rPr>
          <w:t>ע"פ 4077/22</w:t>
        </w:r>
      </w:hyperlink>
      <w:r w:rsidRPr="00402509">
        <w:rPr>
          <w:rFonts w:ascii="David" w:hAnsi="David"/>
          <w:rtl/>
        </w:rPr>
        <w:t xml:space="preserve"> </w:t>
      </w:r>
      <w:r w:rsidRPr="00402509">
        <w:rPr>
          <w:rFonts w:ascii="David" w:hAnsi="David"/>
          <w:b/>
          <w:bCs/>
          <w:rtl/>
        </w:rPr>
        <w:t>פלוני ואח' נ' מדינת ישראל</w:t>
      </w:r>
      <w:r w:rsidRPr="00402509">
        <w:rPr>
          <w:rFonts w:ascii="David" w:hAnsi="David"/>
          <w:rtl/>
        </w:rPr>
        <w:t xml:space="preserve"> (פורסם באר"ש, 28.7.22).</w:t>
      </w:r>
    </w:p>
    <w:p w14:paraId="3970CE28" w14:textId="77777777" w:rsidR="005052BD" w:rsidRPr="00402509" w:rsidRDefault="005052BD" w:rsidP="005052BD">
      <w:pPr>
        <w:spacing w:after="160" w:line="360" w:lineRule="auto"/>
        <w:jc w:val="both"/>
        <w:rPr>
          <w:rFonts w:ascii="Calibri" w:hAnsi="Calibri"/>
          <w:rtl/>
        </w:rPr>
      </w:pPr>
      <w:r w:rsidRPr="00402509">
        <w:rPr>
          <w:rFonts w:ascii="David" w:hAnsi="David"/>
          <w:rtl/>
        </w:rPr>
        <w:t xml:space="preserve">לא למיותר להוסיף בהקשר לאמור כי אין בידי בית המשפט לקבל טענת ההגנה ולפיה הירייה באוויר "מלמדת שנגמר לו הרצון לגרום למותו של המנוח". משהגיעו הצדדים לניסוח כתב אישום מתוקן לאחר הידברות ביניהם, הרי ככל שהיה מקום לטענה שכזו, היה עליה למצוא את ביטויה המפורש בניסוח כתב האישום. למצער, היה על הנאשם להביא ראיות להוכיח זאת בהתאם להוראת </w:t>
      </w:r>
      <w:hyperlink r:id="rId38" w:history="1">
        <w:r w:rsidR="00B905CD" w:rsidRPr="00B905CD">
          <w:rPr>
            <w:rStyle w:val="Hyperlink"/>
            <w:rFonts w:ascii="David" w:hAnsi="David"/>
            <w:rtl/>
          </w:rPr>
          <w:t>סעיף 40י(ב)</w:t>
        </w:r>
      </w:hyperlink>
      <w:r w:rsidRPr="00402509">
        <w:rPr>
          <w:rFonts w:ascii="David" w:hAnsi="David"/>
          <w:rtl/>
        </w:rPr>
        <w:t xml:space="preserve"> לחוק. בדומה, לא מצאנו להתייחס לתיאור העובדתי של הנאשם כמפורט בתסקיר, בנוגע להתרחשות האלימה שקדמה להחלטתו לנסות ולרצוח את המנוח ככל שהוא מצוי בסתירה לכתב האישום המתוקן או מוסיף עליו. </w:t>
      </w:r>
      <w:r w:rsidRPr="00402509">
        <w:rPr>
          <w:rFonts w:ascii="Calibri" w:hAnsi="Calibri" w:hint="eastAsia"/>
          <w:rtl/>
        </w:rPr>
        <w:t>יפים</w:t>
      </w:r>
      <w:r w:rsidRPr="00402509">
        <w:rPr>
          <w:rFonts w:ascii="Calibri" w:hAnsi="Calibri"/>
          <w:rtl/>
        </w:rPr>
        <w:t xml:space="preserve"> </w:t>
      </w:r>
      <w:r w:rsidRPr="00402509">
        <w:rPr>
          <w:rFonts w:ascii="Calibri" w:hAnsi="Calibri" w:hint="eastAsia"/>
          <w:rtl/>
        </w:rPr>
        <w:t>לענייננו</w:t>
      </w:r>
      <w:r w:rsidRPr="00402509">
        <w:rPr>
          <w:rFonts w:ascii="Calibri" w:hAnsi="Calibri"/>
          <w:rtl/>
        </w:rPr>
        <w:t xml:space="preserve"> </w:t>
      </w:r>
      <w:r w:rsidRPr="00402509">
        <w:rPr>
          <w:rFonts w:ascii="Calibri" w:hAnsi="Calibri" w:hint="eastAsia"/>
          <w:rtl/>
        </w:rPr>
        <w:t>הדברים</w:t>
      </w:r>
      <w:r w:rsidRPr="00402509">
        <w:rPr>
          <w:rFonts w:ascii="Calibri" w:hAnsi="Calibri"/>
          <w:rtl/>
        </w:rPr>
        <w:t xml:space="preserve"> </w:t>
      </w:r>
      <w:r w:rsidRPr="00402509">
        <w:rPr>
          <w:rFonts w:ascii="Calibri" w:hAnsi="Calibri" w:hint="eastAsia"/>
          <w:rtl/>
        </w:rPr>
        <w:t>שנאמרו</w:t>
      </w:r>
      <w:r w:rsidRPr="00402509">
        <w:rPr>
          <w:rFonts w:ascii="Calibri" w:hAnsi="Calibri"/>
          <w:rtl/>
        </w:rPr>
        <w:t xml:space="preserve"> </w:t>
      </w:r>
      <w:r w:rsidRPr="00402509">
        <w:rPr>
          <w:rFonts w:ascii="Calibri" w:hAnsi="Calibri" w:hint="eastAsia"/>
          <w:rtl/>
        </w:rPr>
        <w:t>על</w:t>
      </w:r>
      <w:r w:rsidRPr="00402509">
        <w:rPr>
          <w:rFonts w:ascii="Calibri" w:hAnsi="Calibri"/>
          <w:rtl/>
        </w:rPr>
        <w:t xml:space="preserve"> </w:t>
      </w:r>
      <w:r w:rsidRPr="00402509">
        <w:rPr>
          <w:rFonts w:ascii="Calibri" w:hAnsi="Calibri" w:hint="eastAsia"/>
          <w:rtl/>
        </w:rPr>
        <w:t>ידי</w:t>
      </w:r>
      <w:r w:rsidRPr="00402509">
        <w:rPr>
          <w:rFonts w:ascii="Calibri" w:hAnsi="Calibri"/>
          <w:rtl/>
        </w:rPr>
        <w:t xml:space="preserve"> </w:t>
      </w:r>
      <w:r w:rsidRPr="00402509">
        <w:rPr>
          <w:rFonts w:ascii="Calibri" w:hAnsi="Calibri" w:hint="eastAsia"/>
          <w:rtl/>
        </w:rPr>
        <w:t>בית</w:t>
      </w:r>
      <w:r w:rsidRPr="00402509">
        <w:rPr>
          <w:rFonts w:ascii="Calibri" w:hAnsi="Calibri"/>
          <w:rtl/>
        </w:rPr>
        <w:t xml:space="preserve"> </w:t>
      </w:r>
      <w:r w:rsidRPr="00402509">
        <w:rPr>
          <w:rFonts w:ascii="Calibri" w:hAnsi="Calibri" w:hint="eastAsia"/>
          <w:rtl/>
        </w:rPr>
        <w:t>המשפט</w:t>
      </w:r>
      <w:r w:rsidRPr="00402509">
        <w:rPr>
          <w:rFonts w:ascii="Calibri" w:hAnsi="Calibri"/>
          <w:rtl/>
        </w:rPr>
        <w:t xml:space="preserve"> </w:t>
      </w:r>
      <w:r w:rsidRPr="00402509">
        <w:rPr>
          <w:rFonts w:ascii="Calibri" w:hAnsi="Calibri" w:hint="eastAsia"/>
          <w:rtl/>
        </w:rPr>
        <w:t>ב</w:t>
      </w:r>
      <w:hyperlink r:id="rId39" w:history="1">
        <w:r w:rsidR="001610CC" w:rsidRPr="001610CC">
          <w:rPr>
            <w:rFonts w:ascii="Calibri" w:hAnsi="Calibri" w:hint="eastAsia"/>
            <w:color w:val="0000FF"/>
            <w:u w:val="single"/>
            <w:rtl/>
          </w:rPr>
          <w:t>ע</w:t>
        </w:r>
        <w:r w:rsidR="001610CC" w:rsidRPr="001610CC">
          <w:rPr>
            <w:rFonts w:ascii="Calibri" w:hAnsi="Calibri"/>
            <w:color w:val="0000FF"/>
            <w:u w:val="single"/>
            <w:rtl/>
          </w:rPr>
          <w:t>"</w:t>
        </w:r>
        <w:r w:rsidR="001610CC" w:rsidRPr="001610CC">
          <w:rPr>
            <w:rFonts w:ascii="Calibri" w:hAnsi="Calibri" w:hint="eastAsia"/>
            <w:color w:val="0000FF"/>
            <w:u w:val="single"/>
            <w:rtl/>
          </w:rPr>
          <w:t>פ</w:t>
        </w:r>
        <w:r w:rsidR="001610CC" w:rsidRPr="001610CC">
          <w:rPr>
            <w:rFonts w:ascii="Calibri" w:hAnsi="Calibri"/>
            <w:color w:val="0000FF"/>
            <w:u w:val="single"/>
            <w:rtl/>
          </w:rPr>
          <w:t xml:space="preserve"> 7349/14</w:t>
        </w:r>
      </w:hyperlink>
      <w:r w:rsidRPr="00402509">
        <w:rPr>
          <w:rFonts w:ascii="Calibri" w:hAnsi="Calibri"/>
          <w:rtl/>
        </w:rPr>
        <w:t xml:space="preserve"> </w:t>
      </w:r>
      <w:r w:rsidRPr="00402509">
        <w:rPr>
          <w:rFonts w:ascii="Calibri" w:hAnsi="Calibri" w:hint="eastAsia"/>
          <w:rtl/>
        </w:rPr>
        <w:t>פלונית</w:t>
      </w:r>
      <w:r w:rsidRPr="00402509">
        <w:rPr>
          <w:rFonts w:ascii="Calibri" w:hAnsi="Calibri"/>
          <w:rtl/>
        </w:rPr>
        <w:t xml:space="preserve"> </w:t>
      </w:r>
      <w:r w:rsidRPr="00402509">
        <w:rPr>
          <w:rFonts w:ascii="Calibri" w:hAnsi="Calibri" w:hint="eastAsia"/>
          <w:rtl/>
        </w:rPr>
        <w:t>נ</w:t>
      </w:r>
      <w:r w:rsidRPr="00402509">
        <w:rPr>
          <w:rFonts w:ascii="Calibri" w:hAnsi="Calibri"/>
          <w:rtl/>
        </w:rPr>
        <w:t xml:space="preserve">' </w:t>
      </w:r>
      <w:r w:rsidRPr="00402509">
        <w:rPr>
          <w:rFonts w:ascii="Calibri" w:hAnsi="Calibri" w:hint="eastAsia"/>
          <w:rtl/>
        </w:rPr>
        <w:t>מדינת</w:t>
      </w:r>
      <w:r w:rsidRPr="00402509">
        <w:rPr>
          <w:rFonts w:ascii="Calibri" w:hAnsi="Calibri"/>
          <w:rtl/>
        </w:rPr>
        <w:t xml:space="preserve"> </w:t>
      </w:r>
      <w:r w:rsidRPr="00402509">
        <w:rPr>
          <w:rFonts w:ascii="Calibri" w:hAnsi="Calibri" w:hint="eastAsia"/>
          <w:rtl/>
        </w:rPr>
        <w:t>ישראל</w:t>
      </w:r>
      <w:r w:rsidRPr="00402509">
        <w:rPr>
          <w:rFonts w:ascii="Calibri" w:hAnsi="Calibri"/>
          <w:rtl/>
        </w:rPr>
        <w:t xml:space="preserve"> [</w:t>
      </w:r>
      <w:r w:rsidRPr="00402509">
        <w:rPr>
          <w:rFonts w:ascii="Calibri" w:hAnsi="Calibri" w:hint="eastAsia"/>
          <w:rtl/>
        </w:rPr>
        <w:t>פסקה</w:t>
      </w:r>
      <w:r w:rsidRPr="00402509">
        <w:rPr>
          <w:rFonts w:ascii="Calibri" w:hAnsi="Calibri"/>
          <w:rtl/>
        </w:rPr>
        <w:t xml:space="preserve"> 15 </w:t>
      </w:r>
      <w:r w:rsidRPr="00402509">
        <w:rPr>
          <w:rFonts w:ascii="Calibri" w:hAnsi="Calibri" w:hint="eastAsia"/>
          <w:rtl/>
        </w:rPr>
        <w:t>לפסק</w:t>
      </w:r>
      <w:r w:rsidRPr="00402509">
        <w:rPr>
          <w:rFonts w:ascii="Calibri" w:hAnsi="Calibri"/>
          <w:rtl/>
        </w:rPr>
        <w:t xml:space="preserve"> </w:t>
      </w:r>
      <w:r w:rsidRPr="00402509">
        <w:rPr>
          <w:rFonts w:ascii="Calibri" w:hAnsi="Calibri" w:hint="eastAsia"/>
          <w:rtl/>
        </w:rPr>
        <w:t>דינו</w:t>
      </w:r>
      <w:r w:rsidRPr="00402509">
        <w:rPr>
          <w:rFonts w:ascii="Calibri" w:hAnsi="Calibri"/>
          <w:rtl/>
        </w:rPr>
        <w:t xml:space="preserve"> </w:t>
      </w:r>
      <w:r w:rsidRPr="00402509">
        <w:rPr>
          <w:rFonts w:ascii="Calibri" w:hAnsi="Calibri" w:hint="eastAsia"/>
          <w:rtl/>
        </w:rPr>
        <w:t>של</w:t>
      </w:r>
      <w:r w:rsidRPr="00402509">
        <w:rPr>
          <w:rFonts w:ascii="Calibri" w:hAnsi="Calibri"/>
          <w:rtl/>
        </w:rPr>
        <w:t xml:space="preserve"> </w:t>
      </w:r>
      <w:r w:rsidRPr="00402509">
        <w:rPr>
          <w:rFonts w:ascii="Calibri" w:hAnsi="Calibri" w:hint="eastAsia"/>
          <w:rtl/>
        </w:rPr>
        <w:t>כב</w:t>
      </w:r>
      <w:r w:rsidRPr="00402509">
        <w:rPr>
          <w:rFonts w:ascii="Calibri" w:hAnsi="Calibri"/>
          <w:rtl/>
        </w:rPr>
        <w:t xml:space="preserve">' </w:t>
      </w:r>
      <w:r w:rsidRPr="00402509">
        <w:rPr>
          <w:rFonts w:ascii="Calibri" w:hAnsi="Calibri" w:hint="eastAsia"/>
          <w:rtl/>
        </w:rPr>
        <w:t>הש</w:t>
      </w:r>
      <w:r w:rsidRPr="00402509">
        <w:rPr>
          <w:rFonts w:ascii="Calibri" w:hAnsi="Calibri"/>
          <w:rtl/>
        </w:rPr>
        <w:t xml:space="preserve">' </w:t>
      </w:r>
      <w:r w:rsidRPr="00402509">
        <w:rPr>
          <w:rFonts w:ascii="Calibri" w:hAnsi="Calibri" w:hint="eastAsia"/>
          <w:rtl/>
        </w:rPr>
        <w:t>ברון</w:t>
      </w:r>
      <w:r w:rsidRPr="00402509">
        <w:rPr>
          <w:rFonts w:ascii="Calibri" w:hAnsi="Calibri"/>
          <w:rtl/>
        </w:rPr>
        <w:t>] (</w:t>
      </w:r>
      <w:r w:rsidRPr="00402509">
        <w:rPr>
          <w:rFonts w:ascii="Calibri" w:hAnsi="Calibri" w:hint="eastAsia"/>
          <w:rtl/>
        </w:rPr>
        <w:t>פורסם</w:t>
      </w:r>
      <w:r w:rsidRPr="00402509">
        <w:rPr>
          <w:rFonts w:ascii="Calibri" w:hAnsi="Calibri"/>
          <w:rtl/>
        </w:rPr>
        <w:t xml:space="preserve"> </w:t>
      </w:r>
      <w:r w:rsidRPr="00402509">
        <w:rPr>
          <w:rFonts w:ascii="Calibri" w:hAnsi="Calibri" w:hint="eastAsia"/>
          <w:rtl/>
        </w:rPr>
        <w:t>באר</w:t>
      </w:r>
      <w:r w:rsidRPr="00402509">
        <w:rPr>
          <w:rFonts w:ascii="Calibri" w:hAnsi="Calibri"/>
          <w:rtl/>
        </w:rPr>
        <w:t>"</w:t>
      </w:r>
      <w:r w:rsidRPr="00402509">
        <w:rPr>
          <w:rFonts w:ascii="Calibri" w:hAnsi="Calibri" w:hint="eastAsia"/>
          <w:rtl/>
        </w:rPr>
        <w:t>ש</w:t>
      </w:r>
      <w:r w:rsidRPr="00402509">
        <w:rPr>
          <w:rFonts w:ascii="Calibri" w:hAnsi="Calibri"/>
          <w:rtl/>
        </w:rPr>
        <w:t>, 14.5.15).:</w:t>
      </w:r>
    </w:p>
    <w:p w14:paraId="37A1AF0C" w14:textId="77777777" w:rsidR="005052BD" w:rsidRPr="00402509" w:rsidRDefault="005052BD" w:rsidP="005052BD">
      <w:pPr>
        <w:ind w:left="567" w:right="567"/>
        <w:jc w:val="both"/>
        <w:rPr>
          <w:rFonts w:ascii="Calibri" w:hAnsi="Calibri"/>
          <w:b/>
          <w:bCs/>
          <w:rtl/>
        </w:rPr>
      </w:pPr>
      <w:r w:rsidRPr="00402509">
        <w:rPr>
          <w:rFonts w:ascii="Calibri" w:hAnsi="Calibri"/>
          <w:b/>
          <w:bCs/>
          <w:rtl/>
        </w:rPr>
        <w:t>"</w:t>
      </w:r>
      <w:r w:rsidRPr="00402509">
        <w:rPr>
          <w:rFonts w:ascii="Calibri" w:hAnsi="Calibri" w:hint="eastAsia"/>
          <w:b/>
          <w:bCs/>
          <w:rtl/>
        </w:rPr>
        <w:t>על</w:t>
      </w:r>
      <w:r w:rsidRPr="00402509">
        <w:rPr>
          <w:rFonts w:ascii="David" w:hAnsi="David"/>
          <w:b/>
          <w:bCs/>
        </w:rPr>
        <w:t xml:space="preserve"> </w:t>
      </w:r>
      <w:r w:rsidRPr="00402509">
        <w:rPr>
          <w:rFonts w:ascii="Calibri" w:hAnsi="Calibri" w:hint="eastAsia"/>
          <w:b/>
          <w:bCs/>
          <w:rtl/>
        </w:rPr>
        <w:t>כתב</w:t>
      </w:r>
      <w:r w:rsidRPr="00402509">
        <w:rPr>
          <w:rFonts w:ascii="David" w:hAnsi="David"/>
          <w:b/>
          <w:bCs/>
        </w:rPr>
        <w:t xml:space="preserve"> </w:t>
      </w:r>
      <w:r w:rsidRPr="00402509">
        <w:rPr>
          <w:rFonts w:ascii="Calibri" w:hAnsi="Calibri" w:hint="eastAsia"/>
          <w:b/>
          <w:bCs/>
          <w:rtl/>
        </w:rPr>
        <w:t>אישום</w:t>
      </w:r>
      <w:r w:rsidRPr="00402509">
        <w:rPr>
          <w:rFonts w:ascii="David" w:hAnsi="David"/>
          <w:b/>
          <w:bCs/>
        </w:rPr>
        <w:t xml:space="preserve"> </w:t>
      </w:r>
      <w:r w:rsidRPr="00402509">
        <w:rPr>
          <w:rFonts w:ascii="Calibri" w:hAnsi="Calibri" w:hint="eastAsia"/>
          <w:b/>
          <w:bCs/>
          <w:rtl/>
        </w:rPr>
        <w:t>לכלול</w:t>
      </w:r>
      <w:r w:rsidRPr="00402509">
        <w:rPr>
          <w:rFonts w:ascii="David" w:hAnsi="David"/>
          <w:b/>
          <w:bCs/>
        </w:rPr>
        <w:t xml:space="preserve"> </w:t>
      </w:r>
      <w:r w:rsidRPr="00402509">
        <w:rPr>
          <w:rFonts w:ascii="Calibri" w:hAnsi="Calibri" w:hint="eastAsia"/>
          <w:b/>
          <w:bCs/>
          <w:rtl/>
        </w:rPr>
        <w:t>את</w:t>
      </w:r>
      <w:r w:rsidRPr="00402509">
        <w:rPr>
          <w:rFonts w:ascii="David" w:hAnsi="David"/>
          <w:b/>
          <w:bCs/>
        </w:rPr>
        <w:t xml:space="preserve"> </w:t>
      </w:r>
      <w:r w:rsidRPr="00402509">
        <w:rPr>
          <w:rFonts w:ascii="Calibri" w:hAnsi="Calibri" w:hint="eastAsia"/>
          <w:b/>
          <w:bCs/>
          <w:rtl/>
        </w:rPr>
        <w:t>כל</w:t>
      </w:r>
      <w:r w:rsidRPr="00402509">
        <w:rPr>
          <w:rFonts w:ascii="David" w:hAnsi="David"/>
          <w:b/>
          <w:bCs/>
        </w:rPr>
        <w:t xml:space="preserve"> </w:t>
      </w:r>
      <w:r w:rsidRPr="00402509">
        <w:rPr>
          <w:rFonts w:ascii="Calibri" w:hAnsi="Calibri" w:hint="eastAsia"/>
          <w:b/>
          <w:bCs/>
          <w:rtl/>
        </w:rPr>
        <w:t>העובדות</w:t>
      </w:r>
      <w:r w:rsidRPr="00402509">
        <w:rPr>
          <w:rFonts w:ascii="David" w:hAnsi="David"/>
          <w:b/>
          <w:bCs/>
        </w:rPr>
        <w:t xml:space="preserve"> </w:t>
      </w:r>
      <w:r w:rsidRPr="00402509">
        <w:rPr>
          <w:rFonts w:ascii="Calibri" w:hAnsi="Calibri" w:hint="eastAsia"/>
          <w:b/>
          <w:bCs/>
          <w:rtl/>
        </w:rPr>
        <w:t>והנסיבות</w:t>
      </w:r>
      <w:r w:rsidRPr="00402509">
        <w:rPr>
          <w:rFonts w:ascii="David" w:hAnsi="David"/>
          <w:b/>
          <w:bCs/>
        </w:rPr>
        <w:t xml:space="preserve"> </w:t>
      </w:r>
      <w:r w:rsidRPr="00402509">
        <w:rPr>
          <w:rFonts w:ascii="Calibri" w:hAnsi="Calibri" w:hint="eastAsia"/>
          <w:b/>
          <w:bCs/>
          <w:rtl/>
        </w:rPr>
        <w:t>הרלוונטיות</w:t>
      </w:r>
      <w:r w:rsidRPr="00402509">
        <w:rPr>
          <w:rFonts w:ascii="David" w:hAnsi="David"/>
          <w:b/>
          <w:bCs/>
        </w:rPr>
        <w:t xml:space="preserve"> </w:t>
      </w:r>
      <w:r w:rsidRPr="00402509">
        <w:rPr>
          <w:rFonts w:ascii="Calibri" w:hAnsi="Calibri" w:hint="eastAsia"/>
          <w:b/>
          <w:bCs/>
          <w:rtl/>
        </w:rPr>
        <w:t>לביצוע</w:t>
      </w:r>
      <w:r w:rsidRPr="00402509">
        <w:rPr>
          <w:rFonts w:ascii="David" w:hAnsi="David"/>
          <w:b/>
          <w:bCs/>
        </w:rPr>
        <w:t xml:space="preserve"> </w:t>
      </w:r>
      <w:r w:rsidRPr="00402509">
        <w:rPr>
          <w:rFonts w:ascii="Calibri" w:hAnsi="Calibri" w:hint="eastAsia"/>
          <w:b/>
          <w:bCs/>
          <w:rtl/>
        </w:rPr>
        <w:t>העבירה</w:t>
      </w:r>
      <w:r w:rsidRPr="00402509">
        <w:rPr>
          <w:rFonts w:ascii="David" w:hAnsi="David"/>
          <w:b/>
          <w:bCs/>
        </w:rPr>
        <w:t xml:space="preserve">. </w:t>
      </w:r>
      <w:r w:rsidRPr="00402509">
        <w:rPr>
          <w:rFonts w:ascii="Calibri" w:hAnsi="Calibri" w:hint="eastAsia"/>
          <w:b/>
          <w:bCs/>
          <w:rtl/>
        </w:rPr>
        <w:t>כלל</w:t>
      </w:r>
      <w:r w:rsidRPr="00402509">
        <w:rPr>
          <w:rFonts w:ascii="David" w:hAnsi="David"/>
          <w:b/>
          <w:bCs/>
        </w:rPr>
        <w:t xml:space="preserve"> </w:t>
      </w:r>
      <w:r w:rsidRPr="00402509">
        <w:rPr>
          <w:rFonts w:ascii="Calibri" w:hAnsi="Calibri" w:hint="eastAsia"/>
          <w:b/>
          <w:bCs/>
          <w:rtl/>
        </w:rPr>
        <w:t>זה</w:t>
      </w:r>
      <w:r w:rsidRPr="00402509">
        <w:rPr>
          <w:rFonts w:ascii="David" w:hAnsi="David"/>
          <w:b/>
          <w:bCs/>
        </w:rPr>
        <w:t xml:space="preserve"> </w:t>
      </w:r>
      <w:r w:rsidRPr="00402509">
        <w:rPr>
          <w:rFonts w:ascii="Calibri" w:hAnsi="Calibri" w:hint="eastAsia"/>
          <w:b/>
          <w:bCs/>
          <w:rtl/>
        </w:rPr>
        <w:t>נועד</w:t>
      </w:r>
      <w:r w:rsidRPr="00402509">
        <w:rPr>
          <w:rFonts w:ascii="David" w:hAnsi="David"/>
          <w:b/>
          <w:bCs/>
        </w:rPr>
        <w:t xml:space="preserve"> </w:t>
      </w:r>
      <w:r w:rsidRPr="00402509">
        <w:rPr>
          <w:rFonts w:ascii="Calibri" w:hAnsi="Calibri" w:hint="eastAsia"/>
          <w:b/>
          <w:bCs/>
          <w:rtl/>
        </w:rPr>
        <w:t>כדי</w:t>
      </w:r>
      <w:r w:rsidRPr="00402509">
        <w:rPr>
          <w:rFonts w:ascii="David" w:hAnsi="David"/>
          <w:b/>
          <w:bCs/>
        </w:rPr>
        <w:t xml:space="preserve"> </w:t>
      </w:r>
      <w:r w:rsidRPr="00402509">
        <w:rPr>
          <w:rFonts w:ascii="Calibri" w:hAnsi="Calibri" w:hint="eastAsia"/>
          <w:b/>
          <w:bCs/>
          <w:rtl/>
        </w:rPr>
        <w:t>לתחום</w:t>
      </w:r>
      <w:r w:rsidRPr="00402509">
        <w:rPr>
          <w:rFonts w:ascii="David" w:hAnsi="David"/>
          <w:b/>
          <w:bCs/>
        </w:rPr>
        <w:t xml:space="preserve"> </w:t>
      </w:r>
      <w:r w:rsidRPr="00402509">
        <w:rPr>
          <w:rFonts w:ascii="Calibri" w:hAnsi="Calibri" w:hint="eastAsia"/>
          <w:b/>
          <w:bCs/>
          <w:rtl/>
        </w:rPr>
        <w:t>את</w:t>
      </w:r>
      <w:r w:rsidRPr="00402509">
        <w:rPr>
          <w:rFonts w:ascii="David" w:hAnsi="David"/>
          <w:b/>
          <w:bCs/>
        </w:rPr>
        <w:t xml:space="preserve"> </w:t>
      </w:r>
      <w:r w:rsidRPr="00402509">
        <w:rPr>
          <w:rFonts w:ascii="Calibri" w:hAnsi="Calibri" w:hint="eastAsia"/>
          <w:b/>
          <w:bCs/>
          <w:rtl/>
        </w:rPr>
        <w:t>הדיון</w:t>
      </w:r>
      <w:r w:rsidRPr="00402509">
        <w:rPr>
          <w:rFonts w:ascii="David" w:hAnsi="David"/>
          <w:b/>
          <w:bCs/>
        </w:rPr>
        <w:t xml:space="preserve"> </w:t>
      </w:r>
      <w:r w:rsidRPr="00402509">
        <w:rPr>
          <w:rFonts w:ascii="Calibri" w:hAnsi="Calibri" w:hint="eastAsia"/>
          <w:b/>
          <w:bCs/>
          <w:rtl/>
        </w:rPr>
        <w:t>בעניינו</w:t>
      </w:r>
      <w:r w:rsidRPr="00402509">
        <w:rPr>
          <w:rFonts w:ascii="David" w:hAnsi="David"/>
          <w:b/>
          <w:bCs/>
        </w:rPr>
        <w:t xml:space="preserve"> </w:t>
      </w:r>
      <w:r w:rsidRPr="00402509">
        <w:rPr>
          <w:rFonts w:ascii="Calibri" w:hAnsi="Calibri" w:hint="eastAsia"/>
          <w:b/>
          <w:bCs/>
          <w:rtl/>
        </w:rPr>
        <w:t>של</w:t>
      </w:r>
      <w:r w:rsidRPr="00402509">
        <w:rPr>
          <w:rFonts w:ascii="David" w:hAnsi="David"/>
          <w:b/>
          <w:bCs/>
        </w:rPr>
        <w:t xml:space="preserve"> </w:t>
      </w:r>
      <w:r w:rsidRPr="00402509">
        <w:rPr>
          <w:rFonts w:ascii="Calibri" w:hAnsi="Calibri" w:hint="eastAsia"/>
          <w:b/>
          <w:bCs/>
          <w:rtl/>
        </w:rPr>
        <w:t>הנאשם</w:t>
      </w:r>
      <w:r w:rsidRPr="00402509">
        <w:rPr>
          <w:rFonts w:ascii="David" w:hAnsi="David"/>
          <w:b/>
          <w:bCs/>
        </w:rPr>
        <w:t xml:space="preserve">. </w:t>
      </w:r>
      <w:r w:rsidRPr="00402509">
        <w:rPr>
          <w:rFonts w:ascii="Calibri" w:hAnsi="Calibri" w:hint="eastAsia"/>
          <w:b/>
          <w:bCs/>
          <w:rtl/>
        </w:rPr>
        <w:t>במיוחד</w:t>
      </w:r>
      <w:r w:rsidRPr="00402509">
        <w:rPr>
          <w:rFonts w:ascii="David" w:hAnsi="David"/>
          <w:b/>
          <w:bCs/>
        </w:rPr>
        <w:t xml:space="preserve"> </w:t>
      </w:r>
      <w:r w:rsidRPr="00402509">
        <w:rPr>
          <w:rFonts w:ascii="Calibri" w:hAnsi="Calibri" w:hint="eastAsia"/>
          <w:b/>
          <w:bCs/>
          <w:rtl/>
        </w:rPr>
        <w:t>קיימת</w:t>
      </w:r>
      <w:r w:rsidRPr="00402509">
        <w:rPr>
          <w:rFonts w:ascii="David" w:hAnsi="David"/>
          <w:b/>
          <w:bCs/>
        </w:rPr>
        <w:t xml:space="preserve"> </w:t>
      </w:r>
      <w:r w:rsidRPr="00402509">
        <w:rPr>
          <w:rFonts w:ascii="Calibri" w:hAnsi="Calibri" w:hint="eastAsia"/>
          <w:b/>
          <w:bCs/>
          <w:rtl/>
        </w:rPr>
        <w:t>הצדקה</w:t>
      </w:r>
      <w:r w:rsidRPr="00402509">
        <w:rPr>
          <w:rFonts w:ascii="David" w:hAnsi="David"/>
          <w:b/>
          <w:bCs/>
        </w:rPr>
        <w:t xml:space="preserve"> </w:t>
      </w:r>
      <w:r w:rsidRPr="00402509">
        <w:rPr>
          <w:rFonts w:ascii="Calibri" w:hAnsi="Calibri" w:hint="eastAsia"/>
          <w:b/>
          <w:bCs/>
          <w:rtl/>
        </w:rPr>
        <w:t>לכלל</w:t>
      </w:r>
      <w:r w:rsidRPr="00402509">
        <w:rPr>
          <w:rFonts w:ascii="David" w:hAnsi="David"/>
          <w:b/>
          <w:bCs/>
        </w:rPr>
        <w:t xml:space="preserve"> </w:t>
      </w:r>
      <w:r w:rsidRPr="00402509">
        <w:rPr>
          <w:rFonts w:ascii="Calibri" w:hAnsi="Calibri" w:hint="eastAsia"/>
          <w:b/>
          <w:bCs/>
          <w:rtl/>
        </w:rPr>
        <w:t>זה</w:t>
      </w:r>
      <w:r w:rsidRPr="00402509">
        <w:rPr>
          <w:rFonts w:ascii="David" w:hAnsi="David"/>
          <w:b/>
          <w:bCs/>
        </w:rPr>
        <w:t xml:space="preserve">, </w:t>
      </w:r>
      <w:r w:rsidRPr="00402509">
        <w:rPr>
          <w:rFonts w:ascii="Calibri" w:hAnsi="Calibri" w:hint="eastAsia"/>
          <w:b/>
          <w:bCs/>
          <w:rtl/>
        </w:rPr>
        <w:t>שעה</w:t>
      </w:r>
      <w:r w:rsidRPr="00402509">
        <w:rPr>
          <w:rFonts w:ascii="David" w:hAnsi="David"/>
          <w:b/>
          <w:bCs/>
        </w:rPr>
        <w:t xml:space="preserve"> </w:t>
      </w:r>
      <w:r w:rsidRPr="00402509">
        <w:rPr>
          <w:rFonts w:ascii="Calibri" w:hAnsi="Calibri" w:hint="eastAsia"/>
          <w:b/>
          <w:bCs/>
          <w:rtl/>
        </w:rPr>
        <w:t>שמדובר</w:t>
      </w:r>
      <w:r w:rsidRPr="00402509">
        <w:rPr>
          <w:rFonts w:ascii="David" w:hAnsi="David"/>
          <w:b/>
          <w:bCs/>
        </w:rPr>
        <w:t xml:space="preserve"> </w:t>
      </w:r>
      <w:r w:rsidRPr="00402509">
        <w:rPr>
          <w:rFonts w:ascii="Calibri" w:hAnsi="Calibri" w:hint="eastAsia"/>
          <w:b/>
          <w:bCs/>
          <w:rtl/>
        </w:rPr>
        <w:t>בכתב</w:t>
      </w:r>
      <w:r w:rsidRPr="00402509">
        <w:rPr>
          <w:rFonts w:ascii="David" w:hAnsi="David"/>
          <w:b/>
          <w:bCs/>
        </w:rPr>
        <w:t xml:space="preserve"> </w:t>
      </w:r>
      <w:r w:rsidRPr="00402509">
        <w:rPr>
          <w:rFonts w:ascii="Calibri" w:hAnsi="Calibri" w:hint="eastAsia"/>
          <w:b/>
          <w:bCs/>
          <w:rtl/>
        </w:rPr>
        <w:t>אישום</w:t>
      </w:r>
      <w:r w:rsidRPr="00402509">
        <w:rPr>
          <w:rFonts w:ascii="David" w:hAnsi="David"/>
          <w:b/>
          <w:bCs/>
        </w:rPr>
        <w:t xml:space="preserve"> </w:t>
      </w:r>
      <w:r w:rsidRPr="00402509">
        <w:rPr>
          <w:rFonts w:ascii="Calibri" w:hAnsi="Calibri" w:hint="eastAsia"/>
          <w:b/>
          <w:bCs/>
          <w:rtl/>
        </w:rPr>
        <w:t>שתוקן</w:t>
      </w:r>
      <w:r w:rsidRPr="00402509">
        <w:rPr>
          <w:rFonts w:ascii="David" w:hAnsi="David"/>
          <w:b/>
          <w:bCs/>
        </w:rPr>
        <w:t xml:space="preserve"> </w:t>
      </w:r>
      <w:r w:rsidRPr="00402509">
        <w:rPr>
          <w:rFonts w:ascii="Calibri" w:hAnsi="Calibri" w:hint="eastAsia"/>
          <w:b/>
          <w:bCs/>
          <w:rtl/>
        </w:rPr>
        <w:t>במסגרת</w:t>
      </w:r>
      <w:r w:rsidRPr="00402509">
        <w:rPr>
          <w:rFonts w:ascii="David" w:hAnsi="David"/>
          <w:b/>
          <w:bCs/>
        </w:rPr>
        <w:t xml:space="preserve"> </w:t>
      </w:r>
      <w:r w:rsidRPr="00402509">
        <w:rPr>
          <w:rFonts w:ascii="Calibri" w:hAnsi="Calibri" w:hint="eastAsia"/>
          <w:b/>
          <w:bCs/>
          <w:rtl/>
        </w:rPr>
        <w:t>הסדר</w:t>
      </w:r>
      <w:r w:rsidRPr="00402509">
        <w:rPr>
          <w:rFonts w:ascii="David" w:hAnsi="David"/>
          <w:b/>
          <w:bCs/>
        </w:rPr>
        <w:t xml:space="preserve"> </w:t>
      </w:r>
      <w:r w:rsidRPr="00402509">
        <w:rPr>
          <w:rFonts w:ascii="Calibri" w:hAnsi="Calibri" w:hint="eastAsia"/>
          <w:b/>
          <w:bCs/>
          <w:rtl/>
        </w:rPr>
        <w:t>טיעון</w:t>
      </w:r>
      <w:r w:rsidRPr="00402509">
        <w:rPr>
          <w:rFonts w:ascii="David" w:hAnsi="David"/>
          <w:b/>
          <w:bCs/>
        </w:rPr>
        <w:t xml:space="preserve"> – </w:t>
      </w:r>
      <w:r w:rsidRPr="00402509">
        <w:rPr>
          <w:rFonts w:ascii="Calibri" w:hAnsi="Calibri" w:hint="eastAsia"/>
          <w:b/>
          <w:bCs/>
          <w:rtl/>
        </w:rPr>
        <w:t>שכן</w:t>
      </w:r>
      <w:r w:rsidRPr="00402509">
        <w:rPr>
          <w:rFonts w:ascii="David" w:hAnsi="David"/>
          <w:b/>
          <w:bCs/>
        </w:rPr>
        <w:t xml:space="preserve"> </w:t>
      </w:r>
      <w:r w:rsidRPr="00402509">
        <w:rPr>
          <w:rFonts w:ascii="Calibri" w:hAnsi="Calibri" w:hint="eastAsia"/>
          <w:b/>
          <w:bCs/>
          <w:rtl/>
        </w:rPr>
        <w:t>במקרים</w:t>
      </w:r>
      <w:r w:rsidRPr="00402509">
        <w:rPr>
          <w:rFonts w:ascii="David" w:hAnsi="David"/>
          <w:b/>
          <w:bCs/>
        </w:rPr>
        <w:t xml:space="preserve"> </w:t>
      </w:r>
      <w:r w:rsidRPr="00402509">
        <w:rPr>
          <w:rFonts w:ascii="Calibri" w:hAnsi="Calibri" w:hint="eastAsia"/>
          <w:b/>
          <w:bCs/>
          <w:rtl/>
        </w:rPr>
        <w:t>אלה</w:t>
      </w:r>
      <w:r w:rsidRPr="00402509">
        <w:rPr>
          <w:rFonts w:ascii="David" w:hAnsi="David"/>
          <w:b/>
          <w:bCs/>
        </w:rPr>
        <w:t xml:space="preserve"> </w:t>
      </w:r>
      <w:r w:rsidRPr="00402509">
        <w:rPr>
          <w:rFonts w:ascii="Calibri" w:hAnsi="Calibri" w:hint="eastAsia"/>
          <w:b/>
          <w:bCs/>
          <w:rtl/>
        </w:rPr>
        <w:t>הסדר</w:t>
      </w:r>
      <w:r w:rsidRPr="00402509">
        <w:rPr>
          <w:rFonts w:ascii="David" w:hAnsi="David"/>
          <w:b/>
          <w:bCs/>
        </w:rPr>
        <w:t xml:space="preserve"> </w:t>
      </w:r>
      <w:r w:rsidRPr="00402509">
        <w:rPr>
          <w:rFonts w:ascii="Calibri" w:hAnsi="Calibri" w:hint="eastAsia"/>
          <w:b/>
          <w:bCs/>
          <w:rtl/>
        </w:rPr>
        <w:t>הטיעון</w:t>
      </w:r>
      <w:r w:rsidRPr="00402509">
        <w:rPr>
          <w:rFonts w:ascii="David" w:hAnsi="David"/>
          <w:b/>
          <w:bCs/>
        </w:rPr>
        <w:t xml:space="preserve"> </w:t>
      </w:r>
      <w:r w:rsidRPr="00402509">
        <w:rPr>
          <w:rFonts w:ascii="Calibri" w:hAnsi="Calibri" w:hint="eastAsia"/>
          <w:b/>
          <w:bCs/>
          <w:rtl/>
        </w:rPr>
        <w:t>וכתב</w:t>
      </w:r>
      <w:r w:rsidRPr="00402509">
        <w:rPr>
          <w:rFonts w:ascii="David" w:hAnsi="David"/>
          <w:b/>
          <w:bCs/>
        </w:rPr>
        <w:t xml:space="preserve"> </w:t>
      </w:r>
      <w:r w:rsidRPr="00402509">
        <w:rPr>
          <w:rFonts w:ascii="Calibri" w:hAnsi="Calibri" w:hint="eastAsia"/>
          <w:b/>
          <w:bCs/>
          <w:rtl/>
        </w:rPr>
        <w:t>האישום</w:t>
      </w:r>
      <w:r w:rsidRPr="00402509">
        <w:rPr>
          <w:rFonts w:ascii="David" w:hAnsi="David"/>
          <w:b/>
          <w:bCs/>
        </w:rPr>
        <w:t xml:space="preserve"> </w:t>
      </w:r>
      <w:r w:rsidRPr="00402509">
        <w:rPr>
          <w:rFonts w:ascii="Calibri" w:hAnsi="Calibri" w:hint="eastAsia"/>
          <w:b/>
          <w:bCs/>
          <w:rtl/>
        </w:rPr>
        <w:t>שתוקן</w:t>
      </w:r>
      <w:r w:rsidRPr="00402509">
        <w:rPr>
          <w:rFonts w:ascii="David" w:hAnsi="David"/>
          <w:b/>
          <w:bCs/>
        </w:rPr>
        <w:t xml:space="preserve"> </w:t>
      </w:r>
      <w:r w:rsidRPr="00402509">
        <w:rPr>
          <w:rFonts w:ascii="Calibri" w:hAnsi="Calibri" w:hint="eastAsia"/>
          <w:b/>
          <w:bCs/>
          <w:rtl/>
        </w:rPr>
        <w:t>במסגרתו</w:t>
      </w:r>
      <w:r w:rsidRPr="00402509">
        <w:rPr>
          <w:rFonts w:ascii="David" w:hAnsi="David"/>
          <w:b/>
          <w:bCs/>
        </w:rPr>
        <w:t xml:space="preserve">, </w:t>
      </w:r>
      <w:r w:rsidRPr="00402509">
        <w:rPr>
          <w:rFonts w:ascii="Calibri" w:hAnsi="Calibri" w:hint="eastAsia"/>
          <w:b/>
          <w:bCs/>
          <w:rtl/>
        </w:rPr>
        <w:t>משקפים</w:t>
      </w:r>
      <w:r w:rsidRPr="00402509">
        <w:rPr>
          <w:rFonts w:ascii="David" w:hAnsi="David"/>
          <w:b/>
          <w:bCs/>
        </w:rPr>
        <w:t xml:space="preserve"> </w:t>
      </w:r>
      <w:r w:rsidRPr="00402509">
        <w:rPr>
          <w:rFonts w:ascii="Calibri" w:hAnsi="Calibri" w:hint="eastAsia"/>
          <w:b/>
          <w:bCs/>
          <w:rtl/>
        </w:rPr>
        <w:t>את</w:t>
      </w:r>
      <w:r w:rsidRPr="00402509">
        <w:rPr>
          <w:rFonts w:ascii="David" w:hAnsi="David"/>
          <w:b/>
          <w:bCs/>
        </w:rPr>
        <w:t xml:space="preserve"> </w:t>
      </w:r>
      <w:r w:rsidRPr="00402509">
        <w:rPr>
          <w:rFonts w:ascii="Calibri" w:hAnsi="Calibri" w:hint="eastAsia"/>
          <w:b/>
          <w:bCs/>
          <w:rtl/>
        </w:rPr>
        <w:t>ההסכמות</w:t>
      </w:r>
      <w:r w:rsidRPr="00402509">
        <w:rPr>
          <w:rFonts w:ascii="David" w:hAnsi="David"/>
          <w:b/>
          <w:bCs/>
        </w:rPr>
        <w:t xml:space="preserve"> </w:t>
      </w:r>
      <w:r w:rsidRPr="00402509">
        <w:rPr>
          <w:rFonts w:ascii="Calibri" w:hAnsi="Calibri" w:hint="eastAsia"/>
          <w:b/>
          <w:bCs/>
          <w:rtl/>
        </w:rPr>
        <w:t>שאליהן</w:t>
      </w:r>
      <w:r w:rsidRPr="00402509">
        <w:rPr>
          <w:rFonts w:ascii="David" w:hAnsi="David"/>
          <w:b/>
          <w:bCs/>
        </w:rPr>
        <w:t xml:space="preserve"> </w:t>
      </w:r>
      <w:r w:rsidRPr="00402509">
        <w:rPr>
          <w:rFonts w:ascii="Calibri" w:hAnsi="Calibri" w:hint="eastAsia"/>
          <w:b/>
          <w:bCs/>
          <w:rtl/>
        </w:rPr>
        <w:t>הגיעו</w:t>
      </w:r>
      <w:r w:rsidRPr="00402509">
        <w:rPr>
          <w:rFonts w:ascii="David" w:hAnsi="David"/>
          <w:b/>
          <w:bCs/>
        </w:rPr>
        <w:t xml:space="preserve"> </w:t>
      </w:r>
      <w:r w:rsidRPr="00402509">
        <w:rPr>
          <w:rFonts w:ascii="Calibri" w:hAnsi="Calibri" w:hint="eastAsia"/>
          <w:b/>
          <w:bCs/>
          <w:rtl/>
        </w:rPr>
        <w:t>הצדדים</w:t>
      </w:r>
      <w:r w:rsidRPr="00402509">
        <w:rPr>
          <w:rFonts w:ascii="Calibri" w:hAnsi="Calibri"/>
          <w:b/>
          <w:bCs/>
          <w:rtl/>
        </w:rPr>
        <w:t>...</w:t>
      </w:r>
      <w:r w:rsidRPr="00402509">
        <w:rPr>
          <w:rFonts w:ascii="Calibri" w:hAnsi="Calibri" w:hint="eastAsia"/>
          <w:b/>
          <w:bCs/>
          <w:rtl/>
        </w:rPr>
        <w:t>בהינתן</w:t>
      </w:r>
      <w:r w:rsidRPr="00402509">
        <w:rPr>
          <w:rFonts w:ascii="David" w:hAnsi="David"/>
          <w:b/>
          <w:bCs/>
        </w:rPr>
        <w:t xml:space="preserve"> </w:t>
      </w:r>
      <w:r w:rsidRPr="00402509">
        <w:rPr>
          <w:rFonts w:ascii="Calibri" w:hAnsi="Calibri" w:hint="eastAsia"/>
          <w:b/>
          <w:bCs/>
          <w:rtl/>
        </w:rPr>
        <w:t>הכלל</w:t>
      </w:r>
      <w:r w:rsidRPr="00402509">
        <w:rPr>
          <w:rFonts w:ascii="David" w:hAnsi="David"/>
          <w:b/>
          <w:bCs/>
        </w:rPr>
        <w:t xml:space="preserve"> </w:t>
      </w:r>
      <w:r w:rsidRPr="00402509">
        <w:rPr>
          <w:rFonts w:ascii="Calibri" w:hAnsi="Calibri" w:hint="eastAsia"/>
          <w:b/>
          <w:bCs/>
          <w:rtl/>
        </w:rPr>
        <w:t>האמור</w:t>
      </w:r>
      <w:r w:rsidRPr="00402509">
        <w:rPr>
          <w:rFonts w:ascii="David" w:hAnsi="David"/>
          <w:b/>
          <w:bCs/>
        </w:rPr>
        <w:t xml:space="preserve">, </w:t>
      </w:r>
      <w:r w:rsidRPr="00402509">
        <w:rPr>
          <w:rFonts w:ascii="Calibri" w:hAnsi="Calibri" w:hint="eastAsia"/>
          <w:b/>
          <w:bCs/>
          <w:rtl/>
        </w:rPr>
        <w:t>כאשר</w:t>
      </w:r>
      <w:r w:rsidRPr="00402509">
        <w:rPr>
          <w:rFonts w:ascii="David" w:hAnsi="David"/>
          <w:b/>
          <w:bCs/>
        </w:rPr>
        <w:t xml:space="preserve"> </w:t>
      </w:r>
      <w:r w:rsidRPr="00402509">
        <w:rPr>
          <w:rFonts w:ascii="Calibri" w:hAnsi="Calibri" w:hint="eastAsia"/>
          <w:b/>
          <w:bCs/>
          <w:rtl/>
        </w:rPr>
        <w:t>נאשם</w:t>
      </w:r>
      <w:r w:rsidRPr="00402509">
        <w:rPr>
          <w:rFonts w:ascii="David" w:hAnsi="David"/>
          <w:b/>
          <w:bCs/>
        </w:rPr>
        <w:t xml:space="preserve"> </w:t>
      </w:r>
      <w:r w:rsidRPr="00402509">
        <w:rPr>
          <w:rFonts w:ascii="Calibri" w:hAnsi="Calibri" w:hint="eastAsia"/>
          <w:b/>
          <w:bCs/>
          <w:rtl/>
        </w:rPr>
        <w:t>מודה</w:t>
      </w:r>
      <w:r w:rsidRPr="00402509">
        <w:rPr>
          <w:rFonts w:ascii="David" w:hAnsi="David"/>
          <w:b/>
          <w:bCs/>
        </w:rPr>
        <w:t xml:space="preserve"> </w:t>
      </w:r>
      <w:r w:rsidRPr="00402509">
        <w:rPr>
          <w:rFonts w:ascii="Calibri" w:hAnsi="Calibri" w:hint="eastAsia"/>
          <w:b/>
          <w:bCs/>
          <w:rtl/>
        </w:rPr>
        <w:t>בעובדות</w:t>
      </w:r>
      <w:r w:rsidRPr="00402509">
        <w:rPr>
          <w:rFonts w:ascii="David" w:hAnsi="David"/>
          <w:b/>
          <w:bCs/>
        </w:rPr>
        <w:t xml:space="preserve"> </w:t>
      </w:r>
      <w:r w:rsidRPr="00402509">
        <w:rPr>
          <w:rFonts w:ascii="Calibri" w:hAnsi="Calibri" w:hint="eastAsia"/>
          <w:b/>
          <w:bCs/>
          <w:rtl/>
        </w:rPr>
        <w:t>ובנסיבות</w:t>
      </w:r>
      <w:r w:rsidRPr="00402509">
        <w:rPr>
          <w:rFonts w:ascii="David" w:hAnsi="David"/>
          <w:b/>
          <w:bCs/>
        </w:rPr>
        <w:t xml:space="preserve"> </w:t>
      </w:r>
      <w:r w:rsidRPr="00402509">
        <w:rPr>
          <w:rFonts w:ascii="Calibri" w:hAnsi="Calibri" w:hint="eastAsia"/>
          <w:b/>
          <w:bCs/>
          <w:rtl/>
        </w:rPr>
        <w:t>במסגרת</w:t>
      </w:r>
      <w:r w:rsidRPr="00402509">
        <w:rPr>
          <w:rFonts w:ascii="David" w:hAnsi="David"/>
          <w:b/>
          <w:bCs/>
        </w:rPr>
        <w:t xml:space="preserve"> </w:t>
      </w:r>
      <w:r w:rsidRPr="00402509">
        <w:rPr>
          <w:rFonts w:ascii="Calibri" w:hAnsi="Calibri" w:hint="eastAsia"/>
          <w:b/>
          <w:bCs/>
          <w:rtl/>
        </w:rPr>
        <w:t>הסדר</w:t>
      </w:r>
      <w:r w:rsidRPr="00402509">
        <w:rPr>
          <w:rFonts w:ascii="David" w:hAnsi="David"/>
          <w:b/>
          <w:bCs/>
        </w:rPr>
        <w:t xml:space="preserve"> </w:t>
      </w:r>
      <w:r w:rsidRPr="00402509">
        <w:rPr>
          <w:rFonts w:ascii="Calibri" w:hAnsi="Calibri" w:hint="eastAsia"/>
          <w:b/>
          <w:bCs/>
          <w:rtl/>
        </w:rPr>
        <w:t>טיעון</w:t>
      </w:r>
      <w:r w:rsidRPr="00402509">
        <w:rPr>
          <w:rFonts w:ascii="David" w:hAnsi="David"/>
          <w:b/>
          <w:bCs/>
        </w:rPr>
        <w:t xml:space="preserve"> </w:t>
      </w:r>
      <w:r w:rsidRPr="00402509">
        <w:rPr>
          <w:rFonts w:ascii="Calibri" w:hAnsi="Calibri" w:hint="eastAsia"/>
          <w:b/>
          <w:bCs/>
          <w:rtl/>
        </w:rPr>
        <w:t>וכתב</w:t>
      </w:r>
      <w:r w:rsidRPr="00402509">
        <w:rPr>
          <w:rFonts w:ascii="David" w:hAnsi="David"/>
          <w:b/>
          <w:bCs/>
        </w:rPr>
        <w:t xml:space="preserve"> </w:t>
      </w:r>
      <w:r w:rsidRPr="00402509">
        <w:rPr>
          <w:rFonts w:ascii="Calibri" w:hAnsi="Calibri" w:hint="eastAsia"/>
          <w:b/>
          <w:bCs/>
          <w:rtl/>
        </w:rPr>
        <w:t>האישום</w:t>
      </w:r>
      <w:r w:rsidRPr="00402509">
        <w:rPr>
          <w:rFonts w:ascii="David" w:hAnsi="David"/>
          <w:b/>
          <w:bCs/>
        </w:rPr>
        <w:t xml:space="preserve"> </w:t>
      </w:r>
      <w:r w:rsidRPr="00402509">
        <w:rPr>
          <w:rFonts w:ascii="Calibri" w:hAnsi="Calibri" w:hint="eastAsia"/>
          <w:b/>
          <w:bCs/>
          <w:rtl/>
        </w:rPr>
        <w:t>מתוקן</w:t>
      </w:r>
      <w:r w:rsidRPr="00402509">
        <w:rPr>
          <w:rFonts w:ascii="David" w:hAnsi="David"/>
          <w:b/>
          <w:bCs/>
        </w:rPr>
        <w:t xml:space="preserve"> </w:t>
      </w:r>
      <w:r w:rsidRPr="00402509">
        <w:rPr>
          <w:rFonts w:ascii="Calibri" w:hAnsi="Calibri" w:hint="eastAsia"/>
          <w:b/>
          <w:bCs/>
          <w:rtl/>
        </w:rPr>
        <w:t>בהתאם</w:t>
      </w:r>
      <w:r w:rsidRPr="00402509">
        <w:rPr>
          <w:rFonts w:ascii="David" w:hAnsi="David"/>
          <w:b/>
          <w:bCs/>
        </w:rPr>
        <w:t xml:space="preserve"> – </w:t>
      </w:r>
      <w:r w:rsidRPr="00402509">
        <w:rPr>
          <w:rFonts w:ascii="Calibri" w:hAnsi="Calibri" w:hint="eastAsia"/>
          <w:b/>
          <w:bCs/>
          <w:rtl/>
        </w:rPr>
        <w:t>שומה</w:t>
      </w:r>
      <w:r w:rsidRPr="00402509">
        <w:rPr>
          <w:rFonts w:ascii="David" w:hAnsi="David"/>
          <w:b/>
          <w:bCs/>
        </w:rPr>
        <w:t xml:space="preserve"> </w:t>
      </w:r>
      <w:r w:rsidRPr="00402509">
        <w:rPr>
          <w:rFonts w:ascii="Calibri" w:hAnsi="Calibri" w:hint="eastAsia"/>
          <w:b/>
          <w:bCs/>
          <w:rtl/>
        </w:rPr>
        <w:t>על</w:t>
      </w:r>
      <w:r w:rsidRPr="00402509">
        <w:rPr>
          <w:rFonts w:ascii="David" w:hAnsi="David"/>
          <w:b/>
          <w:bCs/>
        </w:rPr>
        <w:t xml:space="preserve"> </w:t>
      </w:r>
      <w:r w:rsidRPr="00402509">
        <w:rPr>
          <w:rFonts w:ascii="Calibri" w:hAnsi="Calibri" w:hint="eastAsia"/>
          <w:b/>
          <w:bCs/>
          <w:rtl/>
        </w:rPr>
        <w:t>הערכאה</w:t>
      </w:r>
      <w:r w:rsidRPr="00402509">
        <w:rPr>
          <w:rFonts w:ascii="David" w:hAnsi="David"/>
          <w:b/>
          <w:bCs/>
        </w:rPr>
        <w:t xml:space="preserve"> </w:t>
      </w:r>
      <w:r w:rsidRPr="00402509">
        <w:rPr>
          <w:rFonts w:ascii="Calibri" w:hAnsi="Calibri" w:hint="eastAsia"/>
          <w:b/>
          <w:bCs/>
          <w:rtl/>
        </w:rPr>
        <w:t>הדיונית</w:t>
      </w:r>
      <w:r w:rsidRPr="00402509">
        <w:rPr>
          <w:rFonts w:ascii="David" w:hAnsi="David"/>
          <w:b/>
          <w:bCs/>
        </w:rPr>
        <w:t xml:space="preserve"> </w:t>
      </w:r>
      <w:r w:rsidRPr="00402509">
        <w:rPr>
          <w:rFonts w:ascii="Calibri" w:hAnsi="Calibri" w:hint="eastAsia"/>
          <w:b/>
          <w:bCs/>
          <w:rtl/>
        </w:rPr>
        <w:t>להביא</w:t>
      </w:r>
      <w:r w:rsidRPr="00402509">
        <w:rPr>
          <w:rFonts w:ascii="David" w:hAnsi="David"/>
          <w:b/>
          <w:bCs/>
        </w:rPr>
        <w:t xml:space="preserve"> </w:t>
      </w:r>
      <w:r w:rsidRPr="00402509">
        <w:rPr>
          <w:rFonts w:ascii="Calibri" w:hAnsi="Calibri" w:hint="eastAsia"/>
          <w:b/>
          <w:bCs/>
          <w:rtl/>
        </w:rPr>
        <w:t>בחשבון</w:t>
      </w:r>
      <w:r w:rsidRPr="00402509">
        <w:rPr>
          <w:rFonts w:ascii="David" w:hAnsi="David"/>
          <w:b/>
          <w:bCs/>
        </w:rPr>
        <w:t xml:space="preserve"> </w:t>
      </w:r>
      <w:r w:rsidRPr="00402509">
        <w:rPr>
          <w:rFonts w:ascii="Calibri" w:hAnsi="Calibri" w:hint="eastAsia"/>
          <w:b/>
          <w:bCs/>
          <w:rtl/>
        </w:rPr>
        <w:t>רק</w:t>
      </w:r>
      <w:r w:rsidRPr="00402509">
        <w:rPr>
          <w:rFonts w:ascii="David" w:hAnsi="David"/>
          <w:b/>
          <w:bCs/>
        </w:rPr>
        <w:t xml:space="preserve"> </w:t>
      </w:r>
      <w:r w:rsidRPr="00402509">
        <w:rPr>
          <w:rFonts w:ascii="Calibri" w:hAnsi="Calibri" w:hint="eastAsia"/>
          <w:b/>
          <w:bCs/>
          <w:rtl/>
        </w:rPr>
        <w:t>את</w:t>
      </w:r>
      <w:r w:rsidRPr="00402509">
        <w:rPr>
          <w:rFonts w:ascii="David" w:hAnsi="David"/>
          <w:b/>
          <w:bCs/>
        </w:rPr>
        <w:t xml:space="preserve"> </w:t>
      </w:r>
      <w:r w:rsidRPr="00402509">
        <w:rPr>
          <w:rFonts w:ascii="Calibri" w:hAnsi="Calibri" w:hint="eastAsia"/>
          <w:b/>
          <w:bCs/>
          <w:rtl/>
        </w:rPr>
        <w:t>אותן</w:t>
      </w:r>
      <w:r w:rsidRPr="00402509">
        <w:rPr>
          <w:rFonts w:ascii="David" w:hAnsi="David"/>
          <w:b/>
          <w:bCs/>
        </w:rPr>
        <w:t xml:space="preserve"> </w:t>
      </w:r>
      <w:r w:rsidRPr="00402509">
        <w:rPr>
          <w:rFonts w:ascii="Calibri" w:hAnsi="Calibri" w:hint="eastAsia"/>
          <w:b/>
          <w:bCs/>
          <w:rtl/>
        </w:rPr>
        <w:t>עובדות</w:t>
      </w:r>
      <w:r w:rsidRPr="00402509">
        <w:rPr>
          <w:rFonts w:ascii="David" w:hAnsi="David"/>
          <w:b/>
          <w:bCs/>
        </w:rPr>
        <w:t xml:space="preserve"> </w:t>
      </w:r>
      <w:r w:rsidRPr="00402509">
        <w:rPr>
          <w:rFonts w:ascii="Calibri" w:hAnsi="Calibri" w:hint="eastAsia"/>
          <w:b/>
          <w:bCs/>
          <w:rtl/>
        </w:rPr>
        <w:t>ונסיבות</w:t>
      </w:r>
      <w:r w:rsidRPr="00402509">
        <w:rPr>
          <w:rFonts w:ascii="David" w:hAnsi="David"/>
          <w:b/>
          <w:bCs/>
        </w:rPr>
        <w:t xml:space="preserve"> </w:t>
      </w:r>
      <w:r w:rsidRPr="00402509">
        <w:rPr>
          <w:rFonts w:ascii="Calibri" w:hAnsi="Calibri" w:hint="eastAsia"/>
          <w:b/>
          <w:bCs/>
          <w:rtl/>
        </w:rPr>
        <w:t>שפורטו</w:t>
      </w:r>
      <w:r w:rsidRPr="00402509">
        <w:rPr>
          <w:rFonts w:ascii="David" w:hAnsi="David"/>
          <w:b/>
          <w:bCs/>
        </w:rPr>
        <w:t xml:space="preserve"> </w:t>
      </w:r>
      <w:r w:rsidRPr="00402509">
        <w:rPr>
          <w:rFonts w:ascii="Calibri" w:hAnsi="Calibri" w:hint="eastAsia"/>
          <w:b/>
          <w:bCs/>
          <w:rtl/>
        </w:rPr>
        <w:t>בכתב</w:t>
      </w:r>
      <w:r w:rsidRPr="00402509">
        <w:rPr>
          <w:rFonts w:ascii="David" w:hAnsi="David"/>
          <w:b/>
          <w:bCs/>
        </w:rPr>
        <w:t xml:space="preserve"> </w:t>
      </w:r>
      <w:r w:rsidRPr="00402509">
        <w:rPr>
          <w:rFonts w:ascii="Calibri" w:hAnsi="Calibri" w:hint="eastAsia"/>
          <w:b/>
          <w:bCs/>
          <w:rtl/>
        </w:rPr>
        <w:t>האישום</w:t>
      </w:r>
      <w:r w:rsidRPr="00402509">
        <w:rPr>
          <w:rFonts w:ascii="David" w:hAnsi="David"/>
          <w:b/>
          <w:bCs/>
        </w:rPr>
        <w:t xml:space="preserve"> </w:t>
      </w:r>
      <w:r w:rsidRPr="00402509">
        <w:rPr>
          <w:rFonts w:ascii="Calibri" w:hAnsi="Calibri" w:hint="eastAsia"/>
          <w:b/>
          <w:bCs/>
          <w:rtl/>
        </w:rPr>
        <w:t>המתוקן</w:t>
      </w:r>
      <w:r w:rsidRPr="00402509">
        <w:rPr>
          <w:rFonts w:ascii="David" w:hAnsi="David"/>
          <w:b/>
          <w:bCs/>
        </w:rPr>
        <w:t xml:space="preserve"> </w:t>
      </w:r>
      <w:r w:rsidRPr="00402509">
        <w:rPr>
          <w:rFonts w:ascii="Calibri" w:hAnsi="Calibri" w:hint="eastAsia"/>
          <w:b/>
          <w:bCs/>
          <w:rtl/>
        </w:rPr>
        <w:t>ושבהן</w:t>
      </w:r>
      <w:r w:rsidRPr="00402509">
        <w:rPr>
          <w:rFonts w:ascii="David" w:hAnsi="David"/>
          <w:b/>
          <w:bCs/>
        </w:rPr>
        <w:t xml:space="preserve"> </w:t>
      </w:r>
      <w:r w:rsidRPr="00402509">
        <w:rPr>
          <w:rFonts w:ascii="Calibri" w:hAnsi="Calibri" w:hint="eastAsia"/>
          <w:b/>
          <w:bCs/>
          <w:rtl/>
        </w:rPr>
        <w:t>הודה</w:t>
      </w:r>
      <w:r w:rsidRPr="00402509">
        <w:rPr>
          <w:rFonts w:ascii="David" w:hAnsi="David"/>
          <w:b/>
          <w:bCs/>
        </w:rPr>
        <w:t xml:space="preserve"> </w:t>
      </w:r>
      <w:r w:rsidRPr="00402509">
        <w:rPr>
          <w:rFonts w:ascii="Calibri" w:hAnsi="Calibri" w:hint="eastAsia"/>
          <w:b/>
          <w:bCs/>
          <w:rtl/>
        </w:rPr>
        <w:t>הנאשם</w:t>
      </w:r>
      <w:r w:rsidRPr="00402509">
        <w:rPr>
          <w:rFonts w:ascii="David" w:hAnsi="David"/>
          <w:b/>
          <w:bCs/>
        </w:rPr>
        <w:t xml:space="preserve"> </w:t>
      </w:r>
      <w:r w:rsidRPr="00402509">
        <w:rPr>
          <w:rFonts w:ascii="Calibri" w:hAnsi="Calibri" w:hint="eastAsia"/>
          <w:b/>
          <w:bCs/>
          <w:rtl/>
        </w:rPr>
        <w:t>לצרכי</w:t>
      </w:r>
      <w:r w:rsidRPr="00402509">
        <w:rPr>
          <w:rFonts w:ascii="David" w:hAnsi="David"/>
          <w:b/>
          <w:bCs/>
        </w:rPr>
        <w:t xml:space="preserve"> </w:t>
      </w:r>
      <w:r w:rsidRPr="00402509">
        <w:rPr>
          <w:rFonts w:ascii="Calibri" w:hAnsi="Calibri" w:hint="eastAsia"/>
          <w:b/>
          <w:bCs/>
          <w:rtl/>
        </w:rPr>
        <w:t>הסדר</w:t>
      </w:r>
      <w:r w:rsidRPr="00402509">
        <w:rPr>
          <w:rFonts w:ascii="David" w:hAnsi="David"/>
          <w:b/>
          <w:bCs/>
        </w:rPr>
        <w:t xml:space="preserve"> </w:t>
      </w:r>
      <w:r w:rsidRPr="00402509">
        <w:rPr>
          <w:rFonts w:ascii="Calibri" w:hAnsi="Calibri" w:hint="eastAsia"/>
          <w:b/>
          <w:bCs/>
          <w:rtl/>
        </w:rPr>
        <w:t>הטיעון</w:t>
      </w:r>
      <w:r w:rsidRPr="00402509">
        <w:rPr>
          <w:rFonts w:ascii="David" w:hAnsi="David"/>
          <w:b/>
          <w:bCs/>
        </w:rPr>
        <w:t xml:space="preserve">. </w:t>
      </w:r>
      <w:r w:rsidRPr="00402509">
        <w:rPr>
          <w:rFonts w:ascii="Calibri" w:hAnsi="Calibri" w:hint="eastAsia"/>
          <w:b/>
          <w:bCs/>
          <w:rtl/>
        </w:rPr>
        <w:t>אל</w:t>
      </w:r>
      <w:r w:rsidRPr="00402509">
        <w:rPr>
          <w:rFonts w:ascii="David" w:hAnsi="David"/>
          <w:b/>
          <w:bCs/>
        </w:rPr>
        <w:t xml:space="preserve"> </w:t>
      </w:r>
      <w:r w:rsidRPr="00402509">
        <w:rPr>
          <w:rFonts w:ascii="Calibri" w:hAnsi="Calibri" w:hint="eastAsia"/>
          <w:b/>
          <w:bCs/>
          <w:rtl/>
        </w:rPr>
        <w:t>לו</w:t>
      </w:r>
      <w:r w:rsidRPr="00402509">
        <w:rPr>
          <w:rFonts w:ascii="David" w:hAnsi="David"/>
          <w:b/>
          <w:bCs/>
        </w:rPr>
        <w:t xml:space="preserve"> </w:t>
      </w:r>
      <w:r w:rsidRPr="00402509">
        <w:rPr>
          <w:rFonts w:ascii="Calibri" w:hAnsi="Calibri" w:hint="eastAsia"/>
          <w:b/>
          <w:bCs/>
          <w:rtl/>
        </w:rPr>
        <w:t>לבית</w:t>
      </w:r>
      <w:r w:rsidRPr="00402509">
        <w:rPr>
          <w:rFonts w:ascii="David" w:hAnsi="David"/>
          <w:b/>
          <w:bCs/>
        </w:rPr>
        <w:t xml:space="preserve"> </w:t>
      </w:r>
      <w:r w:rsidRPr="00402509">
        <w:rPr>
          <w:rFonts w:ascii="Calibri" w:hAnsi="Calibri" w:hint="eastAsia"/>
          <w:b/>
          <w:bCs/>
          <w:rtl/>
        </w:rPr>
        <w:t>המשפט</w:t>
      </w:r>
      <w:r w:rsidRPr="00402509">
        <w:rPr>
          <w:rFonts w:ascii="David" w:hAnsi="David"/>
          <w:b/>
          <w:bCs/>
        </w:rPr>
        <w:t xml:space="preserve"> </w:t>
      </w:r>
      <w:r w:rsidRPr="00402509">
        <w:rPr>
          <w:rFonts w:ascii="Calibri" w:hAnsi="Calibri" w:hint="eastAsia"/>
          <w:b/>
          <w:bCs/>
          <w:rtl/>
        </w:rPr>
        <w:t>להביא</w:t>
      </w:r>
      <w:r w:rsidRPr="00402509">
        <w:rPr>
          <w:rFonts w:ascii="David" w:hAnsi="David"/>
          <w:b/>
          <w:bCs/>
        </w:rPr>
        <w:t xml:space="preserve"> </w:t>
      </w:r>
      <w:r w:rsidRPr="00402509">
        <w:rPr>
          <w:rFonts w:ascii="Calibri" w:hAnsi="Calibri" w:hint="eastAsia"/>
          <w:b/>
          <w:bCs/>
          <w:rtl/>
        </w:rPr>
        <w:t>במניין</w:t>
      </w:r>
      <w:r w:rsidRPr="00402509">
        <w:rPr>
          <w:rFonts w:ascii="David" w:hAnsi="David"/>
          <w:b/>
          <w:bCs/>
        </w:rPr>
        <w:t xml:space="preserve"> </w:t>
      </w:r>
      <w:r w:rsidRPr="00402509">
        <w:rPr>
          <w:rFonts w:ascii="Calibri" w:hAnsi="Calibri" w:hint="eastAsia"/>
          <w:b/>
          <w:bCs/>
          <w:rtl/>
        </w:rPr>
        <w:t>שיקוליו</w:t>
      </w:r>
      <w:r w:rsidRPr="00402509">
        <w:rPr>
          <w:rFonts w:ascii="David" w:hAnsi="David"/>
          <w:b/>
          <w:bCs/>
        </w:rPr>
        <w:t xml:space="preserve">, </w:t>
      </w:r>
      <w:r w:rsidRPr="00402509">
        <w:rPr>
          <w:rFonts w:ascii="Calibri" w:hAnsi="Calibri" w:hint="eastAsia"/>
          <w:b/>
          <w:bCs/>
          <w:rtl/>
        </w:rPr>
        <w:t>בבואו</w:t>
      </w:r>
      <w:r w:rsidRPr="00402509">
        <w:rPr>
          <w:rFonts w:ascii="David" w:hAnsi="David"/>
          <w:b/>
          <w:bCs/>
        </w:rPr>
        <w:t xml:space="preserve"> </w:t>
      </w:r>
      <w:r w:rsidRPr="00402509">
        <w:rPr>
          <w:rFonts w:ascii="Calibri" w:hAnsi="Calibri" w:hint="eastAsia"/>
          <w:b/>
          <w:bCs/>
          <w:rtl/>
        </w:rPr>
        <w:t>לגזור</w:t>
      </w:r>
      <w:r w:rsidRPr="00402509">
        <w:rPr>
          <w:rFonts w:ascii="David" w:hAnsi="David"/>
          <w:b/>
          <w:bCs/>
        </w:rPr>
        <w:t xml:space="preserve"> </w:t>
      </w:r>
      <w:r w:rsidRPr="00402509">
        <w:rPr>
          <w:rFonts w:ascii="Calibri" w:hAnsi="Calibri" w:hint="eastAsia"/>
          <w:b/>
          <w:bCs/>
          <w:rtl/>
        </w:rPr>
        <w:t>את</w:t>
      </w:r>
      <w:r w:rsidRPr="00402509">
        <w:rPr>
          <w:rFonts w:ascii="David" w:hAnsi="David"/>
          <w:b/>
          <w:bCs/>
        </w:rPr>
        <w:t xml:space="preserve"> </w:t>
      </w:r>
      <w:r w:rsidRPr="00402509">
        <w:rPr>
          <w:rFonts w:ascii="Calibri" w:hAnsi="Calibri" w:hint="eastAsia"/>
          <w:b/>
          <w:bCs/>
          <w:rtl/>
        </w:rPr>
        <w:t>הדין</w:t>
      </w:r>
      <w:r w:rsidRPr="00402509">
        <w:rPr>
          <w:rFonts w:ascii="David" w:hAnsi="David"/>
          <w:b/>
          <w:bCs/>
        </w:rPr>
        <w:t xml:space="preserve">, </w:t>
      </w:r>
      <w:r w:rsidRPr="00402509">
        <w:rPr>
          <w:rFonts w:ascii="Calibri" w:hAnsi="Calibri" w:hint="eastAsia"/>
          <w:b/>
          <w:bCs/>
          <w:rtl/>
        </w:rPr>
        <w:t>עובדות</w:t>
      </w:r>
      <w:r w:rsidRPr="00402509">
        <w:rPr>
          <w:rFonts w:ascii="David" w:hAnsi="David"/>
          <w:b/>
          <w:bCs/>
        </w:rPr>
        <w:t xml:space="preserve"> </w:t>
      </w:r>
      <w:r w:rsidRPr="00402509">
        <w:rPr>
          <w:rFonts w:ascii="Calibri" w:hAnsi="Calibri" w:hint="eastAsia"/>
          <w:b/>
          <w:bCs/>
          <w:rtl/>
        </w:rPr>
        <w:t>ונסיבות</w:t>
      </w:r>
      <w:r w:rsidRPr="00402509">
        <w:rPr>
          <w:rFonts w:ascii="David" w:hAnsi="David"/>
          <w:b/>
          <w:bCs/>
        </w:rPr>
        <w:t xml:space="preserve"> </w:t>
      </w:r>
      <w:r w:rsidRPr="00402509">
        <w:rPr>
          <w:rFonts w:ascii="Calibri" w:hAnsi="Calibri" w:hint="eastAsia"/>
          <w:b/>
          <w:bCs/>
          <w:rtl/>
        </w:rPr>
        <w:t>שלא</w:t>
      </w:r>
      <w:r w:rsidRPr="00402509">
        <w:rPr>
          <w:rFonts w:ascii="David" w:hAnsi="David"/>
          <w:b/>
          <w:bCs/>
        </w:rPr>
        <w:t xml:space="preserve"> </w:t>
      </w:r>
      <w:r w:rsidRPr="00402509">
        <w:rPr>
          <w:rFonts w:ascii="Calibri" w:hAnsi="Calibri" w:hint="eastAsia"/>
          <w:b/>
          <w:bCs/>
          <w:rtl/>
        </w:rPr>
        <w:t>נכללו</w:t>
      </w:r>
      <w:r w:rsidRPr="00402509">
        <w:rPr>
          <w:rFonts w:ascii="David" w:hAnsi="David"/>
          <w:b/>
          <w:bCs/>
        </w:rPr>
        <w:t xml:space="preserve"> </w:t>
      </w:r>
      <w:r w:rsidRPr="00402509">
        <w:rPr>
          <w:rFonts w:ascii="Calibri" w:hAnsi="Calibri" w:hint="eastAsia"/>
          <w:b/>
          <w:bCs/>
          <w:rtl/>
        </w:rPr>
        <w:t>בכתב</w:t>
      </w:r>
      <w:r w:rsidRPr="00402509">
        <w:rPr>
          <w:rFonts w:ascii="David" w:hAnsi="David"/>
          <w:b/>
          <w:bCs/>
        </w:rPr>
        <w:t xml:space="preserve"> </w:t>
      </w:r>
      <w:r w:rsidRPr="00402509">
        <w:rPr>
          <w:rFonts w:ascii="Calibri" w:hAnsi="Calibri" w:hint="eastAsia"/>
          <w:b/>
          <w:bCs/>
          <w:rtl/>
        </w:rPr>
        <w:t>האישום</w:t>
      </w:r>
      <w:r w:rsidRPr="00402509">
        <w:rPr>
          <w:rFonts w:ascii="David" w:hAnsi="David"/>
          <w:b/>
          <w:bCs/>
        </w:rPr>
        <w:t xml:space="preserve"> </w:t>
      </w:r>
      <w:r w:rsidRPr="00402509">
        <w:rPr>
          <w:rFonts w:ascii="Calibri" w:hAnsi="Calibri" w:hint="eastAsia"/>
          <w:b/>
          <w:bCs/>
          <w:rtl/>
        </w:rPr>
        <w:t>שבו</w:t>
      </w:r>
      <w:r w:rsidRPr="00402509">
        <w:rPr>
          <w:rFonts w:ascii="David" w:hAnsi="David"/>
          <w:b/>
          <w:bCs/>
        </w:rPr>
        <w:t xml:space="preserve"> </w:t>
      </w:r>
      <w:r w:rsidRPr="00402509">
        <w:rPr>
          <w:rFonts w:ascii="Calibri" w:hAnsi="Calibri" w:hint="eastAsia"/>
          <w:b/>
          <w:bCs/>
          <w:rtl/>
        </w:rPr>
        <w:t>הודה</w:t>
      </w:r>
      <w:r w:rsidRPr="00402509">
        <w:rPr>
          <w:rFonts w:ascii="David" w:hAnsi="David"/>
          <w:b/>
          <w:bCs/>
        </w:rPr>
        <w:t xml:space="preserve"> </w:t>
      </w:r>
      <w:r w:rsidRPr="00402509">
        <w:rPr>
          <w:rFonts w:ascii="Calibri" w:hAnsi="Calibri" w:hint="eastAsia"/>
          <w:b/>
          <w:bCs/>
          <w:rtl/>
        </w:rPr>
        <w:t>הנאשם</w:t>
      </w:r>
      <w:r w:rsidRPr="00402509">
        <w:rPr>
          <w:rFonts w:ascii="David" w:hAnsi="David"/>
          <w:b/>
          <w:bCs/>
        </w:rPr>
        <w:t xml:space="preserve"> </w:t>
      </w:r>
      <w:r w:rsidRPr="00402509">
        <w:rPr>
          <w:rFonts w:ascii="Calibri" w:hAnsi="Calibri" w:hint="eastAsia"/>
          <w:b/>
          <w:bCs/>
          <w:rtl/>
        </w:rPr>
        <w:t>במסגרת</w:t>
      </w:r>
      <w:r w:rsidRPr="00402509">
        <w:rPr>
          <w:rFonts w:ascii="David" w:hAnsi="David"/>
          <w:b/>
          <w:bCs/>
        </w:rPr>
        <w:t xml:space="preserve"> </w:t>
      </w:r>
      <w:r w:rsidRPr="00402509">
        <w:rPr>
          <w:rFonts w:ascii="Calibri" w:hAnsi="Calibri" w:hint="eastAsia"/>
          <w:b/>
          <w:bCs/>
          <w:rtl/>
        </w:rPr>
        <w:t>הסדר</w:t>
      </w:r>
      <w:r w:rsidRPr="00402509">
        <w:rPr>
          <w:rFonts w:ascii="David" w:hAnsi="David"/>
          <w:b/>
          <w:bCs/>
        </w:rPr>
        <w:t xml:space="preserve"> </w:t>
      </w:r>
      <w:r w:rsidRPr="00402509">
        <w:rPr>
          <w:rFonts w:ascii="Calibri" w:hAnsi="Calibri" w:hint="eastAsia"/>
          <w:b/>
          <w:bCs/>
          <w:rtl/>
        </w:rPr>
        <w:t>הטיעון</w:t>
      </w:r>
      <w:r w:rsidRPr="00402509">
        <w:rPr>
          <w:rFonts w:ascii="Calibri" w:hAnsi="Calibri"/>
          <w:b/>
          <w:bCs/>
          <w:rtl/>
        </w:rPr>
        <w:t>".</w:t>
      </w:r>
      <w:r w:rsidRPr="00402509">
        <w:rPr>
          <w:rFonts w:ascii="David" w:hAnsi="David"/>
          <w:b/>
          <w:bCs/>
        </w:rPr>
        <w:t xml:space="preserve"> </w:t>
      </w:r>
      <w:r w:rsidRPr="00402509">
        <w:rPr>
          <w:rFonts w:ascii="Calibri" w:hAnsi="Calibri" w:hint="eastAsia"/>
          <w:rtl/>
        </w:rPr>
        <w:t>בדומה</w:t>
      </w:r>
      <w:r w:rsidRPr="00402509">
        <w:rPr>
          <w:rFonts w:ascii="Calibri" w:hAnsi="Calibri"/>
          <w:rtl/>
        </w:rPr>
        <w:t xml:space="preserve">, </w:t>
      </w:r>
      <w:r w:rsidRPr="00402509">
        <w:rPr>
          <w:rFonts w:ascii="Calibri" w:hAnsi="Calibri" w:hint="eastAsia"/>
          <w:rtl/>
        </w:rPr>
        <w:t>ראה</w:t>
      </w:r>
      <w:r w:rsidRPr="00402509">
        <w:rPr>
          <w:rFonts w:ascii="Calibri" w:hAnsi="Calibri"/>
          <w:rtl/>
        </w:rPr>
        <w:t xml:space="preserve"> </w:t>
      </w:r>
      <w:hyperlink r:id="rId40" w:history="1">
        <w:r w:rsidR="001610CC" w:rsidRPr="001610CC">
          <w:rPr>
            <w:rFonts w:ascii="Calibri" w:hAnsi="Calibri" w:hint="eastAsia"/>
            <w:color w:val="0000FF"/>
            <w:u w:val="single"/>
            <w:rtl/>
          </w:rPr>
          <w:t>ע</w:t>
        </w:r>
        <w:r w:rsidR="001610CC" w:rsidRPr="001610CC">
          <w:rPr>
            <w:rFonts w:ascii="Calibri" w:hAnsi="Calibri"/>
            <w:color w:val="0000FF"/>
            <w:u w:val="single"/>
            <w:rtl/>
          </w:rPr>
          <w:t>"</w:t>
        </w:r>
        <w:r w:rsidR="001610CC" w:rsidRPr="001610CC">
          <w:rPr>
            <w:rFonts w:ascii="Calibri" w:hAnsi="Calibri" w:hint="eastAsia"/>
            <w:color w:val="0000FF"/>
            <w:u w:val="single"/>
            <w:rtl/>
          </w:rPr>
          <w:t>פ</w:t>
        </w:r>
        <w:r w:rsidR="001610CC" w:rsidRPr="001610CC">
          <w:rPr>
            <w:rFonts w:ascii="Calibri" w:hAnsi="Calibri"/>
            <w:color w:val="0000FF"/>
            <w:u w:val="single"/>
            <w:rtl/>
          </w:rPr>
          <w:t xml:space="preserve"> 2556/17</w:t>
        </w:r>
      </w:hyperlink>
      <w:r w:rsidRPr="00402509">
        <w:rPr>
          <w:rFonts w:ascii="Calibri" w:hAnsi="Calibri"/>
          <w:rtl/>
        </w:rPr>
        <w:t xml:space="preserve"> </w:t>
      </w:r>
      <w:r w:rsidRPr="00402509">
        <w:rPr>
          <w:rFonts w:ascii="Calibri" w:hAnsi="Calibri" w:hint="eastAsia"/>
          <w:b/>
          <w:bCs/>
          <w:rtl/>
        </w:rPr>
        <w:t>ישראל</w:t>
      </w:r>
      <w:r w:rsidRPr="00402509">
        <w:rPr>
          <w:rFonts w:ascii="Calibri" w:hAnsi="Calibri"/>
          <w:b/>
          <w:bCs/>
          <w:rtl/>
        </w:rPr>
        <w:t xml:space="preserve"> </w:t>
      </w:r>
      <w:r w:rsidRPr="00402509">
        <w:rPr>
          <w:rFonts w:ascii="Calibri" w:hAnsi="Calibri" w:hint="eastAsia"/>
          <w:b/>
          <w:bCs/>
          <w:rtl/>
        </w:rPr>
        <w:t>חנניאייב</w:t>
      </w:r>
      <w:r w:rsidRPr="00402509">
        <w:rPr>
          <w:rFonts w:ascii="Calibri" w:hAnsi="Calibri"/>
          <w:rtl/>
        </w:rPr>
        <w:t xml:space="preserve"> </w:t>
      </w:r>
      <w:r w:rsidRPr="00402509">
        <w:rPr>
          <w:rFonts w:ascii="Calibri" w:hAnsi="Calibri" w:hint="eastAsia"/>
          <w:rtl/>
        </w:rPr>
        <w:t>נ</w:t>
      </w:r>
      <w:r w:rsidRPr="00402509">
        <w:rPr>
          <w:rFonts w:ascii="Calibri" w:hAnsi="Calibri"/>
          <w:rtl/>
        </w:rPr>
        <w:t xml:space="preserve">' </w:t>
      </w:r>
      <w:r w:rsidRPr="00402509">
        <w:rPr>
          <w:rFonts w:ascii="Calibri" w:hAnsi="Calibri" w:hint="eastAsia"/>
          <w:rtl/>
        </w:rPr>
        <w:t>מדינת</w:t>
      </w:r>
      <w:r w:rsidRPr="00402509">
        <w:rPr>
          <w:rFonts w:ascii="Calibri" w:hAnsi="Calibri"/>
          <w:rtl/>
        </w:rPr>
        <w:t xml:space="preserve"> </w:t>
      </w:r>
      <w:r w:rsidRPr="00402509">
        <w:rPr>
          <w:rFonts w:ascii="Calibri" w:hAnsi="Calibri" w:hint="eastAsia"/>
          <w:rtl/>
        </w:rPr>
        <w:t>ישראל</w:t>
      </w:r>
      <w:r w:rsidRPr="00402509">
        <w:rPr>
          <w:rFonts w:ascii="Calibri" w:hAnsi="Calibri"/>
          <w:rtl/>
        </w:rPr>
        <w:t xml:space="preserve"> (</w:t>
      </w:r>
      <w:r w:rsidRPr="00402509">
        <w:rPr>
          <w:rFonts w:ascii="Calibri" w:hAnsi="Calibri" w:hint="eastAsia"/>
          <w:rtl/>
        </w:rPr>
        <w:t>פורסם</w:t>
      </w:r>
      <w:r w:rsidRPr="00402509">
        <w:rPr>
          <w:rFonts w:ascii="Calibri" w:hAnsi="Calibri"/>
          <w:rtl/>
        </w:rPr>
        <w:t xml:space="preserve"> </w:t>
      </w:r>
      <w:r w:rsidRPr="00402509">
        <w:rPr>
          <w:rFonts w:ascii="Calibri" w:hAnsi="Calibri" w:hint="eastAsia"/>
          <w:rtl/>
        </w:rPr>
        <w:t>בנבו</w:t>
      </w:r>
      <w:r w:rsidRPr="00402509">
        <w:rPr>
          <w:rFonts w:ascii="Calibri" w:hAnsi="Calibri"/>
          <w:rtl/>
        </w:rPr>
        <w:t xml:space="preserve">, 8.8.18) </w:t>
      </w:r>
    </w:p>
    <w:p w14:paraId="50C52305"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על העדר המורא של הנאשם הלך רוחו, ורצונו לנקום בכל מחיר ניתן ללמוד מהעובדה שגם לאחר שהמנוח נורה, הוא אינו עוזב את המקום. אדרבא, הוא ממשיך ונוטל חלק בקטטה שהתפתחה לאחר מכן. רק בסמוך לאחר מכן הוא בורח מהמקום. </w:t>
      </w:r>
    </w:p>
    <w:p w14:paraId="35DD517B"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הנאשם לא היה זה שהביא למותו של המנוח. אף שכך, לא ניתן להתעלם מהעובדה שאגב ניסיון הרצח, הירי לאוויר, והשתתפותו הפעילה בקטטה, המנוח (שבמותו רצה) מצא את מותו. יש בכך כדי "לצבוע" את האירוע, ולו מבחינת "סובב ומסובב" בחומרה יתרה. ושוב יודגש, אין בכך כדי לייחס לנאשם בכל דרך שהיא את הירי הקטלני ונגזרת מכך להחמיר בעונשו מעבר לחומרה שכבר קיימת במעשיו. </w:t>
      </w:r>
    </w:p>
    <w:p w14:paraId="068BAD49"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כמכלול, עניין לנו באירוע אלימות קשה ומתמשך. לנאשם היו מספר הזדמנויות להתעשת, להבין הפסול במעשיו ולחדול מלנקוט באלימות. לא רק שלא עשה כן, אלא נכח באירוע לכל אורכו ונטל בו חלק פעיל.</w:t>
      </w:r>
    </w:p>
    <w:p w14:paraId="37837594" w14:textId="77777777" w:rsidR="005052BD" w:rsidRPr="00402509" w:rsidRDefault="005052BD" w:rsidP="005052BD">
      <w:pPr>
        <w:spacing w:before="120" w:after="120" w:line="360" w:lineRule="auto"/>
        <w:jc w:val="both"/>
        <w:rPr>
          <w:rFonts w:ascii="David" w:hAnsi="David"/>
          <w:b/>
          <w:bCs/>
          <w:rtl/>
        </w:rPr>
      </w:pPr>
      <w:r w:rsidRPr="00402509">
        <w:rPr>
          <w:rFonts w:ascii="David" w:hAnsi="David"/>
          <w:b/>
          <w:bCs/>
          <w:rtl/>
        </w:rPr>
        <w:t xml:space="preserve">לאור האמור וכסיכום ביניים, מתחם העונש ההולם בגין מכלול מעשיו של הנאשם נע בין 10 ל- 13 שנים מאסר בפועל, לצד ענישה נלוות. </w:t>
      </w:r>
    </w:p>
    <w:p w14:paraId="4942811D" w14:textId="77777777" w:rsidR="005052BD" w:rsidRPr="00402509" w:rsidRDefault="005052BD" w:rsidP="005052BD">
      <w:pPr>
        <w:spacing w:before="120" w:after="120" w:line="360" w:lineRule="auto"/>
        <w:jc w:val="both"/>
        <w:rPr>
          <w:rtl/>
        </w:rPr>
      </w:pPr>
      <w:r w:rsidRPr="00402509">
        <w:rPr>
          <w:rFonts w:ascii="David" w:hAnsi="David"/>
          <w:rtl/>
        </w:rPr>
        <w:t xml:space="preserve">בקביעת עונשו של הנאשם </w:t>
      </w:r>
      <w:r w:rsidRPr="00402509">
        <w:rPr>
          <w:rtl/>
        </w:rPr>
        <w:t xml:space="preserve">בגדרי המתחם ולקולא תילקח בחשבון הודאתו אשר מגלמת בתוכה נטילת אחריות כמו גם חיסכון בזמן שיפוטי יקר (אפילו זו התקבלה לאחר שנשמעו מספר לא מבוטל של עדויות). עוד יילקחו בחשבון גילו הצעיר של הנאשם בעת ביצוע המעשים, העדרו של עבר פלילי כמו גם תקופת המעצר הממושכת בה היה נתון כשלאחריה היה במעצר תחת אזוק אלקטרוני. </w:t>
      </w:r>
    </w:p>
    <w:p w14:paraId="176000EA" w14:textId="77777777" w:rsidR="005052BD" w:rsidRPr="00402509" w:rsidRDefault="005052BD" w:rsidP="005052BD">
      <w:pPr>
        <w:spacing w:before="120" w:after="120" w:line="360" w:lineRule="auto"/>
        <w:jc w:val="both"/>
        <w:rPr>
          <w:rFonts w:ascii="David" w:hAnsi="David"/>
          <w:rtl/>
        </w:rPr>
      </w:pPr>
      <w:r w:rsidRPr="00402509">
        <w:rPr>
          <w:rFonts w:ascii="David" w:hAnsi="David"/>
          <w:rtl/>
        </w:rPr>
        <w:t xml:space="preserve">הנאשם נרתם להליך טיפולי במסגרת מעצרו ובהמשך במסגרת מרכז "בדאיאת". התרשמות שירות המבחן כמו גם גורמי הטיפול במרכז כי הנאשם עושה מאמצים כנים לבחון את התנהלותו, מביע מוטיבציה להבנת הדינאמיקה שהובילה להסתבכותו ורוכש כלים להתמודדות מטיבה במצבי לחץ. הנאשם מגלה פתיחות רגשית ומחשבתית, חושף תכנים מחייו ומשתף פעולה באופן מלא. שירות המבחן מעריך כי השתלבותו בהליך הטיפולי מפחיתה את הסיכון הנשקף ממנו. </w:t>
      </w:r>
    </w:p>
    <w:p w14:paraId="590FE081" w14:textId="77777777" w:rsidR="005052BD" w:rsidRPr="00402509" w:rsidRDefault="005052BD" w:rsidP="005052BD">
      <w:pPr>
        <w:spacing w:before="120" w:after="120" w:line="360" w:lineRule="auto"/>
        <w:jc w:val="both"/>
        <w:rPr>
          <w:rFonts w:ascii="Calibri" w:hAnsi="Calibri" w:cs="Arial"/>
          <w:sz w:val="22"/>
          <w:szCs w:val="22"/>
          <w:rtl/>
        </w:rPr>
      </w:pPr>
      <w:r w:rsidRPr="00402509">
        <w:rPr>
          <w:rFonts w:ascii="David" w:hAnsi="David"/>
          <w:rtl/>
        </w:rPr>
        <w:t xml:space="preserve">מנגד, ולחומרא, יש לתת משקל לשיקולי הרתעת היחיד ובפרט יש לתת משקל רב לשיקולי הרתעת הרבים. לצערנו הרב, דברי הנאשם לפיהם באזור בו הוא מתגורר נהוג להגיב על מקרה אלימות באלימות שכנגד תוך שימוש בנשק, משקפים את המציאות לאשורה. סכסוכים, לא אחת על דברים של מה בכך, מובילים לעשיית דין עצמי שלאחריו הצד שכנגד תובע את עלבונו, נוקם, וחוזר חלילה. לעיתים, עם התארכותה של "שרשרת האלימות" הסכסוך המקורי נשכח וכל צד עסוק לנקום את הפגיעה האחרונה בו. דברי הנאשם לפיהם במסגרת הסכסוך הספציפי נשוא כתב האישום, דודו נרצח כנקמת דם ושני דודיו הנוספים עברו ניסיונות פגיעה, כאשר הוא בעצמו חושש כי יפגעו בו, הנם עדות עגומה למציאות הבלתי נסבלת בה נתונים רבים מתושבי האזור. המקרה שלפנינו אינו אלא דוגמה נוספת לאלימות הגואה בחברה הישראלית ככלל, ובחברה הערבית בפרט. </w:t>
      </w:r>
    </w:p>
    <w:p w14:paraId="5124AA5A" w14:textId="77777777" w:rsidR="005052BD" w:rsidRPr="00402509" w:rsidRDefault="005052BD" w:rsidP="005052BD">
      <w:pPr>
        <w:spacing w:after="160" w:line="360" w:lineRule="auto"/>
        <w:jc w:val="both"/>
        <w:rPr>
          <w:rFonts w:ascii="Calibri" w:hAnsi="Calibri"/>
          <w:rtl/>
        </w:rPr>
      </w:pPr>
      <w:r w:rsidRPr="00402509">
        <w:rPr>
          <w:rFonts w:ascii="Calibri" w:hAnsi="Calibri" w:hint="eastAsia"/>
          <w:rtl/>
        </w:rPr>
        <w:t>בהקשר</w:t>
      </w:r>
      <w:r w:rsidRPr="00402509">
        <w:rPr>
          <w:rFonts w:ascii="Calibri" w:hAnsi="Calibri"/>
          <w:rtl/>
        </w:rPr>
        <w:t xml:space="preserve"> </w:t>
      </w:r>
      <w:r w:rsidRPr="00402509">
        <w:rPr>
          <w:rFonts w:ascii="Calibri" w:hAnsi="Calibri" w:hint="eastAsia"/>
          <w:rtl/>
        </w:rPr>
        <w:t>לאמור</w:t>
      </w:r>
      <w:r w:rsidRPr="00402509">
        <w:rPr>
          <w:rFonts w:ascii="Calibri" w:hAnsi="Calibri"/>
          <w:rtl/>
        </w:rPr>
        <w:t xml:space="preserve">, </w:t>
      </w:r>
      <w:r w:rsidRPr="00402509">
        <w:rPr>
          <w:rFonts w:ascii="Calibri" w:hAnsi="Calibri" w:hint="eastAsia"/>
          <w:rtl/>
        </w:rPr>
        <w:t>ראו</w:t>
      </w:r>
      <w:r w:rsidRPr="00402509">
        <w:rPr>
          <w:rFonts w:ascii="Calibri" w:hAnsi="Calibri"/>
          <w:rtl/>
        </w:rPr>
        <w:t xml:space="preserve"> </w:t>
      </w:r>
      <w:r w:rsidRPr="00402509">
        <w:rPr>
          <w:rFonts w:ascii="Calibri" w:hAnsi="Calibri" w:hint="eastAsia"/>
          <w:rtl/>
        </w:rPr>
        <w:t>גם</w:t>
      </w:r>
      <w:r w:rsidRPr="00402509">
        <w:rPr>
          <w:rFonts w:ascii="Calibri" w:hAnsi="Calibri"/>
          <w:rtl/>
        </w:rPr>
        <w:t xml:space="preserve"> </w:t>
      </w:r>
      <w:r w:rsidRPr="00402509">
        <w:rPr>
          <w:rFonts w:ascii="Calibri" w:hAnsi="Calibri" w:hint="eastAsia"/>
          <w:rtl/>
        </w:rPr>
        <w:t>דברי</w:t>
      </w:r>
      <w:r w:rsidRPr="00402509">
        <w:rPr>
          <w:rFonts w:ascii="Calibri" w:hAnsi="Calibri"/>
          <w:rtl/>
        </w:rPr>
        <w:t xml:space="preserve"> </w:t>
      </w:r>
      <w:r w:rsidRPr="00402509">
        <w:rPr>
          <w:rFonts w:ascii="Calibri" w:hAnsi="Calibri" w:hint="eastAsia"/>
          <w:rtl/>
        </w:rPr>
        <w:t>בית</w:t>
      </w:r>
      <w:r w:rsidRPr="00402509">
        <w:rPr>
          <w:rFonts w:ascii="Calibri" w:hAnsi="Calibri"/>
          <w:rtl/>
        </w:rPr>
        <w:t xml:space="preserve"> </w:t>
      </w:r>
      <w:r w:rsidRPr="00402509">
        <w:rPr>
          <w:rFonts w:ascii="Calibri" w:hAnsi="Calibri" w:hint="eastAsia"/>
          <w:rtl/>
        </w:rPr>
        <w:t>המשפט</w:t>
      </w:r>
      <w:r w:rsidRPr="00402509">
        <w:rPr>
          <w:rFonts w:ascii="Calibri" w:hAnsi="Calibri"/>
          <w:rtl/>
        </w:rPr>
        <w:t xml:space="preserve"> </w:t>
      </w:r>
      <w:r w:rsidRPr="00402509">
        <w:rPr>
          <w:rFonts w:ascii="Calibri" w:hAnsi="Calibri" w:hint="eastAsia"/>
          <w:rtl/>
        </w:rPr>
        <w:t>העליון</w:t>
      </w:r>
      <w:r w:rsidRPr="00402509">
        <w:rPr>
          <w:rFonts w:ascii="Calibri" w:hAnsi="Calibri"/>
          <w:rtl/>
        </w:rPr>
        <w:t xml:space="preserve"> </w:t>
      </w:r>
      <w:r w:rsidRPr="00402509">
        <w:rPr>
          <w:rFonts w:ascii="Calibri" w:hAnsi="Calibri" w:hint="eastAsia"/>
          <w:rtl/>
        </w:rPr>
        <w:t>בעניין</w:t>
      </w:r>
      <w:r w:rsidRPr="00402509">
        <w:rPr>
          <w:rFonts w:ascii="Calibri" w:hAnsi="Calibri"/>
          <w:rtl/>
        </w:rPr>
        <w:t xml:space="preserve"> </w:t>
      </w:r>
      <w:hyperlink r:id="rId41" w:history="1">
        <w:r w:rsidR="001610CC" w:rsidRPr="001610CC">
          <w:rPr>
            <w:rFonts w:ascii="Calibri" w:hAnsi="Calibri" w:hint="eastAsia"/>
            <w:color w:val="0000FF"/>
            <w:u w:val="single"/>
            <w:rtl/>
          </w:rPr>
          <w:t>ע</w:t>
        </w:r>
        <w:r w:rsidR="001610CC" w:rsidRPr="001610CC">
          <w:rPr>
            <w:rFonts w:ascii="Calibri" w:hAnsi="Calibri"/>
            <w:color w:val="0000FF"/>
            <w:u w:val="single"/>
            <w:rtl/>
          </w:rPr>
          <w:t>"</w:t>
        </w:r>
        <w:r w:rsidR="001610CC" w:rsidRPr="001610CC">
          <w:rPr>
            <w:rFonts w:ascii="Calibri" w:hAnsi="Calibri" w:hint="eastAsia"/>
            <w:color w:val="0000FF"/>
            <w:u w:val="single"/>
            <w:rtl/>
          </w:rPr>
          <w:t>פ</w:t>
        </w:r>
        <w:r w:rsidR="001610CC" w:rsidRPr="001610CC">
          <w:rPr>
            <w:rFonts w:ascii="Calibri" w:hAnsi="Calibri"/>
            <w:color w:val="0000FF"/>
            <w:u w:val="single"/>
            <w:rtl/>
          </w:rPr>
          <w:t xml:space="preserve"> 1745/20</w:t>
        </w:r>
      </w:hyperlink>
      <w:r w:rsidRPr="00402509">
        <w:rPr>
          <w:rFonts w:ascii="Calibri" w:hAnsi="Calibri"/>
          <w:rtl/>
        </w:rPr>
        <w:t xml:space="preserve"> </w:t>
      </w:r>
      <w:r w:rsidRPr="00402509">
        <w:rPr>
          <w:rFonts w:ascii="Calibri" w:hAnsi="Calibri" w:hint="eastAsia"/>
          <w:b/>
          <w:bCs/>
          <w:rtl/>
        </w:rPr>
        <w:t>עקל</w:t>
      </w:r>
      <w:r w:rsidRPr="00402509">
        <w:rPr>
          <w:rFonts w:ascii="Calibri" w:hAnsi="Calibri"/>
          <w:b/>
          <w:bCs/>
          <w:rtl/>
        </w:rPr>
        <w:t xml:space="preserve"> </w:t>
      </w:r>
      <w:r w:rsidRPr="00402509">
        <w:rPr>
          <w:rFonts w:ascii="Calibri" w:hAnsi="Calibri" w:hint="eastAsia"/>
          <w:b/>
          <w:bCs/>
          <w:rtl/>
        </w:rPr>
        <w:t>נ</w:t>
      </w:r>
      <w:r w:rsidRPr="00402509">
        <w:rPr>
          <w:rFonts w:ascii="Calibri" w:hAnsi="Calibri"/>
          <w:b/>
          <w:bCs/>
          <w:rtl/>
        </w:rPr>
        <w:t xml:space="preserve">' </w:t>
      </w:r>
      <w:r w:rsidRPr="00402509">
        <w:rPr>
          <w:rFonts w:ascii="Calibri" w:hAnsi="Calibri" w:hint="eastAsia"/>
          <w:b/>
          <w:bCs/>
          <w:rtl/>
        </w:rPr>
        <w:t>מדינת</w:t>
      </w:r>
      <w:r w:rsidRPr="00402509">
        <w:rPr>
          <w:rFonts w:ascii="Calibri" w:hAnsi="Calibri"/>
          <w:b/>
          <w:bCs/>
          <w:rtl/>
        </w:rPr>
        <w:t xml:space="preserve"> </w:t>
      </w:r>
      <w:r w:rsidRPr="00402509">
        <w:rPr>
          <w:rFonts w:ascii="Calibri" w:hAnsi="Calibri" w:hint="eastAsia"/>
          <w:b/>
          <w:bCs/>
          <w:rtl/>
        </w:rPr>
        <w:t>ישראל</w:t>
      </w:r>
      <w:r w:rsidRPr="00402509">
        <w:rPr>
          <w:rFonts w:ascii="Calibri" w:hAnsi="Calibri"/>
          <w:rtl/>
        </w:rPr>
        <w:t xml:space="preserve"> (</w:t>
      </w:r>
      <w:r w:rsidRPr="00402509">
        <w:rPr>
          <w:rFonts w:ascii="Calibri" w:hAnsi="Calibri" w:hint="eastAsia"/>
          <w:rtl/>
        </w:rPr>
        <w:t>פורסם</w:t>
      </w:r>
      <w:r w:rsidRPr="00402509">
        <w:rPr>
          <w:rFonts w:ascii="Calibri" w:hAnsi="Calibri"/>
          <w:rtl/>
        </w:rPr>
        <w:t xml:space="preserve"> </w:t>
      </w:r>
      <w:r w:rsidRPr="00402509">
        <w:rPr>
          <w:rFonts w:ascii="Calibri" w:hAnsi="Calibri" w:hint="eastAsia"/>
          <w:rtl/>
        </w:rPr>
        <w:t>בנבו</w:t>
      </w:r>
      <w:r w:rsidRPr="00402509">
        <w:rPr>
          <w:rFonts w:ascii="Calibri" w:hAnsi="Calibri"/>
          <w:rtl/>
        </w:rPr>
        <w:t xml:space="preserve">, 11.2.21): </w:t>
      </w:r>
      <w:r w:rsidRPr="00402509">
        <w:rPr>
          <w:rFonts w:ascii="Calibri" w:hAnsi="Calibri"/>
          <w:b/>
          <w:bCs/>
          <w:rtl/>
        </w:rPr>
        <w:t>"</w:t>
      </w:r>
      <w:r w:rsidRPr="00402509">
        <w:rPr>
          <w:rFonts w:ascii="Calibri" w:hAnsi="Calibri" w:hint="eastAsia"/>
          <w:b/>
          <w:bCs/>
          <w:rtl/>
        </w:rPr>
        <w:t>לדברים</w:t>
      </w:r>
      <w:r w:rsidRPr="00402509">
        <w:rPr>
          <w:rFonts w:ascii="Calibri" w:hAnsi="Calibri"/>
          <w:b/>
          <w:bCs/>
          <w:rtl/>
        </w:rPr>
        <w:t xml:space="preserve"> </w:t>
      </w:r>
      <w:r w:rsidRPr="00402509">
        <w:rPr>
          <w:rFonts w:ascii="Calibri" w:hAnsi="Calibri" w:hint="eastAsia"/>
          <w:b/>
          <w:bCs/>
          <w:rtl/>
        </w:rPr>
        <w:t>אלה</w:t>
      </w:r>
      <w:r w:rsidRPr="00402509">
        <w:rPr>
          <w:rFonts w:ascii="Calibri" w:hAnsi="Calibri"/>
          <w:b/>
          <w:bCs/>
          <w:rtl/>
        </w:rPr>
        <w:t xml:space="preserve"> </w:t>
      </w:r>
      <w:r w:rsidRPr="00402509">
        <w:rPr>
          <w:rFonts w:ascii="Calibri" w:hAnsi="Calibri" w:hint="eastAsia"/>
          <w:b/>
          <w:bCs/>
          <w:rtl/>
        </w:rPr>
        <w:t>משמעות</w:t>
      </w:r>
      <w:r w:rsidRPr="00402509">
        <w:rPr>
          <w:rFonts w:ascii="Calibri" w:hAnsi="Calibri"/>
          <w:b/>
          <w:bCs/>
          <w:rtl/>
        </w:rPr>
        <w:t xml:space="preserve"> </w:t>
      </w:r>
      <w:r w:rsidRPr="00402509">
        <w:rPr>
          <w:rFonts w:ascii="Calibri" w:hAnsi="Calibri" w:hint="eastAsia"/>
          <w:b/>
          <w:bCs/>
          <w:rtl/>
        </w:rPr>
        <w:t>מיוחדת</w:t>
      </w:r>
      <w:r w:rsidRPr="00402509">
        <w:rPr>
          <w:rFonts w:ascii="Calibri" w:hAnsi="Calibri"/>
          <w:b/>
          <w:bCs/>
          <w:rtl/>
        </w:rPr>
        <w:t xml:space="preserve"> </w:t>
      </w:r>
      <w:r w:rsidRPr="00402509">
        <w:rPr>
          <w:rFonts w:ascii="Calibri" w:hAnsi="Calibri" w:hint="eastAsia"/>
          <w:b/>
          <w:bCs/>
          <w:rtl/>
        </w:rPr>
        <w:t>נוכח</w:t>
      </w:r>
      <w:r w:rsidRPr="00402509">
        <w:rPr>
          <w:rFonts w:ascii="Calibri" w:hAnsi="Calibri"/>
          <w:b/>
          <w:bCs/>
          <w:rtl/>
        </w:rPr>
        <w:t xml:space="preserve"> </w:t>
      </w:r>
      <w:r w:rsidRPr="00402509">
        <w:rPr>
          <w:rFonts w:ascii="Calibri" w:hAnsi="Calibri" w:hint="eastAsia"/>
          <w:b/>
          <w:bCs/>
          <w:rtl/>
        </w:rPr>
        <w:t>התדירות</w:t>
      </w:r>
      <w:r w:rsidRPr="00402509">
        <w:rPr>
          <w:rFonts w:ascii="Calibri" w:hAnsi="Calibri"/>
          <w:b/>
          <w:bCs/>
          <w:rtl/>
        </w:rPr>
        <w:t xml:space="preserve"> </w:t>
      </w:r>
      <w:r w:rsidRPr="00402509">
        <w:rPr>
          <w:rFonts w:ascii="Calibri" w:hAnsi="Calibri" w:hint="eastAsia"/>
          <w:b/>
          <w:bCs/>
          <w:rtl/>
        </w:rPr>
        <w:t>הבלתי</w:t>
      </w:r>
      <w:r w:rsidRPr="00402509">
        <w:rPr>
          <w:rFonts w:ascii="Calibri" w:hAnsi="Calibri"/>
          <w:b/>
          <w:bCs/>
          <w:rtl/>
        </w:rPr>
        <w:t xml:space="preserve"> </w:t>
      </w:r>
      <w:r w:rsidRPr="00402509">
        <w:rPr>
          <w:rFonts w:ascii="Calibri" w:hAnsi="Calibri" w:hint="eastAsia"/>
          <w:b/>
          <w:bCs/>
          <w:rtl/>
        </w:rPr>
        <w:t>נתפסת</w:t>
      </w:r>
      <w:r w:rsidRPr="00402509">
        <w:rPr>
          <w:rFonts w:ascii="Calibri" w:hAnsi="Calibri"/>
          <w:b/>
          <w:bCs/>
          <w:rtl/>
        </w:rPr>
        <w:t xml:space="preserve"> </w:t>
      </w:r>
      <w:r w:rsidRPr="00402509">
        <w:rPr>
          <w:rFonts w:ascii="Calibri" w:hAnsi="Calibri" w:hint="eastAsia"/>
          <w:b/>
          <w:bCs/>
          <w:rtl/>
        </w:rPr>
        <w:t>של</w:t>
      </w:r>
      <w:r w:rsidRPr="00402509">
        <w:rPr>
          <w:rFonts w:ascii="Calibri" w:hAnsi="Calibri"/>
          <w:b/>
          <w:bCs/>
          <w:rtl/>
        </w:rPr>
        <w:t xml:space="preserve"> </w:t>
      </w:r>
      <w:r w:rsidRPr="00402509">
        <w:rPr>
          <w:rFonts w:ascii="Calibri" w:hAnsi="Calibri" w:hint="eastAsia"/>
          <w:b/>
          <w:bCs/>
          <w:rtl/>
        </w:rPr>
        <w:t>אירועי</w:t>
      </w:r>
      <w:r w:rsidRPr="00402509">
        <w:rPr>
          <w:rFonts w:ascii="Calibri" w:hAnsi="Calibri"/>
          <w:b/>
          <w:bCs/>
          <w:rtl/>
        </w:rPr>
        <w:t xml:space="preserve"> </w:t>
      </w:r>
      <w:r w:rsidRPr="00402509">
        <w:rPr>
          <w:rFonts w:ascii="Calibri" w:hAnsi="Calibri" w:hint="eastAsia"/>
          <w:b/>
          <w:bCs/>
          <w:rtl/>
        </w:rPr>
        <w:t>אלימות</w:t>
      </w:r>
      <w:r w:rsidRPr="00402509">
        <w:rPr>
          <w:rFonts w:ascii="Calibri" w:hAnsi="Calibri"/>
          <w:b/>
          <w:bCs/>
          <w:rtl/>
        </w:rPr>
        <w:t xml:space="preserve"> </w:t>
      </w:r>
      <w:r w:rsidRPr="00402509">
        <w:rPr>
          <w:rFonts w:ascii="Calibri" w:hAnsi="Calibri" w:hint="eastAsia"/>
          <w:b/>
          <w:bCs/>
          <w:rtl/>
        </w:rPr>
        <w:t>במגזר</w:t>
      </w:r>
      <w:r w:rsidRPr="00402509">
        <w:rPr>
          <w:rFonts w:ascii="Calibri" w:hAnsi="Calibri"/>
          <w:b/>
          <w:bCs/>
          <w:rtl/>
        </w:rPr>
        <w:t xml:space="preserve"> </w:t>
      </w:r>
      <w:r w:rsidRPr="00402509">
        <w:rPr>
          <w:rFonts w:ascii="Calibri" w:hAnsi="Calibri" w:hint="eastAsia"/>
          <w:b/>
          <w:bCs/>
          <w:rtl/>
        </w:rPr>
        <w:t>הערבי</w:t>
      </w:r>
      <w:r w:rsidRPr="00402509">
        <w:rPr>
          <w:rFonts w:ascii="Calibri" w:hAnsi="Calibri"/>
          <w:b/>
          <w:bCs/>
          <w:rtl/>
        </w:rPr>
        <w:t xml:space="preserve">, </w:t>
      </w:r>
      <w:r w:rsidRPr="00402509">
        <w:rPr>
          <w:rFonts w:ascii="Calibri" w:hAnsi="Calibri" w:hint="eastAsia"/>
          <w:b/>
          <w:bCs/>
          <w:rtl/>
        </w:rPr>
        <w:t>וההכרח</w:t>
      </w:r>
      <w:r w:rsidRPr="00402509">
        <w:rPr>
          <w:rFonts w:ascii="Calibri" w:hAnsi="Calibri"/>
          <w:b/>
          <w:bCs/>
          <w:rtl/>
        </w:rPr>
        <w:t xml:space="preserve"> </w:t>
      </w:r>
      <w:r w:rsidRPr="00402509">
        <w:rPr>
          <w:rFonts w:ascii="Calibri" w:hAnsi="Calibri" w:hint="eastAsia"/>
          <w:b/>
          <w:bCs/>
          <w:rtl/>
        </w:rPr>
        <w:t>להעביר</w:t>
      </w:r>
      <w:r w:rsidRPr="00402509">
        <w:rPr>
          <w:rFonts w:ascii="Calibri" w:hAnsi="Calibri"/>
          <w:b/>
          <w:bCs/>
          <w:rtl/>
        </w:rPr>
        <w:t xml:space="preserve"> </w:t>
      </w:r>
      <w:r w:rsidRPr="00402509">
        <w:rPr>
          <w:rFonts w:ascii="Calibri" w:hAnsi="Calibri" w:hint="eastAsia"/>
          <w:b/>
          <w:bCs/>
          <w:rtl/>
        </w:rPr>
        <w:t>באופן</w:t>
      </w:r>
      <w:r w:rsidRPr="00402509">
        <w:rPr>
          <w:rFonts w:ascii="Calibri" w:hAnsi="Calibri"/>
          <w:b/>
          <w:bCs/>
          <w:rtl/>
        </w:rPr>
        <w:t xml:space="preserve"> </w:t>
      </w:r>
      <w:r w:rsidRPr="00402509">
        <w:rPr>
          <w:rFonts w:ascii="Calibri" w:hAnsi="Calibri" w:hint="eastAsia"/>
          <w:b/>
          <w:bCs/>
          <w:rtl/>
        </w:rPr>
        <w:t>חד</w:t>
      </w:r>
      <w:r w:rsidRPr="00402509">
        <w:rPr>
          <w:rFonts w:ascii="Calibri" w:hAnsi="Calibri"/>
          <w:b/>
          <w:bCs/>
          <w:rtl/>
        </w:rPr>
        <w:t xml:space="preserve"> </w:t>
      </w:r>
      <w:r w:rsidRPr="00402509">
        <w:rPr>
          <w:rFonts w:ascii="Calibri" w:hAnsi="Calibri" w:hint="eastAsia"/>
          <w:b/>
          <w:bCs/>
          <w:rtl/>
        </w:rPr>
        <w:t>וברור</w:t>
      </w:r>
      <w:r w:rsidRPr="00402509">
        <w:rPr>
          <w:rFonts w:ascii="Calibri" w:hAnsi="Calibri"/>
          <w:b/>
          <w:bCs/>
          <w:rtl/>
        </w:rPr>
        <w:t xml:space="preserve"> </w:t>
      </w:r>
      <w:r w:rsidRPr="00402509">
        <w:rPr>
          <w:rFonts w:ascii="Calibri" w:hAnsi="Calibri" w:hint="eastAsia"/>
          <w:b/>
          <w:bCs/>
          <w:rtl/>
        </w:rPr>
        <w:t>את</w:t>
      </w:r>
      <w:r w:rsidRPr="00402509">
        <w:rPr>
          <w:rFonts w:ascii="Calibri" w:hAnsi="Calibri"/>
          <w:b/>
          <w:bCs/>
          <w:rtl/>
        </w:rPr>
        <w:t xml:space="preserve"> </w:t>
      </w:r>
      <w:r w:rsidRPr="00402509">
        <w:rPr>
          <w:rFonts w:ascii="Calibri" w:hAnsi="Calibri" w:hint="eastAsia"/>
          <w:b/>
          <w:bCs/>
          <w:rtl/>
        </w:rPr>
        <w:t>המסר</w:t>
      </w:r>
      <w:r w:rsidRPr="00402509">
        <w:rPr>
          <w:rFonts w:ascii="Calibri" w:hAnsi="Calibri"/>
          <w:b/>
          <w:bCs/>
          <w:rtl/>
        </w:rPr>
        <w:t xml:space="preserve"> </w:t>
      </w:r>
      <w:r w:rsidRPr="00402509">
        <w:rPr>
          <w:rFonts w:ascii="Calibri" w:hAnsi="Calibri" w:hint="eastAsia"/>
          <w:b/>
          <w:bCs/>
          <w:rtl/>
        </w:rPr>
        <w:t>כי</w:t>
      </w:r>
      <w:r w:rsidRPr="00402509">
        <w:rPr>
          <w:rFonts w:ascii="Calibri" w:hAnsi="Calibri"/>
          <w:b/>
          <w:bCs/>
          <w:rtl/>
        </w:rPr>
        <w:t xml:space="preserve"> </w:t>
      </w:r>
      <w:r w:rsidRPr="00402509">
        <w:rPr>
          <w:rFonts w:ascii="Calibri" w:hAnsi="Calibri" w:hint="eastAsia"/>
          <w:b/>
          <w:bCs/>
          <w:rtl/>
        </w:rPr>
        <w:t>בכל</w:t>
      </w:r>
      <w:r w:rsidRPr="00402509">
        <w:rPr>
          <w:rFonts w:ascii="Calibri" w:hAnsi="Calibri"/>
          <w:b/>
          <w:bCs/>
          <w:rtl/>
        </w:rPr>
        <w:t xml:space="preserve"> </w:t>
      </w:r>
      <w:r w:rsidRPr="00402509">
        <w:rPr>
          <w:rFonts w:ascii="Calibri" w:hAnsi="Calibri" w:hint="eastAsia"/>
          <w:b/>
          <w:bCs/>
          <w:rtl/>
        </w:rPr>
        <w:t>מחוזות</w:t>
      </w:r>
      <w:r w:rsidRPr="00402509">
        <w:rPr>
          <w:rFonts w:ascii="Calibri" w:hAnsi="Calibri"/>
          <w:b/>
          <w:bCs/>
          <w:rtl/>
        </w:rPr>
        <w:t xml:space="preserve"> </w:t>
      </w:r>
      <w:r w:rsidRPr="00402509">
        <w:rPr>
          <w:rFonts w:ascii="Calibri" w:hAnsi="Calibri" w:hint="eastAsia"/>
          <w:b/>
          <w:bCs/>
          <w:rtl/>
        </w:rPr>
        <w:t>המדינה</w:t>
      </w:r>
      <w:r w:rsidRPr="00402509">
        <w:rPr>
          <w:rFonts w:ascii="Calibri" w:hAnsi="Calibri"/>
          <w:b/>
          <w:bCs/>
          <w:rtl/>
        </w:rPr>
        <w:t xml:space="preserve">, </w:t>
      </w:r>
      <w:r w:rsidRPr="00402509">
        <w:rPr>
          <w:rFonts w:ascii="Calibri" w:hAnsi="Calibri" w:hint="eastAsia"/>
          <w:b/>
          <w:bCs/>
          <w:rtl/>
        </w:rPr>
        <w:t>וביחס</w:t>
      </w:r>
      <w:r w:rsidRPr="00402509">
        <w:rPr>
          <w:rFonts w:ascii="Calibri" w:hAnsi="Calibri"/>
          <w:b/>
          <w:bCs/>
          <w:rtl/>
        </w:rPr>
        <w:t xml:space="preserve"> </w:t>
      </w:r>
      <w:r w:rsidRPr="00402509">
        <w:rPr>
          <w:rFonts w:ascii="Calibri" w:hAnsi="Calibri" w:hint="eastAsia"/>
          <w:b/>
          <w:bCs/>
          <w:rtl/>
        </w:rPr>
        <w:t>לכל</w:t>
      </w:r>
      <w:r w:rsidRPr="00402509">
        <w:rPr>
          <w:rFonts w:ascii="Calibri" w:hAnsi="Calibri"/>
          <w:b/>
          <w:bCs/>
          <w:rtl/>
        </w:rPr>
        <w:t xml:space="preserve"> </w:t>
      </w:r>
      <w:r w:rsidRPr="00402509">
        <w:rPr>
          <w:rFonts w:ascii="Calibri" w:hAnsi="Calibri" w:hint="eastAsia"/>
          <w:b/>
          <w:bCs/>
          <w:rtl/>
        </w:rPr>
        <w:t>חלקי</w:t>
      </w:r>
      <w:r w:rsidRPr="00402509">
        <w:rPr>
          <w:rFonts w:ascii="Calibri" w:hAnsi="Calibri"/>
          <w:b/>
          <w:bCs/>
          <w:rtl/>
        </w:rPr>
        <w:t xml:space="preserve"> </w:t>
      </w:r>
      <w:r w:rsidRPr="00402509">
        <w:rPr>
          <w:rFonts w:ascii="Calibri" w:hAnsi="Calibri" w:hint="eastAsia"/>
          <w:b/>
          <w:bCs/>
          <w:rtl/>
        </w:rPr>
        <w:t>אוכלוסייתה</w:t>
      </w:r>
      <w:r w:rsidRPr="00402509">
        <w:rPr>
          <w:rFonts w:ascii="Calibri" w:hAnsi="Calibri"/>
          <w:b/>
          <w:bCs/>
          <w:rtl/>
        </w:rPr>
        <w:t xml:space="preserve">, </w:t>
      </w:r>
      <w:r w:rsidRPr="00402509">
        <w:rPr>
          <w:rFonts w:ascii="Calibri" w:hAnsi="Calibri" w:hint="eastAsia"/>
          <w:b/>
          <w:bCs/>
          <w:rtl/>
        </w:rPr>
        <w:t>יש</w:t>
      </w:r>
      <w:r w:rsidRPr="00402509">
        <w:rPr>
          <w:rFonts w:ascii="Calibri" w:hAnsi="Calibri"/>
          <w:b/>
          <w:bCs/>
          <w:rtl/>
        </w:rPr>
        <w:t xml:space="preserve"> </w:t>
      </w:r>
      <w:r w:rsidRPr="00402509">
        <w:rPr>
          <w:rFonts w:ascii="Calibri" w:hAnsi="Calibri" w:hint="eastAsia"/>
          <w:b/>
          <w:bCs/>
          <w:rtl/>
        </w:rPr>
        <w:t>דין</w:t>
      </w:r>
      <w:r w:rsidRPr="00402509">
        <w:rPr>
          <w:rFonts w:ascii="Calibri" w:hAnsi="Calibri"/>
          <w:b/>
          <w:bCs/>
          <w:rtl/>
        </w:rPr>
        <w:t xml:space="preserve"> </w:t>
      </w:r>
      <w:r w:rsidRPr="00402509">
        <w:rPr>
          <w:rFonts w:ascii="Calibri" w:hAnsi="Calibri" w:hint="eastAsia"/>
          <w:b/>
          <w:bCs/>
          <w:rtl/>
        </w:rPr>
        <w:t>ויש</w:t>
      </w:r>
      <w:r w:rsidRPr="00402509">
        <w:rPr>
          <w:rFonts w:ascii="Calibri" w:hAnsi="Calibri"/>
          <w:b/>
          <w:bCs/>
          <w:rtl/>
        </w:rPr>
        <w:t xml:space="preserve"> </w:t>
      </w:r>
      <w:r w:rsidRPr="00402509">
        <w:rPr>
          <w:rFonts w:ascii="Calibri" w:hAnsi="Calibri" w:hint="eastAsia"/>
          <w:b/>
          <w:bCs/>
          <w:rtl/>
        </w:rPr>
        <w:t>דיין</w:t>
      </w:r>
      <w:r w:rsidRPr="00402509">
        <w:rPr>
          <w:rFonts w:ascii="Calibri" w:hAnsi="Calibri"/>
          <w:b/>
          <w:bCs/>
          <w:rtl/>
        </w:rPr>
        <w:t xml:space="preserve">, </w:t>
      </w:r>
      <w:r w:rsidRPr="00402509">
        <w:rPr>
          <w:rFonts w:ascii="Calibri" w:hAnsi="Calibri" w:hint="eastAsia"/>
          <w:b/>
          <w:bCs/>
          <w:rtl/>
        </w:rPr>
        <w:t>והנוטל</w:t>
      </w:r>
      <w:r w:rsidRPr="00402509">
        <w:rPr>
          <w:rFonts w:ascii="Calibri" w:hAnsi="Calibri"/>
          <w:b/>
          <w:bCs/>
          <w:rtl/>
        </w:rPr>
        <w:t xml:space="preserve"> </w:t>
      </w:r>
      <w:r w:rsidRPr="00402509">
        <w:rPr>
          <w:rFonts w:ascii="Calibri" w:hAnsi="Calibri" w:hint="eastAsia"/>
          <w:b/>
          <w:bCs/>
          <w:rtl/>
        </w:rPr>
        <w:t>את</w:t>
      </w:r>
      <w:r w:rsidRPr="00402509">
        <w:rPr>
          <w:rFonts w:ascii="Calibri" w:hAnsi="Calibri"/>
          <w:b/>
          <w:bCs/>
          <w:rtl/>
        </w:rPr>
        <w:t xml:space="preserve"> </w:t>
      </w:r>
      <w:r w:rsidRPr="00402509">
        <w:rPr>
          <w:rFonts w:ascii="Calibri" w:hAnsi="Calibri" w:hint="eastAsia"/>
          <w:b/>
          <w:bCs/>
          <w:rtl/>
        </w:rPr>
        <w:t>החוק</w:t>
      </w:r>
      <w:r w:rsidRPr="00402509">
        <w:rPr>
          <w:rFonts w:ascii="Calibri" w:hAnsi="Calibri"/>
          <w:b/>
          <w:bCs/>
          <w:rtl/>
        </w:rPr>
        <w:t xml:space="preserve"> </w:t>
      </w:r>
      <w:r w:rsidRPr="00402509">
        <w:rPr>
          <w:rFonts w:ascii="Calibri" w:hAnsi="Calibri" w:hint="eastAsia"/>
          <w:b/>
          <w:bCs/>
          <w:rtl/>
        </w:rPr>
        <w:t>לידיו</w:t>
      </w:r>
      <w:r w:rsidRPr="00402509">
        <w:rPr>
          <w:rFonts w:ascii="Calibri" w:hAnsi="Calibri"/>
          <w:b/>
          <w:bCs/>
          <w:rtl/>
        </w:rPr>
        <w:t xml:space="preserve"> </w:t>
      </w:r>
      <w:r w:rsidRPr="00402509">
        <w:rPr>
          <w:rFonts w:ascii="Calibri" w:hAnsi="Calibri" w:hint="eastAsia"/>
          <w:b/>
          <w:bCs/>
          <w:rtl/>
        </w:rPr>
        <w:t>ייענש</w:t>
      </w:r>
      <w:r w:rsidRPr="00402509">
        <w:rPr>
          <w:rFonts w:ascii="Calibri" w:hAnsi="Calibri"/>
          <w:b/>
          <w:bCs/>
          <w:rtl/>
        </w:rPr>
        <w:t xml:space="preserve"> </w:t>
      </w:r>
      <w:r w:rsidRPr="00402509">
        <w:rPr>
          <w:rFonts w:ascii="Calibri" w:hAnsi="Calibri" w:hint="eastAsia"/>
          <w:b/>
          <w:bCs/>
          <w:rtl/>
        </w:rPr>
        <w:t>במלוא</w:t>
      </w:r>
      <w:r w:rsidRPr="00402509">
        <w:rPr>
          <w:rFonts w:ascii="Calibri" w:hAnsi="Calibri"/>
          <w:b/>
          <w:bCs/>
          <w:rtl/>
        </w:rPr>
        <w:t xml:space="preserve"> </w:t>
      </w:r>
      <w:r w:rsidRPr="00402509">
        <w:rPr>
          <w:rFonts w:ascii="Calibri" w:hAnsi="Calibri" w:hint="eastAsia"/>
          <w:b/>
          <w:bCs/>
          <w:rtl/>
        </w:rPr>
        <w:t>החומרה</w:t>
      </w:r>
      <w:r w:rsidRPr="00402509">
        <w:rPr>
          <w:rFonts w:ascii="Calibri" w:hAnsi="Calibri"/>
          <w:b/>
          <w:bCs/>
          <w:rtl/>
        </w:rPr>
        <w:t xml:space="preserve"> </w:t>
      </w:r>
      <w:r w:rsidRPr="00402509">
        <w:rPr>
          <w:rFonts w:ascii="Calibri" w:hAnsi="Calibri" w:hint="eastAsia"/>
          <w:b/>
          <w:bCs/>
          <w:rtl/>
        </w:rPr>
        <w:t>המתחייבת</w:t>
      </w:r>
      <w:r w:rsidRPr="00402509">
        <w:rPr>
          <w:rFonts w:ascii="Calibri" w:hAnsi="Calibri"/>
          <w:b/>
          <w:bCs/>
          <w:rtl/>
        </w:rPr>
        <w:t>"</w:t>
      </w:r>
      <w:r w:rsidRPr="00402509">
        <w:rPr>
          <w:rFonts w:ascii="Calibri" w:hAnsi="Calibri"/>
          <w:rtl/>
        </w:rPr>
        <w:t xml:space="preserve"> (</w:t>
      </w:r>
      <w:r w:rsidRPr="00402509">
        <w:rPr>
          <w:rFonts w:ascii="Calibri" w:hAnsi="Calibri" w:hint="eastAsia"/>
          <w:rtl/>
        </w:rPr>
        <w:t>פסקה</w:t>
      </w:r>
      <w:r w:rsidRPr="00402509">
        <w:rPr>
          <w:rFonts w:ascii="Calibri" w:hAnsi="Calibri"/>
          <w:rtl/>
        </w:rPr>
        <w:t xml:space="preserve"> 23 </w:t>
      </w:r>
      <w:r w:rsidRPr="00402509">
        <w:rPr>
          <w:rFonts w:ascii="Calibri" w:hAnsi="Calibri" w:hint="eastAsia"/>
          <w:rtl/>
        </w:rPr>
        <w:t>לפסק</w:t>
      </w:r>
      <w:r w:rsidRPr="00402509">
        <w:rPr>
          <w:rFonts w:ascii="Calibri" w:hAnsi="Calibri"/>
          <w:rtl/>
        </w:rPr>
        <w:t xml:space="preserve"> </w:t>
      </w:r>
      <w:r w:rsidRPr="00402509">
        <w:rPr>
          <w:rFonts w:ascii="Calibri" w:hAnsi="Calibri" w:hint="eastAsia"/>
          <w:rtl/>
        </w:rPr>
        <w:t>דינו</w:t>
      </w:r>
      <w:r w:rsidRPr="00402509">
        <w:rPr>
          <w:rFonts w:ascii="Calibri" w:hAnsi="Calibri"/>
          <w:rtl/>
        </w:rPr>
        <w:t xml:space="preserve"> </w:t>
      </w:r>
      <w:r w:rsidRPr="00402509">
        <w:rPr>
          <w:rFonts w:ascii="Calibri" w:hAnsi="Calibri" w:hint="eastAsia"/>
          <w:rtl/>
        </w:rPr>
        <w:t>של</w:t>
      </w:r>
      <w:r w:rsidRPr="00402509">
        <w:rPr>
          <w:rFonts w:ascii="Calibri" w:hAnsi="Calibri"/>
          <w:rtl/>
        </w:rPr>
        <w:t xml:space="preserve"> </w:t>
      </w:r>
      <w:r w:rsidRPr="00402509">
        <w:rPr>
          <w:rFonts w:ascii="Calibri" w:hAnsi="Calibri" w:hint="eastAsia"/>
          <w:rtl/>
        </w:rPr>
        <w:t>כב</w:t>
      </w:r>
      <w:r w:rsidRPr="00402509">
        <w:rPr>
          <w:rFonts w:ascii="Calibri" w:hAnsi="Calibri"/>
          <w:rtl/>
        </w:rPr>
        <w:t xml:space="preserve">' </w:t>
      </w:r>
      <w:r w:rsidRPr="00402509">
        <w:rPr>
          <w:rFonts w:ascii="Calibri" w:hAnsi="Calibri" w:hint="eastAsia"/>
          <w:rtl/>
        </w:rPr>
        <w:t>הש</w:t>
      </w:r>
      <w:r w:rsidRPr="00402509">
        <w:rPr>
          <w:rFonts w:ascii="Calibri" w:hAnsi="Calibri"/>
          <w:rtl/>
        </w:rPr>
        <w:t xml:space="preserve">' </w:t>
      </w:r>
      <w:r w:rsidRPr="00402509">
        <w:rPr>
          <w:rFonts w:ascii="Calibri" w:hAnsi="Calibri" w:hint="eastAsia"/>
          <w:rtl/>
        </w:rPr>
        <w:t>גרוסקופף</w:t>
      </w:r>
      <w:r w:rsidRPr="00402509">
        <w:rPr>
          <w:rFonts w:ascii="Calibri" w:hAnsi="Calibri"/>
          <w:rtl/>
        </w:rPr>
        <w:t xml:space="preserve">). </w:t>
      </w:r>
    </w:p>
    <w:p w14:paraId="06A81158" w14:textId="77777777" w:rsidR="005052BD" w:rsidRPr="00402509" w:rsidRDefault="005052BD" w:rsidP="005052BD">
      <w:pPr>
        <w:spacing w:before="120" w:after="120" w:line="360" w:lineRule="auto"/>
        <w:jc w:val="both"/>
        <w:rPr>
          <w:rFonts w:ascii="David" w:hAnsi="David"/>
        </w:rPr>
      </w:pPr>
      <w:r w:rsidRPr="00402509">
        <w:rPr>
          <w:rFonts w:ascii="David" w:hAnsi="David"/>
          <w:rtl/>
        </w:rPr>
        <w:t>מבלי להקל ראש בהליך הטיפולי אותו הנאשם עבר כמו גם יתר מאפייניו האישיים, אנו בדעה כי בעבירות בהן חטא הנאשם יש לתת את הבכורה לשיקולי הגמול והרתעת הרבים ור' דברי בית המשפט בעניין פלוני (שנאמרו ביחס לעבירות נשק):</w:t>
      </w:r>
      <w:r w:rsidRPr="00402509">
        <w:rPr>
          <w:rFonts w:ascii="David" w:hAnsi="David"/>
          <w:b/>
          <w:bCs/>
          <w:rtl/>
        </w:rPr>
        <w:t xml:space="preserve">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בהקשר זה אוסיף ואציין את המובן מאליו: בית משפט שמקל בעונשו של עבריין נשק מכביד על החברה שנאלצת להגן על עצמה –על כל בניה ובנותיה – מעברייני נשק</w:t>
      </w:r>
      <w:r w:rsidRPr="00402509">
        <w:rPr>
          <w:rFonts w:ascii="David" w:hAnsi="David"/>
          <w:rtl/>
        </w:rPr>
        <w:t>...".</w:t>
      </w:r>
    </w:p>
    <w:p w14:paraId="78AE1DDB" w14:textId="77777777" w:rsidR="005052BD" w:rsidRPr="00402509" w:rsidRDefault="005052BD" w:rsidP="005052BD">
      <w:pPr>
        <w:spacing w:after="160" w:line="360" w:lineRule="auto"/>
        <w:jc w:val="both"/>
        <w:rPr>
          <w:rFonts w:ascii="Calibri" w:hAnsi="Calibri"/>
          <w:rtl/>
        </w:rPr>
      </w:pPr>
      <w:r w:rsidRPr="00402509">
        <w:rPr>
          <w:rFonts w:ascii="David" w:hAnsi="David"/>
          <w:rtl/>
        </w:rPr>
        <w:t xml:space="preserve">לא נצא חובתנו אם נסתפק ברטוריקה מחמירה שאין לצדה תוצאה עונשית הולמת. בית המשפט אינו יכול לעמוד מנגד נוכח הזילות, כך ממש, של חיי אדם. עלינו לתרום תרומתנו </w:t>
      </w:r>
      <w:r w:rsidRPr="00402509">
        <w:rPr>
          <w:rFonts w:ascii="Calibri" w:hAnsi="Calibri" w:hint="eastAsia"/>
          <w:rtl/>
        </w:rPr>
        <w:t>במלחמה</w:t>
      </w:r>
      <w:r w:rsidRPr="00402509">
        <w:rPr>
          <w:rFonts w:ascii="Calibri" w:hAnsi="Calibri"/>
          <w:rtl/>
        </w:rPr>
        <w:t xml:space="preserve"> </w:t>
      </w:r>
      <w:r w:rsidRPr="00402509">
        <w:rPr>
          <w:rFonts w:ascii="Calibri" w:hAnsi="Calibri" w:hint="eastAsia"/>
          <w:rtl/>
        </w:rPr>
        <w:t>באלימות</w:t>
      </w:r>
      <w:r w:rsidRPr="00402509">
        <w:rPr>
          <w:rFonts w:ascii="Calibri" w:hAnsi="Calibri"/>
          <w:rtl/>
        </w:rPr>
        <w:t xml:space="preserve"> </w:t>
      </w:r>
      <w:r w:rsidRPr="00402509">
        <w:rPr>
          <w:rFonts w:ascii="Calibri" w:hAnsi="Calibri" w:hint="eastAsia"/>
          <w:rtl/>
        </w:rPr>
        <w:t>זו</w:t>
      </w:r>
      <w:r w:rsidRPr="00402509">
        <w:rPr>
          <w:rFonts w:ascii="Calibri" w:hAnsi="Calibri"/>
          <w:rtl/>
        </w:rPr>
        <w:t xml:space="preserve"> </w:t>
      </w:r>
      <w:r w:rsidRPr="00402509">
        <w:rPr>
          <w:rFonts w:ascii="Calibri" w:hAnsi="Calibri" w:hint="eastAsia"/>
          <w:rtl/>
        </w:rPr>
        <w:t>ולשקף</w:t>
      </w:r>
      <w:r w:rsidRPr="00402509">
        <w:rPr>
          <w:rFonts w:ascii="Calibri" w:hAnsi="Calibri"/>
          <w:rtl/>
        </w:rPr>
        <w:t xml:space="preserve"> </w:t>
      </w:r>
      <w:r w:rsidRPr="00402509">
        <w:rPr>
          <w:rFonts w:ascii="Calibri" w:hAnsi="Calibri" w:hint="eastAsia"/>
          <w:rtl/>
        </w:rPr>
        <w:t>בגזירת</w:t>
      </w:r>
      <w:r w:rsidRPr="00402509">
        <w:rPr>
          <w:rFonts w:ascii="Calibri" w:hAnsi="Calibri"/>
          <w:rtl/>
        </w:rPr>
        <w:t xml:space="preserve"> </w:t>
      </w:r>
      <w:r w:rsidRPr="00402509">
        <w:rPr>
          <w:rFonts w:ascii="Calibri" w:hAnsi="Calibri" w:hint="eastAsia"/>
          <w:rtl/>
        </w:rPr>
        <w:t>העונש</w:t>
      </w:r>
      <w:r w:rsidRPr="00402509">
        <w:rPr>
          <w:rFonts w:ascii="Calibri" w:hAnsi="Calibri"/>
          <w:rtl/>
        </w:rPr>
        <w:t xml:space="preserve"> </w:t>
      </w:r>
      <w:r w:rsidRPr="00402509">
        <w:rPr>
          <w:rFonts w:ascii="Calibri" w:hAnsi="Calibri" w:hint="eastAsia"/>
          <w:rtl/>
        </w:rPr>
        <w:t>את</w:t>
      </w:r>
      <w:r w:rsidRPr="00402509">
        <w:rPr>
          <w:rFonts w:ascii="Calibri" w:hAnsi="Calibri"/>
          <w:rtl/>
        </w:rPr>
        <w:t xml:space="preserve"> </w:t>
      </w:r>
      <w:r w:rsidRPr="00402509">
        <w:rPr>
          <w:rFonts w:ascii="Calibri" w:hAnsi="Calibri" w:hint="eastAsia"/>
          <w:rtl/>
        </w:rPr>
        <w:t>הסלידה</w:t>
      </w:r>
      <w:r w:rsidRPr="00402509">
        <w:rPr>
          <w:rFonts w:ascii="Calibri" w:hAnsi="Calibri"/>
          <w:rtl/>
        </w:rPr>
        <w:t xml:space="preserve"> </w:t>
      </w:r>
      <w:r w:rsidRPr="00402509">
        <w:rPr>
          <w:rFonts w:ascii="Calibri" w:hAnsi="Calibri" w:hint="eastAsia"/>
          <w:rtl/>
        </w:rPr>
        <w:t>ממעשים</w:t>
      </w:r>
      <w:r w:rsidRPr="00402509">
        <w:rPr>
          <w:rFonts w:ascii="Calibri" w:hAnsi="Calibri"/>
          <w:rtl/>
        </w:rPr>
        <w:t xml:space="preserve"> </w:t>
      </w:r>
      <w:r w:rsidRPr="00402509">
        <w:rPr>
          <w:rFonts w:ascii="Calibri" w:hAnsi="Calibri" w:hint="eastAsia"/>
          <w:rtl/>
        </w:rPr>
        <w:t>אלה</w:t>
      </w:r>
      <w:r w:rsidRPr="00402509">
        <w:rPr>
          <w:rFonts w:ascii="Calibri" w:hAnsi="Calibri"/>
          <w:rtl/>
        </w:rPr>
        <w:t>.</w:t>
      </w:r>
    </w:p>
    <w:p w14:paraId="4ABC3FF0" w14:textId="77777777" w:rsidR="005052BD" w:rsidRPr="00402509" w:rsidRDefault="005052BD" w:rsidP="005052BD">
      <w:pPr>
        <w:tabs>
          <w:tab w:val="center" w:pos="4153"/>
          <w:tab w:val="right" w:pos="8306"/>
        </w:tabs>
        <w:spacing w:after="160" w:line="360" w:lineRule="auto"/>
        <w:jc w:val="both"/>
        <w:rPr>
          <w:rFonts w:ascii="David" w:hAnsi="David"/>
          <w:b/>
          <w:bCs/>
          <w:noProof/>
          <w:u w:val="single"/>
        </w:rPr>
      </w:pPr>
      <w:r w:rsidRPr="00402509">
        <w:rPr>
          <w:rFonts w:ascii="David" w:hAnsi="David"/>
          <w:b/>
          <w:bCs/>
          <w:noProof/>
          <w:u w:val="single"/>
          <w:rtl/>
        </w:rPr>
        <w:t>פסילת רישיון נהיגתו של הנאשם:</w:t>
      </w:r>
    </w:p>
    <w:p w14:paraId="32EDAAE3"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rFonts w:ascii="David" w:hAnsi="David"/>
          <w:noProof/>
          <w:rtl/>
        </w:rPr>
        <w:t xml:space="preserve">ההסדר בין הצדדים לא כלל רכיב עונשי הנוגע לפסילת רישיונו של הנאשם. גם לאחר שבית המשפט הביע את פליאתו על כך במעמד הטיעונים לעונש, שני הצדדים ביקשו לדבוק בהסדר המקורי ולהימנע מלהשית על הנאשם עונש פסילה. בא כוח הנאשם הוסיף וטען כי מקום בו לא נגרם כל נזק פיזי והיות שהנאשם למעשה נוהג כבר שנה ברכב (מאז שחרורו ממעצר), ניתן להורות כי הפסילה תהיה על תנאי. </w:t>
      </w:r>
    </w:p>
    <w:p w14:paraId="62C191FE"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rFonts w:ascii="David" w:hAnsi="David"/>
          <w:noProof/>
          <w:rtl/>
        </w:rPr>
        <w:t xml:space="preserve">לא נכחד, נפלא מבינתנו הכיצד אדם שהתרשל ושגה בנהיגתו רשיונו נפסל אך בתיק בו נאשם שעולה על רכב ככלי נשק בידו ושועט לעבר קבוצת אנשים על מנת לנסות לגרום לקטילתו של המנוח, המאשימה אינה סבורה כי נכון יהיה למנוע ממנו לאחוז בהגה לתקופה ממושכת ביותר. עמדה מעין זו, מתעלמת לחלוטין מהאינטרס הציבורי ובפועל מעמידה אותו בסיכון. הצורך בפסילת רישיונו של הנאשם עולה בקנה אחד גם עם הוראת </w:t>
      </w:r>
      <w:hyperlink r:id="rId42" w:history="1">
        <w:r w:rsidR="00B905CD" w:rsidRPr="00B905CD">
          <w:rPr>
            <w:rStyle w:val="Hyperlink"/>
            <w:rFonts w:ascii="David" w:hAnsi="David"/>
            <w:noProof/>
            <w:rtl/>
          </w:rPr>
          <w:t>סעיף 43</w:t>
        </w:r>
      </w:hyperlink>
      <w:r w:rsidRPr="00402509">
        <w:rPr>
          <w:rFonts w:ascii="David" w:hAnsi="David"/>
          <w:noProof/>
          <w:rtl/>
        </w:rPr>
        <w:t xml:space="preserve"> ל</w:t>
      </w:r>
      <w:hyperlink r:id="rId43" w:history="1">
        <w:r w:rsidR="001610CC" w:rsidRPr="001610CC">
          <w:rPr>
            <w:rFonts w:ascii="David" w:hAnsi="David"/>
            <w:noProof/>
            <w:color w:val="0000FF"/>
            <w:u w:val="single"/>
            <w:rtl/>
          </w:rPr>
          <w:t>פקודת התעבורה</w:t>
        </w:r>
      </w:hyperlink>
      <w:r w:rsidRPr="00402509">
        <w:rPr>
          <w:rFonts w:ascii="David" w:hAnsi="David"/>
          <w:noProof/>
          <w:rtl/>
        </w:rPr>
        <w:t xml:space="preserve"> [נוסח חדש] שזו לשונה: </w:t>
      </w:r>
    </w:p>
    <w:p w14:paraId="370A9AB6" w14:textId="77777777" w:rsidR="005052BD" w:rsidRPr="00402509" w:rsidRDefault="005052BD" w:rsidP="005052BD">
      <w:pPr>
        <w:tabs>
          <w:tab w:val="center" w:pos="4153"/>
          <w:tab w:val="right" w:pos="8306"/>
        </w:tabs>
        <w:spacing w:before="120" w:after="120"/>
        <w:ind w:left="567" w:right="567"/>
        <w:jc w:val="both"/>
        <w:rPr>
          <w:rFonts w:ascii="David" w:hAnsi="David"/>
          <w:noProof/>
          <w:rtl/>
        </w:rPr>
      </w:pPr>
      <w:r w:rsidRPr="00402509">
        <w:rPr>
          <w:rFonts w:ascii="David" w:hAnsi="David"/>
          <w:b/>
          <w:bCs/>
          <w:noProof/>
          <w:rtl/>
        </w:rPr>
        <w:t>"</w:t>
      </w:r>
      <w:r w:rsidRPr="00402509">
        <w:rPr>
          <w:rFonts w:ascii="David" w:hAnsi="David"/>
          <w:b/>
          <w:bCs/>
          <w:noProof/>
          <w:u w:val="single"/>
          <w:rtl/>
        </w:rPr>
        <w:t>בעל רשיון נהיגה</w:t>
      </w:r>
      <w:r w:rsidRPr="00402509">
        <w:rPr>
          <w:rFonts w:ascii="David" w:hAnsi="David"/>
          <w:b/>
          <w:bCs/>
          <w:noProof/>
          <w:rtl/>
        </w:rPr>
        <w:t xml:space="preserve"> או בעל רשיון רכב </w:t>
      </w:r>
      <w:r w:rsidRPr="00402509">
        <w:rPr>
          <w:rFonts w:ascii="David" w:hAnsi="David"/>
          <w:b/>
          <w:bCs/>
          <w:noProof/>
          <w:u w:val="single"/>
          <w:rtl/>
        </w:rPr>
        <w:t>שהורשע על עוון או על פשע שביצועם נתאפשר</w:t>
      </w:r>
      <w:r w:rsidRPr="00402509">
        <w:rPr>
          <w:rFonts w:ascii="David" w:hAnsi="David"/>
          <w:b/>
          <w:bCs/>
          <w:noProof/>
          <w:rtl/>
        </w:rPr>
        <w:t xml:space="preserve"> או הוקל עקב נהיגתו ברכב או עקב השימוש ברכב שיש לו רשיון עליו, בית המשפט שהרשיעו, רשאי – בנוסף על כל עונש אחר – לפסול אותו מהחזיק רשיון כאמור, </w:t>
      </w:r>
      <w:r w:rsidRPr="00402509">
        <w:rPr>
          <w:rFonts w:ascii="David" w:hAnsi="David"/>
          <w:b/>
          <w:bCs/>
          <w:noProof/>
          <w:u w:val="single"/>
          <w:rtl/>
        </w:rPr>
        <w:t xml:space="preserve">לצמיתות </w:t>
      </w:r>
      <w:r w:rsidRPr="00402509">
        <w:rPr>
          <w:rFonts w:ascii="David" w:hAnsi="David"/>
          <w:b/>
          <w:bCs/>
          <w:noProof/>
          <w:rtl/>
        </w:rPr>
        <w:t>או לתקופה מסויימת</w:t>
      </w:r>
      <w:r w:rsidRPr="00402509">
        <w:rPr>
          <w:rFonts w:ascii="David" w:hAnsi="David"/>
          <w:b/>
          <w:bCs/>
          <w:noProof/>
        </w:rPr>
        <w:t>.</w:t>
      </w:r>
      <w:r w:rsidRPr="00402509">
        <w:rPr>
          <w:rFonts w:ascii="David" w:hAnsi="David"/>
          <w:noProof/>
          <w:rtl/>
        </w:rPr>
        <w:t>".</w:t>
      </w:r>
    </w:p>
    <w:p w14:paraId="2CDDFF00"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rFonts w:ascii="David" w:hAnsi="David"/>
          <w:noProof/>
          <w:rtl/>
        </w:rPr>
        <w:t xml:space="preserve">העובדה כי החוק נוקט כאפשרות ראשונה פסילת רישיון לצמיתות, מלמדת על החומרה בה הוא רואה סיטואציות בהן עבירות פשע מתאפשרות באמצעות שימוש ברכב. </w:t>
      </w:r>
    </w:p>
    <w:p w14:paraId="5B8C7665" w14:textId="77777777" w:rsidR="005052BD" w:rsidRPr="00402509" w:rsidRDefault="005052BD" w:rsidP="005052BD">
      <w:pPr>
        <w:spacing w:line="360" w:lineRule="auto"/>
        <w:jc w:val="both"/>
        <w:rPr>
          <w:rFonts w:ascii="David" w:hAnsi="David"/>
          <w:rtl/>
        </w:rPr>
      </w:pPr>
      <w:r w:rsidRPr="00402509">
        <w:rPr>
          <w:rFonts w:ascii="David" w:hAnsi="David"/>
          <w:rtl/>
        </w:rPr>
        <w:t>לאור האמור, הואיל ואין באיזונים שערכה המאשימה ביחס לרכיב זה בהגיעה להסדר (אם בכלל ערכה), כל מענה לאינטרס הציבורי, נחרוג מגבולות ההסכמה אליה הגיעו הצדדים. זאת אנו עושים גם בהסתמך על ההלכה המנחה הנוגעת להסדרי טיעון כאמור ב</w:t>
      </w:r>
      <w:hyperlink r:id="rId44" w:history="1">
        <w:r w:rsidR="001610CC" w:rsidRPr="001610CC">
          <w:rPr>
            <w:rFonts w:ascii="David" w:hAnsi="David"/>
            <w:color w:val="0000FF"/>
            <w:u w:val="single"/>
            <w:rtl/>
          </w:rPr>
          <w:t>ע"פ 1958/98</w:t>
        </w:r>
      </w:hyperlink>
      <w:r w:rsidRPr="00402509">
        <w:rPr>
          <w:rFonts w:ascii="David" w:hAnsi="David"/>
          <w:rtl/>
        </w:rPr>
        <w:t xml:space="preserve"> </w:t>
      </w:r>
      <w:r w:rsidRPr="00402509">
        <w:rPr>
          <w:rFonts w:ascii="David" w:hAnsi="David"/>
          <w:b/>
          <w:bCs/>
          <w:rtl/>
        </w:rPr>
        <w:t>פלוני נ' מדינת ישראל</w:t>
      </w:r>
      <w:r w:rsidRPr="00402509">
        <w:rPr>
          <w:rFonts w:ascii="David" w:hAnsi="David"/>
          <w:rtl/>
        </w:rPr>
        <w:t xml:space="preserve"> [פסקה 18 לפסק דינה של כב' הש' בייניש] (פורסם בנבו, 25.12.02)</w:t>
      </w:r>
      <w:r>
        <w:rPr>
          <w:rFonts w:ascii="David" w:hAnsi="David" w:hint="cs"/>
          <w:rtl/>
        </w:rPr>
        <w:t>,</w:t>
      </w:r>
      <w:r w:rsidRPr="00402509">
        <w:rPr>
          <w:rFonts w:ascii="David" w:hAnsi="David"/>
          <w:b/>
          <w:bCs/>
          <w:rtl/>
        </w:rPr>
        <w:t xml:space="preserve"> </w:t>
      </w:r>
      <w:r w:rsidRPr="00402509">
        <w:rPr>
          <w:rFonts w:ascii="David" w:hAnsi="David"/>
          <w:rtl/>
        </w:rPr>
        <w:t xml:space="preserve">אשר לצד העמידה על החשיבות הרבה בכיבודם קבעה: </w:t>
      </w:r>
    </w:p>
    <w:p w14:paraId="36A6E0E6" w14:textId="77777777" w:rsidR="005052BD" w:rsidRPr="00402509" w:rsidRDefault="005052BD" w:rsidP="005052BD">
      <w:pPr>
        <w:ind w:left="567" w:right="567"/>
        <w:jc w:val="both"/>
        <w:rPr>
          <w:rFonts w:ascii="David" w:hAnsi="David"/>
          <w:rtl/>
        </w:rPr>
      </w:pPr>
      <w:r w:rsidRPr="00402509">
        <w:rPr>
          <w:rFonts w:ascii="David" w:hAnsi="David"/>
          <w:rtl/>
        </w:rPr>
        <w:t xml:space="preserve">" </w:t>
      </w:r>
      <w:r w:rsidRPr="00402509">
        <w:rPr>
          <w:rFonts w:ascii="David" w:hAnsi="David"/>
          <w:b/>
          <w:bCs/>
          <w:rtl/>
        </w:rPr>
        <w:t>משאמרנו כל שניתן לומר בשבחו של הסדר הטיעון המהווה שיקול מרכזי בגזירת-הדין, נוסיף ונאמר כי כל יתרונותיו אינם חזות הכל ומצויים הם על כף אחת של המאזניים. על הכף האחרת מצויים המקרים אשר בהם האינטרס הציבורי יחייב עמידה איתנה של התביעה,</w:t>
      </w:r>
      <w:r w:rsidRPr="00402509">
        <w:rPr>
          <w:rFonts w:ascii="David" w:hAnsi="David"/>
          <w:b/>
          <w:bCs/>
          <w:u w:val="single"/>
          <w:rtl/>
        </w:rPr>
        <w:t xml:space="preserve"> ללא קיצורי דרך וללא הקלות. אם באלה תערוך התביעה הסדר טיעון, תעמוד היא לביקורתו של בית-המשפט, ויהיה בכך נימוק לדחיית הסדר הטיעון לעונש</w:t>
      </w:r>
      <w:r w:rsidRPr="00402509">
        <w:rPr>
          <w:rFonts w:ascii="David" w:hAnsi="David"/>
          <w:rtl/>
        </w:rPr>
        <w:t xml:space="preserve">. [...] </w:t>
      </w:r>
      <w:r w:rsidRPr="00402509">
        <w:rPr>
          <w:rFonts w:ascii="David" w:hAnsi="David"/>
          <w:b/>
          <w:bCs/>
          <w:rtl/>
        </w:rPr>
        <w:t xml:space="preserve"> ככלל, בית-המשפט יראה לקיים את הסדר הטיעון, בשל הטעמים הקשורים בחשיבותם ובמעמדם של הסדרי הטיעון. </w:t>
      </w:r>
      <w:r w:rsidRPr="00402509">
        <w:rPr>
          <w:rFonts w:ascii="David" w:hAnsi="David"/>
          <w:b/>
          <w:bCs/>
          <w:u w:val="single"/>
          <w:rtl/>
        </w:rPr>
        <w:t>עם זאת, תמיד חייב בית-המשפט עצמו לשקול את השיקולים הראויים לעונש, שכן תפקידו ואחריותו אינם מאפשרים לו להסתתר מאחורי גבה של התביעה. במסגרת בחינתו של העונש המוצע, ייתן בית-המשפט דעתו לכל שיקולי הענישה הרלוונטיים, ויבחן אם מקיים העונש המוצע את האיזון הדרוש ביניהם.</w:t>
      </w:r>
      <w:r w:rsidRPr="00402509">
        <w:rPr>
          <w:rFonts w:ascii="David" w:hAnsi="David"/>
          <w:b/>
          <w:bCs/>
          <w:rtl/>
        </w:rPr>
        <w:t xml:space="preserve"> לשם כך, יבחן בית-המשפט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w:t>
      </w:r>
    </w:p>
    <w:p w14:paraId="3B0EBA16" w14:textId="77777777" w:rsidR="005052BD" w:rsidRPr="00402509" w:rsidRDefault="005052BD" w:rsidP="005052BD">
      <w:pPr>
        <w:jc w:val="both"/>
        <w:rPr>
          <w:rFonts w:ascii="David" w:hAnsi="David"/>
          <w:rtl/>
        </w:rPr>
      </w:pPr>
    </w:p>
    <w:p w14:paraId="3F05B25D" w14:textId="77777777" w:rsidR="005052BD" w:rsidRPr="00402509" w:rsidRDefault="005052BD" w:rsidP="005052BD">
      <w:pPr>
        <w:spacing w:line="276" w:lineRule="auto"/>
        <w:jc w:val="both"/>
        <w:rPr>
          <w:rtl/>
          <w:lang w:eastAsia="he-IL"/>
        </w:rPr>
      </w:pPr>
      <w:r w:rsidRPr="00402509">
        <w:rPr>
          <w:rFonts w:ascii="David" w:hAnsi="David"/>
          <w:rtl/>
        </w:rPr>
        <w:t>בדומה ראה</w:t>
      </w:r>
      <w:r w:rsidRPr="00402509">
        <w:rPr>
          <w:rtl/>
          <w:lang w:eastAsia="he-IL"/>
        </w:rPr>
        <w:t xml:space="preserve"> </w:t>
      </w:r>
      <w:hyperlink r:id="rId45" w:history="1">
        <w:r w:rsidR="001610CC" w:rsidRPr="001610CC">
          <w:rPr>
            <w:color w:val="0000FF"/>
            <w:u w:val="single"/>
            <w:rtl/>
            <w:lang w:eastAsia="he-IL"/>
          </w:rPr>
          <w:t>דנ"פ 1187/03</w:t>
        </w:r>
      </w:hyperlink>
      <w:r w:rsidRPr="00402509">
        <w:rPr>
          <w:rtl/>
          <w:lang w:eastAsia="he-IL"/>
        </w:rPr>
        <w:t xml:space="preserve"> </w:t>
      </w:r>
      <w:r>
        <w:rPr>
          <w:b/>
          <w:bCs/>
          <w:rtl/>
          <w:lang w:eastAsia="he-IL"/>
        </w:rPr>
        <w:t>מ</w:t>
      </w:r>
      <w:r>
        <w:rPr>
          <w:rFonts w:hint="cs"/>
          <w:b/>
          <w:bCs/>
          <w:rtl/>
          <w:lang w:eastAsia="he-IL"/>
        </w:rPr>
        <w:t>ד</w:t>
      </w:r>
      <w:r w:rsidRPr="00402509">
        <w:rPr>
          <w:b/>
          <w:bCs/>
          <w:rtl/>
          <w:lang w:eastAsia="he-IL"/>
        </w:rPr>
        <w:t>י</w:t>
      </w:r>
      <w:r>
        <w:rPr>
          <w:rFonts w:hint="cs"/>
          <w:b/>
          <w:bCs/>
          <w:rtl/>
          <w:lang w:eastAsia="he-IL"/>
        </w:rPr>
        <w:t>נת ישראל</w:t>
      </w:r>
      <w:r w:rsidRPr="00402509">
        <w:rPr>
          <w:b/>
          <w:bCs/>
          <w:rtl/>
          <w:lang w:eastAsia="he-IL"/>
        </w:rPr>
        <w:t xml:space="preserve"> נ' פרץ</w:t>
      </w:r>
      <w:r w:rsidRPr="00402509">
        <w:rPr>
          <w:rtl/>
          <w:lang w:eastAsia="he-IL"/>
        </w:rPr>
        <w:t xml:space="preserve"> [פסקה 2 לחוות דע</w:t>
      </w:r>
      <w:r>
        <w:rPr>
          <w:rtl/>
          <w:lang w:eastAsia="he-IL"/>
        </w:rPr>
        <w:t>תו של כב' המשנה לנשיא הש' חשין</w:t>
      </w:r>
      <w:r>
        <w:rPr>
          <w:rFonts w:hint="cs"/>
          <w:rtl/>
          <w:lang w:eastAsia="he-IL"/>
        </w:rPr>
        <w:t>,</w:t>
      </w:r>
      <w:r>
        <w:rPr>
          <w:rtl/>
          <w:lang w:eastAsia="he-IL"/>
        </w:rPr>
        <w:t xml:space="preserve"> כתוארו אז</w:t>
      </w:r>
      <w:r>
        <w:rPr>
          <w:rFonts w:hint="cs"/>
          <w:rtl/>
          <w:lang w:eastAsia="he-IL"/>
        </w:rPr>
        <w:t>]</w:t>
      </w:r>
      <w:r w:rsidRPr="00402509">
        <w:rPr>
          <w:rtl/>
          <w:lang w:eastAsia="he-IL"/>
        </w:rPr>
        <w:t xml:space="preserve"> (פורסם בנבו, 31.3.2005):</w:t>
      </w:r>
    </w:p>
    <w:p w14:paraId="5898617E" w14:textId="77777777" w:rsidR="005052BD" w:rsidRPr="00402509" w:rsidRDefault="005052BD" w:rsidP="005052BD">
      <w:pPr>
        <w:jc w:val="both"/>
        <w:rPr>
          <w:rtl/>
          <w:lang w:eastAsia="he-IL"/>
        </w:rPr>
      </w:pPr>
    </w:p>
    <w:p w14:paraId="68E0F217" w14:textId="77777777" w:rsidR="005052BD" w:rsidRPr="00402509" w:rsidRDefault="005052BD" w:rsidP="005052BD">
      <w:pPr>
        <w:ind w:left="567" w:right="567"/>
        <w:jc w:val="both"/>
        <w:rPr>
          <w:b/>
          <w:bCs/>
          <w:lang w:eastAsia="he-IL"/>
        </w:rPr>
      </w:pPr>
      <w:r w:rsidRPr="00402509">
        <w:rPr>
          <w:rtl/>
          <w:lang w:eastAsia="he-IL"/>
        </w:rPr>
        <w:t xml:space="preserve"> </w:t>
      </w:r>
      <w:r w:rsidRPr="00402509">
        <w:rPr>
          <w:b/>
          <w:bCs/>
          <w:rtl/>
          <w:lang w:eastAsia="he-IL"/>
        </w:rPr>
        <w:t xml:space="preserve">"ואולם זאת נזכור ונשמור, שבסוף-כל-הסופות בית-המשפט הוא המכריע לשבט או לחסד, ובמקום שהדין הוא לשבט – הוא הגוזר עונש. הסמכות והכוח לענישה – ובהם עיקר – הם בידי בית-המשפט; האחריות לענישה על כתפי בית-המשפט מונחת היא, ומילתו של בית-המשפט היא המילה האחרונה והקובעת. נדע מכאן כי עמדתה של התביעה באשר לגזירת העונש, חשובה ככל שתהא, אין היא אלא אחד המרכיבים בשיקול-דעתו של בית-המשפט – מרכיב חשוב, מרכיב מרכזי, ללא כל ספק – ואולם כנגדו ובצדיו יתייצבו במקרים המתאימים שיקולים כבדי-משקל העשויים למעט ממשקלו." </w:t>
      </w:r>
    </w:p>
    <w:p w14:paraId="18B45BF6"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rFonts w:ascii="David" w:hAnsi="David"/>
          <w:noProof/>
          <w:rtl/>
        </w:rPr>
        <w:t xml:space="preserve">יוער כי לו רכיב עונשי זה מלכתחילה היה מונח לפתחינו כחלק מההסדר, או אז היה לטעמנו מקום לפסול את הנאשם מלהחזיק רישיון למשך שנים רבות. ברם, מקום שבו השתת העונש נעשית תוך סטייה מההסדר, תקופת הפסילה תהא מתונה יותר. </w:t>
      </w:r>
    </w:p>
    <w:p w14:paraId="5A38ACA8" w14:textId="77777777" w:rsidR="005052BD" w:rsidRPr="00402509" w:rsidRDefault="005052BD" w:rsidP="005052BD">
      <w:pPr>
        <w:tabs>
          <w:tab w:val="center" w:pos="4153"/>
          <w:tab w:val="right" w:pos="8306"/>
        </w:tabs>
        <w:spacing w:before="120" w:after="120" w:line="360" w:lineRule="auto"/>
        <w:jc w:val="both"/>
        <w:rPr>
          <w:rFonts w:ascii="David" w:hAnsi="David"/>
          <w:b/>
          <w:bCs/>
          <w:noProof/>
          <w:rtl/>
        </w:rPr>
      </w:pPr>
      <w:r w:rsidRPr="00402509">
        <w:rPr>
          <w:rFonts w:ascii="David" w:hAnsi="David"/>
          <w:b/>
          <w:bCs/>
          <w:noProof/>
          <w:u w:val="single"/>
          <w:rtl/>
        </w:rPr>
        <w:t>רכיב הפיצוי</w:t>
      </w:r>
      <w:r w:rsidRPr="00402509">
        <w:rPr>
          <w:rFonts w:ascii="David" w:hAnsi="David"/>
          <w:b/>
          <w:bCs/>
          <w:noProof/>
          <w:rtl/>
        </w:rPr>
        <w:t xml:space="preserve">: </w:t>
      </w:r>
    </w:p>
    <w:p w14:paraId="4B447D07"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noProof/>
          <w:rtl/>
        </w:rPr>
        <w:t xml:space="preserve">אשר לפיצוי, נקבע בפסיקה כי תכליתה של הוראת </w:t>
      </w:r>
      <w:hyperlink r:id="rId46" w:history="1">
        <w:r w:rsidR="00B905CD" w:rsidRPr="00B905CD">
          <w:rPr>
            <w:rStyle w:val="Hyperlink"/>
            <w:noProof/>
            <w:rtl/>
          </w:rPr>
          <w:t>סעיף 77</w:t>
        </w:r>
      </w:hyperlink>
      <w:r w:rsidRPr="00402509">
        <w:rPr>
          <w:noProof/>
          <w:rtl/>
        </w:rPr>
        <w:t xml:space="preserve"> ל</w:t>
      </w:r>
      <w:hyperlink r:id="rId47" w:history="1">
        <w:r w:rsidR="001610CC" w:rsidRPr="001610CC">
          <w:rPr>
            <w:noProof/>
            <w:color w:val="0000FF"/>
            <w:u w:val="single"/>
            <w:rtl/>
          </w:rPr>
          <w:t>חוק העונשין</w:t>
        </w:r>
      </w:hyperlink>
      <w:r w:rsidRPr="00402509">
        <w:rPr>
          <w:noProof/>
          <w:rtl/>
        </w:rPr>
        <w:t xml:space="preserve"> היא להעמיד לנגד עיניו של בית המשפט את נפגעי העבירה, את נזקם ואת סבלם, זאת כחלק מהמגמה המתעצמת להעלות את מעמדם ולהכיר בזכויותיהם במסגרת ההליך הפלילי. </w:t>
      </w:r>
      <w:r w:rsidRPr="00402509">
        <w:rPr>
          <w:rFonts w:ascii="Arial" w:hAnsi="Arial"/>
          <w:noProof/>
          <w:rtl/>
        </w:rPr>
        <w:t xml:space="preserve">הפיצוי מהווה כמעין "עזרה ראשונה" לנפגעי העבירה מבלי שזה נדרש להוכיח </w:t>
      </w:r>
      <w:r w:rsidRPr="00402509">
        <w:rPr>
          <w:noProof/>
          <w:rtl/>
        </w:rPr>
        <w:t xml:space="preserve">את נזקו, וזאת בשונה מתביעה אזרחית (ר' </w:t>
      </w:r>
      <w:hyperlink r:id="rId48" w:history="1">
        <w:r w:rsidR="001610CC" w:rsidRPr="001610CC">
          <w:rPr>
            <w:noProof/>
            <w:color w:val="0000FF"/>
            <w:spacing w:val="10"/>
            <w:u w:val="single"/>
            <w:rtl/>
          </w:rPr>
          <w:t>דנ"פ 5625/16</w:t>
        </w:r>
      </w:hyperlink>
      <w:r w:rsidRPr="00402509">
        <w:rPr>
          <w:bCs/>
          <w:noProof/>
        </w:rPr>
        <w:t xml:space="preserve"> </w:t>
      </w:r>
      <w:r w:rsidRPr="00402509">
        <w:rPr>
          <w:bCs/>
          <w:noProof/>
          <w:rtl/>
        </w:rPr>
        <w:t xml:space="preserve"> אסרף נ' טווק בוקובזה </w:t>
      </w:r>
      <w:r w:rsidRPr="00402509">
        <w:rPr>
          <w:b/>
          <w:noProof/>
          <w:rtl/>
        </w:rPr>
        <w:t>[פסקה 15 לפסק דינה של כב' הש' חיות] (</w:t>
      </w:r>
      <w:r w:rsidRPr="00402509">
        <w:rPr>
          <w:noProof/>
          <w:rtl/>
        </w:rPr>
        <w:t>פורסם בנבו, 13.9.2017)).</w:t>
      </w:r>
      <w:r w:rsidRPr="00402509">
        <w:rPr>
          <w:rFonts w:ascii="David" w:hAnsi="David"/>
          <w:noProof/>
          <w:rtl/>
        </w:rPr>
        <w:t>ברגיל, נוכח התוצאה הטראגית, היה מקום להשית על הנאשם פיצוי משמעותי, אם לא תקרת הפיצויים האפשרית. ברם, במקרה הנדון, כאשר המנוח לא נפגע מרכבו של הנאשם וכאשר לא מיוחס לנאשם כי במעשיו הביא למות המנוח, הפיצוי יהיה יחסית במשורה.</w:t>
      </w:r>
    </w:p>
    <w:p w14:paraId="1D7D40C6" w14:textId="77777777" w:rsidR="005052BD" w:rsidRPr="00402509" w:rsidRDefault="005052BD" w:rsidP="005052BD">
      <w:pPr>
        <w:spacing w:before="120" w:after="120" w:line="360" w:lineRule="auto"/>
        <w:jc w:val="both"/>
        <w:rPr>
          <w:rFonts w:ascii="David" w:hAnsi="David"/>
          <w:noProof/>
          <w:rtl/>
        </w:rPr>
      </w:pPr>
      <w:r w:rsidRPr="00402509">
        <w:rPr>
          <w:rFonts w:ascii="David" w:hAnsi="David"/>
          <w:noProof/>
          <w:rtl/>
        </w:rPr>
        <w:t xml:space="preserve">שתי הערות טרם סיום. זו הראשונה, נוגעת לכך ששירות המבחן מנבא (בנוסף לרמת הסיכון הכללית) כי ככל שהנאשם יחטא בעתיד בעבירת אלימות </w:t>
      </w:r>
      <w:r w:rsidRPr="00402509">
        <w:rPr>
          <w:rFonts w:ascii="David" w:hAnsi="David"/>
          <w:rtl/>
        </w:rPr>
        <w:t>"חומרתה תהיה נמוכה עד בינונית". הערכה זו לדעתנו, בלשון המעטה, אינה חפה מקשיים. ביחס לכך, לא נחדש דבר אם נציין כי פעמים רבות, ההבדל בין חבלה קשה ואף קטלנית לבין פציעה קלה, הוא תלוי מזל וכלל לא קשור לנאשם. כך למשל, הבדל של ס"מ בעומק הפציעה או מיקומה הוא גם ההבדל בין חיים למוות. כך גם במקרה שלנו, איחור של שניות ספורות בזיהוי רכבו השועט של הנאשם יכול היה להביא ל</w:t>
      </w:r>
      <w:r>
        <w:rPr>
          <w:rFonts w:ascii="David" w:hAnsi="David" w:hint="cs"/>
          <w:rtl/>
        </w:rPr>
        <w:t>פגיעה קשה ברבים מהנוכחים.</w:t>
      </w:r>
      <w:r w:rsidRPr="00402509">
        <w:rPr>
          <w:rFonts w:ascii="David" w:hAnsi="David"/>
          <w:rtl/>
        </w:rPr>
        <w:t xml:space="preserve"> </w:t>
      </w:r>
    </w:p>
    <w:p w14:paraId="692AAD7D"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r w:rsidRPr="00402509">
        <w:rPr>
          <w:rFonts w:ascii="David" w:hAnsi="David"/>
          <w:noProof/>
          <w:rtl/>
        </w:rPr>
        <w:t>הערה שניה נוגעת להליך הטיפולי אותו החל הנאשם. אכן, מדובר בתהליך מבורך וראוי ואולם, מעבר למשקלם המוגבר של שיקולי גמול והרתעה, אין לקבל את הדיכוטומיה הנטענת לפיה שליחתו של הנאשם למאסר תביא לגדיעתו של ההליך הטיפולי וכל הישגיו של הנאשם יירדו לטימיון.  יפים לעניין זה דברי בית המשפט העליון ב</w:t>
      </w:r>
      <w:hyperlink r:id="rId49" w:history="1">
        <w:r w:rsidR="001610CC" w:rsidRPr="001610CC">
          <w:rPr>
            <w:rFonts w:ascii="David" w:hAnsi="David"/>
            <w:color w:val="0000FF"/>
            <w:u w:val="single"/>
            <w:rtl/>
          </w:rPr>
          <w:t>רע"פ 5655/13</w:t>
        </w:r>
      </w:hyperlink>
      <w:r w:rsidRPr="00402509">
        <w:rPr>
          <w:rFonts w:ascii="David" w:hAnsi="David"/>
          <w:rtl/>
        </w:rPr>
        <w:t xml:space="preserve"> </w:t>
      </w:r>
      <w:r w:rsidRPr="00402509">
        <w:rPr>
          <w:rFonts w:ascii="David" w:hAnsi="David"/>
          <w:b/>
          <w:bCs/>
          <w:rtl/>
        </w:rPr>
        <w:t>טל עמרם נ' מדינת ישראל</w:t>
      </w:r>
      <w:r w:rsidRPr="00402509">
        <w:rPr>
          <w:rFonts w:ascii="David" w:hAnsi="David"/>
          <w:rtl/>
        </w:rPr>
        <w:t xml:space="preserve"> (פסקה ה לפסק דינו של כב' הש' הנדל) (פורסם בנבו, 20.11.14</w:t>
      </w:r>
      <w:r w:rsidRPr="00402509">
        <w:rPr>
          <w:rFonts w:ascii="David" w:hAnsi="David"/>
          <w:noProof/>
          <w:rtl/>
        </w:rPr>
        <w:t>)</w:t>
      </w:r>
    </w:p>
    <w:p w14:paraId="254E9224" w14:textId="77777777" w:rsidR="005052BD" w:rsidRPr="00402509" w:rsidRDefault="005052BD" w:rsidP="005052BD">
      <w:pPr>
        <w:spacing w:before="120" w:after="120"/>
        <w:ind w:left="567" w:right="567"/>
        <w:jc w:val="both"/>
        <w:rPr>
          <w:rFonts w:ascii="Calibri" w:hAnsi="Calibri"/>
          <w:rtl/>
        </w:rPr>
      </w:pPr>
      <w:r w:rsidRPr="00402509">
        <w:rPr>
          <w:rFonts w:ascii="David" w:hAnsi="David"/>
          <w:b/>
          <w:bCs/>
          <w:rtl/>
        </w:rPr>
        <w:t xml:space="preserve">"על כל אלה יש להוסיף כי בפני המבקש לא ניצבות שתי דרכים בלבד – דרך השיקום והחזרה לחיים נורמטיביים ודרך המאסר והפשע. דרך נוספת, שהיא דרך המלך בנסיבות מצערות כגון אלה שלפנינו, היא הדרך של המשך שיקומו תוך ריצוי מאסרו, באמצעות התוכניות הטיפוליות השונות המוצעות בבית הסוהר. מתסקיר שירות המבחן עולה כי המבקש החל להבין את הפסול שבמעשיו ומבקש לתקן את דרכיו, ויש לקוות כי דרך שלישית זו – היא הדרך הישרה שיבור לו המבקש. בכל מקרה, על המבקש להבין שלמעשים פליליים יש השלכות, ושהעונש שנגזר עליו מידתי והולם". </w:t>
      </w:r>
    </w:p>
    <w:p w14:paraId="524940F9" w14:textId="77777777" w:rsidR="005052BD" w:rsidRPr="00402509" w:rsidRDefault="005052BD" w:rsidP="005052BD">
      <w:pPr>
        <w:spacing w:after="160" w:line="256" w:lineRule="auto"/>
        <w:ind w:left="360"/>
        <w:rPr>
          <w:rFonts w:ascii="David" w:hAnsi="David"/>
          <w:b/>
          <w:bCs/>
          <w:u w:val="single"/>
          <w:rtl/>
        </w:rPr>
      </w:pPr>
    </w:p>
    <w:p w14:paraId="5F4E7EC0" w14:textId="77777777" w:rsidR="005052BD" w:rsidRPr="00402509" w:rsidRDefault="005052BD" w:rsidP="005052BD">
      <w:pPr>
        <w:spacing w:after="160" w:line="256" w:lineRule="auto"/>
        <w:ind w:left="360"/>
        <w:rPr>
          <w:rFonts w:ascii="David" w:hAnsi="David"/>
        </w:rPr>
      </w:pPr>
      <w:r w:rsidRPr="00402509">
        <w:rPr>
          <w:rFonts w:ascii="David" w:hAnsi="David"/>
          <w:b/>
          <w:bCs/>
          <w:u w:val="single"/>
          <w:rtl/>
        </w:rPr>
        <w:t>סוף דבר, מכל המקובץ לעיל, אנו גוזרים על הנאשם את העונשים הבאים:</w:t>
      </w:r>
      <w:r w:rsidRPr="00402509">
        <w:rPr>
          <w:rFonts w:ascii="Calibri" w:hAnsi="Calibri"/>
          <w:rtl/>
        </w:rPr>
        <w:t xml:space="preserve"> </w:t>
      </w:r>
    </w:p>
    <w:p w14:paraId="616173F9" w14:textId="77777777" w:rsidR="005052BD" w:rsidRPr="00402509" w:rsidRDefault="005052BD" w:rsidP="005052BD">
      <w:pPr>
        <w:numPr>
          <w:ilvl w:val="0"/>
          <w:numId w:val="1"/>
        </w:numPr>
        <w:spacing w:after="160" w:line="360" w:lineRule="auto"/>
        <w:contextualSpacing/>
        <w:jc w:val="both"/>
        <w:rPr>
          <w:rFonts w:ascii="Calibri" w:hAnsi="Calibri"/>
          <w:rtl/>
        </w:rPr>
      </w:pPr>
      <w:r>
        <w:rPr>
          <w:rFonts w:ascii="Calibri" w:hAnsi="Calibri" w:hint="cs"/>
          <w:rtl/>
        </w:rPr>
        <w:t>11</w:t>
      </w:r>
      <w:r w:rsidRPr="00402509">
        <w:rPr>
          <w:rFonts w:ascii="Calibri" w:hAnsi="Calibri"/>
          <w:rtl/>
        </w:rPr>
        <w:t xml:space="preserve"> </w:t>
      </w:r>
      <w:r w:rsidRPr="00402509">
        <w:rPr>
          <w:rFonts w:ascii="Calibri" w:hAnsi="Calibri" w:hint="eastAsia"/>
          <w:rtl/>
        </w:rPr>
        <w:t>שנים</w:t>
      </w:r>
      <w:r w:rsidRPr="00402509">
        <w:rPr>
          <w:rFonts w:ascii="Calibri" w:hAnsi="Calibri"/>
          <w:rtl/>
        </w:rPr>
        <w:t xml:space="preserve"> </w:t>
      </w:r>
      <w:r w:rsidRPr="00402509">
        <w:rPr>
          <w:rFonts w:ascii="Calibri" w:hAnsi="Calibri" w:hint="eastAsia"/>
          <w:rtl/>
        </w:rPr>
        <w:t>מאסר</w:t>
      </w:r>
      <w:r w:rsidRPr="00402509">
        <w:rPr>
          <w:rFonts w:ascii="Calibri" w:hAnsi="Calibri"/>
          <w:rtl/>
        </w:rPr>
        <w:t xml:space="preserve"> </w:t>
      </w:r>
      <w:r w:rsidRPr="00402509">
        <w:rPr>
          <w:rFonts w:ascii="Calibri" w:hAnsi="Calibri" w:hint="eastAsia"/>
          <w:rtl/>
        </w:rPr>
        <w:t>בפועל</w:t>
      </w:r>
      <w:r w:rsidRPr="00402509">
        <w:rPr>
          <w:rFonts w:ascii="Calibri" w:hAnsi="Calibri"/>
          <w:rtl/>
        </w:rPr>
        <w:t xml:space="preserve"> </w:t>
      </w:r>
      <w:r w:rsidRPr="00402509">
        <w:rPr>
          <w:rFonts w:ascii="Calibri" w:hAnsi="Calibri" w:hint="eastAsia"/>
          <w:rtl/>
        </w:rPr>
        <w:t>בניכוי</w:t>
      </w:r>
      <w:r w:rsidRPr="00402509">
        <w:rPr>
          <w:rFonts w:ascii="Calibri" w:hAnsi="Calibri"/>
          <w:rtl/>
        </w:rPr>
        <w:t xml:space="preserve"> </w:t>
      </w:r>
      <w:r w:rsidRPr="00402509">
        <w:rPr>
          <w:rFonts w:ascii="Calibri" w:hAnsi="Calibri" w:hint="eastAsia"/>
          <w:rtl/>
        </w:rPr>
        <w:t>ימי</w:t>
      </w:r>
      <w:r w:rsidRPr="00402509">
        <w:rPr>
          <w:rFonts w:ascii="Calibri" w:hAnsi="Calibri"/>
          <w:rtl/>
        </w:rPr>
        <w:t xml:space="preserve"> </w:t>
      </w:r>
      <w:r w:rsidRPr="00402509">
        <w:rPr>
          <w:rFonts w:ascii="Calibri" w:hAnsi="Calibri" w:hint="eastAsia"/>
          <w:rtl/>
        </w:rPr>
        <w:t>מעצרו</w:t>
      </w:r>
      <w:r w:rsidRPr="00402509">
        <w:rPr>
          <w:rFonts w:ascii="Calibri" w:hAnsi="Calibri"/>
          <w:rtl/>
        </w:rPr>
        <w:t>.</w:t>
      </w:r>
    </w:p>
    <w:p w14:paraId="72AB0AB2" w14:textId="77777777" w:rsidR="005052BD" w:rsidRPr="00402509" w:rsidRDefault="005052BD" w:rsidP="005052BD">
      <w:pPr>
        <w:numPr>
          <w:ilvl w:val="0"/>
          <w:numId w:val="1"/>
        </w:numPr>
        <w:spacing w:after="160" w:line="360" w:lineRule="auto"/>
        <w:contextualSpacing/>
        <w:jc w:val="both"/>
        <w:rPr>
          <w:rFonts w:ascii="David" w:hAnsi="David"/>
        </w:rPr>
      </w:pPr>
      <w:r w:rsidRPr="00402509">
        <w:rPr>
          <w:rFonts w:ascii="Calibri" w:hAnsi="Calibri"/>
          <w:rtl/>
        </w:rPr>
        <w:t xml:space="preserve">12 </w:t>
      </w:r>
      <w:r w:rsidRPr="00402509">
        <w:rPr>
          <w:rFonts w:ascii="Calibri" w:hAnsi="Calibri" w:hint="eastAsia"/>
          <w:rtl/>
        </w:rPr>
        <w:t>חודשים</w:t>
      </w:r>
      <w:r w:rsidRPr="00402509">
        <w:rPr>
          <w:rFonts w:ascii="Calibri" w:hAnsi="Calibri"/>
          <w:rtl/>
        </w:rPr>
        <w:t xml:space="preserve"> </w:t>
      </w:r>
      <w:r w:rsidRPr="00402509">
        <w:rPr>
          <w:rFonts w:ascii="Calibri" w:hAnsi="Calibri" w:hint="eastAsia"/>
          <w:rtl/>
        </w:rPr>
        <w:t>מאסר</w:t>
      </w:r>
      <w:r w:rsidRPr="00402509">
        <w:rPr>
          <w:rFonts w:ascii="Calibri" w:hAnsi="Calibri"/>
          <w:rtl/>
        </w:rPr>
        <w:t xml:space="preserve"> </w:t>
      </w:r>
      <w:r w:rsidRPr="00402509">
        <w:rPr>
          <w:rFonts w:ascii="Calibri" w:hAnsi="Calibri" w:hint="eastAsia"/>
          <w:rtl/>
        </w:rPr>
        <w:t>על</w:t>
      </w:r>
      <w:r w:rsidRPr="00402509">
        <w:rPr>
          <w:rFonts w:ascii="Calibri" w:hAnsi="Calibri"/>
          <w:rtl/>
        </w:rPr>
        <w:t xml:space="preserve"> </w:t>
      </w:r>
      <w:r w:rsidRPr="00402509">
        <w:rPr>
          <w:rFonts w:ascii="Calibri" w:hAnsi="Calibri" w:hint="eastAsia"/>
          <w:rtl/>
        </w:rPr>
        <w:t>תנאי</w:t>
      </w:r>
      <w:r w:rsidRPr="00402509">
        <w:rPr>
          <w:rFonts w:ascii="Calibri" w:hAnsi="Calibri"/>
          <w:rtl/>
        </w:rPr>
        <w:t xml:space="preserve"> </w:t>
      </w:r>
      <w:r w:rsidRPr="00402509">
        <w:rPr>
          <w:rFonts w:ascii="Calibri" w:hAnsi="Calibri" w:hint="eastAsia"/>
          <w:rtl/>
        </w:rPr>
        <w:t>למשך</w:t>
      </w:r>
      <w:r w:rsidRPr="00402509">
        <w:rPr>
          <w:rFonts w:ascii="Calibri" w:hAnsi="Calibri"/>
          <w:rtl/>
        </w:rPr>
        <w:t xml:space="preserve"> 3 </w:t>
      </w:r>
      <w:r w:rsidRPr="00402509">
        <w:rPr>
          <w:rFonts w:ascii="Calibri" w:hAnsi="Calibri" w:hint="eastAsia"/>
          <w:rtl/>
        </w:rPr>
        <w:t>שנים</w:t>
      </w:r>
      <w:r w:rsidRPr="00402509">
        <w:rPr>
          <w:rFonts w:ascii="Calibri" w:hAnsi="Calibri"/>
          <w:rtl/>
        </w:rPr>
        <w:t xml:space="preserve"> </w:t>
      </w:r>
      <w:r w:rsidRPr="00402509">
        <w:rPr>
          <w:rFonts w:ascii="Calibri" w:hAnsi="Calibri" w:hint="eastAsia"/>
          <w:rtl/>
        </w:rPr>
        <w:t>מיום</w:t>
      </w:r>
      <w:r w:rsidRPr="00402509">
        <w:rPr>
          <w:rFonts w:ascii="Calibri" w:hAnsi="Calibri"/>
          <w:rtl/>
        </w:rPr>
        <w:t xml:space="preserve"> </w:t>
      </w:r>
      <w:r w:rsidRPr="00402509">
        <w:rPr>
          <w:rFonts w:ascii="Calibri" w:hAnsi="Calibri" w:hint="eastAsia"/>
          <w:rtl/>
        </w:rPr>
        <w:t>שחרורו</w:t>
      </w:r>
      <w:r w:rsidRPr="00402509">
        <w:rPr>
          <w:rFonts w:ascii="Calibri" w:hAnsi="Calibri"/>
          <w:rtl/>
        </w:rPr>
        <w:t xml:space="preserve"> </w:t>
      </w:r>
      <w:r w:rsidRPr="00402509">
        <w:rPr>
          <w:rFonts w:ascii="Calibri" w:hAnsi="Calibri" w:hint="eastAsia"/>
          <w:rtl/>
        </w:rPr>
        <w:t>שלא</w:t>
      </w:r>
      <w:r w:rsidRPr="00402509">
        <w:rPr>
          <w:rFonts w:ascii="Calibri" w:hAnsi="Calibri"/>
          <w:rtl/>
        </w:rPr>
        <w:t xml:space="preserve"> </w:t>
      </w:r>
      <w:r w:rsidRPr="00402509">
        <w:rPr>
          <w:rFonts w:ascii="Calibri" w:hAnsi="Calibri" w:hint="eastAsia"/>
          <w:rtl/>
        </w:rPr>
        <w:t>יעבור</w:t>
      </w:r>
      <w:r w:rsidRPr="00402509">
        <w:rPr>
          <w:rFonts w:ascii="Calibri" w:hAnsi="Calibri"/>
          <w:rtl/>
        </w:rPr>
        <w:t xml:space="preserve"> </w:t>
      </w:r>
      <w:r w:rsidRPr="00402509">
        <w:rPr>
          <w:rFonts w:ascii="Calibri" w:hAnsi="Calibri" w:hint="eastAsia"/>
          <w:rtl/>
        </w:rPr>
        <w:t>עבירת</w:t>
      </w:r>
      <w:r w:rsidRPr="00402509">
        <w:rPr>
          <w:rFonts w:ascii="Calibri" w:hAnsi="Calibri"/>
          <w:rtl/>
        </w:rPr>
        <w:t xml:space="preserve"> </w:t>
      </w:r>
      <w:r w:rsidRPr="00402509">
        <w:rPr>
          <w:rFonts w:ascii="Calibri" w:hAnsi="Calibri" w:hint="eastAsia"/>
          <w:rtl/>
        </w:rPr>
        <w:t>אלימות</w:t>
      </w:r>
      <w:r w:rsidRPr="00402509">
        <w:rPr>
          <w:rFonts w:ascii="Calibri" w:hAnsi="Calibri"/>
          <w:rtl/>
        </w:rPr>
        <w:t xml:space="preserve"> </w:t>
      </w:r>
      <w:r w:rsidRPr="00402509">
        <w:rPr>
          <w:rFonts w:ascii="Calibri" w:hAnsi="Calibri" w:hint="eastAsia"/>
          <w:rtl/>
        </w:rPr>
        <w:t>או</w:t>
      </w:r>
      <w:r w:rsidRPr="00402509">
        <w:rPr>
          <w:rFonts w:ascii="Calibri" w:hAnsi="Calibri"/>
          <w:rtl/>
        </w:rPr>
        <w:t xml:space="preserve"> </w:t>
      </w:r>
      <w:r w:rsidRPr="00402509">
        <w:rPr>
          <w:rFonts w:ascii="Calibri" w:hAnsi="Calibri" w:hint="eastAsia"/>
          <w:rtl/>
        </w:rPr>
        <w:t>עבירת</w:t>
      </w:r>
      <w:r w:rsidRPr="00402509">
        <w:rPr>
          <w:rFonts w:ascii="Calibri" w:hAnsi="Calibri"/>
          <w:rtl/>
        </w:rPr>
        <w:t xml:space="preserve"> </w:t>
      </w:r>
      <w:r w:rsidRPr="00402509">
        <w:rPr>
          <w:rFonts w:ascii="Calibri" w:hAnsi="Calibri" w:hint="eastAsia"/>
          <w:rtl/>
        </w:rPr>
        <w:t>נשק</w:t>
      </w:r>
      <w:r w:rsidRPr="00402509">
        <w:rPr>
          <w:rFonts w:ascii="Calibri" w:hAnsi="Calibri"/>
          <w:rtl/>
        </w:rPr>
        <w:t xml:space="preserve"> </w:t>
      </w:r>
      <w:r w:rsidRPr="00402509">
        <w:rPr>
          <w:rFonts w:ascii="Calibri" w:hAnsi="Calibri" w:hint="eastAsia"/>
          <w:rtl/>
        </w:rPr>
        <w:t>מסוג</w:t>
      </w:r>
      <w:r w:rsidRPr="00402509">
        <w:rPr>
          <w:rFonts w:ascii="Calibri" w:hAnsi="Calibri"/>
          <w:rtl/>
        </w:rPr>
        <w:t xml:space="preserve"> </w:t>
      </w:r>
      <w:r w:rsidRPr="00402509">
        <w:rPr>
          <w:rFonts w:ascii="Calibri" w:hAnsi="Calibri" w:hint="eastAsia"/>
          <w:rtl/>
        </w:rPr>
        <w:t>פשע</w:t>
      </w:r>
      <w:r w:rsidRPr="00402509">
        <w:rPr>
          <w:rFonts w:ascii="Calibri" w:hAnsi="Calibri"/>
          <w:rtl/>
        </w:rPr>
        <w:t xml:space="preserve"> </w:t>
      </w:r>
      <w:r w:rsidRPr="00402509">
        <w:rPr>
          <w:rFonts w:ascii="Calibri" w:hAnsi="Calibri" w:hint="eastAsia"/>
          <w:rtl/>
        </w:rPr>
        <w:t>או</w:t>
      </w:r>
      <w:r w:rsidRPr="00402509">
        <w:rPr>
          <w:rFonts w:ascii="Calibri" w:hAnsi="Calibri"/>
          <w:rtl/>
        </w:rPr>
        <w:t xml:space="preserve"> </w:t>
      </w:r>
      <w:r w:rsidRPr="00402509">
        <w:rPr>
          <w:rFonts w:ascii="Calibri" w:hAnsi="Calibri" w:hint="eastAsia"/>
          <w:rtl/>
        </w:rPr>
        <w:t>עוון</w:t>
      </w:r>
      <w:r w:rsidRPr="00402509">
        <w:rPr>
          <w:rFonts w:ascii="Calibri" w:hAnsi="Calibri"/>
          <w:rtl/>
        </w:rPr>
        <w:t xml:space="preserve">. </w:t>
      </w:r>
    </w:p>
    <w:p w14:paraId="26C63671" w14:textId="77777777" w:rsidR="005052BD" w:rsidRPr="00402509" w:rsidRDefault="005052BD" w:rsidP="005052BD">
      <w:pPr>
        <w:numPr>
          <w:ilvl w:val="0"/>
          <w:numId w:val="1"/>
        </w:numPr>
        <w:spacing w:after="160" w:line="360" w:lineRule="auto"/>
        <w:contextualSpacing/>
        <w:jc w:val="both"/>
        <w:rPr>
          <w:rFonts w:ascii="David" w:hAnsi="David"/>
        </w:rPr>
      </w:pPr>
      <w:r w:rsidRPr="00402509">
        <w:rPr>
          <w:rFonts w:ascii="Calibri" w:hAnsi="Calibri"/>
          <w:rtl/>
        </w:rPr>
        <w:t xml:space="preserve">3 </w:t>
      </w:r>
      <w:r w:rsidRPr="00402509">
        <w:rPr>
          <w:rFonts w:ascii="Calibri" w:hAnsi="Calibri" w:hint="eastAsia"/>
          <w:rtl/>
        </w:rPr>
        <w:t>שנים</w:t>
      </w:r>
      <w:r w:rsidRPr="00402509">
        <w:rPr>
          <w:rFonts w:ascii="Calibri" w:hAnsi="Calibri"/>
          <w:rtl/>
        </w:rPr>
        <w:t xml:space="preserve"> </w:t>
      </w:r>
      <w:r w:rsidRPr="00402509">
        <w:rPr>
          <w:rFonts w:ascii="Calibri" w:hAnsi="Calibri" w:hint="eastAsia"/>
          <w:rtl/>
        </w:rPr>
        <w:t>פסילה</w:t>
      </w:r>
      <w:r w:rsidRPr="00402509">
        <w:rPr>
          <w:rFonts w:ascii="Calibri" w:hAnsi="Calibri"/>
          <w:rtl/>
        </w:rPr>
        <w:t xml:space="preserve"> </w:t>
      </w:r>
      <w:r w:rsidRPr="00402509">
        <w:rPr>
          <w:rFonts w:ascii="Calibri" w:hAnsi="Calibri" w:hint="eastAsia"/>
          <w:rtl/>
        </w:rPr>
        <w:t>מלהחזיק</w:t>
      </w:r>
      <w:r w:rsidRPr="00402509">
        <w:rPr>
          <w:rFonts w:ascii="Calibri" w:hAnsi="Calibri"/>
          <w:rtl/>
        </w:rPr>
        <w:t xml:space="preserve"> </w:t>
      </w:r>
      <w:r w:rsidRPr="00402509">
        <w:rPr>
          <w:rFonts w:ascii="Calibri" w:hAnsi="Calibri" w:hint="eastAsia"/>
          <w:rtl/>
        </w:rPr>
        <w:t>או</w:t>
      </w:r>
      <w:r w:rsidRPr="00402509">
        <w:rPr>
          <w:rFonts w:ascii="Calibri" w:hAnsi="Calibri"/>
          <w:rtl/>
        </w:rPr>
        <w:t xml:space="preserve"> </w:t>
      </w:r>
      <w:r w:rsidRPr="00402509">
        <w:rPr>
          <w:rFonts w:ascii="Calibri" w:hAnsi="Calibri" w:hint="eastAsia"/>
          <w:rtl/>
        </w:rPr>
        <w:t>להוציא</w:t>
      </w:r>
      <w:r w:rsidRPr="00402509">
        <w:rPr>
          <w:rFonts w:ascii="Calibri" w:hAnsi="Calibri"/>
          <w:rtl/>
        </w:rPr>
        <w:t xml:space="preserve"> </w:t>
      </w:r>
      <w:r w:rsidRPr="00402509">
        <w:rPr>
          <w:rFonts w:ascii="Calibri" w:hAnsi="Calibri" w:hint="eastAsia"/>
          <w:rtl/>
        </w:rPr>
        <w:t>רישיון</w:t>
      </w:r>
      <w:r w:rsidRPr="00402509">
        <w:rPr>
          <w:rFonts w:ascii="Calibri" w:hAnsi="Calibri"/>
          <w:rtl/>
        </w:rPr>
        <w:t xml:space="preserve"> </w:t>
      </w:r>
      <w:r w:rsidRPr="00402509">
        <w:rPr>
          <w:rFonts w:ascii="Calibri" w:hAnsi="Calibri" w:hint="eastAsia"/>
          <w:rtl/>
        </w:rPr>
        <w:t>נהיגה</w:t>
      </w:r>
      <w:r w:rsidRPr="00402509">
        <w:rPr>
          <w:rFonts w:ascii="Calibri" w:hAnsi="Calibri"/>
          <w:rtl/>
        </w:rPr>
        <w:t xml:space="preserve">. </w:t>
      </w:r>
      <w:r w:rsidRPr="00402509">
        <w:rPr>
          <w:rFonts w:ascii="Calibri" w:hAnsi="Calibri" w:hint="eastAsia"/>
          <w:rtl/>
        </w:rPr>
        <w:t>פסילה</w:t>
      </w:r>
      <w:r w:rsidRPr="00402509">
        <w:rPr>
          <w:rFonts w:ascii="Calibri" w:hAnsi="Calibri"/>
          <w:rtl/>
        </w:rPr>
        <w:t xml:space="preserve"> </w:t>
      </w:r>
      <w:r w:rsidRPr="00402509">
        <w:rPr>
          <w:rFonts w:ascii="Calibri" w:hAnsi="Calibri" w:hint="eastAsia"/>
          <w:rtl/>
        </w:rPr>
        <w:t>זו</w:t>
      </w:r>
      <w:r w:rsidRPr="00402509">
        <w:rPr>
          <w:rFonts w:ascii="Calibri" w:hAnsi="Calibri"/>
          <w:rtl/>
        </w:rPr>
        <w:t xml:space="preserve"> </w:t>
      </w:r>
      <w:r w:rsidRPr="00402509">
        <w:rPr>
          <w:rFonts w:ascii="Calibri" w:hAnsi="Calibri" w:hint="eastAsia"/>
          <w:rtl/>
        </w:rPr>
        <w:t>תחול</w:t>
      </w:r>
      <w:r w:rsidRPr="00402509">
        <w:rPr>
          <w:rFonts w:ascii="Calibri" w:hAnsi="Calibri"/>
          <w:rtl/>
        </w:rPr>
        <w:t xml:space="preserve"> </w:t>
      </w:r>
      <w:r w:rsidRPr="00402509">
        <w:rPr>
          <w:rFonts w:ascii="Calibri" w:hAnsi="Calibri" w:hint="eastAsia"/>
          <w:rtl/>
        </w:rPr>
        <w:t>מיום</w:t>
      </w:r>
      <w:r w:rsidRPr="00402509">
        <w:rPr>
          <w:rFonts w:ascii="Calibri" w:hAnsi="Calibri"/>
          <w:rtl/>
        </w:rPr>
        <w:t xml:space="preserve"> </w:t>
      </w:r>
      <w:r w:rsidRPr="00402509">
        <w:rPr>
          <w:rFonts w:ascii="Calibri" w:hAnsi="Calibri" w:hint="eastAsia"/>
          <w:rtl/>
        </w:rPr>
        <w:t>שחרורו</w:t>
      </w:r>
      <w:r w:rsidRPr="00402509">
        <w:rPr>
          <w:rFonts w:ascii="Calibri" w:hAnsi="Calibri"/>
          <w:rtl/>
        </w:rPr>
        <w:t xml:space="preserve"> </w:t>
      </w:r>
      <w:r w:rsidRPr="00402509">
        <w:rPr>
          <w:rFonts w:ascii="Calibri" w:hAnsi="Calibri" w:hint="eastAsia"/>
          <w:rtl/>
        </w:rPr>
        <w:t>ממאסר</w:t>
      </w:r>
      <w:r w:rsidRPr="00402509">
        <w:rPr>
          <w:rFonts w:ascii="Calibri" w:hAnsi="Calibri"/>
          <w:rtl/>
        </w:rPr>
        <w:t xml:space="preserve"> </w:t>
      </w:r>
      <w:r w:rsidRPr="00402509">
        <w:rPr>
          <w:rFonts w:ascii="Calibri" w:hAnsi="Calibri" w:hint="eastAsia"/>
          <w:rtl/>
        </w:rPr>
        <w:t>ותהיה</w:t>
      </w:r>
      <w:r w:rsidRPr="00402509">
        <w:rPr>
          <w:rFonts w:ascii="Calibri" w:hAnsi="Calibri"/>
          <w:rtl/>
        </w:rPr>
        <w:t xml:space="preserve"> </w:t>
      </w:r>
      <w:r w:rsidRPr="00402509">
        <w:rPr>
          <w:rFonts w:ascii="Calibri" w:hAnsi="Calibri" w:hint="eastAsia"/>
          <w:rtl/>
        </w:rPr>
        <w:t>במצטבר</w:t>
      </w:r>
      <w:r w:rsidRPr="00402509">
        <w:rPr>
          <w:rFonts w:ascii="Calibri" w:hAnsi="Calibri"/>
          <w:rtl/>
        </w:rPr>
        <w:t xml:space="preserve"> </w:t>
      </w:r>
      <w:r w:rsidRPr="00402509">
        <w:rPr>
          <w:rFonts w:ascii="Calibri" w:hAnsi="Calibri" w:hint="eastAsia"/>
          <w:rtl/>
        </w:rPr>
        <w:t>לכל</w:t>
      </w:r>
      <w:r w:rsidRPr="00402509">
        <w:rPr>
          <w:rFonts w:ascii="Calibri" w:hAnsi="Calibri"/>
          <w:rtl/>
        </w:rPr>
        <w:t xml:space="preserve"> </w:t>
      </w:r>
      <w:r w:rsidRPr="00402509">
        <w:rPr>
          <w:rFonts w:ascii="Calibri" w:hAnsi="Calibri" w:hint="eastAsia"/>
          <w:rtl/>
        </w:rPr>
        <w:t>עונש</w:t>
      </w:r>
      <w:r w:rsidRPr="00402509">
        <w:rPr>
          <w:rFonts w:ascii="Calibri" w:hAnsi="Calibri"/>
          <w:rtl/>
        </w:rPr>
        <w:t xml:space="preserve"> </w:t>
      </w:r>
      <w:r w:rsidRPr="00402509">
        <w:rPr>
          <w:rFonts w:ascii="Calibri" w:hAnsi="Calibri" w:hint="eastAsia"/>
          <w:rtl/>
        </w:rPr>
        <w:t>פסילה</w:t>
      </w:r>
      <w:r w:rsidRPr="00402509">
        <w:rPr>
          <w:rFonts w:ascii="Calibri" w:hAnsi="Calibri"/>
          <w:rtl/>
        </w:rPr>
        <w:t xml:space="preserve"> </w:t>
      </w:r>
      <w:r w:rsidRPr="00402509">
        <w:rPr>
          <w:rFonts w:ascii="Calibri" w:hAnsi="Calibri" w:hint="eastAsia"/>
          <w:rtl/>
        </w:rPr>
        <w:t>אחר</w:t>
      </w:r>
      <w:r w:rsidRPr="00402509">
        <w:rPr>
          <w:rFonts w:ascii="Calibri" w:hAnsi="Calibri"/>
          <w:rtl/>
        </w:rPr>
        <w:t xml:space="preserve">. </w:t>
      </w:r>
    </w:p>
    <w:p w14:paraId="1D23568F" w14:textId="77777777" w:rsidR="005052BD" w:rsidRPr="00402509" w:rsidRDefault="005052BD" w:rsidP="005052BD">
      <w:pPr>
        <w:numPr>
          <w:ilvl w:val="0"/>
          <w:numId w:val="1"/>
        </w:numPr>
        <w:spacing w:after="160" w:line="360" w:lineRule="auto"/>
        <w:contextualSpacing/>
        <w:jc w:val="both"/>
        <w:rPr>
          <w:rFonts w:ascii="David" w:hAnsi="David"/>
        </w:rPr>
      </w:pPr>
      <w:r w:rsidRPr="00402509">
        <w:rPr>
          <w:rFonts w:ascii="Calibri" w:hAnsi="Calibri" w:hint="eastAsia"/>
          <w:rtl/>
        </w:rPr>
        <w:t>קנס</w:t>
      </w:r>
      <w:r w:rsidRPr="00402509">
        <w:rPr>
          <w:rFonts w:ascii="Calibri" w:hAnsi="Calibri"/>
          <w:rtl/>
        </w:rPr>
        <w:t xml:space="preserve"> </w:t>
      </w:r>
      <w:r w:rsidRPr="00402509">
        <w:rPr>
          <w:rFonts w:ascii="Calibri" w:hAnsi="Calibri" w:hint="eastAsia"/>
          <w:rtl/>
        </w:rPr>
        <w:t>בגובה</w:t>
      </w:r>
      <w:r w:rsidRPr="00402509">
        <w:rPr>
          <w:rFonts w:ascii="Calibri" w:hAnsi="Calibri"/>
          <w:rtl/>
        </w:rPr>
        <w:t xml:space="preserve"> 10,000 </w:t>
      </w:r>
      <w:r w:rsidRPr="00402509">
        <w:rPr>
          <w:rFonts w:ascii="Calibri" w:hAnsi="Calibri" w:hint="eastAsia"/>
          <w:rtl/>
        </w:rPr>
        <w:t>₪</w:t>
      </w:r>
      <w:r w:rsidRPr="00402509">
        <w:rPr>
          <w:rFonts w:ascii="Calibri" w:hAnsi="Calibri"/>
          <w:rtl/>
        </w:rPr>
        <w:t xml:space="preserve"> </w:t>
      </w:r>
      <w:r w:rsidRPr="00402509">
        <w:rPr>
          <w:rFonts w:ascii="Calibri" w:hAnsi="Calibri" w:hint="eastAsia"/>
          <w:rtl/>
        </w:rPr>
        <w:t>או</w:t>
      </w:r>
      <w:r w:rsidRPr="00402509">
        <w:rPr>
          <w:rFonts w:ascii="Calibri" w:hAnsi="Calibri"/>
          <w:rtl/>
        </w:rPr>
        <w:t xml:space="preserve"> 30 </w:t>
      </w:r>
      <w:r w:rsidRPr="00402509">
        <w:rPr>
          <w:rFonts w:ascii="Calibri" w:hAnsi="Calibri" w:hint="eastAsia"/>
          <w:rtl/>
        </w:rPr>
        <w:t>ימי</w:t>
      </w:r>
      <w:r w:rsidRPr="00402509">
        <w:rPr>
          <w:rFonts w:ascii="Calibri" w:hAnsi="Calibri"/>
          <w:rtl/>
        </w:rPr>
        <w:t xml:space="preserve"> </w:t>
      </w:r>
      <w:r w:rsidRPr="00402509">
        <w:rPr>
          <w:rFonts w:ascii="Calibri" w:hAnsi="Calibri" w:hint="eastAsia"/>
          <w:rtl/>
        </w:rPr>
        <w:t>מאסר</w:t>
      </w:r>
      <w:r w:rsidRPr="00402509">
        <w:rPr>
          <w:rFonts w:ascii="Calibri" w:hAnsi="Calibri"/>
          <w:rtl/>
        </w:rPr>
        <w:t xml:space="preserve"> </w:t>
      </w:r>
      <w:r w:rsidRPr="00402509">
        <w:rPr>
          <w:rFonts w:ascii="Calibri" w:hAnsi="Calibri" w:hint="eastAsia"/>
          <w:rtl/>
        </w:rPr>
        <w:t>תמורתו</w:t>
      </w:r>
      <w:r w:rsidRPr="00402509">
        <w:rPr>
          <w:rFonts w:ascii="Calibri" w:hAnsi="Calibri"/>
          <w:rtl/>
        </w:rPr>
        <w:t>.</w:t>
      </w:r>
    </w:p>
    <w:p w14:paraId="6FBC66B1" w14:textId="77777777" w:rsidR="005052BD" w:rsidRPr="00402509" w:rsidRDefault="005052BD" w:rsidP="005052BD">
      <w:pPr>
        <w:numPr>
          <w:ilvl w:val="0"/>
          <w:numId w:val="1"/>
        </w:numPr>
        <w:spacing w:after="160" w:line="360" w:lineRule="auto"/>
        <w:contextualSpacing/>
        <w:jc w:val="both"/>
        <w:rPr>
          <w:rFonts w:ascii="David" w:hAnsi="David"/>
        </w:rPr>
      </w:pPr>
      <w:r w:rsidRPr="00402509">
        <w:rPr>
          <w:rFonts w:ascii="Calibri" w:hAnsi="Calibri" w:hint="eastAsia"/>
          <w:rtl/>
        </w:rPr>
        <w:t>פיצוי</w:t>
      </w:r>
      <w:r w:rsidRPr="00402509">
        <w:rPr>
          <w:rFonts w:ascii="Calibri" w:hAnsi="Calibri"/>
          <w:rtl/>
        </w:rPr>
        <w:t xml:space="preserve"> </w:t>
      </w:r>
      <w:r w:rsidRPr="00402509">
        <w:rPr>
          <w:rFonts w:ascii="Calibri" w:hAnsi="Calibri" w:hint="eastAsia"/>
          <w:rtl/>
        </w:rPr>
        <w:t>לאלמנת</w:t>
      </w:r>
      <w:r w:rsidRPr="00402509">
        <w:rPr>
          <w:rFonts w:ascii="Calibri" w:hAnsi="Calibri"/>
          <w:rtl/>
        </w:rPr>
        <w:t xml:space="preserve"> </w:t>
      </w:r>
      <w:r w:rsidRPr="00402509">
        <w:rPr>
          <w:rFonts w:ascii="Calibri" w:hAnsi="Calibri" w:hint="eastAsia"/>
          <w:rtl/>
        </w:rPr>
        <w:t>המנוח</w:t>
      </w:r>
      <w:r w:rsidRPr="00402509">
        <w:rPr>
          <w:rFonts w:ascii="Calibri" w:hAnsi="Calibri"/>
          <w:rtl/>
        </w:rPr>
        <w:t xml:space="preserve"> </w:t>
      </w:r>
      <w:r w:rsidRPr="00402509">
        <w:rPr>
          <w:rFonts w:ascii="Calibri" w:hAnsi="Calibri" w:hint="eastAsia"/>
          <w:rtl/>
        </w:rPr>
        <w:t>בסך</w:t>
      </w:r>
      <w:r w:rsidRPr="00402509">
        <w:rPr>
          <w:rFonts w:ascii="Calibri" w:hAnsi="Calibri"/>
          <w:rtl/>
        </w:rPr>
        <w:t xml:space="preserve"> </w:t>
      </w:r>
      <w:r w:rsidRPr="00402509">
        <w:rPr>
          <w:rFonts w:ascii="Calibri" w:hAnsi="Calibri" w:hint="eastAsia"/>
          <w:rtl/>
        </w:rPr>
        <w:t>של</w:t>
      </w:r>
      <w:r w:rsidRPr="00402509">
        <w:rPr>
          <w:rFonts w:ascii="Calibri" w:hAnsi="Calibri"/>
          <w:rtl/>
        </w:rPr>
        <w:t xml:space="preserve"> 20,000 </w:t>
      </w:r>
      <w:r w:rsidRPr="00402509">
        <w:rPr>
          <w:rFonts w:ascii="Calibri" w:hAnsi="Calibri" w:hint="eastAsia"/>
          <w:rtl/>
        </w:rPr>
        <w:t>₪</w:t>
      </w:r>
      <w:r w:rsidRPr="00402509">
        <w:rPr>
          <w:rFonts w:ascii="Calibri" w:hAnsi="Calibri"/>
          <w:rtl/>
        </w:rPr>
        <w:t>.</w:t>
      </w:r>
    </w:p>
    <w:p w14:paraId="29BC7DBA" w14:textId="77777777" w:rsidR="005052BD" w:rsidRPr="00402509" w:rsidRDefault="005052BD" w:rsidP="005052BD">
      <w:pPr>
        <w:spacing w:after="160" w:line="254" w:lineRule="auto"/>
        <w:ind w:left="720"/>
        <w:contextualSpacing/>
        <w:rPr>
          <w:rFonts w:ascii="Calibri" w:hAnsi="Calibri"/>
          <w:u w:val="single"/>
          <w:rtl/>
        </w:rPr>
      </w:pPr>
    </w:p>
    <w:p w14:paraId="3F3011ED" w14:textId="77777777" w:rsidR="005052BD" w:rsidRPr="00402509" w:rsidRDefault="005052BD" w:rsidP="005052BD">
      <w:pPr>
        <w:spacing w:after="160" w:line="360" w:lineRule="auto"/>
        <w:jc w:val="both"/>
        <w:rPr>
          <w:rFonts w:ascii="Calibri" w:hAnsi="Calibri"/>
          <w:b/>
          <w:bCs/>
          <w:rtl/>
        </w:rPr>
      </w:pPr>
      <w:r w:rsidRPr="00402509">
        <w:rPr>
          <w:rFonts w:ascii="Calibri" w:hAnsi="Calibri" w:hint="eastAsia"/>
          <w:b/>
          <w:bCs/>
          <w:rtl/>
        </w:rPr>
        <w:t>זכות</w:t>
      </w:r>
      <w:r w:rsidRPr="00402509">
        <w:rPr>
          <w:rFonts w:ascii="Calibri" w:hAnsi="Calibri"/>
          <w:b/>
          <w:bCs/>
          <w:rtl/>
        </w:rPr>
        <w:t xml:space="preserve"> </w:t>
      </w:r>
      <w:r w:rsidRPr="00402509">
        <w:rPr>
          <w:rFonts w:ascii="Calibri" w:hAnsi="Calibri" w:hint="eastAsia"/>
          <w:b/>
          <w:bCs/>
          <w:rtl/>
        </w:rPr>
        <w:t>ערעור</w:t>
      </w:r>
      <w:r w:rsidRPr="00402509">
        <w:rPr>
          <w:rFonts w:ascii="Calibri" w:hAnsi="Calibri"/>
          <w:b/>
          <w:bCs/>
          <w:rtl/>
        </w:rPr>
        <w:t xml:space="preserve"> </w:t>
      </w:r>
      <w:r w:rsidRPr="00402509">
        <w:rPr>
          <w:rFonts w:ascii="Calibri" w:hAnsi="Calibri" w:hint="eastAsia"/>
          <w:b/>
          <w:bCs/>
          <w:rtl/>
        </w:rPr>
        <w:t>לבית</w:t>
      </w:r>
      <w:r w:rsidRPr="00402509">
        <w:rPr>
          <w:rFonts w:ascii="Calibri" w:hAnsi="Calibri"/>
          <w:b/>
          <w:bCs/>
          <w:rtl/>
        </w:rPr>
        <w:t xml:space="preserve"> </w:t>
      </w:r>
      <w:r w:rsidRPr="00402509">
        <w:rPr>
          <w:rFonts w:ascii="Calibri" w:hAnsi="Calibri" w:hint="eastAsia"/>
          <w:b/>
          <w:bCs/>
          <w:rtl/>
        </w:rPr>
        <w:t>המשפט</w:t>
      </w:r>
      <w:r w:rsidRPr="00402509">
        <w:rPr>
          <w:rFonts w:ascii="Calibri" w:hAnsi="Calibri"/>
          <w:b/>
          <w:bCs/>
          <w:rtl/>
        </w:rPr>
        <w:t xml:space="preserve"> </w:t>
      </w:r>
      <w:r w:rsidRPr="00402509">
        <w:rPr>
          <w:rFonts w:ascii="Calibri" w:hAnsi="Calibri" w:hint="eastAsia"/>
          <w:b/>
          <w:bCs/>
          <w:rtl/>
        </w:rPr>
        <w:t>העליון</w:t>
      </w:r>
      <w:r w:rsidRPr="00402509">
        <w:rPr>
          <w:rFonts w:ascii="Calibri" w:hAnsi="Calibri"/>
          <w:b/>
          <w:bCs/>
          <w:rtl/>
        </w:rPr>
        <w:t xml:space="preserve"> </w:t>
      </w:r>
      <w:r w:rsidRPr="00402509">
        <w:rPr>
          <w:rFonts w:ascii="Calibri" w:hAnsi="Calibri" w:hint="eastAsia"/>
          <w:b/>
          <w:bCs/>
          <w:rtl/>
        </w:rPr>
        <w:t>בתוך</w:t>
      </w:r>
      <w:r w:rsidRPr="00402509">
        <w:rPr>
          <w:rFonts w:ascii="Calibri" w:hAnsi="Calibri"/>
          <w:b/>
          <w:bCs/>
          <w:rtl/>
        </w:rPr>
        <w:t xml:space="preserve"> 45 </w:t>
      </w:r>
      <w:r w:rsidRPr="00402509">
        <w:rPr>
          <w:rFonts w:ascii="Calibri" w:hAnsi="Calibri" w:hint="eastAsia"/>
          <w:b/>
          <w:bCs/>
          <w:rtl/>
        </w:rPr>
        <w:t>ימים</w:t>
      </w:r>
      <w:r w:rsidRPr="00402509">
        <w:rPr>
          <w:rFonts w:ascii="Calibri" w:hAnsi="Calibri"/>
          <w:b/>
          <w:bCs/>
          <w:rtl/>
        </w:rPr>
        <w:t xml:space="preserve">. </w:t>
      </w:r>
    </w:p>
    <w:p w14:paraId="322C8445" w14:textId="77777777" w:rsidR="005052BD" w:rsidRPr="00402509" w:rsidRDefault="005052BD" w:rsidP="005052BD">
      <w:pPr>
        <w:tabs>
          <w:tab w:val="center" w:pos="4153"/>
          <w:tab w:val="right" w:pos="8306"/>
        </w:tabs>
        <w:spacing w:before="120" w:after="120" w:line="360" w:lineRule="auto"/>
        <w:jc w:val="both"/>
        <w:rPr>
          <w:rFonts w:ascii="David" w:hAnsi="David"/>
          <w:noProof/>
          <w:rtl/>
        </w:rPr>
      </w:pPr>
    </w:p>
    <w:p w14:paraId="70DB165E" w14:textId="77777777" w:rsidR="005052BD" w:rsidRPr="00402509" w:rsidRDefault="001610CC" w:rsidP="005052BD">
      <w:pPr>
        <w:spacing w:line="360" w:lineRule="auto"/>
        <w:rPr>
          <w:rtl/>
        </w:rPr>
      </w:pPr>
      <w:bookmarkStart w:id="8" w:name="Nitan"/>
      <w:r>
        <w:rPr>
          <w:b/>
          <w:bCs/>
          <w:rtl/>
        </w:rPr>
        <w:t xml:space="preserve">ניתן והודע היום,  י"ב טבת תשפ"ג, 05 ינואר 2023, במעמד הנוכחים. </w:t>
      </w:r>
      <w:bookmarkEnd w:id="8"/>
    </w:p>
    <w:tbl>
      <w:tblPr>
        <w:tblpPr w:leftFromText="180" w:rightFromText="180" w:vertAnchor="text" w:horzAnchor="margin" w:tblpXSpec="center" w:tblpY="35"/>
        <w:bidiVisual/>
        <w:tblW w:w="8673" w:type="dxa"/>
        <w:tblLook w:val="01E0" w:firstRow="1" w:lastRow="1" w:firstColumn="1" w:lastColumn="1" w:noHBand="0" w:noVBand="0"/>
      </w:tblPr>
      <w:tblGrid>
        <w:gridCol w:w="2891"/>
        <w:gridCol w:w="2891"/>
        <w:gridCol w:w="2891"/>
      </w:tblGrid>
      <w:tr w:rsidR="005052BD" w:rsidRPr="00402509" w14:paraId="3A339285" w14:textId="77777777" w:rsidTr="005052BD">
        <w:tc>
          <w:tcPr>
            <w:tcW w:w="2891" w:type="dxa"/>
            <w:shd w:val="clear" w:color="auto" w:fill="auto"/>
            <w:vAlign w:val="center"/>
          </w:tcPr>
          <w:p w14:paraId="1FF6030B" w14:textId="77777777" w:rsidR="005052BD" w:rsidRPr="00402509" w:rsidRDefault="005052BD" w:rsidP="005052BD">
            <w:pPr>
              <w:jc w:val="right"/>
              <w:rPr>
                <w:rtl/>
              </w:rPr>
            </w:pPr>
          </w:p>
        </w:tc>
        <w:tc>
          <w:tcPr>
            <w:tcW w:w="2891" w:type="dxa"/>
            <w:shd w:val="clear" w:color="auto" w:fill="auto"/>
            <w:vAlign w:val="center"/>
          </w:tcPr>
          <w:p w14:paraId="3BDF903E" w14:textId="77777777" w:rsidR="005052BD" w:rsidRPr="00402509" w:rsidRDefault="005052BD" w:rsidP="005052BD">
            <w:pPr>
              <w:jc w:val="right"/>
            </w:pPr>
          </w:p>
        </w:tc>
        <w:tc>
          <w:tcPr>
            <w:tcW w:w="2891" w:type="dxa"/>
            <w:shd w:val="clear" w:color="auto" w:fill="auto"/>
            <w:vAlign w:val="center"/>
          </w:tcPr>
          <w:p w14:paraId="0AAD6CCC" w14:textId="77777777" w:rsidR="005052BD" w:rsidRPr="00402509" w:rsidRDefault="005052BD" w:rsidP="005052BD">
            <w:pPr>
              <w:jc w:val="right"/>
            </w:pPr>
          </w:p>
        </w:tc>
      </w:tr>
      <w:tr w:rsidR="005052BD" w:rsidRPr="00402509" w14:paraId="4542958D" w14:textId="77777777" w:rsidTr="005052BD">
        <w:tc>
          <w:tcPr>
            <w:tcW w:w="2891" w:type="dxa"/>
            <w:shd w:val="clear" w:color="auto" w:fill="auto"/>
            <w:vAlign w:val="center"/>
          </w:tcPr>
          <w:p w14:paraId="6788CBEF" w14:textId="77777777" w:rsidR="005052BD" w:rsidRPr="005052BD" w:rsidRDefault="005052BD" w:rsidP="005052BD">
            <w:pPr>
              <w:spacing w:line="360" w:lineRule="auto"/>
              <w:jc w:val="center"/>
              <w:rPr>
                <w:rFonts w:ascii="David" w:hAnsi="David"/>
              </w:rPr>
            </w:pPr>
            <w:r w:rsidRPr="005052BD">
              <w:rPr>
                <w:rFonts w:ascii="David" w:hAnsi="David"/>
                <w:rtl/>
              </w:rPr>
              <w:t>נתן  זלוצ'ובר</w:t>
            </w:r>
            <w:r w:rsidRPr="00402509">
              <w:rPr>
                <w:rtl/>
              </w:rPr>
              <w:t>, סגן נשיאה</w:t>
            </w:r>
          </w:p>
        </w:tc>
        <w:tc>
          <w:tcPr>
            <w:tcW w:w="2891" w:type="dxa"/>
            <w:shd w:val="clear" w:color="auto" w:fill="auto"/>
            <w:vAlign w:val="center"/>
          </w:tcPr>
          <w:p w14:paraId="060484F1" w14:textId="77777777" w:rsidR="005052BD" w:rsidRPr="005052BD" w:rsidRDefault="005052BD" w:rsidP="005052BD">
            <w:pPr>
              <w:spacing w:line="360" w:lineRule="auto"/>
              <w:jc w:val="center"/>
              <w:rPr>
                <w:rFonts w:ascii="David" w:hAnsi="David"/>
                <w:rtl/>
              </w:rPr>
            </w:pPr>
            <w:r w:rsidRPr="005052BD">
              <w:rPr>
                <w:rFonts w:ascii="David" w:hAnsi="David"/>
                <w:rtl/>
              </w:rPr>
              <w:t>דניאל</w:t>
            </w:r>
            <w:r w:rsidRPr="00402509">
              <w:rPr>
                <w:rtl/>
              </w:rPr>
              <w:t xml:space="preserve"> בן טולילה, שופט</w:t>
            </w:r>
          </w:p>
        </w:tc>
        <w:tc>
          <w:tcPr>
            <w:tcW w:w="2891" w:type="dxa"/>
            <w:shd w:val="clear" w:color="auto" w:fill="auto"/>
            <w:vAlign w:val="center"/>
          </w:tcPr>
          <w:p w14:paraId="766CC15A" w14:textId="77777777" w:rsidR="005052BD" w:rsidRPr="005052BD" w:rsidRDefault="005052BD" w:rsidP="005052BD">
            <w:pPr>
              <w:spacing w:line="360" w:lineRule="auto"/>
              <w:jc w:val="center"/>
              <w:rPr>
                <w:rFonts w:ascii="David" w:hAnsi="David"/>
                <w:rtl/>
              </w:rPr>
            </w:pPr>
            <w:r w:rsidRPr="005052BD">
              <w:rPr>
                <w:rFonts w:ascii="David" w:hAnsi="David"/>
                <w:rtl/>
              </w:rPr>
              <w:t>טל</w:t>
            </w:r>
            <w:r w:rsidRPr="00402509">
              <w:rPr>
                <w:rtl/>
              </w:rPr>
              <w:t xml:space="preserve"> לחיאני שהם, שופטת</w:t>
            </w:r>
          </w:p>
        </w:tc>
      </w:tr>
    </w:tbl>
    <w:p w14:paraId="267025CE" w14:textId="77777777" w:rsidR="005052BD" w:rsidRPr="001610CC" w:rsidRDefault="001610CC" w:rsidP="005052BD">
      <w:pPr>
        <w:rPr>
          <w:rFonts w:ascii="Arial" w:hAnsi="Arial"/>
          <w:b/>
          <w:bCs/>
          <w:color w:val="FFFFFF"/>
          <w:sz w:val="2"/>
          <w:szCs w:val="2"/>
          <w:rtl/>
        </w:rPr>
      </w:pPr>
      <w:r w:rsidRPr="001610CC">
        <w:rPr>
          <w:rFonts w:ascii="Arial" w:hAnsi="Arial"/>
          <w:b/>
          <w:bCs/>
          <w:color w:val="FFFFFF"/>
          <w:sz w:val="2"/>
          <w:szCs w:val="2"/>
          <w:rtl/>
        </w:rPr>
        <w:t>5129371</w:t>
      </w:r>
    </w:p>
    <w:p w14:paraId="376712AC" w14:textId="77777777" w:rsidR="005052BD" w:rsidRPr="001610CC" w:rsidRDefault="001610CC" w:rsidP="005052BD">
      <w:pPr>
        <w:tabs>
          <w:tab w:val="center" w:pos="4153"/>
          <w:tab w:val="right" w:pos="8306"/>
        </w:tabs>
        <w:spacing w:before="120" w:after="120" w:line="360" w:lineRule="auto"/>
        <w:jc w:val="both"/>
        <w:rPr>
          <w:rFonts w:ascii="David" w:hAnsi="David"/>
          <w:noProof/>
          <w:color w:val="FFFFFF"/>
          <w:sz w:val="2"/>
          <w:szCs w:val="2"/>
          <w:rtl/>
        </w:rPr>
      </w:pPr>
      <w:r w:rsidRPr="001610CC">
        <w:rPr>
          <w:rFonts w:ascii="David" w:hAnsi="David"/>
          <w:noProof/>
          <w:color w:val="FFFFFF"/>
          <w:sz w:val="2"/>
          <w:szCs w:val="2"/>
          <w:rtl/>
        </w:rPr>
        <w:t>54678313</w:t>
      </w:r>
    </w:p>
    <w:p w14:paraId="08442B3A" w14:textId="77777777" w:rsidR="005052BD" w:rsidRPr="000F2247" w:rsidRDefault="005052BD" w:rsidP="005052BD">
      <w:pPr>
        <w:rPr>
          <w:rFonts w:ascii="Arial" w:hAnsi="Arial"/>
          <w:b/>
          <w:bCs/>
          <w:sz w:val="26"/>
          <w:szCs w:val="26"/>
          <w:rtl/>
        </w:rPr>
      </w:pPr>
    </w:p>
    <w:p w14:paraId="3A3B0246" w14:textId="77777777" w:rsidR="001610CC" w:rsidRDefault="001610CC" w:rsidP="001610CC">
      <w:pPr>
        <w:rPr>
          <w:rtl/>
        </w:rPr>
      </w:pPr>
    </w:p>
    <w:p w14:paraId="04D305BC" w14:textId="77777777" w:rsidR="001610CC" w:rsidRDefault="001610CC" w:rsidP="001610CC">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2E8FA9A8" w14:textId="77777777" w:rsidR="00B905CD" w:rsidRPr="00B905CD" w:rsidRDefault="00B905CD" w:rsidP="00B905CD">
      <w:pPr>
        <w:keepNext/>
        <w:rPr>
          <w:rFonts w:ascii="David" w:hAnsi="David"/>
          <w:color w:val="000000"/>
          <w:sz w:val="22"/>
          <w:szCs w:val="22"/>
          <w:rtl/>
        </w:rPr>
      </w:pPr>
    </w:p>
    <w:p w14:paraId="586C59E3" w14:textId="77777777" w:rsidR="00B905CD" w:rsidRPr="00B905CD" w:rsidRDefault="00B905CD" w:rsidP="00B905CD">
      <w:pPr>
        <w:keepNext/>
        <w:rPr>
          <w:rFonts w:ascii="David" w:hAnsi="David"/>
          <w:color w:val="000000"/>
          <w:sz w:val="22"/>
          <w:szCs w:val="22"/>
          <w:rtl/>
        </w:rPr>
      </w:pPr>
      <w:r w:rsidRPr="00B905CD">
        <w:rPr>
          <w:rFonts w:ascii="David" w:hAnsi="David"/>
          <w:color w:val="000000"/>
          <w:sz w:val="22"/>
          <w:szCs w:val="22"/>
          <w:rtl/>
        </w:rPr>
        <w:t>נתן זלוצ'ובר 54678313-/</w:t>
      </w:r>
    </w:p>
    <w:p w14:paraId="4FC13AB9" w14:textId="77777777" w:rsidR="001610CC" w:rsidRPr="001610CC" w:rsidRDefault="00B905CD" w:rsidP="00B905CD">
      <w:pPr>
        <w:rPr>
          <w:color w:val="0000FF"/>
          <w:u w:val="single"/>
        </w:rPr>
      </w:pPr>
      <w:r w:rsidRPr="00B905CD">
        <w:rPr>
          <w:color w:val="000000"/>
          <w:u w:val="single"/>
          <w:rtl/>
        </w:rPr>
        <w:t>נוסח מסמך זה כפוף לשינויי ניסוח ועריכה</w:t>
      </w:r>
    </w:p>
    <w:sectPr w:rsidR="001610CC" w:rsidRPr="001610CC" w:rsidSect="00B905CD">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BA27" w14:textId="77777777" w:rsidR="00C9472A" w:rsidRDefault="00C9472A" w:rsidP="004833AB">
      <w:r>
        <w:separator/>
      </w:r>
    </w:p>
  </w:endnote>
  <w:endnote w:type="continuationSeparator" w:id="0">
    <w:p w14:paraId="4DE0B677" w14:textId="77777777" w:rsidR="00C9472A" w:rsidRDefault="00C9472A" w:rsidP="0048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06B4" w14:textId="77777777" w:rsidR="00B905CD" w:rsidRDefault="00B905CD" w:rsidP="00B905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1A5F1CB" w14:textId="77777777" w:rsidR="004C77FD" w:rsidRPr="00B905CD" w:rsidRDefault="00B905CD" w:rsidP="00B905CD">
    <w:pPr>
      <w:pStyle w:val="a5"/>
      <w:pBdr>
        <w:top w:val="single" w:sz="4" w:space="1" w:color="auto"/>
        <w:between w:val="single" w:sz="4" w:space="0" w:color="auto"/>
      </w:pBdr>
      <w:spacing w:after="60"/>
      <w:jc w:val="center"/>
      <w:rPr>
        <w:rFonts w:ascii="FrankRuehl" w:hAnsi="FrankRuehl" w:cs="FrankRuehl"/>
        <w:color w:val="000000"/>
      </w:rPr>
    </w:pPr>
    <w:r w:rsidRPr="00B905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FDDB9" w14:textId="77777777" w:rsidR="00B905CD" w:rsidRDefault="00B905CD" w:rsidP="00B905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57C90">
      <w:rPr>
        <w:rFonts w:ascii="FrankRuehl" w:hAnsi="FrankRuehl" w:cs="FrankRuehl"/>
        <w:noProof/>
        <w:rtl/>
      </w:rPr>
      <w:t>1</w:t>
    </w:r>
    <w:r>
      <w:rPr>
        <w:rFonts w:ascii="FrankRuehl" w:hAnsi="FrankRuehl" w:cs="FrankRuehl"/>
        <w:rtl/>
      </w:rPr>
      <w:fldChar w:fldCharType="end"/>
    </w:r>
  </w:p>
  <w:p w14:paraId="6F99CFFB" w14:textId="77777777" w:rsidR="004C77FD" w:rsidRPr="00B905CD" w:rsidRDefault="00B905CD" w:rsidP="00B905CD">
    <w:pPr>
      <w:pStyle w:val="a5"/>
      <w:pBdr>
        <w:top w:val="single" w:sz="4" w:space="1" w:color="auto"/>
        <w:between w:val="single" w:sz="4" w:space="0" w:color="auto"/>
      </w:pBdr>
      <w:spacing w:after="60"/>
      <w:jc w:val="center"/>
      <w:rPr>
        <w:rFonts w:ascii="FrankRuehl" w:hAnsi="FrankRuehl" w:cs="FrankRuehl"/>
        <w:color w:val="000000"/>
      </w:rPr>
    </w:pPr>
    <w:r w:rsidRPr="00B905CD">
      <w:rPr>
        <w:rFonts w:ascii="FrankRuehl" w:hAnsi="FrankRuehl" w:cs="FrankRuehl"/>
        <w:color w:val="000000"/>
      </w:rPr>
      <w:pict w14:anchorId="13005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35E4C" w14:textId="77777777" w:rsidR="00C9472A" w:rsidRDefault="00C9472A" w:rsidP="004833AB">
      <w:r>
        <w:separator/>
      </w:r>
    </w:p>
  </w:footnote>
  <w:footnote w:type="continuationSeparator" w:id="0">
    <w:p w14:paraId="69A6DCE8" w14:textId="77777777" w:rsidR="00C9472A" w:rsidRDefault="00C9472A" w:rsidP="00483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FCB70" w14:textId="77777777" w:rsidR="001610CC" w:rsidRPr="00B905CD" w:rsidRDefault="00B905CD" w:rsidP="00B905C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53498-02-20</w:t>
    </w:r>
    <w:r>
      <w:rPr>
        <w:rFonts w:ascii="David" w:hAnsi="David"/>
        <w:color w:val="000000"/>
        <w:sz w:val="22"/>
        <w:szCs w:val="22"/>
        <w:rtl/>
      </w:rPr>
      <w:tab/>
      <w:t xml:space="preserve"> מדינת ישראל  נ' חמדה אבו אלקיעאן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6D6A6" w14:textId="77777777" w:rsidR="001610CC" w:rsidRPr="00B905CD" w:rsidRDefault="00B905CD" w:rsidP="00B905C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53498-02-20</w:t>
    </w:r>
    <w:r>
      <w:rPr>
        <w:rFonts w:ascii="David" w:hAnsi="David"/>
        <w:color w:val="000000"/>
        <w:sz w:val="22"/>
        <w:szCs w:val="22"/>
        <w:rtl/>
      </w:rPr>
      <w:tab/>
      <w:t xml:space="preserve"> מדינת ישראל  נ' חמדה אבו אלקיעאן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A0519"/>
    <w:multiLevelType w:val="hybridMultilevel"/>
    <w:tmpl w:val="C56E982C"/>
    <w:lvl w:ilvl="0" w:tplc="320C637C">
      <w:start w:val="1"/>
      <w:numFmt w:val="hebrew1"/>
      <w:lvlText w:val="%1."/>
      <w:lvlJc w:val="left"/>
      <w:pPr>
        <w:ind w:left="1080" w:hanging="360"/>
      </w:pPr>
      <w:rPr>
        <w:rFonts w:cs="Times New Roman"/>
      </w:rPr>
    </w:lvl>
    <w:lvl w:ilvl="1" w:tplc="12F47F8A">
      <w:start w:val="1"/>
      <w:numFmt w:val="lowerLetter"/>
      <w:lvlText w:val="%2."/>
      <w:lvlJc w:val="left"/>
      <w:pPr>
        <w:ind w:left="1800" w:hanging="360"/>
      </w:pPr>
      <w:rPr>
        <w:rFonts w:cs="Times New Roman"/>
      </w:rPr>
    </w:lvl>
    <w:lvl w:ilvl="2" w:tplc="647C4996">
      <w:start w:val="1"/>
      <w:numFmt w:val="lowerRoman"/>
      <w:lvlText w:val="%3."/>
      <w:lvlJc w:val="right"/>
      <w:pPr>
        <w:ind w:left="2520" w:hanging="180"/>
      </w:pPr>
      <w:rPr>
        <w:rFonts w:cs="Times New Roman"/>
      </w:rPr>
    </w:lvl>
    <w:lvl w:ilvl="3" w:tplc="6006269C">
      <w:start w:val="1"/>
      <w:numFmt w:val="decimal"/>
      <w:lvlText w:val="%4."/>
      <w:lvlJc w:val="left"/>
      <w:pPr>
        <w:ind w:left="3240" w:hanging="360"/>
      </w:pPr>
      <w:rPr>
        <w:rFonts w:cs="Times New Roman"/>
      </w:rPr>
    </w:lvl>
    <w:lvl w:ilvl="4" w:tplc="AA3404D8">
      <w:start w:val="1"/>
      <w:numFmt w:val="lowerLetter"/>
      <w:lvlText w:val="%5."/>
      <w:lvlJc w:val="left"/>
      <w:pPr>
        <w:ind w:left="3960" w:hanging="360"/>
      </w:pPr>
      <w:rPr>
        <w:rFonts w:cs="Times New Roman"/>
      </w:rPr>
    </w:lvl>
    <w:lvl w:ilvl="5" w:tplc="0F2C919E">
      <w:start w:val="1"/>
      <w:numFmt w:val="lowerRoman"/>
      <w:lvlText w:val="%6."/>
      <w:lvlJc w:val="right"/>
      <w:pPr>
        <w:ind w:left="4680" w:hanging="180"/>
      </w:pPr>
      <w:rPr>
        <w:rFonts w:cs="Times New Roman"/>
      </w:rPr>
    </w:lvl>
    <w:lvl w:ilvl="6" w:tplc="DA28C572">
      <w:start w:val="1"/>
      <w:numFmt w:val="decimal"/>
      <w:lvlText w:val="%7."/>
      <w:lvlJc w:val="left"/>
      <w:pPr>
        <w:ind w:left="5400" w:hanging="360"/>
      </w:pPr>
      <w:rPr>
        <w:rFonts w:cs="Times New Roman"/>
      </w:rPr>
    </w:lvl>
    <w:lvl w:ilvl="7" w:tplc="4ABA242A">
      <w:start w:val="1"/>
      <w:numFmt w:val="lowerLetter"/>
      <w:lvlText w:val="%8."/>
      <w:lvlJc w:val="left"/>
      <w:pPr>
        <w:ind w:left="6120" w:hanging="360"/>
      </w:pPr>
      <w:rPr>
        <w:rFonts w:cs="Times New Roman"/>
      </w:rPr>
    </w:lvl>
    <w:lvl w:ilvl="8" w:tplc="E1C49D26">
      <w:start w:val="1"/>
      <w:numFmt w:val="lowerRoman"/>
      <w:lvlText w:val="%9."/>
      <w:lvlJc w:val="right"/>
      <w:pPr>
        <w:ind w:left="6840" w:hanging="180"/>
      </w:pPr>
      <w:rPr>
        <w:rFonts w:cs="Times New Roman"/>
      </w:rPr>
    </w:lvl>
  </w:abstractNum>
  <w:num w:numId="1" w16cid:durableId="11087004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52BD"/>
    <w:rsid w:val="001610CC"/>
    <w:rsid w:val="001B5A3B"/>
    <w:rsid w:val="0026508B"/>
    <w:rsid w:val="004833AB"/>
    <w:rsid w:val="004C77FD"/>
    <w:rsid w:val="004D382D"/>
    <w:rsid w:val="005052BD"/>
    <w:rsid w:val="007745B1"/>
    <w:rsid w:val="0087175B"/>
    <w:rsid w:val="00924F27"/>
    <w:rsid w:val="00957C90"/>
    <w:rsid w:val="009B34CE"/>
    <w:rsid w:val="00B14BCD"/>
    <w:rsid w:val="00B905CD"/>
    <w:rsid w:val="00C9472A"/>
    <w:rsid w:val="00E870A5"/>
    <w:rsid w:val="00F10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D02246"/>
  <w15:chartTrackingRefBased/>
  <w15:docId w15:val="{3CA812B4-8168-4218-8540-B339F101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52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52BD"/>
    <w:pPr>
      <w:tabs>
        <w:tab w:val="center" w:pos="4153"/>
        <w:tab w:val="right" w:pos="8306"/>
      </w:tabs>
    </w:pPr>
  </w:style>
  <w:style w:type="character" w:customStyle="1" w:styleId="a4">
    <w:name w:val="כותרת עליונה תו"/>
    <w:link w:val="a3"/>
    <w:rsid w:val="005052BD"/>
    <w:rPr>
      <w:rFonts w:ascii="Times New Roman" w:eastAsia="Times New Roman" w:hAnsi="Times New Roman" w:cs="David"/>
      <w:sz w:val="24"/>
      <w:szCs w:val="24"/>
    </w:rPr>
  </w:style>
  <w:style w:type="paragraph" w:styleId="a5">
    <w:name w:val="footer"/>
    <w:basedOn w:val="a"/>
    <w:link w:val="a6"/>
    <w:rsid w:val="005052BD"/>
    <w:pPr>
      <w:tabs>
        <w:tab w:val="center" w:pos="4153"/>
        <w:tab w:val="right" w:pos="8306"/>
      </w:tabs>
    </w:pPr>
  </w:style>
  <w:style w:type="character" w:customStyle="1" w:styleId="a6">
    <w:name w:val="כותרת תחתונה תו"/>
    <w:link w:val="a5"/>
    <w:rsid w:val="005052BD"/>
    <w:rPr>
      <w:rFonts w:ascii="Times New Roman" w:eastAsia="Times New Roman" w:hAnsi="Times New Roman" w:cs="David"/>
      <w:sz w:val="24"/>
      <w:szCs w:val="24"/>
    </w:rPr>
  </w:style>
  <w:style w:type="character" w:styleId="a7">
    <w:name w:val="page number"/>
    <w:rsid w:val="005052BD"/>
  </w:style>
  <w:style w:type="table" w:customStyle="1" w:styleId="1">
    <w:name w:val="רשת טבלה1"/>
    <w:basedOn w:val="a1"/>
    <w:next w:val="a8"/>
    <w:rsid w:val="005052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רשת טבלה11"/>
    <w:basedOn w:val="a1"/>
    <w:next w:val="a8"/>
    <w:rsid w:val="005052BD"/>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רשת טבלה2"/>
    <w:basedOn w:val="a1"/>
    <w:next w:val="a8"/>
    <w:rsid w:val="005052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rsid w:val="005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61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05.1"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8131336" TargetMode="External"/><Relationship Id="rId21" Type="http://schemas.openxmlformats.org/officeDocument/2006/relationships/hyperlink" Target="http://www.nevo.co.il/law/70301/40c.a" TargetMode="External"/><Relationship Id="rId34" Type="http://schemas.openxmlformats.org/officeDocument/2006/relationships/hyperlink" Target="http://www.nevo.co.il/case/27915710" TargetMode="External"/><Relationship Id="rId42" Type="http://schemas.openxmlformats.org/officeDocument/2006/relationships/hyperlink" Target="http://www.nevo.co.il/law/5227/43" TargetMode="External"/><Relationship Id="rId47" Type="http://schemas.openxmlformats.org/officeDocument/2006/relationships/hyperlink" Target="http://www.nevo.co.il/law/7030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9" Type="http://schemas.openxmlformats.org/officeDocument/2006/relationships/hyperlink" Target="http://www.nevo.co.il/case/20243566"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5824863" TargetMode="External"/><Relationship Id="rId32" Type="http://schemas.openxmlformats.org/officeDocument/2006/relationships/hyperlink" Target="http://www.nevo.co.il/case/5831049" TargetMode="External"/><Relationship Id="rId37" Type="http://schemas.openxmlformats.org/officeDocument/2006/relationships/hyperlink" Target="http://www.nevo.co.il/case/28697227" TargetMode="External"/><Relationship Id="rId40" Type="http://schemas.openxmlformats.org/officeDocument/2006/relationships/hyperlink" Target="http://www.nevo.co.il/case/22505399" TargetMode="External"/><Relationship Id="rId45" Type="http://schemas.openxmlformats.org/officeDocument/2006/relationships/hyperlink" Target="http://www.nevo.co.il/case/5752835"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77"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3507389" TargetMode="External"/><Relationship Id="rId44" Type="http://schemas.openxmlformats.org/officeDocument/2006/relationships/hyperlink" Target="http://www.nevo.co.il/case/161892"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j.b"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585562" TargetMode="External"/><Relationship Id="rId30" Type="http://schemas.openxmlformats.org/officeDocument/2006/relationships/hyperlink" Target="http://www.nevo.co.il/case/27070289" TargetMode="External"/><Relationship Id="rId35" Type="http://schemas.openxmlformats.org/officeDocument/2006/relationships/hyperlink" Target="http://www.nevo.co.il/case/27608313" TargetMode="External"/><Relationship Id="rId43" Type="http://schemas.openxmlformats.org/officeDocument/2006/relationships/hyperlink" Target="http://www.nevo.co.il/law/5227" TargetMode="External"/><Relationship Id="rId48" Type="http://schemas.openxmlformats.org/officeDocument/2006/relationships/hyperlink" Target="http://www.nevo.co.il/case/21477594" TargetMode="External"/><Relationship Id="rId56"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305.1"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case/26492590"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law/70301/77" TargetMode="External"/><Relationship Id="rId20" Type="http://schemas.openxmlformats.org/officeDocument/2006/relationships/hyperlink" Target="http://www.nevo.co.il/law/70301/340a.b.2" TargetMode="External"/><Relationship Id="rId41" Type="http://schemas.openxmlformats.org/officeDocument/2006/relationships/hyperlink" Target="http://www.nevo.co.il/case/26518589"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case/7680922" TargetMode="External"/><Relationship Id="rId28" Type="http://schemas.openxmlformats.org/officeDocument/2006/relationships/hyperlink" Target="http://www.nevo.co.il/case/24269594" TargetMode="External"/><Relationship Id="rId36" Type="http://schemas.openxmlformats.org/officeDocument/2006/relationships/hyperlink" Target="http://www.nevo.co.il/case/28883087" TargetMode="External"/><Relationship Id="rId49" Type="http://schemas.openxmlformats.org/officeDocument/2006/relationships/hyperlink" Target="http://www.nevo.co.il/case/79773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5997</Words>
  <Characters>29986</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35912</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3342462</vt:i4>
      </vt:variant>
      <vt:variant>
        <vt:i4>126</vt:i4>
      </vt:variant>
      <vt:variant>
        <vt:i4>0</vt:i4>
      </vt:variant>
      <vt:variant>
        <vt:i4>5</vt:i4>
      </vt:variant>
      <vt:variant>
        <vt:lpwstr>http://www.nevo.co.il/case/7977340</vt:lpwstr>
      </vt:variant>
      <vt:variant>
        <vt:lpwstr/>
      </vt:variant>
      <vt:variant>
        <vt:i4>3670135</vt:i4>
      </vt:variant>
      <vt:variant>
        <vt:i4>123</vt:i4>
      </vt:variant>
      <vt:variant>
        <vt:i4>0</vt:i4>
      </vt:variant>
      <vt:variant>
        <vt:i4>5</vt:i4>
      </vt:variant>
      <vt:variant>
        <vt:lpwstr>http://www.nevo.co.il/case/21477594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6422626</vt:i4>
      </vt:variant>
      <vt:variant>
        <vt:i4>117</vt:i4>
      </vt:variant>
      <vt:variant>
        <vt:i4>0</vt:i4>
      </vt:variant>
      <vt:variant>
        <vt:i4>5</vt:i4>
      </vt:variant>
      <vt:variant>
        <vt:lpwstr>http://www.nevo.co.il/law/70301/77</vt:lpwstr>
      </vt:variant>
      <vt:variant>
        <vt:lpwstr/>
      </vt:variant>
      <vt:variant>
        <vt:i4>3997810</vt:i4>
      </vt:variant>
      <vt:variant>
        <vt:i4>114</vt:i4>
      </vt:variant>
      <vt:variant>
        <vt:i4>0</vt:i4>
      </vt:variant>
      <vt:variant>
        <vt:i4>5</vt:i4>
      </vt:variant>
      <vt:variant>
        <vt:lpwstr>http://www.nevo.co.il/case/5752835</vt:lpwstr>
      </vt:variant>
      <vt:variant>
        <vt:lpwstr/>
      </vt:variant>
      <vt:variant>
        <vt:i4>589898</vt:i4>
      </vt:variant>
      <vt:variant>
        <vt:i4>111</vt:i4>
      </vt:variant>
      <vt:variant>
        <vt:i4>0</vt:i4>
      </vt:variant>
      <vt:variant>
        <vt:i4>5</vt:i4>
      </vt:variant>
      <vt:variant>
        <vt:lpwstr>http://www.nevo.co.il/case/161892</vt:lpwstr>
      </vt:variant>
      <vt:variant>
        <vt:lpwstr/>
      </vt:variant>
      <vt:variant>
        <vt:i4>8323175</vt:i4>
      </vt:variant>
      <vt:variant>
        <vt:i4>108</vt:i4>
      </vt:variant>
      <vt:variant>
        <vt:i4>0</vt:i4>
      </vt:variant>
      <vt:variant>
        <vt:i4>5</vt:i4>
      </vt:variant>
      <vt:variant>
        <vt:lpwstr>http://www.nevo.co.il/law/5227</vt:lpwstr>
      </vt:variant>
      <vt:variant>
        <vt:lpwstr/>
      </vt:variant>
      <vt:variant>
        <vt:i4>4915272</vt:i4>
      </vt:variant>
      <vt:variant>
        <vt:i4>105</vt:i4>
      </vt:variant>
      <vt:variant>
        <vt:i4>0</vt:i4>
      </vt:variant>
      <vt:variant>
        <vt:i4>5</vt:i4>
      </vt:variant>
      <vt:variant>
        <vt:lpwstr>http://www.nevo.co.il/law/5227/43</vt:lpwstr>
      </vt:variant>
      <vt:variant>
        <vt:lpwstr/>
      </vt:variant>
      <vt:variant>
        <vt:i4>3604598</vt:i4>
      </vt:variant>
      <vt:variant>
        <vt:i4>102</vt:i4>
      </vt:variant>
      <vt:variant>
        <vt:i4>0</vt:i4>
      </vt:variant>
      <vt:variant>
        <vt:i4>5</vt:i4>
      </vt:variant>
      <vt:variant>
        <vt:lpwstr>http://www.nevo.co.il/case/26518589</vt:lpwstr>
      </vt:variant>
      <vt:variant>
        <vt:lpwstr/>
      </vt:variant>
      <vt:variant>
        <vt:i4>3866741</vt:i4>
      </vt:variant>
      <vt:variant>
        <vt:i4>99</vt:i4>
      </vt:variant>
      <vt:variant>
        <vt:i4>0</vt:i4>
      </vt:variant>
      <vt:variant>
        <vt:i4>5</vt:i4>
      </vt:variant>
      <vt:variant>
        <vt:lpwstr>http://www.nevo.co.il/case/22505399</vt:lpwstr>
      </vt:variant>
      <vt:variant>
        <vt:lpwstr/>
      </vt:variant>
      <vt:variant>
        <vt:i4>3276924</vt:i4>
      </vt:variant>
      <vt:variant>
        <vt:i4>96</vt:i4>
      </vt:variant>
      <vt:variant>
        <vt:i4>0</vt:i4>
      </vt:variant>
      <vt:variant>
        <vt:i4>5</vt:i4>
      </vt:variant>
      <vt:variant>
        <vt:lpwstr>http://www.nevo.co.il/case/18131336</vt:lpwstr>
      </vt:variant>
      <vt:variant>
        <vt:lpwstr/>
      </vt:variant>
      <vt:variant>
        <vt:i4>4915211</vt:i4>
      </vt:variant>
      <vt:variant>
        <vt:i4>93</vt:i4>
      </vt:variant>
      <vt:variant>
        <vt:i4>0</vt:i4>
      </vt:variant>
      <vt:variant>
        <vt:i4>5</vt:i4>
      </vt:variant>
      <vt:variant>
        <vt:lpwstr>http://www.nevo.co.il/law/70301/40j.b</vt:lpwstr>
      </vt:variant>
      <vt:variant>
        <vt:lpwstr/>
      </vt:variant>
      <vt:variant>
        <vt:i4>3211383</vt:i4>
      </vt:variant>
      <vt:variant>
        <vt:i4>90</vt:i4>
      </vt:variant>
      <vt:variant>
        <vt:i4>0</vt:i4>
      </vt:variant>
      <vt:variant>
        <vt:i4>5</vt:i4>
      </vt:variant>
      <vt:variant>
        <vt:lpwstr>http://www.nevo.co.il/case/28697227</vt:lpwstr>
      </vt:variant>
      <vt:variant>
        <vt:lpwstr/>
      </vt:variant>
      <vt:variant>
        <vt:i4>3211380</vt:i4>
      </vt:variant>
      <vt:variant>
        <vt:i4>87</vt:i4>
      </vt:variant>
      <vt:variant>
        <vt:i4>0</vt:i4>
      </vt:variant>
      <vt:variant>
        <vt:i4>5</vt:i4>
      </vt:variant>
      <vt:variant>
        <vt:lpwstr>http://www.nevo.co.il/case/28883087</vt:lpwstr>
      </vt:variant>
      <vt:variant>
        <vt:lpwstr/>
      </vt:variant>
      <vt:variant>
        <vt:i4>3997808</vt:i4>
      </vt:variant>
      <vt:variant>
        <vt:i4>84</vt:i4>
      </vt:variant>
      <vt:variant>
        <vt:i4>0</vt:i4>
      </vt:variant>
      <vt:variant>
        <vt:i4>5</vt:i4>
      </vt:variant>
      <vt:variant>
        <vt:lpwstr>http://www.nevo.co.il/case/27608313</vt:lpwstr>
      </vt:variant>
      <vt:variant>
        <vt:lpwstr/>
      </vt:variant>
      <vt:variant>
        <vt:i4>4128885</vt:i4>
      </vt:variant>
      <vt:variant>
        <vt:i4>81</vt:i4>
      </vt:variant>
      <vt:variant>
        <vt:i4>0</vt:i4>
      </vt:variant>
      <vt:variant>
        <vt:i4>5</vt:i4>
      </vt:variant>
      <vt:variant>
        <vt:lpwstr>http://www.nevo.co.il/case/27915710</vt:lpwstr>
      </vt:variant>
      <vt:variant>
        <vt:lpwstr/>
      </vt:variant>
      <vt:variant>
        <vt:i4>3997822</vt:i4>
      </vt:variant>
      <vt:variant>
        <vt:i4>78</vt:i4>
      </vt:variant>
      <vt:variant>
        <vt:i4>0</vt:i4>
      </vt:variant>
      <vt:variant>
        <vt:i4>5</vt:i4>
      </vt:variant>
      <vt:variant>
        <vt:lpwstr>http://www.nevo.co.il/case/26492590</vt:lpwstr>
      </vt:variant>
      <vt:variant>
        <vt:lpwstr/>
      </vt:variant>
      <vt:variant>
        <vt:i4>4128889</vt:i4>
      </vt:variant>
      <vt:variant>
        <vt:i4>75</vt:i4>
      </vt:variant>
      <vt:variant>
        <vt:i4>0</vt:i4>
      </vt:variant>
      <vt:variant>
        <vt:i4>5</vt:i4>
      </vt:variant>
      <vt:variant>
        <vt:lpwstr>http://www.nevo.co.il/case/5831049</vt:lpwstr>
      </vt:variant>
      <vt:variant>
        <vt:lpwstr/>
      </vt:variant>
      <vt:variant>
        <vt:i4>3670132</vt:i4>
      </vt:variant>
      <vt:variant>
        <vt:i4>72</vt:i4>
      </vt:variant>
      <vt:variant>
        <vt:i4>0</vt:i4>
      </vt:variant>
      <vt:variant>
        <vt:i4>5</vt:i4>
      </vt:variant>
      <vt:variant>
        <vt:lpwstr>http://www.nevo.co.il/case/23507389</vt:lpwstr>
      </vt:variant>
      <vt:variant>
        <vt:lpwstr/>
      </vt:variant>
      <vt:variant>
        <vt:i4>3801206</vt:i4>
      </vt:variant>
      <vt:variant>
        <vt:i4>69</vt:i4>
      </vt:variant>
      <vt:variant>
        <vt:i4>0</vt:i4>
      </vt:variant>
      <vt:variant>
        <vt:i4>5</vt:i4>
      </vt:variant>
      <vt:variant>
        <vt:lpwstr>http://www.nevo.co.il/case/27070289</vt:lpwstr>
      </vt:variant>
      <vt:variant>
        <vt:lpwstr/>
      </vt:variant>
      <vt:variant>
        <vt:i4>3473525</vt:i4>
      </vt:variant>
      <vt:variant>
        <vt:i4>66</vt:i4>
      </vt:variant>
      <vt:variant>
        <vt:i4>0</vt:i4>
      </vt:variant>
      <vt:variant>
        <vt:i4>5</vt:i4>
      </vt:variant>
      <vt:variant>
        <vt:lpwstr>http://www.nevo.co.il/case/20243566</vt:lpwstr>
      </vt:variant>
      <vt:variant>
        <vt:lpwstr/>
      </vt:variant>
      <vt:variant>
        <vt:i4>3145843</vt:i4>
      </vt:variant>
      <vt:variant>
        <vt:i4>63</vt:i4>
      </vt:variant>
      <vt:variant>
        <vt:i4>0</vt:i4>
      </vt:variant>
      <vt:variant>
        <vt:i4>5</vt:i4>
      </vt:variant>
      <vt:variant>
        <vt:lpwstr>http://www.nevo.co.il/case/24269594</vt:lpwstr>
      </vt:variant>
      <vt:variant>
        <vt:lpwstr/>
      </vt:variant>
      <vt:variant>
        <vt:i4>3407996</vt:i4>
      </vt:variant>
      <vt:variant>
        <vt:i4>60</vt:i4>
      </vt:variant>
      <vt:variant>
        <vt:i4>0</vt:i4>
      </vt:variant>
      <vt:variant>
        <vt:i4>5</vt:i4>
      </vt:variant>
      <vt:variant>
        <vt:lpwstr>http://www.nevo.co.il/case/25585562</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3670139</vt:i4>
      </vt:variant>
      <vt:variant>
        <vt:i4>51</vt:i4>
      </vt:variant>
      <vt:variant>
        <vt:i4>0</vt:i4>
      </vt:variant>
      <vt:variant>
        <vt:i4>5</vt:i4>
      </vt:variant>
      <vt:variant>
        <vt:lpwstr>http://www.nevo.co.il/case/25824863</vt:lpwstr>
      </vt:variant>
      <vt:variant>
        <vt:lpwstr/>
      </vt:variant>
      <vt:variant>
        <vt:i4>3407984</vt:i4>
      </vt:variant>
      <vt:variant>
        <vt:i4>48</vt:i4>
      </vt:variant>
      <vt:variant>
        <vt:i4>0</vt:i4>
      </vt:variant>
      <vt:variant>
        <vt:i4>5</vt:i4>
      </vt:variant>
      <vt:variant>
        <vt:lpwstr>http://www.nevo.co.il/case/7680922</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4915202</vt:i4>
      </vt:variant>
      <vt:variant>
        <vt:i4>42</vt:i4>
      </vt:variant>
      <vt:variant>
        <vt:i4>0</vt:i4>
      </vt:variant>
      <vt:variant>
        <vt:i4>5</vt:i4>
      </vt:variant>
      <vt:variant>
        <vt:lpwstr>http://www.nevo.co.il/law/70301/40c.a</vt:lpwstr>
      </vt:variant>
      <vt:variant>
        <vt:lpwstr/>
      </vt:variant>
      <vt:variant>
        <vt:i4>5242966</vt:i4>
      </vt:variant>
      <vt:variant>
        <vt:i4>39</vt:i4>
      </vt:variant>
      <vt:variant>
        <vt:i4>0</vt:i4>
      </vt:variant>
      <vt:variant>
        <vt:i4>5</vt:i4>
      </vt:variant>
      <vt:variant>
        <vt:lpwstr>http://www.nevo.co.il/law/70301/340a.b.2</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4915283</vt:i4>
      </vt:variant>
      <vt:variant>
        <vt:i4>30</vt:i4>
      </vt:variant>
      <vt:variant>
        <vt:i4>0</vt:i4>
      </vt:variant>
      <vt:variant>
        <vt:i4>5</vt:i4>
      </vt:variant>
      <vt:variant>
        <vt:lpwstr>http://www.nevo.co.il/law/70301/305.1</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5242966</vt:i4>
      </vt:variant>
      <vt:variant>
        <vt:i4>21</vt:i4>
      </vt:variant>
      <vt:variant>
        <vt:i4>0</vt:i4>
      </vt:variant>
      <vt:variant>
        <vt:i4>5</vt:i4>
      </vt:variant>
      <vt:variant>
        <vt:lpwstr>http://www.nevo.co.il/law/70301/340a.b.2</vt:lpwstr>
      </vt:variant>
      <vt:variant>
        <vt:lpwstr/>
      </vt:variant>
      <vt:variant>
        <vt:i4>4915283</vt:i4>
      </vt:variant>
      <vt:variant>
        <vt:i4>18</vt:i4>
      </vt:variant>
      <vt:variant>
        <vt:i4>0</vt:i4>
      </vt:variant>
      <vt:variant>
        <vt:i4>5</vt:i4>
      </vt:variant>
      <vt:variant>
        <vt:lpwstr>http://www.nevo.co.il/law/70301/305.1</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6422626</vt:i4>
      </vt:variant>
      <vt:variant>
        <vt:i4>9</vt:i4>
      </vt:variant>
      <vt:variant>
        <vt:i4>0</vt:i4>
      </vt:variant>
      <vt:variant>
        <vt:i4>5</vt:i4>
      </vt:variant>
      <vt:variant>
        <vt:lpwstr>http://www.nevo.co.il/law/70301/77</vt:lpwstr>
      </vt:variant>
      <vt:variant>
        <vt:lpwstr/>
      </vt:variant>
      <vt:variant>
        <vt:i4>4915211</vt:i4>
      </vt:variant>
      <vt:variant>
        <vt:i4>6</vt:i4>
      </vt:variant>
      <vt:variant>
        <vt:i4>0</vt:i4>
      </vt:variant>
      <vt:variant>
        <vt:i4>5</vt:i4>
      </vt:variant>
      <vt:variant>
        <vt:lpwstr>http://www.nevo.co.il/law/70301/40j.b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53498</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חמדה אבו אלקיעאן</vt:lpwstr>
  </property>
  <property fmtid="{D5CDD505-2E9C-101B-9397-08002B2CF9AE}" pid="10" name="LAWYER">
    <vt:lpwstr>גיורא חזן;דוד יפתח</vt:lpwstr>
  </property>
  <property fmtid="{D5CDD505-2E9C-101B-9397-08002B2CF9AE}" pid="11" name="JUDGE">
    <vt:lpwstr>נתן זלוצ'ובר;דניאל בן טולילה;טל לחיאני שהם</vt:lpwstr>
  </property>
  <property fmtid="{D5CDD505-2E9C-101B-9397-08002B2CF9AE}" pid="12" name="CITY">
    <vt:lpwstr>ב"ש</vt:lpwstr>
  </property>
  <property fmtid="{D5CDD505-2E9C-101B-9397-08002B2CF9AE}" pid="13" name="DATE">
    <vt:lpwstr>20230105</vt:lpwstr>
  </property>
  <property fmtid="{D5CDD505-2E9C-101B-9397-08002B2CF9AE}" pid="14" name="TYPE_N_DATE">
    <vt:lpwstr>39020230105</vt:lpwstr>
  </property>
  <property fmtid="{D5CDD505-2E9C-101B-9397-08002B2CF9AE}" pid="15" name="WORDNUMPAGES">
    <vt:lpwstr>15</vt:lpwstr>
  </property>
  <property fmtid="{D5CDD505-2E9C-101B-9397-08002B2CF9AE}" pid="16" name="TYPE_ABS_DATE">
    <vt:lpwstr>390020230105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7680922;25824863;25585562;24269594;20243566;27070289;23507389;5831049;26492590;27915710;27608313;28883087;28697227;18131336;22505399;26518589;161892;5752835;21477594;7977340</vt:lpwstr>
  </property>
  <property fmtid="{D5CDD505-2E9C-101B-9397-08002B2CF9AE}" pid="36" name="LAWLISTTMP1">
    <vt:lpwstr>70301/305.1;144.b;340a.b.2;040c.a;144.g;040j.b;077</vt:lpwstr>
  </property>
  <property fmtid="{D5CDD505-2E9C-101B-9397-08002B2CF9AE}" pid="37" name="LAWLISTTMP2">
    <vt:lpwstr>5227/043</vt:lpwstr>
  </property>
</Properties>
</file>