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799"/>
        <w:gridCol w:w="3508"/>
      </w:tblGrid>
      <w:tr w:rsidR="00964788" w:rsidRPr="00EC1139" w14:paraId="06C32F8F" w14:textId="77777777" w:rsidTr="00001D2B">
        <w:trPr>
          <w:trHeight w:hRule="exact" w:val="704"/>
          <w:jc w:val="center"/>
        </w:trPr>
        <w:tc>
          <w:tcPr>
            <w:tcW w:w="8307" w:type="dxa"/>
            <w:gridSpan w:val="2"/>
          </w:tcPr>
          <w:p w14:paraId="7B22F2A2" w14:textId="77777777" w:rsidR="00964788" w:rsidRPr="00EC1139" w:rsidRDefault="00964788" w:rsidP="00001D2B">
            <w:pPr>
              <w:pStyle w:val="a3"/>
              <w:jc w:val="center"/>
              <w:rPr>
                <w:rFonts w:ascii="Tahoma" w:hAnsi="Tahoma"/>
                <w:noProof w:val="0"/>
                <w:color w:val="000080"/>
                <w:sz w:val="32"/>
                <w:szCs w:val="32"/>
                <w:rtl/>
              </w:rPr>
            </w:pPr>
            <w:bookmarkStart w:id="0" w:name="FirstLawyer"/>
            <w:bookmarkStart w:id="1" w:name="LastJudge"/>
            <w:r w:rsidRPr="00EC1139">
              <w:rPr>
                <w:rFonts w:ascii="Tahoma" w:hAnsi="Tahoma"/>
                <w:color w:val="000080"/>
                <w:sz w:val="32"/>
                <w:szCs w:val="32"/>
                <w:rtl/>
              </w:rPr>
              <w:t>בית המשפט המחוזי בבאר שבע</w:t>
            </w:r>
          </w:p>
        </w:tc>
      </w:tr>
      <w:tr w:rsidR="00964788" w:rsidRPr="00EC1139" w14:paraId="392A46B6" w14:textId="77777777" w:rsidTr="00001D2B">
        <w:trPr>
          <w:trHeight w:val="337"/>
          <w:jc w:val="center"/>
        </w:trPr>
        <w:tc>
          <w:tcPr>
            <w:tcW w:w="4799" w:type="dxa"/>
          </w:tcPr>
          <w:p w14:paraId="09043A6C" w14:textId="77777777" w:rsidR="00964788" w:rsidRPr="00EC1139" w:rsidRDefault="00964788" w:rsidP="00001D2B">
            <w:pPr>
              <w:rPr>
                <w:b/>
                <w:bCs/>
                <w:noProof w:val="0"/>
                <w:sz w:val="26"/>
                <w:szCs w:val="26"/>
                <w:rtl/>
              </w:rPr>
            </w:pPr>
            <w:r w:rsidRPr="00EC1139">
              <w:rPr>
                <w:rFonts w:hint="cs"/>
                <w:b/>
                <w:bCs/>
                <w:noProof w:val="0"/>
                <w:sz w:val="26"/>
                <w:szCs w:val="26"/>
                <w:rtl/>
              </w:rPr>
              <w:t>לפני כב' השופט יובל ליבדרו</w:t>
            </w:r>
          </w:p>
        </w:tc>
        <w:tc>
          <w:tcPr>
            <w:tcW w:w="3508" w:type="dxa"/>
          </w:tcPr>
          <w:p w14:paraId="024200ED" w14:textId="77777777" w:rsidR="00964788" w:rsidRPr="00EC1139" w:rsidRDefault="00964788" w:rsidP="00001D2B">
            <w:pPr>
              <w:pStyle w:val="a3"/>
              <w:jc w:val="right"/>
              <w:rPr>
                <w:b/>
                <w:bCs/>
                <w:noProof w:val="0"/>
                <w:sz w:val="26"/>
                <w:szCs w:val="26"/>
                <w:rtl/>
              </w:rPr>
            </w:pPr>
            <w:r w:rsidRPr="00EC1139">
              <w:rPr>
                <w:b/>
                <w:bCs/>
                <w:noProof w:val="0"/>
                <w:sz w:val="26"/>
                <w:szCs w:val="26"/>
                <w:rtl/>
              </w:rPr>
              <w:t>ת"פ 55054-02-20</w:t>
            </w:r>
          </w:p>
        </w:tc>
      </w:tr>
    </w:tbl>
    <w:p w14:paraId="25E779F4" w14:textId="77777777" w:rsidR="00964788" w:rsidRPr="00EC1139" w:rsidRDefault="00964788" w:rsidP="00964788">
      <w:pPr>
        <w:pStyle w:val="a3"/>
        <w:rPr>
          <w:noProof w:val="0"/>
          <w:rtl/>
        </w:rPr>
      </w:pPr>
      <w:r w:rsidRPr="00EC1139">
        <w:rPr>
          <w:noProof w:val="0"/>
          <w:rtl/>
        </w:rPr>
        <w:t xml:space="preserve"> </w:t>
      </w:r>
    </w:p>
    <w:p w14:paraId="3C3E5B36" w14:textId="77777777" w:rsidR="00964788" w:rsidRPr="00EC1139" w:rsidRDefault="00964788" w:rsidP="00964788">
      <w:pPr>
        <w:spacing w:line="360" w:lineRule="auto"/>
        <w:jc w:val="both"/>
        <w:rPr>
          <w:rFonts w:ascii="Arial" w:hAnsi="Arial"/>
          <w:noProof w:val="0"/>
          <w:rtl/>
        </w:rPr>
      </w:pPr>
    </w:p>
    <w:p w14:paraId="3F3DEABA" w14:textId="77777777" w:rsidR="00964788" w:rsidRPr="00EC1139" w:rsidRDefault="00964788" w:rsidP="00964788">
      <w:pPr>
        <w:spacing w:line="360" w:lineRule="auto"/>
        <w:jc w:val="both"/>
        <w:rPr>
          <w:rFonts w:ascii="Arial" w:hAnsi="Arial"/>
          <w:noProof w:val="0"/>
          <w:rtl/>
        </w:rPr>
      </w:pPr>
    </w:p>
    <w:tbl>
      <w:tblPr>
        <w:bidiVisual/>
        <w:tblW w:w="8820" w:type="dxa"/>
        <w:jc w:val="center"/>
        <w:tblLook w:val="01E0" w:firstRow="1" w:lastRow="1" w:firstColumn="1" w:lastColumn="1" w:noHBand="0" w:noVBand="0"/>
      </w:tblPr>
      <w:tblGrid>
        <w:gridCol w:w="3249"/>
        <w:gridCol w:w="5571"/>
      </w:tblGrid>
      <w:tr w:rsidR="00964788" w:rsidRPr="00EC1139" w14:paraId="72CC4231" w14:textId="77777777" w:rsidTr="00964788">
        <w:trPr>
          <w:jc w:val="center"/>
        </w:trPr>
        <w:tc>
          <w:tcPr>
            <w:tcW w:w="3249" w:type="dxa"/>
            <w:shd w:val="clear" w:color="auto" w:fill="auto"/>
          </w:tcPr>
          <w:p w14:paraId="4562BFAE" w14:textId="77777777" w:rsidR="00964788" w:rsidRPr="00EC1139" w:rsidRDefault="00964788" w:rsidP="00964788">
            <w:pPr>
              <w:suppressLineNumbers/>
              <w:rPr>
                <w:rFonts w:ascii="Arial" w:hAnsi="Arial"/>
                <w:b/>
                <w:bCs/>
                <w:noProof w:val="0"/>
                <w:sz w:val="26"/>
                <w:szCs w:val="26"/>
              </w:rPr>
            </w:pPr>
            <w:bookmarkStart w:id="2" w:name="FirstAppellant"/>
          </w:p>
          <w:p w14:paraId="78605571" w14:textId="77777777" w:rsidR="00964788" w:rsidRPr="00EC1139" w:rsidRDefault="00964788" w:rsidP="00964788">
            <w:pPr>
              <w:suppressLineNumbers/>
              <w:rPr>
                <w:rFonts w:ascii="Arial" w:hAnsi="Arial"/>
                <w:b/>
                <w:bCs/>
                <w:noProof w:val="0"/>
                <w:sz w:val="26"/>
                <w:szCs w:val="26"/>
                <w:rtl/>
              </w:rPr>
            </w:pPr>
            <w:r w:rsidRPr="00EC1139">
              <w:rPr>
                <w:rFonts w:ascii="Arial" w:hAnsi="Arial" w:hint="cs"/>
                <w:b/>
                <w:bCs/>
                <w:noProof w:val="0"/>
                <w:sz w:val="26"/>
                <w:szCs w:val="26"/>
                <w:rtl/>
              </w:rPr>
              <w:t>ה</w:t>
            </w:r>
            <w:r w:rsidRPr="00EC1139">
              <w:rPr>
                <w:rFonts w:ascii="Arial" w:hAnsi="Arial"/>
                <w:b/>
                <w:bCs/>
                <w:noProof w:val="0"/>
                <w:sz w:val="26"/>
                <w:szCs w:val="26"/>
                <w:rtl/>
              </w:rPr>
              <w:t>מאשימה</w:t>
            </w:r>
            <w:r w:rsidRPr="00EC1139">
              <w:rPr>
                <w:rFonts w:hint="cs"/>
                <w:rtl/>
              </w:rPr>
              <w:t>:</w:t>
            </w:r>
          </w:p>
        </w:tc>
        <w:tc>
          <w:tcPr>
            <w:tcW w:w="5571" w:type="dxa"/>
            <w:shd w:val="clear" w:color="auto" w:fill="auto"/>
          </w:tcPr>
          <w:p w14:paraId="22BACB16" w14:textId="77777777" w:rsidR="00964788" w:rsidRPr="00EC1139" w:rsidRDefault="00964788" w:rsidP="00964788">
            <w:pPr>
              <w:suppressLineNumbers/>
              <w:rPr>
                <w:rFonts w:ascii="Arial" w:hAnsi="Arial"/>
                <w:b/>
                <w:bCs/>
                <w:noProof w:val="0"/>
                <w:sz w:val="26"/>
                <w:szCs w:val="26"/>
                <w:rtl/>
              </w:rPr>
            </w:pPr>
          </w:p>
          <w:p w14:paraId="730DC85B" w14:textId="77777777" w:rsidR="00964788" w:rsidRPr="00EC1139" w:rsidRDefault="00964788" w:rsidP="00964788">
            <w:pPr>
              <w:suppressLineNumbers/>
              <w:rPr>
                <w:b/>
                <w:bCs/>
                <w:noProof w:val="0"/>
                <w:sz w:val="26"/>
                <w:szCs w:val="26"/>
                <w:rtl/>
              </w:rPr>
            </w:pPr>
            <w:r w:rsidRPr="00EC1139">
              <w:rPr>
                <w:rFonts w:ascii="Arial" w:hAnsi="Arial"/>
                <w:b/>
                <w:bCs/>
                <w:noProof w:val="0"/>
                <w:sz w:val="26"/>
                <w:szCs w:val="26"/>
                <w:rtl/>
              </w:rPr>
              <w:t>מדינת ישראל –פמ"</w:t>
            </w:r>
            <w:r w:rsidRPr="00EC1139">
              <w:rPr>
                <w:rFonts w:ascii="Arial" w:hAnsi="Arial" w:hint="cs"/>
                <w:b/>
                <w:bCs/>
                <w:noProof w:val="0"/>
                <w:sz w:val="26"/>
                <w:szCs w:val="26"/>
                <w:rtl/>
              </w:rPr>
              <w:t>ד</w:t>
            </w:r>
            <w:r w:rsidRPr="00EC1139">
              <w:rPr>
                <w:rFonts w:ascii="Arial" w:hAnsi="Arial"/>
                <w:b/>
                <w:bCs/>
                <w:noProof w:val="0"/>
                <w:sz w:val="26"/>
                <w:szCs w:val="26"/>
                <w:rtl/>
              </w:rPr>
              <w:br/>
              <w:t>ע"י ב"כ עו"ד</w:t>
            </w:r>
            <w:r w:rsidRPr="00EC1139">
              <w:rPr>
                <w:rFonts w:ascii="Arial" w:hAnsi="Arial" w:hint="cs"/>
                <w:b/>
                <w:bCs/>
                <w:noProof w:val="0"/>
                <w:sz w:val="26"/>
                <w:szCs w:val="26"/>
                <w:rtl/>
              </w:rPr>
              <w:t xml:space="preserve"> ראמי אלמכאוי</w:t>
            </w:r>
            <w:r w:rsidRPr="00EC1139">
              <w:rPr>
                <w:rFonts w:ascii="Arial" w:hAnsi="Arial"/>
                <w:b/>
                <w:bCs/>
                <w:noProof w:val="0"/>
                <w:sz w:val="26"/>
                <w:szCs w:val="26"/>
                <w:rtl/>
              </w:rPr>
              <w:t xml:space="preserve"> </w:t>
            </w:r>
          </w:p>
        </w:tc>
      </w:tr>
      <w:bookmarkEnd w:id="2"/>
      <w:tr w:rsidR="00964788" w:rsidRPr="00EC1139" w14:paraId="301EF40C" w14:textId="77777777" w:rsidTr="00964788">
        <w:trPr>
          <w:jc w:val="center"/>
        </w:trPr>
        <w:tc>
          <w:tcPr>
            <w:tcW w:w="8820" w:type="dxa"/>
            <w:gridSpan w:val="2"/>
            <w:shd w:val="clear" w:color="auto" w:fill="auto"/>
          </w:tcPr>
          <w:p w14:paraId="21144AD0" w14:textId="77777777" w:rsidR="00964788" w:rsidRPr="00EC1139" w:rsidRDefault="00964788" w:rsidP="00964788">
            <w:pPr>
              <w:suppressLineNumbers/>
              <w:rPr>
                <w:rFonts w:ascii="Arial" w:hAnsi="Arial"/>
                <w:b/>
                <w:bCs/>
                <w:noProof w:val="0"/>
                <w:sz w:val="26"/>
                <w:szCs w:val="26"/>
                <w:rtl/>
              </w:rPr>
            </w:pPr>
          </w:p>
          <w:p w14:paraId="2286CE87" w14:textId="77777777" w:rsidR="00964788" w:rsidRPr="00EC1139" w:rsidRDefault="00964788" w:rsidP="00964788">
            <w:pPr>
              <w:suppressLineNumbers/>
              <w:jc w:val="center"/>
              <w:rPr>
                <w:rFonts w:ascii="Arial" w:hAnsi="Arial"/>
                <w:b/>
                <w:bCs/>
                <w:noProof w:val="0"/>
                <w:sz w:val="26"/>
                <w:szCs w:val="26"/>
                <w:rtl/>
              </w:rPr>
            </w:pPr>
            <w:r w:rsidRPr="00EC1139">
              <w:rPr>
                <w:rFonts w:ascii="Arial" w:hAnsi="Arial"/>
                <w:b/>
                <w:bCs/>
                <w:noProof w:val="0"/>
                <w:sz w:val="26"/>
                <w:szCs w:val="26"/>
                <w:rtl/>
              </w:rPr>
              <w:t>נגד</w:t>
            </w:r>
          </w:p>
          <w:p w14:paraId="28ADD707" w14:textId="77777777" w:rsidR="00964788" w:rsidRPr="00EC1139" w:rsidRDefault="00964788" w:rsidP="00964788">
            <w:pPr>
              <w:suppressLineNumbers/>
              <w:rPr>
                <w:rFonts w:ascii="Arial" w:hAnsi="Arial"/>
                <w:b/>
                <w:bCs/>
                <w:noProof w:val="0"/>
                <w:sz w:val="26"/>
                <w:szCs w:val="26"/>
              </w:rPr>
            </w:pPr>
          </w:p>
        </w:tc>
      </w:tr>
      <w:tr w:rsidR="00964788" w:rsidRPr="00EC1139" w14:paraId="2A95AF76" w14:textId="77777777" w:rsidTr="00964788">
        <w:trPr>
          <w:jc w:val="center"/>
        </w:trPr>
        <w:tc>
          <w:tcPr>
            <w:tcW w:w="3249" w:type="dxa"/>
            <w:shd w:val="clear" w:color="auto" w:fill="auto"/>
          </w:tcPr>
          <w:p w14:paraId="2E85354B" w14:textId="77777777" w:rsidR="00964788" w:rsidRPr="00EC1139" w:rsidRDefault="00964788" w:rsidP="00964788">
            <w:pPr>
              <w:suppressLineNumbers/>
              <w:rPr>
                <w:rFonts w:ascii="Arial" w:hAnsi="Arial"/>
                <w:b/>
                <w:bCs/>
                <w:noProof w:val="0"/>
                <w:sz w:val="26"/>
                <w:szCs w:val="26"/>
              </w:rPr>
            </w:pPr>
            <w:r w:rsidRPr="00EC1139">
              <w:rPr>
                <w:rFonts w:ascii="Arial" w:hAnsi="Arial" w:hint="cs"/>
                <w:b/>
                <w:bCs/>
                <w:noProof w:val="0"/>
                <w:sz w:val="26"/>
                <w:szCs w:val="26"/>
                <w:rtl/>
              </w:rPr>
              <w:t>ה</w:t>
            </w:r>
            <w:r w:rsidRPr="00EC1139">
              <w:rPr>
                <w:rFonts w:ascii="Arial" w:hAnsi="Arial"/>
                <w:b/>
                <w:bCs/>
                <w:noProof w:val="0"/>
                <w:sz w:val="26"/>
                <w:szCs w:val="26"/>
                <w:rtl/>
              </w:rPr>
              <w:t>נאשמים</w:t>
            </w:r>
            <w:r w:rsidRPr="00EC1139">
              <w:rPr>
                <w:rFonts w:ascii="Arial" w:hAnsi="Arial" w:hint="cs"/>
                <w:b/>
                <w:bCs/>
                <w:noProof w:val="0"/>
                <w:sz w:val="26"/>
                <w:szCs w:val="26"/>
                <w:rtl/>
              </w:rPr>
              <w:t>:</w:t>
            </w:r>
          </w:p>
        </w:tc>
        <w:tc>
          <w:tcPr>
            <w:tcW w:w="5571" w:type="dxa"/>
            <w:shd w:val="clear" w:color="auto" w:fill="auto"/>
          </w:tcPr>
          <w:p w14:paraId="475A5C48" w14:textId="77777777" w:rsidR="00964788" w:rsidRPr="00EC1139" w:rsidRDefault="00964788" w:rsidP="00964788">
            <w:pPr>
              <w:suppressLineNumbers/>
              <w:rPr>
                <w:b/>
                <w:bCs/>
                <w:noProof w:val="0"/>
                <w:sz w:val="26"/>
                <w:szCs w:val="26"/>
                <w:rtl/>
              </w:rPr>
            </w:pPr>
          </w:p>
          <w:p w14:paraId="70930E6B" w14:textId="77777777" w:rsidR="00964788" w:rsidRPr="00EC1139" w:rsidRDefault="00964788" w:rsidP="00964788">
            <w:pPr>
              <w:suppressLineNumbers/>
              <w:rPr>
                <w:rtl/>
              </w:rPr>
            </w:pPr>
            <w:r w:rsidRPr="00EC1139">
              <w:rPr>
                <w:rFonts w:ascii="Arial" w:hAnsi="Arial" w:hint="cs"/>
                <w:b/>
                <w:bCs/>
                <w:noProof w:val="0"/>
                <w:sz w:val="26"/>
                <w:szCs w:val="26"/>
                <w:rtl/>
              </w:rPr>
              <w:t>1</w:t>
            </w:r>
            <w:r w:rsidRPr="00EC1139">
              <w:rPr>
                <w:rFonts w:ascii="Arial" w:hAnsi="Arial"/>
                <w:b/>
                <w:bCs/>
                <w:noProof w:val="0"/>
                <w:sz w:val="26"/>
                <w:szCs w:val="26"/>
                <w:rtl/>
              </w:rPr>
              <w:t>.</w:t>
            </w:r>
            <w:r w:rsidRPr="00EC1139">
              <w:rPr>
                <w:rFonts w:ascii="Arial" w:hAnsi="Arial" w:hint="cs"/>
                <w:b/>
                <w:bCs/>
                <w:noProof w:val="0"/>
                <w:sz w:val="26"/>
                <w:szCs w:val="26"/>
                <w:rtl/>
              </w:rPr>
              <w:t xml:space="preserve"> </w:t>
            </w:r>
            <w:r w:rsidRPr="00EC1139">
              <w:rPr>
                <w:rFonts w:ascii="Arial" w:hAnsi="Arial"/>
                <w:b/>
                <w:bCs/>
                <w:noProof w:val="0"/>
                <w:sz w:val="26"/>
                <w:szCs w:val="26"/>
                <w:rtl/>
              </w:rPr>
              <w:t>פאדל אלעודאת</w:t>
            </w:r>
            <w:r w:rsidRPr="00EC1139">
              <w:rPr>
                <w:rFonts w:ascii="Arial" w:hAnsi="Arial" w:hint="cs"/>
                <w:b/>
                <w:bCs/>
                <w:noProof w:val="0"/>
                <w:sz w:val="26"/>
                <w:szCs w:val="26"/>
                <w:rtl/>
              </w:rPr>
              <w:t xml:space="preserve"> </w:t>
            </w:r>
            <w:r w:rsidRPr="00EC1139">
              <w:rPr>
                <w:rFonts w:ascii="Arial" w:hAnsi="Arial"/>
                <w:b/>
                <w:bCs/>
                <w:noProof w:val="0"/>
                <w:sz w:val="26"/>
                <w:szCs w:val="26"/>
                <w:rtl/>
              </w:rPr>
              <w:br/>
            </w:r>
            <w:r w:rsidRPr="00EC1139">
              <w:rPr>
                <w:rFonts w:ascii="Arial" w:hAnsi="Arial" w:hint="cs"/>
                <w:b/>
                <w:bCs/>
                <w:noProof w:val="0"/>
                <w:sz w:val="26"/>
                <w:szCs w:val="26"/>
                <w:rtl/>
              </w:rPr>
              <w:t xml:space="preserve">ע"י ב"כ עו"ד אלי אונגר  </w:t>
            </w:r>
            <w:r w:rsidRPr="00EC1139">
              <w:rPr>
                <w:rFonts w:ascii="Arial" w:hAnsi="Arial"/>
                <w:b/>
                <w:bCs/>
                <w:noProof w:val="0"/>
                <w:sz w:val="26"/>
                <w:szCs w:val="26"/>
                <w:rtl/>
              </w:rPr>
              <w:br/>
            </w:r>
          </w:p>
          <w:p w14:paraId="549D1E06" w14:textId="77777777" w:rsidR="00964788" w:rsidRPr="00EC1139" w:rsidRDefault="00964788" w:rsidP="00964788">
            <w:pPr>
              <w:suppressLineNumbers/>
              <w:rPr>
                <w:rtl/>
              </w:rPr>
            </w:pPr>
            <w:r w:rsidRPr="00EC1139">
              <w:rPr>
                <w:rFonts w:ascii="Arial" w:hAnsi="Arial"/>
                <w:b/>
                <w:bCs/>
                <w:noProof w:val="0"/>
                <w:sz w:val="26"/>
                <w:szCs w:val="26"/>
                <w:rtl/>
              </w:rPr>
              <w:t>2.</w:t>
            </w:r>
            <w:r w:rsidRPr="00EC1139">
              <w:rPr>
                <w:rFonts w:ascii="Arial" w:hAnsi="Arial" w:hint="cs"/>
                <w:b/>
                <w:bCs/>
                <w:noProof w:val="0"/>
                <w:sz w:val="26"/>
                <w:szCs w:val="26"/>
                <w:rtl/>
              </w:rPr>
              <w:t xml:space="preserve"> </w:t>
            </w:r>
            <w:r w:rsidRPr="00EC1139">
              <w:rPr>
                <w:rFonts w:ascii="Arial" w:hAnsi="Arial"/>
                <w:b/>
                <w:bCs/>
                <w:noProof w:val="0"/>
                <w:sz w:val="26"/>
                <w:szCs w:val="26"/>
                <w:rtl/>
              </w:rPr>
              <w:t>אחמד אבו קטיפאן</w:t>
            </w:r>
            <w:r w:rsidRPr="00EC1139">
              <w:rPr>
                <w:rFonts w:ascii="Arial" w:hAnsi="Arial" w:hint="cs"/>
                <w:b/>
                <w:bCs/>
                <w:noProof w:val="0"/>
                <w:sz w:val="26"/>
                <w:szCs w:val="26"/>
                <w:rtl/>
              </w:rPr>
              <w:t xml:space="preserve"> - נדון</w:t>
            </w:r>
          </w:p>
        </w:tc>
      </w:tr>
    </w:tbl>
    <w:p w14:paraId="4B790F31" w14:textId="77777777" w:rsidR="00DE2487" w:rsidRDefault="00DE2487" w:rsidP="00EC1139">
      <w:pPr>
        <w:spacing w:line="360" w:lineRule="auto"/>
        <w:jc w:val="center"/>
        <w:rPr>
          <w:rFonts w:ascii="Arial" w:hAnsi="Arial"/>
          <w:noProof w:val="0"/>
          <w:sz w:val="32"/>
          <w:szCs w:val="32"/>
          <w:rtl/>
        </w:rPr>
      </w:pPr>
    </w:p>
    <w:p w14:paraId="7E48B605" w14:textId="77777777" w:rsidR="00DE2487" w:rsidRPr="00DE2487" w:rsidRDefault="00DE2487" w:rsidP="00DE2487">
      <w:pPr>
        <w:spacing w:after="120" w:line="240" w:lineRule="exact"/>
        <w:ind w:left="283" w:hanging="283"/>
        <w:jc w:val="both"/>
        <w:rPr>
          <w:rFonts w:ascii="FrankRuehl" w:hAnsi="FrankRuehl" w:cs="FrankRuehl"/>
          <w:noProof w:val="0"/>
          <w:rtl/>
        </w:rPr>
      </w:pPr>
    </w:p>
    <w:p w14:paraId="467BDB3F" w14:textId="77777777" w:rsidR="00E11927" w:rsidRDefault="00E11927" w:rsidP="00E11927">
      <w:pPr>
        <w:spacing w:line="360" w:lineRule="auto"/>
        <w:jc w:val="center"/>
        <w:rPr>
          <w:rFonts w:ascii="Arial" w:hAnsi="Arial"/>
          <w:noProof w:val="0"/>
          <w:sz w:val="32"/>
          <w:szCs w:val="32"/>
          <w:rtl/>
        </w:rPr>
      </w:pPr>
      <w:bookmarkStart w:id="3" w:name="LawTable"/>
      <w:bookmarkEnd w:id="3"/>
    </w:p>
    <w:p w14:paraId="1896DC6D" w14:textId="77777777" w:rsidR="00E11927" w:rsidRPr="00E11927" w:rsidRDefault="00E11927" w:rsidP="00E11927">
      <w:pPr>
        <w:spacing w:before="120" w:after="120" w:line="240" w:lineRule="exact"/>
        <w:ind w:left="283" w:hanging="283"/>
        <w:jc w:val="both"/>
        <w:rPr>
          <w:rFonts w:ascii="FrankRuehl" w:hAnsi="FrankRuehl" w:cs="FrankRuehl"/>
          <w:noProof w:val="0"/>
          <w:rtl/>
        </w:rPr>
      </w:pPr>
    </w:p>
    <w:p w14:paraId="6E930195" w14:textId="77777777" w:rsidR="00E11927" w:rsidRPr="00E11927" w:rsidRDefault="00E11927" w:rsidP="00E11927">
      <w:pPr>
        <w:spacing w:before="120" w:after="120" w:line="240" w:lineRule="exact"/>
        <w:ind w:left="283" w:hanging="283"/>
        <w:jc w:val="both"/>
        <w:rPr>
          <w:rFonts w:ascii="FrankRuehl" w:hAnsi="FrankRuehl" w:cs="FrankRuehl"/>
          <w:noProof w:val="0"/>
          <w:rtl/>
        </w:rPr>
      </w:pPr>
    </w:p>
    <w:p w14:paraId="18B0B5FB" w14:textId="77777777" w:rsidR="00E11927" w:rsidRPr="00E11927" w:rsidRDefault="00E11927" w:rsidP="00E11927">
      <w:pPr>
        <w:spacing w:before="120" w:after="120" w:line="240" w:lineRule="exact"/>
        <w:ind w:left="283" w:hanging="283"/>
        <w:jc w:val="both"/>
        <w:rPr>
          <w:rFonts w:ascii="FrankRuehl" w:hAnsi="FrankRuehl" w:cs="FrankRuehl"/>
          <w:noProof w:val="0"/>
          <w:rtl/>
        </w:rPr>
      </w:pPr>
      <w:r w:rsidRPr="00E11927">
        <w:rPr>
          <w:rFonts w:ascii="FrankRuehl" w:hAnsi="FrankRuehl" w:cs="FrankRuehl"/>
          <w:noProof w:val="0"/>
          <w:rtl/>
        </w:rPr>
        <w:t xml:space="preserve">חקיקה שאוזכרה: </w:t>
      </w:r>
    </w:p>
    <w:p w14:paraId="4E42139B" w14:textId="77777777" w:rsidR="00E11927" w:rsidRPr="00E11927" w:rsidRDefault="00E11927" w:rsidP="00E11927">
      <w:pPr>
        <w:spacing w:before="120" w:after="120" w:line="240" w:lineRule="exact"/>
        <w:ind w:left="283" w:hanging="283"/>
        <w:jc w:val="both"/>
        <w:rPr>
          <w:rFonts w:ascii="FrankRuehl" w:hAnsi="FrankRuehl" w:cs="FrankRuehl"/>
          <w:noProof w:val="0"/>
          <w:rtl/>
        </w:rPr>
      </w:pPr>
      <w:hyperlink r:id="rId7" w:history="1">
        <w:r w:rsidRPr="00E11927">
          <w:rPr>
            <w:rFonts w:ascii="FrankRuehl" w:hAnsi="FrankRuehl" w:cs="FrankRuehl"/>
            <w:noProof w:val="0"/>
            <w:color w:val="0000FF"/>
            <w:rtl/>
          </w:rPr>
          <w:t>חוק העונשין, תשל"ז-1977</w:t>
        </w:r>
      </w:hyperlink>
      <w:r w:rsidRPr="00E11927">
        <w:rPr>
          <w:rFonts w:ascii="FrankRuehl" w:hAnsi="FrankRuehl" w:cs="FrankRuehl"/>
          <w:noProof w:val="0"/>
          <w:rtl/>
        </w:rPr>
        <w:t xml:space="preserve">: סע'  </w:t>
      </w:r>
      <w:hyperlink r:id="rId8" w:history="1">
        <w:r w:rsidRPr="00E11927">
          <w:rPr>
            <w:rFonts w:ascii="FrankRuehl" w:hAnsi="FrankRuehl" w:cs="FrankRuehl"/>
            <w:noProof w:val="0"/>
            <w:color w:val="0000FF"/>
            <w:rtl/>
          </w:rPr>
          <w:t>144</w:t>
        </w:r>
      </w:hyperlink>
      <w:r w:rsidRPr="00E11927">
        <w:rPr>
          <w:rFonts w:ascii="FrankRuehl" w:hAnsi="FrankRuehl" w:cs="FrankRuehl"/>
          <w:noProof w:val="0"/>
          <w:rtl/>
        </w:rPr>
        <w:t xml:space="preserve">, </w:t>
      </w:r>
      <w:hyperlink r:id="rId9" w:history="1">
        <w:r w:rsidRPr="00E11927">
          <w:rPr>
            <w:rFonts w:ascii="FrankRuehl" w:hAnsi="FrankRuehl" w:cs="FrankRuehl"/>
            <w:noProof w:val="0"/>
            <w:color w:val="0000FF"/>
            <w:rtl/>
          </w:rPr>
          <w:t>144(ב)</w:t>
        </w:r>
      </w:hyperlink>
      <w:r w:rsidRPr="00E11927">
        <w:rPr>
          <w:rFonts w:ascii="FrankRuehl" w:hAnsi="FrankRuehl" w:cs="FrankRuehl"/>
          <w:noProof w:val="0"/>
          <w:rtl/>
        </w:rPr>
        <w:t xml:space="preserve">, </w:t>
      </w:r>
      <w:hyperlink r:id="rId10" w:history="1">
        <w:r w:rsidRPr="00E11927">
          <w:rPr>
            <w:rFonts w:ascii="FrankRuehl" w:hAnsi="FrankRuehl" w:cs="FrankRuehl"/>
            <w:noProof w:val="0"/>
            <w:color w:val="0000FF"/>
            <w:rtl/>
          </w:rPr>
          <w:t>275</w:t>
        </w:r>
      </w:hyperlink>
    </w:p>
    <w:p w14:paraId="57F70EB4" w14:textId="77777777" w:rsidR="00E11927" w:rsidRPr="00E11927" w:rsidRDefault="00E11927" w:rsidP="00E11927">
      <w:pPr>
        <w:spacing w:line="360" w:lineRule="auto"/>
        <w:jc w:val="center"/>
        <w:rPr>
          <w:rFonts w:ascii="Arial" w:hAnsi="Arial"/>
          <w:noProof w:val="0"/>
          <w:sz w:val="32"/>
          <w:szCs w:val="32"/>
          <w:rtl/>
        </w:rPr>
      </w:pPr>
      <w:bookmarkStart w:id="4" w:name="LawTable_End"/>
      <w:bookmarkEnd w:id="4"/>
    </w:p>
    <w:p w14:paraId="3BFBF0B9" w14:textId="77777777" w:rsidR="00EC1139" w:rsidRPr="00EC1139" w:rsidRDefault="00EC1139" w:rsidP="00964788">
      <w:pPr>
        <w:spacing w:line="360" w:lineRule="auto"/>
        <w:jc w:val="center"/>
        <w:rPr>
          <w:rFonts w:ascii="Arial" w:hAnsi="Arial"/>
          <w:b/>
          <w:bCs/>
          <w:noProof w:val="0"/>
          <w:sz w:val="32"/>
          <w:szCs w:val="32"/>
          <w:rtl/>
        </w:rPr>
      </w:pPr>
    </w:p>
    <w:p w14:paraId="4B4EC12C" w14:textId="77777777" w:rsidR="00EC1139" w:rsidRPr="00EC1139" w:rsidRDefault="00EC1139" w:rsidP="00DE2487">
      <w:pPr>
        <w:spacing w:line="360" w:lineRule="auto"/>
        <w:contextualSpacing/>
        <w:jc w:val="center"/>
        <w:rPr>
          <w:rFonts w:ascii="Arial" w:hAnsi="Arial"/>
          <w:b/>
          <w:bCs/>
          <w:noProof w:val="0"/>
          <w:sz w:val="32"/>
          <w:szCs w:val="32"/>
          <w:u w:val="single"/>
          <w:rtl/>
        </w:rPr>
      </w:pPr>
      <w:bookmarkStart w:id="5" w:name="PsakDin"/>
      <w:bookmarkEnd w:id="0"/>
      <w:bookmarkEnd w:id="1"/>
      <w:r w:rsidRPr="00EC1139">
        <w:rPr>
          <w:rFonts w:ascii="Arial" w:hAnsi="Arial"/>
          <w:b/>
          <w:bCs/>
          <w:noProof w:val="0"/>
          <w:sz w:val="32"/>
          <w:szCs w:val="32"/>
          <w:u w:val="single"/>
          <w:rtl/>
        </w:rPr>
        <w:t>גזר דין לנאשם 1</w:t>
      </w:r>
    </w:p>
    <w:p w14:paraId="27559844" w14:textId="77777777" w:rsidR="00964788" w:rsidRPr="002108E5" w:rsidRDefault="00964788" w:rsidP="00964788">
      <w:pPr>
        <w:numPr>
          <w:ilvl w:val="0"/>
          <w:numId w:val="1"/>
        </w:numPr>
        <w:spacing w:line="360" w:lineRule="auto"/>
        <w:ind w:left="651" w:hanging="709"/>
        <w:contextualSpacing/>
        <w:jc w:val="both"/>
        <w:rPr>
          <w:rFonts w:ascii="Arial" w:hAnsi="Arial"/>
          <w:noProof w:val="0"/>
        </w:rPr>
      </w:pPr>
      <w:bookmarkStart w:id="6" w:name="ABSTRACT_START"/>
      <w:bookmarkEnd w:id="5"/>
      <w:bookmarkEnd w:id="6"/>
      <w:r w:rsidRPr="002108E5">
        <w:rPr>
          <w:rFonts w:ascii="Arial" w:hAnsi="Arial"/>
          <w:noProof w:val="0"/>
          <w:rtl/>
        </w:rPr>
        <w:t xml:space="preserve">הנאשם 1 (להלן: "הנאשם") הורשע על פי הודאתו במסגרת הסדר טיעון בכתב אישום מתוקן בשנית בשלוש עבירות של הובלה ונשיאת נשק ובעבירה של הפרעה לשוטר, עבירות לפי </w:t>
      </w:r>
      <w:hyperlink r:id="rId11" w:history="1">
        <w:r w:rsidR="00DE2487" w:rsidRPr="00DE2487">
          <w:rPr>
            <w:rStyle w:val="Hyperlink"/>
            <w:rFonts w:ascii="Arial" w:hAnsi="Arial"/>
            <w:noProof w:val="0"/>
            <w:rtl/>
          </w:rPr>
          <w:t>סעיפים 144(ב)</w:t>
        </w:r>
      </w:hyperlink>
      <w:r w:rsidRPr="002108E5">
        <w:rPr>
          <w:rFonts w:ascii="Arial" w:hAnsi="Arial"/>
          <w:noProof w:val="0"/>
          <w:rtl/>
        </w:rPr>
        <w:t xml:space="preserve"> רישא ו-</w:t>
      </w:r>
      <w:hyperlink r:id="rId12" w:history="1">
        <w:r w:rsidR="00DE2487" w:rsidRPr="00DE2487">
          <w:rPr>
            <w:rStyle w:val="Hyperlink"/>
            <w:rFonts w:ascii="Arial" w:hAnsi="Arial"/>
            <w:noProof w:val="0"/>
            <w:rtl/>
          </w:rPr>
          <w:t>275</w:t>
        </w:r>
      </w:hyperlink>
      <w:r w:rsidRPr="002108E5">
        <w:rPr>
          <w:rFonts w:ascii="Arial" w:hAnsi="Arial"/>
          <w:noProof w:val="0"/>
          <w:rtl/>
        </w:rPr>
        <w:t xml:space="preserve"> ל</w:t>
      </w:r>
      <w:hyperlink r:id="rId13" w:history="1">
        <w:r w:rsidR="00EC1139" w:rsidRPr="00EC1139">
          <w:rPr>
            <w:rFonts w:ascii="Arial" w:hAnsi="Arial"/>
            <w:noProof w:val="0"/>
            <w:color w:val="0000FF"/>
            <w:u w:val="single"/>
            <w:rtl/>
          </w:rPr>
          <w:t>חוק העונשין</w:t>
        </w:r>
      </w:hyperlink>
      <w:r w:rsidRPr="002108E5">
        <w:rPr>
          <w:rFonts w:ascii="Arial" w:hAnsi="Arial"/>
          <w:noProof w:val="0"/>
          <w:rtl/>
        </w:rPr>
        <w:t xml:space="preserve"> התשל"ז-1977 (להלן: "חוק העונשין").</w:t>
      </w:r>
    </w:p>
    <w:p w14:paraId="19BF3608" w14:textId="77777777" w:rsidR="00964788" w:rsidRPr="002108E5" w:rsidRDefault="00964788" w:rsidP="00964788">
      <w:pPr>
        <w:spacing w:line="360" w:lineRule="auto"/>
        <w:ind w:left="302"/>
        <w:contextualSpacing/>
        <w:jc w:val="both"/>
        <w:rPr>
          <w:rFonts w:ascii="Arial" w:hAnsi="Arial"/>
          <w:noProof w:val="0"/>
        </w:rPr>
      </w:pPr>
      <w:bookmarkStart w:id="7" w:name="ABSTRACT_END"/>
      <w:bookmarkEnd w:id="7"/>
    </w:p>
    <w:p w14:paraId="578895C4" w14:textId="77777777" w:rsidR="00964788" w:rsidRPr="002108E5" w:rsidRDefault="00964788" w:rsidP="00964788">
      <w:pPr>
        <w:spacing w:line="360" w:lineRule="auto"/>
        <w:ind w:left="651" w:hanging="709"/>
        <w:contextualSpacing/>
        <w:jc w:val="both"/>
        <w:rPr>
          <w:rFonts w:ascii="Arial" w:hAnsi="Arial"/>
          <w:b/>
          <w:bCs/>
          <w:noProof w:val="0"/>
          <w:u w:val="single"/>
        </w:rPr>
      </w:pPr>
      <w:r w:rsidRPr="002108E5">
        <w:rPr>
          <w:rFonts w:ascii="Arial" w:hAnsi="Arial"/>
          <w:noProof w:val="0"/>
          <w:rtl/>
        </w:rPr>
        <w:tab/>
      </w:r>
      <w:r w:rsidRPr="002108E5">
        <w:rPr>
          <w:rFonts w:ascii="Arial" w:hAnsi="Arial"/>
          <w:b/>
          <w:bCs/>
          <w:noProof w:val="0"/>
          <w:u w:val="single"/>
          <w:rtl/>
        </w:rPr>
        <w:t>כתב האישום והשתלשלות העניינים בתיק</w:t>
      </w:r>
    </w:p>
    <w:p w14:paraId="2DE65745" w14:textId="77777777" w:rsidR="00964788" w:rsidRPr="002108E5" w:rsidRDefault="00964788" w:rsidP="00964788">
      <w:pPr>
        <w:numPr>
          <w:ilvl w:val="0"/>
          <w:numId w:val="1"/>
        </w:numPr>
        <w:spacing w:line="360" w:lineRule="auto"/>
        <w:ind w:left="651" w:hanging="709"/>
        <w:contextualSpacing/>
        <w:jc w:val="both"/>
        <w:rPr>
          <w:rFonts w:ascii="Arial" w:hAnsi="Arial"/>
          <w:noProof w:val="0"/>
        </w:rPr>
      </w:pPr>
      <w:r w:rsidRPr="002108E5">
        <w:rPr>
          <w:rFonts w:ascii="Arial" w:hAnsi="Arial"/>
          <w:noProof w:val="0"/>
          <w:rtl/>
        </w:rPr>
        <w:t xml:space="preserve">מעובדות כתב האישום המתוקן בשנית עולה כי ביום 4.2.2020 בסמוך לשעה 19:00 נסעו הנאשמים 1 ו-2 (להלן: "הנאשמים") יחד עם אחר שזהותו אינה ידועה למאשימה ברכב מסוג שברולט שבבעלותו של הנאשם (להלן: "הרכב"). השלושה נסעו ברכב כאשר הנאשם נהג ברכב, הנאשם 2 ישב במושב הקדמי לצדו והאחר ישב מאחור, מכביש 80 אל הכניסה ליישוב ערוער דרך כביש הגישה לבית העלמין. במועד הנ"ל הנאשם הוביל ונשא רובה סער מסוג </w:t>
      </w:r>
      <w:r w:rsidRPr="002108E5">
        <w:rPr>
          <w:rFonts w:ascii="Arial" w:hAnsi="Arial"/>
          <w:noProof w:val="0"/>
        </w:rPr>
        <w:t>M16</w:t>
      </w:r>
      <w:r w:rsidRPr="002108E5">
        <w:rPr>
          <w:rFonts w:ascii="Arial" w:hAnsi="Arial"/>
          <w:noProof w:val="0"/>
          <w:rtl/>
        </w:rPr>
        <w:t xml:space="preserve"> שהיה מונח על כסאו בנוסף לשני אקדחים חצי אוטומטיים מסוג "</w:t>
      </w:r>
      <w:r w:rsidRPr="002108E5">
        <w:rPr>
          <w:rFonts w:ascii="Arial" w:hAnsi="Arial"/>
          <w:noProof w:val="0"/>
        </w:rPr>
        <w:t>STAR</w:t>
      </w:r>
      <w:r w:rsidRPr="002108E5">
        <w:rPr>
          <w:rFonts w:ascii="Arial" w:hAnsi="Arial"/>
          <w:noProof w:val="0"/>
          <w:rtl/>
        </w:rPr>
        <w:t xml:space="preserve">". במסגרת פעילות משטרתית במקום פרסה המשטרה דוקרנים על הכביש במטרה לעצור </w:t>
      </w:r>
      <w:r w:rsidRPr="002108E5">
        <w:rPr>
          <w:rFonts w:ascii="Arial" w:hAnsi="Arial"/>
          <w:noProof w:val="0"/>
          <w:rtl/>
        </w:rPr>
        <w:lastRenderedPageBreak/>
        <w:t xml:space="preserve">את הרכב. בהגיע הנאשמים למקום החסימה הם סטו שמאלה, עלו עם הגלגל הימני של הרכב על הדוקרנים והמשיכו בנסיעה לכוון ערוער במטרה להימלט מהשוטרים. שוטרים שהיו במקום רדפו אחר רכב הנאשמים כאשר בשלב מסוים עצרו הנאשמים את הרכב והחלו לברוח רגלית אל השטח הפתוח. השוטרים החלו במרדף רגלי אחר הנאשמים והאחר. אחד השוטרים קפץ על הנאשם, חיבק אותו והפילו לקרקע. בשלב זה שני האקדחים נפלו מגופו של הנאשם. במקביל שוטר אחר רדף אחר הנאשם 2 כשהוא צועק לעברו עצור משטרה עד שהנאשם 2 הגיע אל סוללת עפר ושם נעצר. האחר הצליח לברוח מהמקום. </w:t>
      </w:r>
    </w:p>
    <w:p w14:paraId="78AECE73" w14:textId="77777777" w:rsidR="00964788" w:rsidRPr="002108E5" w:rsidRDefault="00964788" w:rsidP="00964788">
      <w:pPr>
        <w:spacing w:line="360" w:lineRule="auto"/>
        <w:ind w:left="651"/>
        <w:contextualSpacing/>
        <w:jc w:val="both"/>
        <w:rPr>
          <w:rFonts w:ascii="Arial" w:hAnsi="Arial"/>
          <w:noProof w:val="0"/>
        </w:rPr>
      </w:pPr>
    </w:p>
    <w:p w14:paraId="6533108E" w14:textId="77777777" w:rsidR="00964788" w:rsidRPr="002108E5" w:rsidRDefault="00964788" w:rsidP="00964788">
      <w:pPr>
        <w:numPr>
          <w:ilvl w:val="0"/>
          <w:numId w:val="1"/>
        </w:numPr>
        <w:spacing w:line="360" w:lineRule="auto"/>
        <w:ind w:left="651" w:hanging="709"/>
        <w:contextualSpacing/>
        <w:jc w:val="both"/>
        <w:rPr>
          <w:rFonts w:ascii="Arial" w:hAnsi="Arial"/>
          <w:noProof w:val="0"/>
        </w:rPr>
      </w:pPr>
      <w:r w:rsidRPr="002108E5">
        <w:rPr>
          <w:rFonts w:ascii="Arial" w:hAnsi="Arial"/>
          <w:noProof w:val="0"/>
          <w:rtl/>
        </w:rPr>
        <w:t xml:space="preserve">הצדדים הגיעו להסדר חלקי לעניין העונש, ולפי המאשימה הגבילה עצמה בטיעוניה לעונש של 45 חודשי מאסר, מאסר על תנאי לשיקול בית המשפט וקנס בעוד שההגנה טענה באופן חופשי לעניין העונש. </w:t>
      </w:r>
    </w:p>
    <w:p w14:paraId="730EFE4F" w14:textId="77777777" w:rsidR="00964788" w:rsidRPr="002108E5" w:rsidRDefault="00964788" w:rsidP="00964788">
      <w:pPr>
        <w:spacing w:after="160" w:line="259" w:lineRule="auto"/>
        <w:ind w:left="720"/>
        <w:contextualSpacing/>
        <w:rPr>
          <w:rFonts w:ascii="Arial" w:hAnsi="Arial"/>
          <w:noProof w:val="0"/>
          <w:rtl/>
        </w:rPr>
      </w:pPr>
    </w:p>
    <w:p w14:paraId="213F1E07" w14:textId="77777777" w:rsidR="00964788" w:rsidRPr="002108E5" w:rsidRDefault="00964788" w:rsidP="00964788">
      <w:pPr>
        <w:numPr>
          <w:ilvl w:val="0"/>
          <w:numId w:val="1"/>
        </w:numPr>
        <w:spacing w:line="360" w:lineRule="auto"/>
        <w:ind w:left="651" w:hanging="709"/>
        <w:contextualSpacing/>
        <w:jc w:val="both"/>
        <w:rPr>
          <w:rFonts w:ascii="Arial" w:hAnsi="Arial"/>
          <w:noProof w:val="0"/>
          <w:rtl/>
        </w:rPr>
      </w:pPr>
      <w:r>
        <w:rPr>
          <w:rFonts w:ascii="Arial" w:hAnsi="Arial" w:hint="cs"/>
          <w:noProof w:val="0"/>
          <w:rtl/>
        </w:rPr>
        <w:t xml:space="preserve">כאן המקום לציין, כי </w:t>
      </w:r>
      <w:r w:rsidRPr="002108E5">
        <w:rPr>
          <w:rFonts w:ascii="Arial" w:hAnsi="Arial"/>
          <w:noProof w:val="0"/>
          <w:rtl/>
        </w:rPr>
        <w:t xml:space="preserve">ביום 10.8.2020 הודו הנאשמים במסגרת הסדר טיעון בעבירות שיוחסו להם בכתב האישום המתוקן וניתנה הכרעת דין בעניינם והנאשם נשלח לקבלת תסקיר של שירות המבחן. בהמשך, לאחר קבלת התסקיר, הגיש הנאשם בקשה לחזרה מהודאה ולהחלפת ייצוג. </w:t>
      </w:r>
    </w:p>
    <w:p w14:paraId="0D6FB9CE" w14:textId="77777777" w:rsidR="00964788" w:rsidRPr="002108E5" w:rsidRDefault="00964788" w:rsidP="00964788">
      <w:pPr>
        <w:spacing w:line="360" w:lineRule="auto"/>
        <w:ind w:left="651"/>
        <w:contextualSpacing/>
        <w:jc w:val="both"/>
        <w:rPr>
          <w:rFonts w:ascii="Arial" w:hAnsi="Arial"/>
          <w:noProof w:val="0"/>
          <w:rtl/>
        </w:rPr>
      </w:pPr>
      <w:r w:rsidRPr="002108E5">
        <w:rPr>
          <w:rFonts w:ascii="Arial" w:hAnsi="Arial"/>
          <w:noProof w:val="0"/>
          <w:rtl/>
        </w:rPr>
        <w:t xml:space="preserve">בשים לב לעובדה שהנאשם לא לקח </w:t>
      </w:r>
      <w:r>
        <w:rPr>
          <w:rFonts w:ascii="Arial" w:hAnsi="Arial" w:hint="cs"/>
          <w:noProof w:val="0"/>
          <w:rtl/>
        </w:rPr>
        <w:t xml:space="preserve">תחילה </w:t>
      </w:r>
      <w:r w:rsidRPr="002108E5">
        <w:rPr>
          <w:rFonts w:ascii="Arial" w:hAnsi="Arial"/>
          <w:noProof w:val="0"/>
          <w:rtl/>
        </w:rPr>
        <w:t xml:space="preserve">אחריות על מעשיו גם בפני שירות המבחן ונוכח עמדת המאשימה, התרתי ביום 19.11.2020 לנאשם לחזור בו מהודאתו כשבמקביל אפשרתי את חילופי הייצוג וקבעתי את התיק לשמיעת הוכחות בעניינו של הנאשם. </w:t>
      </w:r>
    </w:p>
    <w:p w14:paraId="1237BD59" w14:textId="77777777" w:rsidR="00964788" w:rsidRPr="002108E5" w:rsidRDefault="00964788" w:rsidP="00964788">
      <w:pPr>
        <w:spacing w:line="360" w:lineRule="auto"/>
        <w:ind w:left="651"/>
        <w:contextualSpacing/>
        <w:jc w:val="both"/>
        <w:rPr>
          <w:rFonts w:ascii="Arial" w:hAnsi="Arial"/>
          <w:noProof w:val="0"/>
          <w:rtl/>
        </w:rPr>
      </w:pPr>
      <w:r w:rsidRPr="002108E5">
        <w:rPr>
          <w:rFonts w:ascii="Arial" w:hAnsi="Arial"/>
          <w:noProof w:val="0"/>
          <w:rtl/>
        </w:rPr>
        <w:t xml:space="preserve">ביום 14.12.2020 הודיעו הצדדים (הנאשם ובא כוחו החדש עם המאשימה) כי הגיעו להסדר טיעון, הסדר דומה לזה שהוצג בעבר בעניינו של הנאשם, </w:t>
      </w:r>
      <w:r>
        <w:rPr>
          <w:rFonts w:ascii="Arial" w:hAnsi="Arial" w:hint="cs"/>
          <w:noProof w:val="0"/>
          <w:rtl/>
        </w:rPr>
        <w:t>הוא ההסדר שהוצג</w:t>
      </w:r>
      <w:r w:rsidRPr="002108E5">
        <w:rPr>
          <w:rFonts w:ascii="Arial" w:hAnsi="Arial"/>
          <w:noProof w:val="0"/>
          <w:rtl/>
        </w:rPr>
        <w:t xml:space="preserve"> לעיל. </w:t>
      </w:r>
    </w:p>
    <w:p w14:paraId="7F67CAEE" w14:textId="77777777" w:rsidR="00964788" w:rsidRPr="002108E5" w:rsidRDefault="00964788" w:rsidP="00964788">
      <w:pPr>
        <w:spacing w:line="360" w:lineRule="auto"/>
        <w:ind w:left="651"/>
        <w:contextualSpacing/>
        <w:jc w:val="both"/>
        <w:rPr>
          <w:rFonts w:ascii="Arial" w:hAnsi="Arial"/>
          <w:noProof w:val="0"/>
        </w:rPr>
      </w:pPr>
      <w:r w:rsidRPr="002108E5">
        <w:rPr>
          <w:rFonts w:ascii="Arial" w:hAnsi="Arial"/>
          <w:noProof w:val="0"/>
          <w:rtl/>
        </w:rPr>
        <w:t xml:space="preserve">בהתאם לבקשת ב"כ הנאשם, הנאשם נשלח בשנית לשירות המבחן על מנת שזה ימציא תסקיר לעניין העונש בעניינו. </w:t>
      </w:r>
    </w:p>
    <w:p w14:paraId="4BE1173A" w14:textId="77777777" w:rsidR="00964788" w:rsidRPr="002108E5" w:rsidRDefault="00964788" w:rsidP="00964788">
      <w:pPr>
        <w:spacing w:after="160" w:line="259" w:lineRule="auto"/>
        <w:ind w:left="720"/>
        <w:contextualSpacing/>
        <w:rPr>
          <w:rFonts w:ascii="Arial" w:hAnsi="Arial"/>
          <w:noProof w:val="0"/>
          <w:rtl/>
        </w:rPr>
      </w:pPr>
    </w:p>
    <w:p w14:paraId="1544F533" w14:textId="77777777" w:rsidR="00964788" w:rsidRPr="002108E5" w:rsidRDefault="00964788" w:rsidP="00964788">
      <w:pPr>
        <w:numPr>
          <w:ilvl w:val="0"/>
          <w:numId w:val="1"/>
        </w:numPr>
        <w:spacing w:line="360" w:lineRule="auto"/>
        <w:ind w:left="651" w:hanging="709"/>
        <w:contextualSpacing/>
        <w:jc w:val="both"/>
        <w:rPr>
          <w:rFonts w:ascii="Arial" w:hAnsi="Arial"/>
          <w:noProof w:val="0"/>
        </w:rPr>
      </w:pPr>
      <w:r w:rsidRPr="002108E5">
        <w:rPr>
          <w:rFonts w:ascii="Arial" w:hAnsi="Arial"/>
          <w:noProof w:val="0"/>
          <w:rtl/>
        </w:rPr>
        <w:t xml:space="preserve">יש לציין כי בהתאם להסדר הטיעון המקורי הנאשם 2 הורשע על פי הודאתו בעבירות של סיוע להובלת נשק והפרעה לשוטר ונדון במסגרת טיעון "סגור" לעונש ל-12 חודשי מאסר, מאסר על תנאי וקנס בן 8,000 ₪. </w:t>
      </w:r>
    </w:p>
    <w:p w14:paraId="117F52F0" w14:textId="77777777" w:rsidR="00964788" w:rsidRPr="002108E5" w:rsidRDefault="00964788" w:rsidP="00964788">
      <w:pPr>
        <w:spacing w:line="360" w:lineRule="auto"/>
        <w:ind w:left="302"/>
        <w:contextualSpacing/>
        <w:jc w:val="both"/>
        <w:rPr>
          <w:rFonts w:ascii="Arial" w:hAnsi="Arial"/>
          <w:noProof w:val="0"/>
          <w:rtl/>
        </w:rPr>
      </w:pPr>
    </w:p>
    <w:p w14:paraId="5C9D7782" w14:textId="77777777" w:rsidR="00964788" w:rsidRPr="002108E5" w:rsidRDefault="00964788" w:rsidP="00964788">
      <w:pPr>
        <w:spacing w:line="360" w:lineRule="auto"/>
        <w:ind w:left="651" w:hanging="709"/>
        <w:contextualSpacing/>
        <w:jc w:val="both"/>
        <w:rPr>
          <w:rFonts w:ascii="Arial" w:hAnsi="Arial"/>
          <w:b/>
          <w:bCs/>
          <w:noProof w:val="0"/>
          <w:u w:val="single"/>
          <w:rtl/>
        </w:rPr>
      </w:pPr>
      <w:r w:rsidRPr="002108E5">
        <w:rPr>
          <w:rFonts w:ascii="Arial" w:hAnsi="Arial"/>
          <w:noProof w:val="0"/>
          <w:rtl/>
        </w:rPr>
        <w:tab/>
      </w:r>
      <w:r w:rsidRPr="002108E5">
        <w:rPr>
          <w:rFonts w:ascii="Arial" w:hAnsi="Arial"/>
          <w:b/>
          <w:bCs/>
          <w:noProof w:val="0"/>
          <w:u w:val="single"/>
          <w:rtl/>
        </w:rPr>
        <w:t>תסקירים</w:t>
      </w:r>
    </w:p>
    <w:p w14:paraId="1FFEAA84" w14:textId="77777777" w:rsidR="00964788" w:rsidRPr="002108E5" w:rsidRDefault="00964788" w:rsidP="00964788">
      <w:pPr>
        <w:numPr>
          <w:ilvl w:val="0"/>
          <w:numId w:val="1"/>
        </w:numPr>
        <w:spacing w:line="360" w:lineRule="auto"/>
        <w:ind w:left="651" w:hanging="709"/>
        <w:contextualSpacing/>
        <w:jc w:val="both"/>
        <w:rPr>
          <w:rFonts w:ascii="Arial" w:hAnsi="Arial"/>
          <w:noProof w:val="0"/>
        </w:rPr>
      </w:pPr>
      <w:r w:rsidRPr="002108E5">
        <w:rPr>
          <w:rFonts w:ascii="Arial" w:hAnsi="Arial"/>
          <w:noProof w:val="0"/>
          <w:rtl/>
        </w:rPr>
        <w:t xml:space="preserve">בעניינו של הנאשם התקבלו כאמור שני תסקירים של שירות המבחן. </w:t>
      </w:r>
    </w:p>
    <w:p w14:paraId="07E06033" w14:textId="77777777" w:rsidR="00964788" w:rsidRPr="002108E5" w:rsidRDefault="00964788" w:rsidP="00964788">
      <w:pPr>
        <w:spacing w:line="360" w:lineRule="auto"/>
        <w:ind w:left="651"/>
        <w:contextualSpacing/>
        <w:jc w:val="both"/>
        <w:rPr>
          <w:rFonts w:ascii="Arial" w:hAnsi="Arial"/>
          <w:noProof w:val="0"/>
        </w:rPr>
      </w:pPr>
      <w:r w:rsidRPr="002108E5">
        <w:rPr>
          <w:rFonts w:ascii="Arial" w:hAnsi="Arial"/>
          <w:noProof w:val="0"/>
          <w:rtl/>
        </w:rPr>
        <w:t xml:space="preserve">התסקיר הראשון </w:t>
      </w:r>
      <w:r>
        <w:rPr>
          <w:rFonts w:ascii="Arial" w:hAnsi="Arial" w:hint="cs"/>
          <w:noProof w:val="0"/>
          <w:rtl/>
        </w:rPr>
        <w:t xml:space="preserve">אמנם </w:t>
      </w:r>
      <w:r w:rsidRPr="002108E5">
        <w:rPr>
          <w:rFonts w:ascii="Arial" w:hAnsi="Arial"/>
          <w:noProof w:val="0"/>
          <w:rtl/>
        </w:rPr>
        <w:t xml:space="preserve">הוגש עוד בטרם התקבלה בקשת הנאשם לחזור בו מהודאתו, ואולם לא מצאתי להתעלם ממנו כליל נוכח כך שהתסקיר השני מתבסס גם על התסקיר הראשון ומכותר כתסקיר "משלים" ונוכח כך שהצדדים </w:t>
      </w:r>
      <w:r>
        <w:rPr>
          <w:rFonts w:ascii="Arial" w:hAnsi="Arial" w:hint="cs"/>
          <w:noProof w:val="0"/>
          <w:rtl/>
        </w:rPr>
        <w:t xml:space="preserve">עצמם </w:t>
      </w:r>
      <w:r w:rsidRPr="002108E5">
        <w:rPr>
          <w:rFonts w:ascii="Arial" w:hAnsi="Arial"/>
          <w:noProof w:val="0"/>
          <w:rtl/>
        </w:rPr>
        <w:t>התייחסו בטיעוניהם גם לתסקיר זה.</w:t>
      </w:r>
    </w:p>
    <w:p w14:paraId="45D73AA0" w14:textId="77777777" w:rsidR="00964788" w:rsidRPr="002108E5" w:rsidRDefault="00964788" w:rsidP="00964788">
      <w:pPr>
        <w:spacing w:line="360" w:lineRule="auto"/>
        <w:ind w:left="651" w:hanging="709"/>
        <w:contextualSpacing/>
        <w:jc w:val="both"/>
        <w:rPr>
          <w:rFonts w:ascii="Arial" w:hAnsi="Arial"/>
          <w:noProof w:val="0"/>
          <w:rtl/>
        </w:rPr>
      </w:pPr>
      <w:r w:rsidRPr="002108E5">
        <w:rPr>
          <w:rFonts w:ascii="Arial" w:hAnsi="Arial"/>
          <w:noProof w:val="0"/>
          <w:rtl/>
        </w:rPr>
        <w:tab/>
        <w:t xml:space="preserve">מהתסקיר הראשון (מיום 26.9.2020) עולה כי הנאשם כבן 22, רווק, נעדר עבר פלילי והתגורר בבית הוריו טרם מעצרו. לדבריו סיים 12 שנות לימוד, ביקש להתגייס אך עקב דחיות חוזרות ונשנות ויתר על רצון זה, עבד בתקופה האחרונה במפעל מתכת ולפני כן עבד כחמש שנים בחברת סודה סטרים  ובתחום השמירה.  </w:t>
      </w:r>
    </w:p>
    <w:p w14:paraId="6CF0EB82" w14:textId="77777777" w:rsidR="00964788" w:rsidRPr="002108E5" w:rsidRDefault="00964788" w:rsidP="00964788">
      <w:pPr>
        <w:spacing w:line="360" w:lineRule="auto"/>
        <w:ind w:left="651" w:hanging="709"/>
        <w:contextualSpacing/>
        <w:jc w:val="both"/>
        <w:rPr>
          <w:rFonts w:ascii="Arial" w:hAnsi="Arial"/>
          <w:noProof w:val="0"/>
          <w:rtl/>
        </w:rPr>
      </w:pPr>
    </w:p>
    <w:p w14:paraId="7187BCD4" w14:textId="77777777" w:rsidR="00964788" w:rsidRPr="002108E5" w:rsidRDefault="00964788" w:rsidP="00964788">
      <w:pPr>
        <w:spacing w:line="360" w:lineRule="auto"/>
        <w:ind w:left="651" w:hanging="709"/>
        <w:contextualSpacing/>
        <w:jc w:val="both"/>
        <w:rPr>
          <w:rFonts w:ascii="Arial" w:hAnsi="Arial"/>
          <w:noProof w:val="0"/>
          <w:rtl/>
        </w:rPr>
      </w:pPr>
      <w:r w:rsidRPr="002108E5">
        <w:rPr>
          <w:rFonts w:ascii="Arial" w:hAnsi="Arial"/>
          <w:noProof w:val="0"/>
          <w:rtl/>
        </w:rPr>
        <w:tab/>
        <w:t>הנאשם התקשה להודות באופן מלא בפני שירות המבחן בביצוע העבירות ואף התקשה לשתף אודות נסיבות האירוע. הנאשם מסר לשירות כי הוא מתכוון להגיש ערעור על עובדות כתב האישום. שירות המבחן הוסיף כי קיים חוסר בהירות באשר לקשריו של הנאשם עם חברה שולית. שירות המבחן התרשם כי הנאשם ניהל אורח חיים תקין, נעדר עבר פלילי, גילה יציבות תעסוקתית, גדל במשפחה נורמ</w:t>
      </w:r>
      <w:r>
        <w:rPr>
          <w:rFonts w:ascii="Arial" w:hAnsi="Arial"/>
          <w:noProof w:val="0"/>
          <w:rtl/>
        </w:rPr>
        <w:t>טיבית, כי קיים פער בין אורח חי</w:t>
      </w:r>
      <w:r>
        <w:rPr>
          <w:rFonts w:ascii="Arial" w:hAnsi="Arial" w:hint="cs"/>
          <w:noProof w:val="0"/>
          <w:rtl/>
        </w:rPr>
        <w:t>יו</w:t>
      </w:r>
      <w:r w:rsidRPr="002108E5">
        <w:rPr>
          <w:rFonts w:ascii="Arial" w:hAnsi="Arial"/>
          <w:noProof w:val="0"/>
          <w:rtl/>
        </w:rPr>
        <w:t xml:space="preserve"> עד כה לעבירות שביצע והוסיף כי ההליך הפלילי מהווה גורם מרתיע לנאשם. שירות המבחן התרשם כי קיימת רמת סיכון להישנות התנהגות עוברת חוק.  </w:t>
      </w:r>
    </w:p>
    <w:p w14:paraId="7F6412B7" w14:textId="77777777" w:rsidR="00964788" w:rsidRPr="002108E5" w:rsidRDefault="00964788" w:rsidP="00964788">
      <w:pPr>
        <w:spacing w:line="360" w:lineRule="auto"/>
        <w:ind w:left="651" w:hanging="709"/>
        <w:contextualSpacing/>
        <w:jc w:val="both"/>
        <w:rPr>
          <w:rFonts w:ascii="Arial" w:hAnsi="Arial"/>
          <w:noProof w:val="0"/>
          <w:rtl/>
        </w:rPr>
      </w:pPr>
      <w:r w:rsidRPr="002108E5">
        <w:rPr>
          <w:rFonts w:ascii="Arial" w:hAnsi="Arial"/>
          <w:noProof w:val="0"/>
          <w:rtl/>
        </w:rPr>
        <w:tab/>
        <w:t>נוכח חומרת האירוע ואופן התייחסות הנאשם לעבירות, שירות המבחן נמנע מלבוא בהמלצה טיפולית.</w:t>
      </w:r>
    </w:p>
    <w:p w14:paraId="3D2EE081" w14:textId="77777777" w:rsidR="00964788" w:rsidRPr="002108E5" w:rsidRDefault="00964788" w:rsidP="00964788">
      <w:pPr>
        <w:spacing w:line="360" w:lineRule="auto"/>
        <w:ind w:left="651" w:hanging="709"/>
        <w:contextualSpacing/>
        <w:jc w:val="both"/>
        <w:rPr>
          <w:rFonts w:ascii="Arial" w:hAnsi="Arial"/>
          <w:noProof w:val="0"/>
          <w:rtl/>
        </w:rPr>
      </w:pPr>
    </w:p>
    <w:p w14:paraId="4A678F9A" w14:textId="77777777" w:rsidR="00964788" w:rsidRPr="002108E5" w:rsidRDefault="00964788" w:rsidP="00964788">
      <w:pPr>
        <w:spacing w:line="360" w:lineRule="auto"/>
        <w:ind w:left="651" w:hanging="709"/>
        <w:contextualSpacing/>
        <w:jc w:val="both"/>
        <w:rPr>
          <w:rFonts w:ascii="Arial" w:hAnsi="Arial"/>
          <w:noProof w:val="0"/>
          <w:rtl/>
        </w:rPr>
      </w:pPr>
      <w:r>
        <w:rPr>
          <w:rFonts w:ascii="Arial" w:hAnsi="Arial"/>
          <w:noProof w:val="0"/>
          <w:rtl/>
        </w:rPr>
        <w:tab/>
        <w:t>בתסקיר השני (מיום 22.2.2021)</w:t>
      </w:r>
      <w:r>
        <w:rPr>
          <w:rFonts w:ascii="Arial" w:hAnsi="Arial" w:hint="cs"/>
          <w:noProof w:val="0"/>
          <w:rtl/>
        </w:rPr>
        <w:t xml:space="preserve">, שניתן כאמור לאחר גיבוש ההסדר החדש, </w:t>
      </w:r>
      <w:r w:rsidRPr="002108E5">
        <w:rPr>
          <w:rFonts w:ascii="Arial" w:hAnsi="Arial"/>
          <w:noProof w:val="0"/>
          <w:rtl/>
        </w:rPr>
        <w:t xml:space="preserve">חזר שירות המבחן על ממצאיו מהתסקיר הקודם. באשר להתייחסות הנאשם לעבירות שביצע ציין שירות המבחן כי הנאשם הודה בביצוע העבירות ובעובדות כתב האישום העדכני אך עדיין גילה קושי להיפתח ולשתף אודות נסיבות ביצוע העבירות והציג מידע מעורפל. הנאשם מסר לשירות כי שותפו לעבירה ניגש אליו עת ישב בבית קפה וביקש ממנו להצטרף אליו. הנאשם נענה לבקשת שותפו לעבירה תוך ששאל אותו לעניין מטרת היציאה. הנאשם הוסיף כי כשעלו לרכב הוא ראה שהם קיבלו את כלי הנשק מאדם אחר, כי לא תכננו לעשות דבר עם כלי הנשק, כי לא היה לו אינטרס אישי להחזיק בכלי הנשק, כי אין לו סכסוכים עם אחרים וכי ניסה להימלט </w:t>
      </w:r>
      <w:r>
        <w:rPr>
          <w:rFonts w:ascii="Arial" w:hAnsi="Arial" w:hint="cs"/>
          <w:noProof w:val="0"/>
          <w:rtl/>
        </w:rPr>
        <w:t xml:space="preserve">מהשוטרים </w:t>
      </w:r>
      <w:r w:rsidRPr="002108E5">
        <w:rPr>
          <w:rFonts w:ascii="Arial" w:hAnsi="Arial"/>
          <w:noProof w:val="0"/>
          <w:rtl/>
        </w:rPr>
        <w:t>כתוצאה מפחד, לחץ ורצון למזער הנזק המשפטי שיגרם לו. הנאשם התקשה לפרט אודות יחסיו עם הנאשם 2.</w:t>
      </w:r>
    </w:p>
    <w:p w14:paraId="01FCDF84" w14:textId="77777777" w:rsidR="00964788" w:rsidRPr="002108E5" w:rsidRDefault="00964788" w:rsidP="00964788">
      <w:pPr>
        <w:spacing w:line="360" w:lineRule="auto"/>
        <w:ind w:left="651" w:hanging="709"/>
        <w:contextualSpacing/>
        <w:jc w:val="both"/>
        <w:rPr>
          <w:rFonts w:ascii="Arial" w:hAnsi="Arial"/>
          <w:noProof w:val="0"/>
          <w:rtl/>
        </w:rPr>
      </w:pPr>
      <w:r w:rsidRPr="002108E5">
        <w:rPr>
          <w:rFonts w:ascii="Arial" w:hAnsi="Arial"/>
          <w:noProof w:val="0"/>
          <w:rtl/>
        </w:rPr>
        <w:tab/>
        <w:t xml:space="preserve">בשיחה שקיים שירות המבחן עם הורי הנאשם עלה כי הם הופתעו ממעורבותו בעבירות וכי כעסו וגינו את מעשיו. הוריו של הנאשם תיארו את המערכת המשפחתית בה גדל הנאשם כנורמטיבית וערכית. </w:t>
      </w:r>
    </w:p>
    <w:p w14:paraId="5D1772E3" w14:textId="77777777" w:rsidR="00964788" w:rsidRDefault="00964788" w:rsidP="00964788">
      <w:pPr>
        <w:spacing w:line="360" w:lineRule="auto"/>
        <w:ind w:left="651" w:hanging="709"/>
        <w:contextualSpacing/>
        <w:jc w:val="both"/>
        <w:rPr>
          <w:rFonts w:ascii="Arial" w:hAnsi="Arial"/>
          <w:noProof w:val="0"/>
          <w:rtl/>
        </w:rPr>
      </w:pPr>
      <w:r w:rsidRPr="002108E5">
        <w:rPr>
          <w:rFonts w:ascii="Arial" w:hAnsi="Arial"/>
          <w:noProof w:val="0"/>
          <w:rtl/>
        </w:rPr>
        <w:tab/>
        <w:t>שירות המבחן עמד על גילו הצעיר של הנאשם, ע</w:t>
      </w:r>
      <w:r>
        <w:rPr>
          <w:rFonts w:ascii="Arial" w:hAnsi="Arial"/>
          <w:noProof w:val="0"/>
          <w:rtl/>
        </w:rPr>
        <w:t>ל העובדה כי הוא נעדר עבר פלילי</w:t>
      </w:r>
      <w:r>
        <w:rPr>
          <w:rFonts w:ascii="Arial" w:hAnsi="Arial" w:hint="cs"/>
          <w:noProof w:val="0"/>
          <w:rtl/>
        </w:rPr>
        <w:t>, על כך ש</w:t>
      </w:r>
      <w:r w:rsidRPr="002108E5">
        <w:rPr>
          <w:rFonts w:ascii="Arial" w:hAnsi="Arial"/>
          <w:noProof w:val="0"/>
          <w:rtl/>
        </w:rPr>
        <w:t>מדובר במעצרו הראשון וכן</w:t>
      </w:r>
      <w:r>
        <w:rPr>
          <w:rFonts w:ascii="Arial" w:hAnsi="Arial" w:hint="cs"/>
          <w:noProof w:val="0"/>
          <w:rtl/>
        </w:rPr>
        <w:t xml:space="preserve"> על כך</w:t>
      </w:r>
      <w:r w:rsidRPr="002108E5">
        <w:rPr>
          <w:rFonts w:ascii="Arial" w:hAnsi="Arial"/>
          <w:noProof w:val="0"/>
          <w:rtl/>
        </w:rPr>
        <w:t xml:space="preserve"> שהנאשם גדל במשפחה נורמטיבית. מצד שני עמד שירות המבחן על חומרת העבירות, על הבעייתיות בהתייחסות הנאשם לנסיבות ביצוע העבירות ועל הקושי שלו לקחת אחריות מלאה על מעשיו. </w:t>
      </w:r>
    </w:p>
    <w:p w14:paraId="679F678D" w14:textId="77777777" w:rsidR="00964788" w:rsidRPr="002108E5" w:rsidRDefault="00964788" w:rsidP="00964788">
      <w:pPr>
        <w:spacing w:line="360" w:lineRule="auto"/>
        <w:ind w:left="651"/>
        <w:contextualSpacing/>
        <w:jc w:val="both"/>
        <w:rPr>
          <w:rFonts w:ascii="Arial" w:hAnsi="Arial"/>
          <w:noProof w:val="0"/>
          <w:rtl/>
        </w:rPr>
      </w:pPr>
      <w:r w:rsidRPr="002108E5">
        <w:rPr>
          <w:rFonts w:ascii="Arial" w:hAnsi="Arial"/>
          <w:noProof w:val="0"/>
          <w:rtl/>
        </w:rPr>
        <w:t>בסופו של התסקיר שירות המבחן המליץ על ענישה מוחשית לנאשם.</w:t>
      </w:r>
    </w:p>
    <w:p w14:paraId="69546B14" w14:textId="77777777" w:rsidR="00964788" w:rsidRPr="002108E5" w:rsidRDefault="00964788" w:rsidP="00964788">
      <w:pPr>
        <w:spacing w:line="360" w:lineRule="auto"/>
        <w:ind w:left="302"/>
        <w:contextualSpacing/>
        <w:jc w:val="both"/>
        <w:rPr>
          <w:rFonts w:ascii="Arial" w:hAnsi="Arial"/>
          <w:noProof w:val="0"/>
          <w:rtl/>
        </w:rPr>
      </w:pPr>
    </w:p>
    <w:p w14:paraId="669CDCD1" w14:textId="77777777" w:rsidR="00964788" w:rsidRPr="002108E5" w:rsidRDefault="00964788" w:rsidP="00964788">
      <w:pPr>
        <w:spacing w:line="360" w:lineRule="auto"/>
        <w:ind w:left="651" w:hanging="709"/>
        <w:contextualSpacing/>
        <w:jc w:val="both"/>
        <w:rPr>
          <w:rFonts w:ascii="Arial" w:hAnsi="Arial"/>
          <w:b/>
          <w:bCs/>
          <w:noProof w:val="0"/>
          <w:u w:val="single"/>
          <w:rtl/>
        </w:rPr>
      </w:pPr>
      <w:r w:rsidRPr="002108E5">
        <w:rPr>
          <w:rFonts w:ascii="Arial" w:hAnsi="Arial"/>
          <w:noProof w:val="0"/>
          <w:rtl/>
        </w:rPr>
        <w:tab/>
      </w:r>
      <w:r w:rsidRPr="002108E5">
        <w:rPr>
          <w:rFonts w:ascii="Arial" w:hAnsi="Arial"/>
          <w:b/>
          <w:bCs/>
          <w:noProof w:val="0"/>
          <w:u w:val="single"/>
          <w:rtl/>
        </w:rPr>
        <w:t>טיעוני הצדדים</w:t>
      </w:r>
    </w:p>
    <w:p w14:paraId="2AD0361D" w14:textId="77777777" w:rsidR="00964788" w:rsidRPr="002108E5" w:rsidRDefault="00964788" w:rsidP="00964788">
      <w:pPr>
        <w:numPr>
          <w:ilvl w:val="0"/>
          <w:numId w:val="1"/>
        </w:numPr>
        <w:spacing w:line="360" w:lineRule="auto"/>
        <w:ind w:left="651" w:hanging="709"/>
        <w:contextualSpacing/>
        <w:jc w:val="both"/>
        <w:rPr>
          <w:rFonts w:ascii="Arial" w:hAnsi="Arial"/>
          <w:noProof w:val="0"/>
        </w:rPr>
      </w:pPr>
      <w:r w:rsidRPr="002108E5">
        <w:rPr>
          <w:rFonts w:ascii="Arial" w:hAnsi="Arial"/>
          <w:noProof w:val="0"/>
          <w:rtl/>
        </w:rPr>
        <w:t>המאשימה טענה לעונש בכתב והשלימה טיעוניה על-פה. המאשימה טענה כי מתחם העונש ההולם צריך לנוע בין 42 ל-72 חודשי מאסר. המאשימה עתרה, בהתאם להסדר הטיעון, לעונש של 45 חודשי מאסר, למאסר מותנה ולקנס משמעותי.</w:t>
      </w:r>
    </w:p>
    <w:p w14:paraId="10B8B780" w14:textId="77777777" w:rsidR="00964788" w:rsidRPr="002108E5" w:rsidRDefault="00964788" w:rsidP="00964788">
      <w:pPr>
        <w:spacing w:line="360" w:lineRule="auto"/>
        <w:ind w:left="651"/>
        <w:contextualSpacing/>
        <w:jc w:val="both"/>
        <w:rPr>
          <w:rFonts w:ascii="Arial" w:hAnsi="Arial"/>
          <w:noProof w:val="0"/>
          <w:rtl/>
        </w:rPr>
      </w:pPr>
      <w:r w:rsidRPr="002108E5">
        <w:rPr>
          <w:rFonts w:ascii="Arial" w:hAnsi="Arial"/>
          <w:noProof w:val="0"/>
          <w:rtl/>
        </w:rPr>
        <w:t>המאשימה הפנתה לערכים המוגנים שנפגעו, למידת הפגיעה בהם, לחומרה במעשיו של הנאשם לרבות לפוטנציאל הסיכון הגלום בעבירות נשק. המאשימה הפנתה לחלקו של הנאשם בביצוע העבירות, למגוון כלי הנשק (רובה סער ואקדחים חצי אוטומטיים) מה שעשוי ללמד על קשריו של הנאשם לשרשרת הפצת הנשק, לעובדה כי כלי הנשק נמצאו ברכבו של הנאשם כשרובה הסער מונח מתחת לכיסאו, לסוגם ו</w:t>
      </w:r>
      <w:r>
        <w:rPr>
          <w:rFonts w:ascii="Arial" w:hAnsi="Arial" w:hint="cs"/>
          <w:noProof w:val="0"/>
          <w:rtl/>
        </w:rPr>
        <w:t>ל</w:t>
      </w:r>
      <w:r w:rsidRPr="002108E5">
        <w:rPr>
          <w:rFonts w:ascii="Arial" w:hAnsi="Arial"/>
          <w:noProof w:val="0"/>
          <w:rtl/>
        </w:rPr>
        <w:t>אופיים של כלי הנשק שנתפסו, לעובדה כי הנאשם לא שעה לקריאות המשטרה וניסה להימלט ברכבו ובאופן רגלי מהמשטרה.</w:t>
      </w:r>
    </w:p>
    <w:p w14:paraId="19646F7C" w14:textId="77777777" w:rsidR="00964788" w:rsidRPr="002108E5" w:rsidRDefault="00964788" w:rsidP="00964788">
      <w:pPr>
        <w:spacing w:line="360" w:lineRule="auto"/>
        <w:ind w:left="651"/>
        <w:contextualSpacing/>
        <w:jc w:val="both"/>
        <w:rPr>
          <w:rFonts w:ascii="Arial" w:hAnsi="Arial"/>
          <w:noProof w:val="0"/>
          <w:rtl/>
        </w:rPr>
      </w:pPr>
      <w:r w:rsidRPr="002108E5">
        <w:rPr>
          <w:rFonts w:ascii="Arial" w:hAnsi="Arial"/>
          <w:noProof w:val="0"/>
          <w:rtl/>
        </w:rPr>
        <w:t>המאשימה התייחסה לחומרת תופעת הנשק הבלתי חוקי המתרחבת בחברה הערבית בכלל ובחברה הבדואית בפרט, לסיכון ולשימוש הלא מרוסן שנעשה בכלי נשק אלו ולמציאות ה</w:t>
      </w:r>
      <w:r>
        <w:rPr>
          <w:rFonts w:ascii="Arial" w:hAnsi="Arial" w:hint="cs"/>
          <w:noProof w:val="0"/>
          <w:rtl/>
        </w:rPr>
        <w:t>"</w:t>
      </w:r>
      <w:r w:rsidRPr="002108E5">
        <w:rPr>
          <w:rFonts w:ascii="Arial" w:hAnsi="Arial"/>
          <w:noProof w:val="0"/>
          <w:rtl/>
        </w:rPr>
        <w:t>מדממת</w:t>
      </w:r>
      <w:r>
        <w:rPr>
          <w:rFonts w:ascii="Arial" w:hAnsi="Arial" w:hint="cs"/>
          <w:noProof w:val="0"/>
          <w:rtl/>
        </w:rPr>
        <w:t>"</w:t>
      </w:r>
      <w:r w:rsidRPr="002108E5">
        <w:rPr>
          <w:rFonts w:ascii="Arial" w:hAnsi="Arial"/>
          <w:noProof w:val="0"/>
          <w:rtl/>
        </w:rPr>
        <w:t xml:space="preserve"> </w:t>
      </w:r>
      <w:r>
        <w:rPr>
          <w:rFonts w:ascii="Arial" w:hAnsi="Arial" w:hint="cs"/>
          <w:noProof w:val="0"/>
          <w:rtl/>
        </w:rPr>
        <w:t>הקשורה בתופעה זו</w:t>
      </w:r>
      <w:r w:rsidRPr="002108E5">
        <w:rPr>
          <w:rFonts w:ascii="Arial" w:hAnsi="Arial"/>
          <w:noProof w:val="0"/>
          <w:rtl/>
        </w:rPr>
        <w:t xml:space="preserve">. </w:t>
      </w:r>
    </w:p>
    <w:p w14:paraId="3D15B48D" w14:textId="77777777" w:rsidR="00964788" w:rsidRPr="002108E5" w:rsidRDefault="00964788" w:rsidP="00964788">
      <w:pPr>
        <w:spacing w:line="360" w:lineRule="auto"/>
        <w:ind w:left="651"/>
        <w:contextualSpacing/>
        <w:jc w:val="both"/>
        <w:rPr>
          <w:rFonts w:ascii="Arial" w:hAnsi="Arial"/>
          <w:noProof w:val="0"/>
          <w:rtl/>
        </w:rPr>
      </w:pPr>
      <w:r w:rsidRPr="002108E5">
        <w:rPr>
          <w:rFonts w:ascii="Arial" w:hAnsi="Arial"/>
          <w:noProof w:val="0"/>
          <w:rtl/>
        </w:rPr>
        <w:t xml:space="preserve">המאשימה הפנתה למדיניות הענישה הנוהגת, למגמת ההחמרה </w:t>
      </w:r>
      <w:r>
        <w:rPr>
          <w:rFonts w:ascii="Arial" w:hAnsi="Arial" w:hint="cs"/>
          <w:noProof w:val="0"/>
          <w:rtl/>
        </w:rPr>
        <w:t xml:space="preserve">בענישה </w:t>
      </w:r>
      <w:r w:rsidRPr="002108E5">
        <w:rPr>
          <w:rFonts w:ascii="Arial" w:hAnsi="Arial"/>
          <w:noProof w:val="0"/>
          <w:rtl/>
        </w:rPr>
        <w:t xml:space="preserve">בעבירות הנשק ולצורך בענישה מרתיעה בעבירות אלו. </w:t>
      </w:r>
    </w:p>
    <w:p w14:paraId="04BC4A29" w14:textId="77777777" w:rsidR="00964788" w:rsidRPr="002108E5" w:rsidRDefault="00964788" w:rsidP="00964788">
      <w:pPr>
        <w:spacing w:line="360" w:lineRule="auto"/>
        <w:ind w:left="651"/>
        <w:contextualSpacing/>
        <w:jc w:val="both"/>
        <w:rPr>
          <w:rFonts w:ascii="Arial" w:hAnsi="Arial"/>
          <w:noProof w:val="0"/>
          <w:rtl/>
        </w:rPr>
      </w:pPr>
      <w:r w:rsidRPr="002108E5">
        <w:rPr>
          <w:rFonts w:ascii="Arial" w:hAnsi="Arial"/>
          <w:noProof w:val="0"/>
          <w:rtl/>
        </w:rPr>
        <w:t xml:space="preserve">עוד הפנתה המאשימה להתרשמות שירות המבחן לפיה הנאשם לא קיבל אחריות מלאה על מעשיו חרף הודאתו ולעובדה כי שירות המבחן נמנע מהמלצה טיפולית ולמעשה המליץ על הטלת עונש מרתיע ומוחשי על הנאשם.  </w:t>
      </w:r>
    </w:p>
    <w:p w14:paraId="4675BE91" w14:textId="77777777" w:rsidR="00964788" w:rsidRPr="002108E5" w:rsidRDefault="00964788" w:rsidP="00964788">
      <w:pPr>
        <w:spacing w:line="360" w:lineRule="auto"/>
        <w:ind w:left="651"/>
        <w:contextualSpacing/>
        <w:jc w:val="both"/>
        <w:rPr>
          <w:rFonts w:ascii="Arial" w:hAnsi="Arial"/>
          <w:noProof w:val="0"/>
          <w:rtl/>
        </w:rPr>
      </w:pPr>
      <w:r w:rsidRPr="002108E5">
        <w:rPr>
          <w:rFonts w:ascii="Arial" w:hAnsi="Arial"/>
          <w:noProof w:val="0"/>
          <w:rtl/>
        </w:rPr>
        <w:t>במסגרת טיעוניה המאשימה התייחסה גם לגזר דינו של הנאשם 2, שותפו של הנאשם, וטענה כי זה, בשונה מהנאשם, הורשע בנוסף לעבירה של הפרעה לשוטר בה הורשע גם הנאשם, אך בעבירה אחת של סיוע להובלת נשק.</w:t>
      </w:r>
    </w:p>
    <w:p w14:paraId="2E1C98F1" w14:textId="77777777" w:rsidR="00964788" w:rsidRPr="002108E5" w:rsidRDefault="00964788" w:rsidP="00964788">
      <w:pPr>
        <w:spacing w:line="360" w:lineRule="auto"/>
        <w:ind w:left="651" w:hanging="709"/>
        <w:contextualSpacing/>
        <w:jc w:val="both"/>
        <w:rPr>
          <w:rFonts w:ascii="Arial" w:hAnsi="Arial"/>
          <w:noProof w:val="0"/>
          <w:rtl/>
        </w:rPr>
      </w:pPr>
    </w:p>
    <w:p w14:paraId="1A242E58" w14:textId="77777777" w:rsidR="00964788" w:rsidRPr="002108E5" w:rsidRDefault="00964788" w:rsidP="00964788">
      <w:pPr>
        <w:numPr>
          <w:ilvl w:val="0"/>
          <w:numId w:val="1"/>
        </w:numPr>
        <w:spacing w:line="360" w:lineRule="auto"/>
        <w:ind w:left="651" w:hanging="709"/>
        <w:contextualSpacing/>
        <w:jc w:val="both"/>
        <w:rPr>
          <w:rFonts w:ascii="Arial" w:hAnsi="Arial"/>
          <w:noProof w:val="0"/>
        </w:rPr>
      </w:pPr>
      <w:r w:rsidRPr="002108E5">
        <w:rPr>
          <w:rFonts w:ascii="Arial" w:hAnsi="Arial"/>
          <w:noProof w:val="0"/>
          <w:rtl/>
        </w:rPr>
        <w:t xml:space="preserve">ב"כ הנאשם טען כי מתחם העונש ההולם צריך לנוע בין 24 ל-45 חודשי מאסר. ב"כ הנאשם עתר להטיל על הנאשם עונש שלא יעלה על 30 חודשי מאסר לצד מאסר מותנה, קנס והתחייבות להימנע מביצוע עבירה. </w:t>
      </w:r>
    </w:p>
    <w:p w14:paraId="7912A2CF" w14:textId="77777777" w:rsidR="00964788" w:rsidRPr="002108E5" w:rsidRDefault="00964788" w:rsidP="00964788">
      <w:pPr>
        <w:spacing w:line="360" w:lineRule="auto"/>
        <w:ind w:left="651"/>
        <w:contextualSpacing/>
        <w:jc w:val="both"/>
        <w:rPr>
          <w:rFonts w:ascii="Arial" w:hAnsi="Arial"/>
          <w:noProof w:val="0"/>
        </w:rPr>
      </w:pPr>
      <w:r w:rsidRPr="002108E5">
        <w:rPr>
          <w:rFonts w:ascii="Arial" w:hAnsi="Arial"/>
          <w:noProof w:val="0"/>
          <w:rtl/>
        </w:rPr>
        <w:t xml:space="preserve">ב"כ הנאשם טען, כי בשים לב לכך שכלי הנשק שנתפסו הם לא כלי נשק מאולתרים, ובשים לב לכך שהמדינה לא חקרה את נסיבות הגעת כלי הנשק לרכבו של הנאשם  אזי שיש לדחות את טענת המאשימה באשר לקשריו של הנאשם עם גורמי הפצת נשק. </w:t>
      </w:r>
      <w:r>
        <w:rPr>
          <w:rFonts w:ascii="Arial" w:hAnsi="Arial" w:hint="cs"/>
          <w:noProof w:val="0"/>
          <w:rtl/>
        </w:rPr>
        <w:t xml:space="preserve">בהקשר </w:t>
      </w:r>
      <w:r w:rsidRPr="002108E5">
        <w:rPr>
          <w:rFonts w:ascii="Arial" w:hAnsi="Arial"/>
          <w:noProof w:val="0"/>
          <w:rtl/>
        </w:rPr>
        <w:t>זה הפנה ב"כ הנאשם לעובדה כי ברכב היה מעורב נוסף שנמלט ולא נתן את הדין. ב"כ הנאשם ביקש לדחות את טענת המאשימה לפיה יש בעובדה שכלי הנשק נתפסו ברכבו של הנאשם משום נסיבה מחמירה שכן זה הורשע ממילא בעבירה של הובלת נשק ולא בעבירה של החזקת נשק. ב"כ הנאשם הוסיף וטען כי הובלת כלי הנשק הייתה למרחק קצר, למשך זמן קצר ולא הייתה מתוכננת. כן ציין, כי אין כל ראיה באשר למטרת הובלת כלי הנשק כשלמעשה מדובר בהובלת "ברזלים" בלבד, שכן לא נתפסו מחסניות או תחמושת לצד כלי הנשק. לעניין ההימלטות הנאשם מהמשטרה הפנה ב"כ הנאשם לדברי הנאשם עצמו בפני שירות המבחן מהם עולה  כי הוא נמלט בשל פחד מהשוטרים.</w:t>
      </w:r>
    </w:p>
    <w:p w14:paraId="5AFCCBEB" w14:textId="77777777" w:rsidR="00964788" w:rsidRPr="002108E5" w:rsidRDefault="00964788" w:rsidP="00964788">
      <w:pPr>
        <w:spacing w:line="360" w:lineRule="auto"/>
        <w:ind w:left="651"/>
        <w:contextualSpacing/>
        <w:jc w:val="both"/>
        <w:rPr>
          <w:rFonts w:ascii="Arial" w:hAnsi="Arial"/>
          <w:noProof w:val="0"/>
          <w:rtl/>
        </w:rPr>
      </w:pPr>
      <w:r w:rsidRPr="002108E5">
        <w:rPr>
          <w:rFonts w:ascii="Arial" w:hAnsi="Arial"/>
          <w:noProof w:val="0"/>
          <w:rtl/>
        </w:rPr>
        <w:t>ב"כ הנאשם הפנה לנסיבותיו האישיות של הנאשם, לגילו הצעיר, ליציבות התעסוקתית שגילה, לעובדה כי גדל במשפחה נורמטיבית ולהוקעה של משפחתו את מעשיו, לעובדת היותו נעדר עבר פלילי ולהודאת</w:t>
      </w:r>
      <w:r>
        <w:rPr>
          <w:rFonts w:ascii="Arial" w:hAnsi="Arial" w:hint="cs"/>
          <w:noProof w:val="0"/>
          <w:rtl/>
        </w:rPr>
        <w:t>ו,</w:t>
      </w:r>
      <w:r w:rsidRPr="002108E5">
        <w:rPr>
          <w:rFonts w:ascii="Arial" w:hAnsi="Arial"/>
          <w:noProof w:val="0"/>
          <w:rtl/>
        </w:rPr>
        <w:t xml:space="preserve"> ה</w:t>
      </w:r>
      <w:r>
        <w:rPr>
          <w:rFonts w:ascii="Arial" w:hAnsi="Arial" w:hint="cs"/>
          <w:noProof w:val="0"/>
          <w:rtl/>
        </w:rPr>
        <w:t>ודאה</w:t>
      </w:r>
      <w:r w:rsidRPr="002108E5">
        <w:rPr>
          <w:rFonts w:ascii="Arial" w:hAnsi="Arial"/>
          <w:noProof w:val="0"/>
          <w:rtl/>
        </w:rPr>
        <w:t xml:space="preserve"> שיש בה גם משום חסכון בזמן שיפוטי. </w:t>
      </w:r>
    </w:p>
    <w:p w14:paraId="2F27E5CA" w14:textId="77777777" w:rsidR="00964788" w:rsidRPr="002108E5" w:rsidRDefault="00964788" w:rsidP="00964788">
      <w:pPr>
        <w:spacing w:line="360" w:lineRule="auto"/>
        <w:ind w:left="651"/>
        <w:contextualSpacing/>
        <w:jc w:val="both"/>
        <w:rPr>
          <w:rFonts w:ascii="Arial" w:hAnsi="Arial"/>
          <w:noProof w:val="0"/>
          <w:rtl/>
        </w:rPr>
      </w:pPr>
      <w:r w:rsidRPr="002108E5">
        <w:rPr>
          <w:rFonts w:ascii="Arial" w:hAnsi="Arial"/>
          <w:noProof w:val="0"/>
          <w:rtl/>
        </w:rPr>
        <w:t xml:space="preserve">ב"כ הנאשם טען שאין לקבל את עמדת שירות המבחן </w:t>
      </w:r>
      <w:r>
        <w:rPr>
          <w:rFonts w:ascii="Arial" w:hAnsi="Arial" w:hint="cs"/>
          <w:noProof w:val="0"/>
          <w:rtl/>
        </w:rPr>
        <w:t xml:space="preserve">לפיה </w:t>
      </w:r>
      <w:r w:rsidRPr="002108E5">
        <w:rPr>
          <w:rFonts w:ascii="Arial" w:hAnsi="Arial"/>
          <w:noProof w:val="0"/>
          <w:rtl/>
        </w:rPr>
        <w:t xml:space="preserve">הנאשם התקשה לשתף באופן אותנטי אודות נסיבות ביצוע העבירות. ב"כ </w:t>
      </w:r>
      <w:r>
        <w:rPr>
          <w:rFonts w:ascii="Arial" w:hAnsi="Arial"/>
          <w:noProof w:val="0"/>
          <w:rtl/>
        </w:rPr>
        <w:t>הנאשם טען כי מהתסקיר השני שהוגש</w:t>
      </w:r>
      <w:r w:rsidRPr="002108E5">
        <w:rPr>
          <w:rFonts w:ascii="Arial" w:hAnsi="Arial"/>
          <w:noProof w:val="0"/>
          <w:rtl/>
        </w:rPr>
        <w:t xml:space="preserve"> עולה שהנאשם הודה בביצוע המעשים, סיפר על השתלשלות האירוע כפי שהוא חווה אותו ולקח אחריות על מעשיו. ב"כ הנאשם הוסיף וטען כי התרשמות שירות המבחן אודות קיומו של סיכון אצל הנאשם להישנות התנהגות עוברת חוק בעתיד אינה מבוססת.</w:t>
      </w:r>
    </w:p>
    <w:p w14:paraId="28A7540C" w14:textId="77777777" w:rsidR="00964788" w:rsidRPr="002108E5" w:rsidRDefault="00964788" w:rsidP="00964788">
      <w:pPr>
        <w:spacing w:line="360" w:lineRule="auto"/>
        <w:ind w:left="651"/>
        <w:contextualSpacing/>
        <w:jc w:val="both"/>
        <w:rPr>
          <w:rFonts w:ascii="Arial" w:hAnsi="Arial"/>
          <w:noProof w:val="0"/>
          <w:rtl/>
        </w:rPr>
      </w:pPr>
      <w:r w:rsidRPr="002108E5">
        <w:rPr>
          <w:rFonts w:ascii="Arial" w:hAnsi="Arial"/>
          <w:noProof w:val="0"/>
          <w:rtl/>
        </w:rPr>
        <w:t>ב"כ הנאשם צרף מסמכים (תלושי משכורת) ופסיקה לתמיכה בטיעוניו.</w:t>
      </w:r>
    </w:p>
    <w:p w14:paraId="365005C9" w14:textId="77777777" w:rsidR="00964788" w:rsidRPr="002108E5" w:rsidRDefault="00964788" w:rsidP="00964788">
      <w:pPr>
        <w:spacing w:line="360" w:lineRule="auto"/>
        <w:ind w:left="651"/>
        <w:contextualSpacing/>
        <w:jc w:val="both"/>
        <w:rPr>
          <w:rFonts w:ascii="Arial" w:hAnsi="Arial"/>
          <w:noProof w:val="0"/>
        </w:rPr>
      </w:pPr>
    </w:p>
    <w:p w14:paraId="36FAB70D" w14:textId="77777777" w:rsidR="00964788" w:rsidRPr="002108E5" w:rsidRDefault="00964788" w:rsidP="00964788">
      <w:pPr>
        <w:numPr>
          <w:ilvl w:val="0"/>
          <w:numId w:val="1"/>
        </w:numPr>
        <w:spacing w:line="360" w:lineRule="auto"/>
        <w:ind w:left="651" w:hanging="709"/>
        <w:contextualSpacing/>
        <w:jc w:val="both"/>
        <w:rPr>
          <w:rFonts w:ascii="Arial" w:hAnsi="Arial"/>
          <w:noProof w:val="0"/>
        </w:rPr>
      </w:pPr>
      <w:r w:rsidRPr="002108E5">
        <w:rPr>
          <w:rFonts w:ascii="Arial" w:hAnsi="Arial"/>
          <w:noProof w:val="0"/>
          <w:rtl/>
        </w:rPr>
        <w:t>ההגנה העידה את מר מוחמד אלעודאת אח הנאשם לעונש. אח הנאשם סיפר כי שני אחיו משרתים במשטרה, אביו שירת בצבא ועבד במשטרה כ-13 שנים וכן שהוריו חשים בושה וכעס על מעשיו של הנאשם. כן הוסיף, כי מעצרו של הנאשם השפיע על בני המשפחה במישורי החיים השונים.</w:t>
      </w:r>
    </w:p>
    <w:p w14:paraId="4B4D4F0E" w14:textId="77777777" w:rsidR="00964788" w:rsidRPr="002108E5" w:rsidRDefault="00964788" w:rsidP="00964788">
      <w:pPr>
        <w:numPr>
          <w:ilvl w:val="0"/>
          <w:numId w:val="1"/>
        </w:numPr>
        <w:spacing w:line="360" w:lineRule="auto"/>
        <w:ind w:left="651" w:hanging="709"/>
        <w:contextualSpacing/>
        <w:jc w:val="both"/>
        <w:rPr>
          <w:rFonts w:ascii="Arial" w:hAnsi="Arial"/>
          <w:noProof w:val="0"/>
          <w:rtl/>
        </w:rPr>
      </w:pPr>
      <w:r w:rsidRPr="002108E5">
        <w:rPr>
          <w:rFonts w:ascii="Arial" w:hAnsi="Arial"/>
          <w:noProof w:val="0"/>
          <w:rtl/>
        </w:rPr>
        <w:t>הנאשם אמר את דברו. הנאשם מסר כי הוא בן 23 ומתגורר עם הוריו. הנאשם התייחס לאמור בתסקיר שירות המבחן וטען כי קצינת המבחן לא הבינה אותו כראוי וכי הוא לוקח אחריות מלאה על מעשיו. יחד עם זאת, הנאשם הוסיף כי: "אחוז גדול באמת לא שלי אבל הודיתי בו ולקחתי אחריות עליו. היום אני משלם את ההשלכות. כל זה מחוסר ברירה, אומרים אל תהיה צודק, היה חכם". הנאשם, שאישר שהובהר</w:t>
      </w:r>
      <w:r>
        <w:rPr>
          <w:rFonts w:ascii="Arial" w:hAnsi="Arial" w:hint="cs"/>
          <w:noProof w:val="0"/>
          <w:rtl/>
        </w:rPr>
        <w:t>ה</w:t>
      </w:r>
      <w:r>
        <w:rPr>
          <w:rFonts w:ascii="Arial" w:hAnsi="Arial"/>
          <w:noProof w:val="0"/>
          <w:rtl/>
        </w:rPr>
        <w:t xml:space="preserve"> לו </w:t>
      </w:r>
      <w:r w:rsidRPr="002108E5">
        <w:rPr>
          <w:rFonts w:ascii="Arial" w:hAnsi="Arial"/>
          <w:noProof w:val="0"/>
          <w:rtl/>
        </w:rPr>
        <w:t>זכות</w:t>
      </w:r>
      <w:r>
        <w:rPr>
          <w:rFonts w:ascii="Arial" w:hAnsi="Arial" w:hint="cs"/>
          <w:noProof w:val="0"/>
          <w:rtl/>
        </w:rPr>
        <w:t>ו</w:t>
      </w:r>
      <w:r w:rsidRPr="002108E5">
        <w:rPr>
          <w:rFonts w:ascii="Arial" w:hAnsi="Arial"/>
          <w:noProof w:val="0"/>
          <w:rtl/>
        </w:rPr>
        <w:t xml:space="preserve"> לנהל משפט, נשאל פעם נוספת האם הוא מודה במיוחס לו, וזה השיב כי הוא אינו חוזר בו מהודאתו וכי ידע על ה</w:t>
      </w:r>
      <w:r>
        <w:rPr>
          <w:rFonts w:ascii="Arial" w:hAnsi="Arial" w:hint="cs"/>
          <w:noProof w:val="0"/>
          <w:rtl/>
        </w:rPr>
        <w:t>י</w:t>
      </w:r>
      <w:r w:rsidRPr="002108E5">
        <w:rPr>
          <w:rFonts w:ascii="Arial" w:hAnsi="Arial"/>
          <w:noProof w:val="0"/>
          <w:rtl/>
        </w:rPr>
        <w:t xml:space="preserve">מצאות כלי הנשק ברכב. הנאשם סיפר על הקושי </w:t>
      </w:r>
      <w:r>
        <w:rPr>
          <w:rFonts w:ascii="Arial" w:hAnsi="Arial" w:hint="cs"/>
          <w:noProof w:val="0"/>
          <w:rtl/>
        </w:rPr>
        <w:t xml:space="preserve">שלו </w:t>
      </w:r>
      <w:r w:rsidRPr="002108E5">
        <w:rPr>
          <w:rFonts w:ascii="Arial" w:hAnsi="Arial"/>
          <w:noProof w:val="0"/>
          <w:rtl/>
        </w:rPr>
        <w:t>במעצר ב</w:t>
      </w:r>
      <w:r>
        <w:rPr>
          <w:rFonts w:ascii="Arial" w:hAnsi="Arial" w:hint="cs"/>
          <w:noProof w:val="0"/>
          <w:rtl/>
        </w:rPr>
        <w:t>שים לב ל</w:t>
      </w:r>
      <w:r w:rsidRPr="002108E5">
        <w:rPr>
          <w:rFonts w:ascii="Arial" w:hAnsi="Arial"/>
          <w:noProof w:val="0"/>
          <w:rtl/>
        </w:rPr>
        <w:t>גיל</w:t>
      </w:r>
      <w:r>
        <w:rPr>
          <w:rFonts w:ascii="Arial" w:hAnsi="Arial" w:hint="cs"/>
          <w:noProof w:val="0"/>
          <w:rtl/>
        </w:rPr>
        <w:t>ו</w:t>
      </w:r>
      <w:r w:rsidRPr="002108E5">
        <w:rPr>
          <w:rFonts w:ascii="Arial" w:hAnsi="Arial"/>
          <w:noProof w:val="0"/>
          <w:rtl/>
        </w:rPr>
        <w:t xml:space="preserve"> </w:t>
      </w:r>
      <w:r>
        <w:rPr>
          <w:rFonts w:ascii="Arial" w:hAnsi="Arial" w:hint="cs"/>
          <w:noProof w:val="0"/>
          <w:rtl/>
        </w:rPr>
        <w:t>ה</w:t>
      </w:r>
      <w:r w:rsidRPr="002108E5">
        <w:rPr>
          <w:rFonts w:ascii="Arial" w:hAnsi="Arial"/>
          <w:noProof w:val="0"/>
          <w:rtl/>
        </w:rPr>
        <w:t>צעיר והוסיף כי מעשיו אינם מאפיינים  אותו ואת משפחתו. הנאשם התנצל והצטער על מעשיו, גם בפני בני משפחתו שנכחו באולם הדיונים.</w:t>
      </w:r>
    </w:p>
    <w:p w14:paraId="6FDEA40D" w14:textId="77777777" w:rsidR="00964788" w:rsidRPr="002108E5" w:rsidRDefault="00964788" w:rsidP="00964788">
      <w:pPr>
        <w:spacing w:line="360" w:lineRule="auto"/>
        <w:ind w:left="302"/>
        <w:contextualSpacing/>
        <w:jc w:val="both"/>
        <w:rPr>
          <w:rFonts w:ascii="Arial" w:hAnsi="Arial"/>
          <w:noProof w:val="0"/>
          <w:rtl/>
        </w:rPr>
      </w:pPr>
    </w:p>
    <w:p w14:paraId="4B486A01" w14:textId="77777777" w:rsidR="00964788" w:rsidRPr="002108E5" w:rsidRDefault="00964788" w:rsidP="00964788">
      <w:pPr>
        <w:spacing w:line="360" w:lineRule="auto"/>
        <w:ind w:left="651" w:hanging="709"/>
        <w:jc w:val="both"/>
        <w:rPr>
          <w:rFonts w:ascii="Arial" w:hAnsi="Arial"/>
          <w:b/>
          <w:bCs/>
          <w:noProof w:val="0"/>
          <w:u w:val="single"/>
          <w:rtl/>
        </w:rPr>
      </w:pPr>
      <w:r w:rsidRPr="002108E5">
        <w:rPr>
          <w:rFonts w:ascii="Arial" w:hAnsi="Arial"/>
          <w:noProof w:val="0"/>
          <w:rtl/>
        </w:rPr>
        <w:tab/>
      </w:r>
      <w:r w:rsidRPr="002108E5">
        <w:rPr>
          <w:rFonts w:ascii="Arial" w:hAnsi="Arial"/>
          <w:b/>
          <w:bCs/>
          <w:noProof w:val="0"/>
          <w:u w:val="single"/>
          <w:rtl/>
        </w:rPr>
        <w:t>דיון והכרעה</w:t>
      </w:r>
    </w:p>
    <w:p w14:paraId="341775C4" w14:textId="77777777" w:rsidR="00964788" w:rsidRPr="002108E5" w:rsidRDefault="00964788" w:rsidP="00964788">
      <w:pPr>
        <w:numPr>
          <w:ilvl w:val="0"/>
          <w:numId w:val="1"/>
        </w:numPr>
        <w:spacing w:line="360" w:lineRule="auto"/>
        <w:ind w:left="651" w:hanging="709"/>
        <w:contextualSpacing/>
        <w:jc w:val="both"/>
        <w:rPr>
          <w:rFonts w:ascii="Arial" w:hAnsi="Arial"/>
          <w:noProof w:val="0"/>
          <w:rtl/>
        </w:rPr>
      </w:pPr>
      <w:r w:rsidRPr="002108E5">
        <w:rPr>
          <w:rFonts w:ascii="Arial" w:hAnsi="Arial"/>
          <w:noProof w:val="0"/>
          <w:rtl/>
        </w:rPr>
        <w:t>בענייננו הציגו הצדדים הסדר מסוג "הסדר טווח" במסגרתו המאשימה הגבילה את טיעוניה לעונש הולם של 45 חודשי מאסר ואילו ב"כ הנאשם טען באופן חופשי, ועתר לעונש שלא יעלה על 30 חודשי מאסר.</w:t>
      </w:r>
    </w:p>
    <w:p w14:paraId="030DAC09" w14:textId="77777777" w:rsidR="00964788" w:rsidRPr="002108E5" w:rsidRDefault="00964788" w:rsidP="00964788">
      <w:pPr>
        <w:spacing w:line="360" w:lineRule="auto"/>
        <w:ind w:left="360"/>
        <w:contextualSpacing/>
        <w:jc w:val="both"/>
        <w:rPr>
          <w:rFonts w:ascii="Arial" w:hAnsi="Arial"/>
          <w:noProof w:val="0"/>
          <w:rtl/>
        </w:rPr>
      </w:pPr>
    </w:p>
    <w:p w14:paraId="3E8D81DA" w14:textId="77777777" w:rsidR="00964788" w:rsidRPr="002108E5" w:rsidRDefault="00964788" w:rsidP="00964788">
      <w:pPr>
        <w:spacing w:line="360" w:lineRule="auto"/>
        <w:ind w:left="651" w:hanging="709"/>
        <w:jc w:val="both"/>
        <w:rPr>
          <w:rFonts w:ascii="Arial" w:hAnsi="Arial"/>
          <w:noProof w:val="0"/>
          <w:rtl/>
        </w:rPr>
      </w:pPr>
      <w:r w:rsidRPr="002108E5">
        <w:rPr>
          <w:rFonts w:ascii="Arial" w:hAnsi="Arial"/>
          <w:noProof w:val="0"/>
          <w:rtl/>
        </w:rPr>
        <w:tab/>
        <w:t xml:space="preserve">בפסיקת בית המשפט העליון </w:t>
      </w:r>
      <w:r>
        <w:rPr>
          <w:rFonts w:ascii="Arial" w:hAnsi="Arial" w:hint="cs"/>
          <w:noProof w:val="0"/>
          <w:rtl/>
        </w:rPr>
        <w:t>קיימות</w:t>
      </w:r>
      <w:r w:rsidRPr="002108E5">
        <w:rPr>
          <w:rFonts w:ascii="Arial" w:hAnsi="Arial"/>
          <w:noProof w:val="0"/>
          <w:rtl/>
        </w:rPr>
        <w:t xml:space="preserve"> גישות שונות ביחס לשאלה האם במסגרת הסדר שכזה פטור בית המשפט מחובתו לקבוע מתחם עונש הולם. מחד, קיימת גישה לפיה קביעת מתחם עונש הולם על-ידי בית המשפט היא אמירה נורמטיבית של בית המשפט </w:t>
      </w:r>
      <w:r>
        <w:rPr>
          <w:rFonts w:ascii="Arial" w:hAnsi="Arial" w:hint="cs"/>
          <w:noProof w:val="0"/>
          <w:rtl/>
        </w:rPr>
        <w:t>אשר</w:t>
      </w:r>
      <w:r>
        <w:rPr>
          <w:rFonts w:ascii="Arial" w:hAnsi="Arial"/>
          <w:noProof w:val="0"/>
          <w:rtl/>
        </w:rPr>
        <w:t xml:space="preserve"> צריכה להיאמר</w:t>
      </w:r>
      <w:r>
        <w:rPr>
          <w:rFonts w:ascii="Arial" w:hAnsi="Arial" w:hint="cs"/>
          <w:noProof w:val="0"/>
          <w:rtl/>
        </w:rPr>
        <w:t xml:space="preserve"> </w:t>
      </w:r>
      <w:r w:rsidRPr="002108E5">
        <w:rPr>
          <w:rFonts w:ascii="Arial" w:hAnsi="Arial"/>
          <w:noProof w:val="0"/>
          <w:rtl/>
        </w:rPr>
        <w:t xml:space="preserve">ללא קשר להסדר שבין הצדדים. מאידך, קיימת גישה לפיה בנסיבות דומות, של הסדרים "סגורים" או "הסדרי טווח", אין מקום לקביעת מתחמי עונש הולם. לעניין הגישות השונות ראו למשל </w:t>
      </w:r>
      <w:hyperlink r:id="rId14" w:history="1">
        <w:r w:rsidR="00EC1139" w:rsidRPr="00EC1139">
          <w:rPr>
            <w:rFonts w:ascii="Arial" w:hAnsi="Arial"/>
            <w:noProof w:val="0"/>
            <w:color w:val="0000FF"/>
            <w:u w:val="single"/>
            <w:rtl/>
          </w:rPr>
          <w:t>ע"פ 8109/15</w:t>
        </w:r>
      </w:hyperlink>
      <w:r w:rsidRPr="002108E5">
        <w:rPr>
          <w:rFonts w:ascii="Arial" w:hAnsi="Arial"/>
          <w:noProof w:val="0"/>
          <w:rtl/>
        </w:rPr>
        <w:t xml:space="preserve"> </w:t>
      </w:r>
      <w:r w:rsidRPr="002108E5">
        <w:rPr>
          <w:rFonts w:ascii="Arial" w:hAnsi="Arial"/>
          <w:b/>
          <w:bCs/>
          <w:noProof w:val="0"/>
          <w:rtl/>
        </w:rPr>
        <w:t>אהרון אביטן נ' מדינת ישראל</w:t>
      </w:r>
      <w:r w:rsidRPr="002108E5">
        <w:rPr>
          <w:rFonts w:ascii="Arial" w:hAnsi="Arial"/>
          <w:noProof w:val="0"/>
          <w:rtl/>
        </w:rPr>
        <w:t xml:space="preserve"> (פורסם בנבו, 09.06.2016), פסקה 8.</w:t>
      </w:r>
    </w:p>
    <w:p w14:paraId="55BB64F5" w14:textId="77777777" w:rsidR="00964788" w:rsidRPr="002108E5" w:rsidRDefault="00964788" w:rsidP="00964788">
      <w:pPr>
        <w:spacing w:line="360" w:lineRule="auto"/>
        <w:ind w:left="651" w:hanging="709"/>
        <w:jc w:val="both"/>
        <w:rPr>
          <w:rFonts w:ascii="Arial" w:hAnsi="Arial"/>
          <w:noProof w:val="0"/>
          <w:rtl/>
        </w:rPr>
      </w:pPr>
      <w:r w:rsidRPr="002108E5">
        <w:rPr>
          <w:rFonts w:ascii="Arial" w:hAnsi="Arial"/>
          <w:noProof w:val="0"/>
          <w:rtl/>
        </w:rPr>
        <w:tab/>
      </w:r>
      <w:r>
        <w:rPr>
          <w:rFonts w:ascii="Arial" w:hAnsi="Arial" w:hint="cs"/>
          <w:noProof w:val="0"/>
          <w:rtl/>
        </w:rPr>
        <w:t>לצד</w:t>
      </w:r>
      <w:r w:rsidRPr="002108E5">
        <w:rPr>
          <w:rFonts w:ascii="Arial" w:hAnsi="Arial"/>
          <w:noProof w:val="0"/>
          <w:rtl/>
        </w:rPr>
        <w:t xml:space="preserve"> האמור, קיימת גם גישת ביניים לפיה מקום בו הטווח המוצע על-ידי הצדדים נמצא בגדרו של מתחם העונש ההולם אליבא דבית המשפט, </w:t>
      </w:r>
      <w:r>
        <w:rPr>
          <w:rFonts w:ascii="Arial" w:hAnsi="Arial" w:hint="cs"/>
          <w:noProof w:val="0"/>
          <w:rtl/>
        </w:rPr>
        <w:t>אזי ש</w:t>
      </w:r>
      <w:r w:rsidRPr="002108E5">
        <w:rPr>
          <w:rFonts w:ascii="Arial" w:hAnsi="Arial"/>
          <w:noProof w:val="0"/>
          <w:rtl/>
        </w:rPr>
        <w:t xml:space="preserve">אין צורך בהרחבה ובפירוט של מתחם העונש ההולם. צורך שכזה יכול לקום בעיקר עת מוצא בית המשפט להטיל עונש שנמצא מחוץ לטווח המוסכם. בעניין זה ראו למשל </w:t>
      </w:r>
      <w:hyperlink r:id="rId15" w:history="1">
        <w:r w:rsidR="00EC1139" w:rsidRPr="00EC1139">
          <w:rPr>
            <w:rFonts w:ascii="Arial" w:hAnsi="Arial"/>
            <w:noProof w:val="0"/>
            <w:color w:val="0000FF"/>
            <w:u w:val="single"/>
            <w:rtl/>
          </w:rPr>
          <w:t>ע"פ 6943/16</w:t>
        </w:r>
      </w:hyperlink>
      <w:r w:rsidRPr="002108E5">
        <w:rPr>
          <w:rFonts w:ascii="Arial" w:hAnsi="Arial"/>
          <w:noProof w:val="0"/>
          <w:rtl/>
        </w:rPr>
        <w:t xml:space="preserve"> </w:t>
      </w:r>
      <w:r w:rsidRPr="002108E5">
        <w:rPr>
          <w:rFonts w:ascii="Arial" w:hAnsi="Arial"/>
          <w:b/>
          <w:bCs/>
          <w:noProof w:val="0"/>
          <w:rtl/>
        </w:rPr>
        <w:t>גנדי גלקין נ' מדינת ישראל</w:t>
      </w:r>
      <w:r w:rsidRPr="002108E5">
        <w:rPr>
          <w:rFonts w:ascii="Arial" w:hAnsi="Arial"/>
          <w:noProof w:val="0"/>
          <w:rtl/>
        </w:rPr>
        <w:t xml:space="preserve"> (פורסם בנבו, 28.01.2018), פסקה 3.</w:t>
      </w:r>
    </w:p>
    <w:p w14:paraId="111CF6E7" w14:textId="77777777" w:rsidR="00964788" w:rsidRPr="002108E5" w:rsidRDefault="00964788" w:rsidP="00964788">
      <w:pPr>
        <w:spacing w:line="360" w:lineRule="auto"/>
        <w:ind w:left="651" w:hanging="709"/>
        <w:jc w:val="both"/>
        <w:rPr>
          <w:rFonts w:ascii="Arial" w:hAnsi="Arial"/>
          <w:noProof w:val="0"/>
          <w:rtl/>
        </w:rPr>
      </w:pPr>
    </w:p>
    <w:p w14:paraId="1F38C4FA" w14:textId="77777777" w:rsidR="00964788" w:rsidRPr="002108E5" w:rsidRDefault="00964788" w:rsidP="00964788">
      <w:pPr>
        <w:spacing w:line="360" w:lineRule="auto"/>
        <w:ind w:left="651" w:hanging="709"/>
        <w:jc w:val="both"/>
        <w:rPr>
          <w:rFonts w:ascii="Arial" w:hAnsi="Arial"/>
          <w:noProof w:val="0"/>
          <w:rtl/>
        </w:rPr>
      </w:pPr>
      <w:r w:rsidRPr="002108E5">
        <w:rPr>
          <w:rFonts w:ascii="Arial" w:hAnsi="Arial"/>
          <w:noProof w:val="0"/>
          <w:rtl/>
        </w:rPr>
        <w:tab/>
        <w:t xml:space="preserve">סבורני כי נוכח אופיו של ההסדר, העובדה שהעונש אותו מצאתי להטיל על הנאשם נמצא בתוך טווח הטיעון </w:t>
      </w:r>
      <w:r>
        <w:rPr>
          <w:rFonts w:ascii="Arial" w:hAnsi="Arial" w:hint="cs"/>
          <w:noProof w:val="0"/>
          <w:rtl/>
        </w:rPr>
        <w:t xml:space="preserve">המוסכם </w:t>
      </w:r>
      <w:r w:rsidRPr="002108E5">
        <w:rPr>
          <w:rFonts w:ascii="Arial" w:hAnsi="Arial"/>
          <w:noProof w:val="0"/>
          <w:rtl/>
        </w:rPr>
        <w:t xml:space="preserve">של הצדדים, ובתוך מתחם העונש ההולם את האירוע, אין הכרח לשרטט במדויק את גבולות מתחם העונש ההולם בענייננו. </w:t>
      </w:r>
    </w:p>
    <w:p w14:paraId="5FE9621E" w14:textId="77777777" w:rsidR="00964788" w:rsidRPr="002108E5" w:rsidRDefault="00964788" w:rsidP="00964788">
      <w:pPr>
        <w:spacing w:line="360" w:lineRule="auto"/>
        <w:ind w:left="651" w:hanging="709"/>
        <w:jc w:val="both"/>
        <w:rPr>
          <w:rFonts w:ascii="Arial" w:hAnsi="Arial"/>
          <w:noProof w:val="0"/>
          <w:rtl/>
        </w:rPr>
      </w:pPr>
      <w:r w:rsidRPr="002108E5">
        <w:rPr>
          <w:rFonts w:ascii="Arial" w:hAnsi="Arial"/>
          <w:noProof w:val="0"/>
          <w:rtl/>
        </w:rPr>
        <w:tab/>
        <w:t xml:space="preserve">אחר כל זאת, פטור בלא כלום אי אפשר, וכדי להבין את מסקנתי בדבר העונש הראוי לנאשם, מצאתי לעמוד גם על השיקולים שמגבשים על דרך כלל את מתחם העונש ההולם. </w:t>
      </w:r>
    </w:p>
    <w:p w14:paraId="1765F4B0" w14:textId="77777777" w:rsidR="00964788" w:rsidRPr="002108E5" w:rsidRDefault="00964788" w:rsidP="00964788">
      <w:pPr>
        <w:spacing w:line="360" w:lineRule="auto"/>
        <w:ind w:left="651" w:hanging="709"/>
        <w:jc w:val="both"/>
        <w:rPr>
          <w:rFonts w:ascii="Arial" w:hAnsi="Arial"/>
          <w:noProof w:val="0"/>
          <w:rtl/>
        </w:rPr>
      </w:pPr>
    </w:p>
    <w:p w14:paraId="3D68CAF8" w14:textId="77777777" w:rsidR="00964788" w:rsidRPr="002108E5" w:rsidRDefault="00964788" w:rsidP="00964788">
      <w:pPr>
        <w:spacing w:line="360" w:lineRule="auto"/>
        <w:ind w:left="651" w:hanging="709"/>
        <w:jc w:val="both"/>
        <w:rPr>
          <w:rFonts w:ascii="Arial" w:hAnsi="Arial"/>
          <w:noProof w:val="0"/>
          <w:rtl/>
        </w:rPr>
      </w:pPr>
      <w:r w:rsidRPr="002108E5">
        <w:rPr>
          <w:rFonts w:ascii="Arial" w:hAnsi="Arial"/>
          <w:noProof w:val="0"/>
          <w:rtl/>
        </w:rPr>
        <w:t>12.</w:t>
      </w:r>
      <w:r w:rsidRPr="002108E5">
        <w:rPr>
          <w:rFonts w:ascii="Arial" w:hAnsi="Arial"/>
          <w:noProof w:val="0"/>
          <w:rtl/>
        </w:rPr>
        <w:tab/>
        <w:t>הנאשם פגע בערכים של שמירה על שלום הציבור ובטחונו, לרבות הגנה על חיי אדם, שמירה על שלטון החוק והסדר הציבורי.</w:t>
      </w:r>
    </w:p>
    <w:p w14:paraId="783F6D6C" w14:textId="77777777" w:rsidR="00964788" w:rsidRPr="002108E5" w:rsidRDefault="00964788" w:rsidP="00964788">
      <w:pPr>
        <w:spacing w:line="360" w:lineRule="auto"/>
        <w:ind w:left="651" w:hanging="709"/>
        <w:jc w:val="both"/>
        <w:rPr>
          <w:rFonts w:ascii="Arial" w:hAnsi="Arial"/>
          <w:noProof w:val="0"/>
          <w:rtl/>
        </w:rPr>
      </w:pPr>
      <w:r w:rsidRPr="002108E5">
        <w:rPr>
          <w:rFonts w:ascii="Arial" w:hAnsi="Arial"/>
          <w:noProof w:val="0"/>
          <w:rtl/>
        </w:rPr>
        <w:tab/>
        <w:t xml:space="preserve">ניסיון החיים במציאות הישראלית  מלמד כי ישנו בסיס מוצק לחשש כי נשק שהוחזק </w:t>
      </w:r>
      <w:r>
        <w:rPr>
          <w:rFonts w:ascii="Arial" w:hAnsi="Arial" w:hint="cs"/>
          <w:noProof w:val="0"/>
          <w:rtl/>
        </w:rPr>
        <w:t xml:space="preserve">או הובל </w:t>
      </w:r>
      <w:r w:rsidRPr="002108E5">
        <w:rPr>
          <w:rFonts w:ascii="Arial" w:hAnsi="Arial"/>
          <w:noProof w:val="0"/>
          <w:rtl/>
        </w:rPr>
        <w:t>באופן לא חוקי יימצא בסופו של יום בידי גורמים עברייניים או עוינים שיעשו בו שימוש לפגיעה בגוף ובנפש. ב</w:t>
      </w:r>
      <w:hyperlink r:id="rId16" w:history="1">
        <w:r w:rsidR="00EC1139" w:rsidRPr="00EC1139">
          <w:rPr>
            <w:rFonts w:ascii="Arial" w:hAnsi="Arial"/>
            <w:noProof w:val="0"/>
            <w:color w:val="0000FF"/>
            <w:u w:val="single"/>
            <w:rtl/>
          </w:rPr>
          <w:t>ע"פ 5220/09</w:t>
        </w:r>
      </w:hyperlink>
      <w:r w:rsidRPr="002108E5">
        <w:rPr>
          <w:rFonts w:ascii="Arial" w:hAnsi="Arial"/>
          <w:noProof w:val="0"/>
          <w:rtl/>
        </w:rPr>
        <w:t xml:space="preserve"> </w:t>
      </w:r>
      <w:r w:rsidRPr="002108E5">
        <w:rPr>
          <w:rFonts w:ascii="Arial" w:hAnsi="Arial"/>
          <w:b/>
          <w:bCs/>
          <w:noProof w:val="0"/>
          <w:rtl/>
        </w:rPr>
        <w:t>הייתם עוואודה נ' מדינת ישראל</w:t>
      </w:r>
      <w:r w:rsidRPr="002108E5">
        <w:rPr>
          <w:rFonts w:ascii="Arial" w:hAnsi="Arial"/>
          <w:noProof w:val="0"/>
          <w:rtl/>
        </w:rPr>
        <w:t xml:space="preserve"> (פורסם בנבו, 30.12.2009) (להלן :"עניין עוואודה") התייחס בית המשפט העליון לחומרה שבעבירות הנשק: </w:t>
      </w:r>
    </w:p>
    <w:p w14:paraId="3455C691" w14:textId="77777777" w:rsidR="00964788" w:rsidRPr="002108E5" w:rsidRDefault="00964788" w:rsidP="00964788">
      <w:pPr>
        <w:spacing w:line="360" w:lineRule="auto"/>
        <w:ind w:left="651" w:hanging="709"/>
        <w:jc w:val="both"/>
        <w:rPr>
          <w:rFonts w:ascii="Arial" w:hAnsi="Arial"/>
          <w:b/>
          <w:bCs/>
          <w:noProof w:val="0"/>
          <w:rtl/>
        </w:rPr>
      </w:pPr>
      <w:r w:rsidRPr="002108E5">
        <w:rPr>
          <w:rFonts w:ascii="Arial" w:hAnsi="Arial"/>
          <w:noProof w:val="0"/>
          <w:rtl/>
        </w:rPr>
        <w:tab/>
      </w:r>
      <w:r w:rsidRPr="002108E5">
        <w:rPr>
          <w:rFonts w:ascii="Arial" w:hAnsi="Arial"/>
          <w:b/>
          <w:bCs/>
          <w:noProof w:val="0"/>
          <w:rtl/>
        </w:rPr>
        <w:t xml:space="preserve">"...נשק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 </w:t>
      </w:r>
    </w:p>
    <w:p w14:paraId="59AF65BE" w14:textId="77777777" w:rsidR="00964788" w:rsidRPr="002108E5" w:rsidRDefault="00964788" w:rsidP="00964788">
      <w:pPr>
        <w:spacing w:line="360" w:lineRule="auto"/>
        <w:ind w:left="651" w:hanging="709"/>
        <w:jc w:val="both"/>
        <w:rPr>
          <w:rFonts w:ascii="Arial" w:hAnsi="Arial"/>
          <w:noProof w:val="0"/>
          <w:rtl/>
        </w:rPr>
      </w:pPr>
    </w:p>
    <w:p w14:paraId="38DF0549" w14:textId="77777777" w:rsidR="00964788" w:rsidRPr="002108E5" w:rsidRDefault="00964788" w:rsidP="00964788">
      <w:pPr>
        <w:spacing w:line="360" w:lineRule="auto"/>
        <w:ind w:left="651" w:hanging="709"/>
        <w:jc w:val="both"/>
        <w:rPr>
          <w:rFonts w:ascii="Arial" w:hAnsi="Arial"/>
          <w:noProof w:val="0"/>
          <w:rtl/>
        </w:rPr>
      </w:pPr>
      <w:r w:rsidRPr="002108E5">
        <w:rPr>
          <w:rFonts w:ascii="Arial" w:hAnsi="Arial"/>
          <w:noProof w:val="0"/>
          <w:rtl/>
        </w:rPr>
        <w:t>13.</w:t>
      </w:r>
      <w:r w:rsidRPr="002108E5">
        <w:rPr>
          <w:rFonts w:ascii="Arial" w:hAnsi="Arial"/>
          <w:noProof w:val="0"/>
          <w:rtl/>
        </w:rPr>
        <w:tab/>
        <w:t>בענייננו, מידת הפגיע</w:t>
      </w:r>
      <w:r>
        <w:rPr>
          <w:rFonts w:ascii="Arial" w:hAnsi="Arial"/>
          <w:noProof w:val="0"/>
          <w:rtl/>
        </w:rPr>
        <w:t xml:space="preserve">ה בערכים המוגנים </w:t>
      </w:r>
      <w:r w:rsidRPr="002108E5">
        <w:rPr>
          <w:rFonts w:ascii="Arial" w:hAnsi="Arial"/>
          <w:noProof w:val="0"/>
          <w:rtl/>
        </w:rPr>
        <w:t>היא משמעותית וזאת</w:t>
      </w:r>
      <w:r>
        <w:rPr>
          <w:rFonts w:ascii="Arial" w:hAnsi="Arial"/>
          <w:noProof w:val="0"/>
          <w:rtl/>
        </w:rPr>
        <w:t xml:space="preserve"> </w:t>
      </w:r>
      <w:r>
        <w:rPr>
          <w:rFonts w:ascii="Arial" w:hAnsi="Arial" w:hint="cs"/>
          <w:noProof w:val="0"/>
          <w:rtl/>
        </w:rPr>
        <w:t xml:space="preserve">בשל </w:t>
      </w:r>
      <w:r w:rsidRPr="002108E5">
        <w:rPr>
          <w:rFonts w:ascii="Arial" w:hAnsi="Arial"/>
          <w:noProof w:val="0"/>
          <w:rtl/>
        </w:rPr>
        <w:t xml:space="preserve">סוג כלי הנשק </w:t>
      </w:r>
      <w:r>
        <w:rPr>
          <w:rFonts w:ascii="Arial" w:hAnsi="Arial" w:hint="cs"/>
          <w:noProof w:val="0"/>
          <w:rtl/>
        </w:rPr>
        <w:t xml:space="preserve">שהובלו </w:t>
      </w:r>
      <w:r w:rsidRPr="002108E5">
        <w:rPr>
          <w:rFonts w:ascii="Arial" w:hAnsi="Arial"/>
          <w:noProof w:val="0"/>
          <w:rtl/>
        </w:rPr>
        <w:t>(רובה סער מסוג</w:t>
      </w:r>
      <w:r w:rsidRPr="002108E5">
        <w:rPr>
          <w:rFonts w:ascii="Arial" w:hAnsi="Arial"/>
          <w:noProof w:val="0"/>
        </w:rPr>
        <w:t xml:space="preserve">M-16 </w:t>
      </w:r>
      <w:r w:rsidRPr="002108E5">
        <w:rPr>
          <w:rFonts w:ascii="Arial" w:hAnsi="Arial"/>
          <w:noProof w:val="0"/>
          <w:rtl/>
        </w:rPr>
        <w:t xml:space="preserve"> ואקדחים חצי אוטומטיים), מספר כלי הנשק </w:t>
      </w:r>
      <w:r>
        <w:rPr>
          <w:rFonts w:ascii="Arial" w:hAnsi="Arial" w:hint="cs"/>
          <w:noProof w:val="0"/>
          <w:rtl/>
        </w:rPr>
        <w:t xml:space="preserve">שהובלו </w:t>
      </w:r>
      <w:r w:rsidRPr="002108E5">
        <w:rPr>
          <w:rFonts w:ascii="Arial" w:hAnsi="Arial"/>
          <w:noProof w:val="0"/>
          <w:rtl/>
        </w:rPr>
        <w:t xml:space="preserve">והבריחה מהמשטרה תוך עקיפת מחסום ומרדף רכוב ורגלי.  </w:t>
      </w:r>
    </w:p>
    <w:p w14:paraId="5EDAA480" w14:textId="77777777" w:rsidR="00964788" w:rsidRPr="002108E5" w:rsidRDefault="00964788" w:rsidP="00964788">
      <w:pPr>
        <w:spacing w:line="360" w:lineRule="auto"/>
        <w:ind w:left="651" w:hanging="709"/>
        <w:jc w:val="both"/>
        <w:rPr>
          <w:rFonts w:ascii="Arial" w:hAnsi="Arial"/>
          <w:noProof w:val="0"/>
          <w:rtl/>
        </w:rPr>
      </w:pPr>
    </w:p>
    <w:p w14:paraId="04E59A52" w14:textId="77777777" w:rsidR="00964788" w:rsidRPr="002108E5" w:rsidRDefault="00964788" w:rsidP="00964788">
      <w:pPr>
        <w:numPr>
          <w:ilvl w:val="0"/>
          <w:numId w:val="2"/>
        </w:numPr>
        <w:spacing w:line="360" w:lineRule="auto"/>
        <w:ind w:left="651" w:hanging="709"/>
        <w:contextualSpacing/>
        <w:jc w:val="both"/>
        <w:rPr>
          <w:rFonts w:ascii="Arial" w:hAnsi="Arial"/>
          <w:noProof w:val="0"/>
        </w:rPr>
      </w:pPr>
      <w:r w:rsidRPr="002108E5">
        <w:rPr>
          <w:rFonts w:ascii="Arial" w:hAnsi="Arial"/>
          <w:noProof w:val="0"/>
          <w:rtl/>
        </w:rPr>
        <w:t xml:space="preserve">באשר לנסיבות ביצוע העבירה נתתי דעתי למספר כלי הנשק, לסוג כלי הנשק (רובה סער ושני אקדחים חצי אוטומטיים), לעובדה כי אלו הובלו ברכב, לעובדה שמדובר ברכב של הנאשם אשר הנאשם נהג בו, לעובדה כי הנאשם לא שעה להוראות השוטרים והחל בבריחה רכובה ובהמשך רגלית, לעובדה שהנאשם נמלט מהרכב כששני האקדחים עמו (עובדה שעומדת בסתירה לטענת הנאשם בפני שירות המבחן לפיה לא היה לו אינטרס אישי בהחזקת כלי הנשק) ולעובדה שהעבירות בוצעו על-ידי מספר מעורבים. </w:t>
      </w:r>
    </w:p>
    <w:p w14:paraId="775DEAC4" w14:textId="77777777" w:rsidR="00964788" w:rsidRPr="002108E5" w:rsidRDefault="00964788" w:rsidP="00964788">
      <w:pPr>
        <w:spacing w:line="360" w:lineRule="auto"/>
        <w:ind w:left="651" w:hanging="709"/>
        <w:contextualSpacing/>
        <w:jc w:val="both"/>
        <w:rPr>
          <w:rFonts w:ascii="Arial" w:hAnsi="Arial"/>
          <w:noProof w:val="0"/>
          <w:rtl/>
        </w:rPr>
      </w:pPr>
      <w:r w:rsidRPr="002108E5">
        <w:rPr>
          <w:rFonts w:ascii="Arial" w:hAnsi="Arial"/>
          <w:noProof w:val="0"/>
          <w:rtl/>
        </w:rPr>
        <w:tab/>
        <w:t>מאידך, נתתי משקל לעובדה כי</w:t>
      </w:r>
      <w:r>
        <w:rPr>
          <w:rFonts w:ascii="Arial" w:hAnsi="Arial"/>
          <w:noProof w:val="0"/>
          <w:rtl/>
        </w:rPr>
        <w:t xml:space="preserve"> כלי הנשק הובלו ללא תחמושת לצדם</w:t>
      </w:r>
      <w:r>
        <w:rPr>
          <w:rFonts w:ascii="Arial" w:hAnsi="Arial" w:hint="cs"/>
          <w:noProof w:val="0"/>
          <w:rtl/>
        </w:rPr>
        <w:t xml:space="preserve"> ולעובדה</w:t>
      </w:r>
      <w:r w:rsidRPr="002108E5">
        <w:rPr>
          <w:rFonts w:ascii="Arial" w:hAnsi="Arial"/>
          <w:noProof w:val="0"/>
          <w:rtl/>
        </w:rPr>
        <w:t xml:space="preserve"> כי כלי הנשק נת</w:t>
      </w:r>
      <w:r>
        <w:rPr>
          <w:rFonts w:ascii="Arial" w:hAnsi="Arial"/>
          <w:noProof w:val="0"/>
          <w:rtl/>
        </w:rPr>
        <w:t>פסו ובכך צומצמה מידת הנזק שעלול</w:t>
      </w:r>
      <w:r w:rsidRPr="002108E5">
        <w:rPr>
          <w:rFonts w:ascii="Arial" w:hAnsi="Arial"/>
          <w:noProof w:val="0"/>
          <w:rtl/>
        </w:rPr>
        <w:t xml:space="preserve"> להיגרם לציבור</w:t>
      </w:r>
      <w:r>
        <w:rPr>
          <w:rFonts w:ascii="Arial" w:hAnsi="Arial" w:hint="cs"/>
          <w:noProof w:val="0"/>
          <w:rtl/>
        </w:rPr>
        <w:t xml:space="preserve"> כתוצאה מביצוע העבירות</w:t>
      </w:r>
      <w:r w:rsidRPr="002108E5">
        <w:rPr>
          <w:rFonts w:ascii="Arial" w:hAnsi="Arial"/>
          <w:noProof w:val="0"/>
          <w:rtl/>
        </w:rPr>
        <w:t xml:space="preserve">. כן נתתי דעתי לכך שמעובדות כתב האישום המתוקן בשנית לא ברור כמה זמן ולאיזה מרחק הובלו כלי הנשק על ידי הנאשם ומכאן שהספק צריך לפעול לטובת הנאשם </w:t>
      </w:r>
      <w:r>
        <w:rPr>
          <w:rFonts w:ascii="Arial" w:hAnsi="Arial" w:hint="cs"/>
          <w:noProof w:val="0"/>
          <w:rtl/>
        </w:rPr>
        <w:t xml:space="preserve">בעניין זה, וזאת </w:t>
      </w:r>
      <w:r w:rsidRPr="002108E5">
        <w:rPr>
          <w:rFonts w:ascii="Arial" w:hAnsi="Arial"/>
          <w:noProof w:val="0"/>
          <w:rtl/>
        </w:rPr>
        <w:t xml:space="preserve">בהיצמד </w:t>
      </w:r>
      <w:r>
        <w:rPr>
          <w:rFonts w:ascii="Arial" w:hAnsi="Arial" w:hint="cs"/>
          <w:noProof w:val="0"/>
          <w:rtl/>
        </w:rPr>
        <w:t xml:space="preserve">כמובן </w:t>
      </w:r>
      <w:r w:rsidRPr="002108E5">
        <w:rPr>
          <w:rFonts w:ascii="Arial" w:hAnsi="Arial"/>
          <w:noProof w:val="0"/>
          <w:rtl/>
        </w:rPr>
        <w:t xml:space="preserve">לעובדות כתב האישום המתוקן בשנית. </w:t>
      </w:r>
    </w:p>
    <w:p w14:paraId="69045D22" w14:textId="77777777" w:rsidR="00964788" w:rsidRPr="002108E5" w:rsidRDefault="00964788" w:rsidP="00964788">
      <w:pPr>
        <w:spacing w:line="360" w:lineRule="auto"/>
        <w:ind w:left="651" w:hanging="709"/>
        <w:contextualSpacing/>
        <w:jc w:val="both"/>
        <w:rPr>
          <w:rFonts w:ascii="Arial" w:hAnsi="Arial"/>
          <w:noProof w:val="0"/>
          <w:rtl/>
        </w:rPr>
      </w:pPr>
    </w:p>
    <w:p w14:paraId="6775CBF9" w14:textId="77777777" w:rsidR="00964788" w:rsidRPr="002108E5" w:rsidRDefault="00964788" w:rsidP="00964788">
      <w:pPr>
        <w:spacing w:line="360" w:lineRule="auto"/>
        <w:ind w:left="651" w:hanging="709"/>
        <w:jc w:val="both"/>
        <w:rPr>
          <w:rFonts w:ascii="Arial" w:hAnsi="Arial"/>
          <w:noProof w:val="0"/>
          <w:rtl/>
        </w:rPr>
      </w:pPr>
      <w:r w:rsidRPr="002108E5">
        <w:rPr>
          <w:rFonts w:ascii="Arial" w:hAnsi="Arial"/>
          <w:noProof w:val="0"/>
          <w:rtl/>
        </w:rPr>
        <w:t>15.</w:t>
      </w:r>
      <w:r w:rsidRPr="002108E5">
        <w:rPr>
          <w:rFonts w:ascii="Arial" w:hAnsi="Arial"/>
          <w:noProof w:val="0"/>
          <w:rtl/>
        </w:rPr>
        <w:tab/>
        <w:t xml:space="preserve">ביחס לענישה הנוהגת קבע בית המשפט העליון כי יש לתת ביטוי עונשי הולם ומרתיע לעבירות הנשק ולתת משקל גבוה לאינטרס הציבורי ולצורך להרתיע עבריינים מפני ביצוע עבירות דומות. בית המשפט העליון חזר והדגיש בשנים האחרונות פעם אחר פעם אודות הצורך בהחמרה בענישה בעבירות נשק. לעניין זה ראו </w:t>
      </w:r>
      <w:hyperlink r:id="rId17" w:history="1">
        <w:r w:rsidR="00EC1139" w:rsidRPr="00EC1139">
          <w:rPr>
            <w:rFonts w:ascii="Arial" w:hAnsi="Arial"/>
            <w:noProof w:val="0"/>
            <w:color w:val="0000FF"/>
            <w:u w:val="single"/>
            <w:rtl/>
          </w:rPr>
          <w:t>ע"פ 2564/19</w:t>
        </w:r>
      </w:hyperlink>
      <w:r w:rsidRPr="002108E5">
        <w:rPr>
          <w:rFonts w:ascii="Arial" w:hAnsi="Arial"/>
          <w:noProof w:val="0"/>
          <w:rtl/>
        </w:rPr>
        <w:t xml:space="preserve"> </w:t>
      </w:r>
      <w:r w:rsidRPr="002108E5">
        <w:rPr>
          <w:rFonts w:ascii="Arial" w:hAnsi="Arial"/>
          <w:b/>
          <w:bCs/>
          <w:noProof w:val="0"/>
          <w:rtl/>
        </w:rPr>
        <w:t>איברהים אזברגה נ' מדינת ישראל</w:t>
      </w:r>
      <w:r w:rsidRPr="002108E5">
        <w:rPr>
          <w:rFonts w:ascii="Arial" w:hAnsi="Arial"/>
          <w:noProof w:val="0"/>
          <w:rtl/>
        </w:rPr>
        <w:t xml:space="preserve"> (פורסם בנבו, 27.6.2019 ), פסקה 10:</w:t>
      </w:r>
    </w:p>
    <w:p w14:paraId="2D1EFB81" w14:textId="77777777" w:rsidR="00964788" w:rsidRPr="002108E5" w:rsidRDefault="00964788" w:rsidP="00964788">
      <w:pPr>
        <w:spacing w:line="360" w:lineRule="auto"/>
        <w:ind w:left="1361" w:right="567"/>
        <w:jc w:val="both"/>
        <w:rPr>
          <w:rFonts w:ascii="Arial" w:hAnsi="Arial"/>
          <w:noProof w:val="0"/>
          <w:rtl/>
        </w:rPr>
      </w:pPr>
      <w:r w:rsidRPr="002108E5">
        <w:rPr>
          <w:rFonts w:ascii="Arial" w:hAnsi="Arial"/>
          <w:b/>
          <w:bCs/>
          <w:noProof w:val="0"/>
          <w:rtl/>
        </w:rPr>
        <w:t xml:space="preserve">"קיימת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w:t>
      </w:r>
      <w:r w:rsidRPr="002108E5">
        <w:rPr>
          <w:rFonts w:ascii="Arial" w:hAnsi="Arial"/>
          <w:b/>
          <w:bCs/>
          <w:noProof w:val="0"/>
          <w:u w:val="single"/>
          <w:rtl/>
        </w:rPr>
        <w:t>ברירת המחדל בעבירות נשק היא אפוא מאסר בפועל גם כאשר הנאשם נעדר עבר פלילי...</w:t>
      </w:r>
      <w:r w:rsidRPr="002108E5">
        <w:rPr>
          <w:rFonts w:ascii="Arial" w:hAnsi="Arial"/>
          <w:noProof w:val="0"/>
          <w:rtl/>
        </w:rPr>
        <w:t>" (דגש לא במקור, י', ל').</w:t>
      </w:r>
    </w:p>
    <w:p w14:paraId="18A35ADC" w14:textId="77777777" w:rsidR="00964788" w:rsidRPr="002108E5" w:rsidRDefault="00964788" w:rsidP="00964788">
      <w:pPr>
        <w:spacing w:line="360" w:lineRule="auto"/>
        <w:ind w:left="720" w:hanging="720"/>
        <w:jc w:val="both"/>
        <w:rPr>
          <w:rFonts w:ascii="Arial" w:hAnsi="Arial"/>
          <w:b/>
          <w:bCs/>
          <w:noProof w:val="0"/>
          <w:rtl/>
        </w:rPr>
      </w:pPr>
    </w:p>
    <w:p w14:paraId="4DE158FA" w14:textId="77777777" w:rsidR="00964788" w:rsidRPr="002108E5" w:rsidRDefault="00964788" w:rsidP="00964788">
      <w:pPr>
        <w:spacing w:line="360" w:lineRule="auto"/>
        <w:ind w:left="651" w:hanging="709"/>
        <w:jc w:val="both"/>
        <w:rPr>
          <w:rFonts w:ascii="Arial" w:hAnsi="Arial"/>
          <w:b/>
          <w:bCs/>
          <w:noProof w:val="0"/>
          <w:rtl/>
        </w:rPr>
      </w:pPr>
      <w:r w:rsidRPr="002108E5">
        <w:rPr>
          <w:rFonts w:ascii="Arial" w:hAnsi="Arial"/>
          <w:noProof w:val="0"/>
          <w:rtl/>
        </w:rPr>
        <w:tab/>
        <w:t xml:space="preserve">וכן </w:t>
      </w:r>
      <w:hyperlink r:id="rId18" w:history="1">
        <w:r w:rsidR="00EC1139" w:rsidRPr="00EC1139">
          <w:rPr>
            <w:rFonts w:ascii="Arial" w:hAnsi="Arial"/>
            <w:noProof w:val="0"/>
            <w:color w:val="0000FF"/>
            <w:u w:val="single"/>
            <w:rtl/>
          </w:rPr>
          <w:t>ע"פ 5330/20</w:t>
        </w:r>
      </w:hyperlink>
      <w:r w:rsidRPr="002108E5">
        <w:rPr>
          <w:rFonts w:ascii="Arial" w:hAnsi="Arial"/>
          <w:noProof w:val="0"/>
          <w:rtl/>
        </w:rPr>
        <w:t xml:space="preserve"> </w:t>
      </w:r>
      <w:r w:rsidRPr="002108E5">
        <w:rPr>
          <w:rFonts w:ascii="Arial" w:hAnsi="Arial"/>
          <w:b/>
          <w:bCs/>
          <w:noProof w:val="0"/>
          <w:rtl/>
        </w:rPr>
        <w:t>סמיר ענבתאוי נ' מדינת ישראל</w:t>
      </w:r>
      <w:r w:rsidRPr="002108E5">
        <w:rPr>
          <w:rFonts w:ascii="Arial" w:hAnsi="Arial"/>
          <w:noProof w:val="0"/>
          <w:rtl/>
        </w:rPr>
        <w:t xml:space="preserve"> (פורסם בנבו, 22.11.2020), פסקה 14:</w:t>
      </w:r>
    </w:p>
    <w:p w14:paraId="591F4B5B" w14:textId="77777777" w:rsidR="00964788" w:rsidRPr="002108E5" w:rsidRDefault="00964788" w:rsidP="00964788">
      <w:pPr>
        <w:spacing w:line="360" w:lineRule="auto"/>
        <w:ind w:left="1361" w:right="567"/>
        <w:jc w:val="both"/>
        <w:rPr>
          <w:rFonts w:ascii="Arial" w:hAnsi="Arial"/>
          <w:noProof w:val="0"/>
          <w:rtl/>
        </w:rPr>
      </w:pPr>
      <w:r w:rsidRPr="002108E5">
        <w:rPr>
          <w:rFonts w:ascii="Arial" w:hAnsi="Arial"/>
          <w:b/>
          <w:bCs/>
          <w:noProof w:val="0"/>
          <w:rtl/>
        </w:rPr>
        <w:t xml:space="preserve">"בלב הדברים, עומדת החומרה היתרה הנודעת לביצוע עבירות בנשק, לסוגיהן. בית משפט זה חזר ועמד בפסיקתו, לרבות בשנים האחרונות, על הסכנה הממשית הגלומה בעבירות אלה לשלום הציבור ולביטחונו ועל הצורך האקוטי במיגורן, ובכלל זה על הצורך בהחמרת הענישה. </w:t>
      </w:r>
      <w:r w:rsidRPr="002108E5">
        <w:rPr>
          <w:rFonts w:ascii="Arial" w:hAnsi="Arial"/>
          <w:b/>
          <w:bCs/>
          <w:noProof w:val="0"/>
          <w:u w:val="single"/>
          <w:rtl/>
        </w:rPr>
        <w:t>ככלל, עונשם של המעורבים בעבירות בנשק הוא מאסר ממושך לריצוי בפועל, אף אם הם נעדרים עבר פלילי מכל סוג שהוא וזו להם העבירה הראשונה...וכך גם אם מדובר בבגירים צעירים, במקרים המתאימים</w:t>
      </w:r>
      <w:r w:rsidRPr="002108E5">
        <w:rPr>
          <w:rFonts w:ascii="Arial" w:hAnsi="Arial"/>
          <w:b/>
          <w:bCs/>
          <w:noProof w:val="0"/>
          <w:rtl/>
        </w:rPr>
        <w:t>...יתרה מכך, בשל החומרה היתרה שבעבירות אלו והסיכון הגבוה שיש בהן לשלום הציבור ניתן משקל רב יותר לאינטרס הציבורי ולשיקולי ההרתעה"</w:t>
      </w:r>
      <w:r w:rsidRPr="002108E5">
        <w:rPr>
          <w:rFonts w:ascii="Arial" w:hAnsi="Arial"/>
          <w:noProof w:val="0"/>
          <w:rtl/>
        </w:rPr>
        <w:t xml:space="preserve"> (דגש לא במקור, י', ל').</w:t>
      </w:r>
    </w:p>
    <w:p w14:paraId="209AC86A" w14:textId="77777777" w:rsidR="00964788" w:rsidRPr="002108E5" w:rsidRDefault="00964788" w:rsidP="00964788">
      <w:pPr>
        <w:spacing w:line="360" w:lineRule="auto"/>
        <w:ind w:left="651" w:hanging="709"/>
        <w:jc w:val="both"/>
        <w:rPr>
          <w:rFonts w:ascii="Arial" w:hAnsi="Arial"/>
          <w:noProof w:val="0"/>
          <w:rtl/>
        </w:rPr>
      </w:pPr>
    </w:p>
    <w:p w14:paraId="6D0742A0" w14:textId="77777777" w:rsidR="00964788" w:rsidRPr="002108E5" w:rsidRDefault="00964788" w:rsidP="00964788">
      <w:pPr>
        <w:spacing w:line="360" w:lineRule="auto"/>
        <w:ind w:left="651" w:hanging="709"/>
        <w:jc w:val="both"/>
        <w:rPr>
          <w:rFonts w:ascii="Arial" w:hAnsi="Arial"/>
          <w:noProof w:val="0"/>
          <w:rtl/>
        </w:rPr>
      </w:pPr>
      <w:r w:rsidRPr="002108E5">
        <w:rPr>
          <w:rFonts w:ascii="Arial" w:hAnsi="Arial"/>
          <w:noProof w:val="0"/>
          <w:rtl/>
        </w:rPr>
        <w:tab/>
        <w:t>ב</w:t>
      </w:r>
      <w:hyperlink r:id="rId19" w:history="1">
        <w:r w:rsidR="00EC1139" w:rsidRPr="00EC1139">
          <w:rPr>
            <w:rFonts w:ascii="Arial" w:hAnsi="Arial"/>
            <w:noProof w:val="0"/>
            <w:color w:val="0000FF"/>
            <w:u w:val="single"/>
            <w:rtl/>
          </w:rPr>
          <w:t>ע"פ 5520/20</w:t>
        </w:r>
      </w:hyperlink>
      <w:r w:rsidRPr="002108E5">
        <w:rPr>
          <w:rFonts w:ascii="Arial" w:hAnsi="Arial"/>
          <w:noProof w:val="0"/>
          <w:rtl/>
        </w:rPr>
        <w:t xml:space="preserve"> </w:t>
      </w:r>
      <w:r w:rsidRPr="002108E5">
        <w:rPr>
          <w:rFonts w:ascii="Arial" w:hAnsi="Arial"/>
          <w:b/>
          <w:bCs/>
          <w:noProof w:val="0"/>
          <w:rtl/>
        </w:rPr>
        <w:t>נזאר חלייחל נ' מדינת ישראל</w:t>
      </w:r>
      <w:r w:rsidRPr="002108E5">
        <w:rPr>
          <w:rFonts w:ascii="Arial" w:hAnsi="Arial"/>
          <w:noProof w:val="0"/>
          <w:rtl/>
        </w:rPr>
        <w:t xml:space="preserve"> (פורסם בנבו, 24.2.2021), דחה בית המשפט העליון את ערעורו של נאשם שהורשע בעבירה של הובלה ונשיאה של נשק והותיר על כנו עונש של 36 חודשי מאסר (לא כולל הפעלת מאסר מותנה).</w:t>
      </w:r>
    </w:p>
    <w:p w14:paraId="4A93F633" w14:textId="77777777" w:rsidR="00964788" w:rsidRPr="002108E5" w:rsidRDefault="00964788" w:rsidP="00964788">
      <w:pPr>
        <w:spacing w:line="360" w:lineRule="auto"/>
        <w:ind w:left="651" w:hanging="709"/>
        <w:jc w:val="both"/>
        <w:rPr>
          <w:rFonts w:ascii="Arial" w:hAnsi="Arial"/>
          <w:noProof w:val="0"/>
          <w:rtl/>
        </w:rPr>
      </w:pPr>
    </w:p>
    <w:p w14:paraId="2958E8F5" w14:textId="77777777" w:rsidR="00964788" w:rsidRPr="002108E5" w:rsidRDefault="00964788" w:rsidP="00964788">
      <w:pPr>
        <w:spacing w:line="360" w:lineRule="auto"/>
        <w:ind w:left="651" w:hanging="709"/>
        <w:jc w:val="both"/>
        <w:rPr>
          <w:rFonts w:ascii="Arial" w:hAnsi="Arial"/>
          <w:noProof w:val="0"/>
          <w:rtl/>
        </w:rPr>
      </w:pPr>
      <w:r w:rsidRPr="002108E5">
        <w:rPr>
          <w:rFonts w:ascii="Arial" w:hAnsi="Arial"/>
          <w:noProof w:val="0"/>
          <w:rtl/>
        </w:rPr>
        <w:tab/>
        <w:t>ב</w:t>
      </w:r>
      <w:hyperlink r:id="rId20" w:history="1">
        <w:r w:rsidR="00EC1139" w:rsidRPr="00EC1139">
          <w:rPr>
            <w:rFonts w:ascii="Arial" w:hAnsi="Arial"/>
            <w:noProof w:val="0"/>
            <w:color w:val="0000FF"/>
            <w:u w:val="single"/>
            <w:rtl/>
          </w:rPr>
          <w:t>ע"פ 3336/18</w:t>
        </w:r>
      </w:hyperlink>
      <w:r w:rsidRPr="002108E5">
        <w:rPr>
          <w:rFonts w:ascii="Arial" w:hAnsi="Arial"/>
          <w:noProof w:val="0"/>
          <w:rtl/>
        </w:rPr>
        <w:t xml:space="preserve"> </w:t>
      </w:r>
      <w:r w:rsidRPr="002108E5">
        <w:rPr>
          <w:rFonts w:ascii="Arial" w:hAnsi="Arial"/>
          <w:b/>
          <w:bCs/>
          <w:noProof w:val="0"/>
          <w:rtl/>
        </w:rPr>
        <w:t xml:space="preserve">מדינת ישראל נ' </w:t>
      </w:r>
      <w:r>
        <w:rPr>
          <w:rFonts w:ascii="Arial" w:hAnsi="Arial" w:hint="cs"/>
          <w:b/>
          <w:bCs/>
          <w:noProof w:val="0"/>
          <w:rtl/>
        </w:rPr>
        <w:t xml:space="preserve">השאם </w:t>
      </w:r>
      <w:r w:rsidRPr="002108E5">
        <w:rPr>
          <w:rFonts w:ascii="Arial" w:hAnsi="Arial"/>
          <w:b/>
          <w:bCs/>
          <w:noProof w:val="0"/>
          <w:rtl/>
        </w:rPr>
        <w:t>סמארה</w:t>
      </w:r>
      <w:r w:rsidRPr="002108E5">
        <w:rPr>
          <w:rFonts w:ascii="Arial" w:hAnsi="Arial"/>
          <w:noProof w:val="0"/>
          <w:rtl/>
        </w:rPr>
        <w:t xml:space="preserve"> (פורסם בנבו, 29.11.2019) החמיר בית המשפט העליון בעונשו של נאשם שהורשע בעבירה של הובלה ונשיאה של שני רובי קרל גוסטאב מאולתרים מחסניות וכדורים וגזר עליו עונש של 24 חודשי מאסר חלף 18 חודשי מאסר שגזר עליו בית המשפט המחוזי, תוך שציין כי נהג בהתאם לכלל שאין ערכאת הערעור ממצה את הדין.</w:t>
      </w:r>
    </w:p>
    <w:p w14:paraId="52EDBE18" w14:textId="77777777" w:rsidR="00964788" w:rsidRPr="002108E5" w:rsidRDefault="00964788" w:rsidP="00964788">
      <w:pPr>
        <w:spacing w:line="360" w:lineRule="auto"/>
        <w:ind w:left="651" w:hanging="709"/>
        <w:jc w:val="both"/>
        <w:rPr>
          <w:rFonts w:ascii="Arial" w:hAnsi="Arial"/>
          <w:noProof w:val="0"/>
          <w:rtl/>
        </w:rPr>
      </w:pPr>
    </w:p>
    <w:p w14:paraId="05A27650" w14:textId="77777777" w:rsidR="00964788" w:rsidRPr="002108E5" w:rsidRDefault="00964788" w:rsidP="00964788">
      <w:pPr>
        <w:spacing w:line="360" w:lineRule="auto"/>
        <w:ind w:left="652" w:hanging="709"/>
        <w:jc w:val="both"/>
        <w:rPr>
          <w:rFonts w:ascii="Arial" w:hAnsi="Arial"/>
          <w:noProof w:val="0"/>
          <w:rtl/>
        </w:rPr>
      </w:pPr>
      <w:r w:rsidRPr="002108E5">
        <w:rPr>
          <w:rFonts w:ascii="Arial" w:hAnsi="Arial"/>
          <w:noProof w:val="0"/>
          <w:rtl/>
        </w:rPr>
        <w:tab/>
        <w:t>ב</w:t>
      </w:r>
      <w:hyperlink r:id="rId21" w:history="1">
        <w:r w:rsidR="00EC1139" w:rsidRPr="00EC1139">
          <w:rPr>
            <w:rFonts w:ascii="Arial" w:hAnsi="Arial"/>
            <w:noProof w:val="0"/>
            <w:color w:val="0000FF"/>
            <w:u w:val="single"/>
            <w:rtl/>
          </w:rPr>
          <w:t>ע"פ 761/07</w:t>
        </w:r>
      </w:hyperlink>
      <w:r w:rsidRPr="002108E5">
        <w:rPr>
          <w:rFonts w:ascii="Arial" w:hAnsi="Arial"/>
          <w:noProof w:val="0"/>
          <w:rtl/>
        </w:rPr>
        <w:t xml:space="preserve"> </w:t>
      </w:r>
      <w:r w:rsidRPr="002108E5">
        <w:rPr>
          <w:rFonts w:ascii="Arial" w:hAnsi="Arial"/>
          <w:b/>
          <w:bCs/>
          <w:noProof w:val="0"/>
          <w:rtl/>
        </w:rPr>
        <w:t xml:space="preserve">מדינת ישראל נגד </w:t>
      </w:r>
      <w:r>
        <w:rPr>
          <w:rFonts w:ascii="Arial" w:hAnsi="Arial" w:hint="cs"/>
          <w:b/>
          <w:bCs/>
          <w:noProof w:val="0"/>
          <w:rtl/>
        </w:rPr>
        <w:t xml:space="preserve">מיכאל </w:t>
      </w:r>
      <w:r w:rsidRPr="002108E5">
        <w:rPr>
          <w:rFonts w:ascii="Arial" w:hAnsi="Arial"/>
          <w:b/>
          <w:bCs/>
          <w:noProof w:val="0"/>
          <w:rtl/>
        </w:rPr>
        <w:t>אדרי</w:t>
      </w:r>
      <w:r w:rsidRPr="002108E5">
        <w:rPr>
          <w:rFonts w:ascii="Arial" w:hAnsi="Arial"/>
          <w:noProof w:val="0"/>
          <w:rtl/>
        </w:rPr>
        <w:t xml:space="preserve"> (פורסם בנבו, </w:t>
      </w:r>
      <w:r>
        <w:rPr>
          <w:rFonts w:ascii="Arial" w:hAnsi="Arial"/>
          <w:noProof w:val="0"/>
          <w:rtl/>
        </w:rPr>
        <w:t>22.02.2007) אותו צרפה המאשימה,</w:t>
      </w:r>
      <w:r>
        <w:rPr>
          <w:rFonts w:ascii="Arial" w:hAnsi="Arial" w:hint="cs"/>
          <w:noProof w:val="0"/>
          <w:rtl/>
        </w:rPr>
        <w:t xml:space="preserve"> </w:t>
      </w:r>
      <w:r w:rsidRPr="002108E5">
        <w:rPr>
          <w:rFonts w:ascii="Arial" w:hAnsi="Arial"/>
          <w:noProof w:val="0"/>
          <w:rtl/>
        </w:rPr>
        <w:t>נידון עניינו של נאשם שעוכב לבדיקה עת היה ברכבו, ונמצאו עליו אקדח, מחסנית ותחמושת עטופים. בגין כך הורשע הנאשם בעבירות של החזקת נשק והפרעה לשוטר והוטל עליו עונש של 12 חודשי מאסר בבית המשפט המחוזי. ערעור המדינה על קולת העונש התקבל ובית המשפט העליון הכפיל תקופת המאסר והעונש הועמד על  24 חודשי מאסר.</w:t>
      </w:r>
    </w:p>
    <w:p w14:paraId="44A19B80" w14:textId="77777777" w:rsidR="00964788" w:rsidRPr="002108E5" w:rsidRDefault="00964788" w:rsidP="00964788">
      <w:pPr>
        <w:spacing w:line="360" w:lineRule="auto"/>
        <w:ind w:left="652" w:hanging="709"/>
        <w:jc w:val="both"/>
        <w:rPr>
          <w:rFonts w:ascii="Arial" w:hAnsi="Arial"/>
          <w:noProof w:val="0"/>
          <w:rtl/>
        </w:rPr>
      </w:pPr>
    </w:p>
    <w:p w14:paraId="06D75F6F" w14:textId="77777777" w:rsidR="00964788" w:rsidRPr="002108E5" w:rsidRDefault="00964788" w:rsidP="00964788">
      <w:pPr>
        <w:spacing w:line="360" w:lineRule="auto"/>
        <w:ind w:left="652" w:hanging="709"/>
        <w:jc w:val="both"/>
        <w:rPr>
          <w:rFonts w:ascii="Arial" w:hAnsi="Arial"/>
          <w:noProof w:val="0"/>
          <w:rtl/>
        </w:rPr>
      </w:pPr>
      <w:r w:rsidRPr="002108E5">
        <w:rPr>
          <w:rFonts w:ascii="Arial" w:hAnsi="Arial"/>
          <w:noProof w:val="0"/>
          <w:rtl/>
        </w:rPr>
        <w:tab/>
        <w:t>ב</w:t>
      </w:r>
      <w:hyperlink r:id="rId22" w:history="1">
        <w:r w:rsidR="00EC1139" w:rsidRPr="00EC1139">
          <w:rPr>
            <w:rFonts w:ascii="Arial" w:hAnsi="Arial"/>
            <w:noProof w:val="0"/>
            <w:color w:val="0000FF"/>
            <w:u w:val="single"/>
            <w:rtl/>
          </w:rPr>
          <w:t>ע"פ 5968/19</w:t>
        </w:r>
      </w:hyperlink>
      <w:r w:rsidRPr="002108E5">
        <w:rPr>
          <w:rFonts w:ascii="Arial" w:hAnsi="Arial"/>
          <w:noProof w:val="0"/>
          <w:rtl/>
        </w:rPr>
        <w:t xml:space="preserve"> </w:t>
      </w:r>
      <w:r w:rsidRPr="002108E5">
        <w:rPr>
          <w:rFonts w:ascii="Arial" w:hAnsi="Arial"/>
          <w:b/>
          <w:bCs/>
          <w:noProof w:val="0"/>
          <w:rtl/>
        </w:rPr>
        <w:t>עמאר שיך אלעיד נ' מדינת ישראל</w:t>
      </w:r>
      <w:r w:rsidRPr="002108E5">
        <w:rPr>
          <w:rFonts w:ascii="Arial" w:hAnsi="Arial"/>
          <w:noProof w:val="0"/>
          <w:rtl/>
        </w:rPr>
        <w:t xml:space="preserve"> (פורסם בנבו, 23.10.19) חזר בו המערער מהערעור בהמלצת בית המשפט. במקרה זה נדון הנאשם בבית המשפט המחוזי לעונש של 24 חודשי מאסר בגין ביצוע עבירה של החזקת נשק (דמוי רובה סער </w:t>
      </w:r>
      <w:r w:rsidRPr="002108E5">
        <w:rPr>
          <w:rFonts w:ascii="David" w:hAnsi="David"/>
          <w:noProof w:val="0"/>
        </w:rPr>
        <w:t>M-16</w:t>
      </w:r>
      <w:r w:rsidRPr="002108E5">
        <w:rPr>
          <w:rFonts w:ascii="David" w:hAnsi="David"/>
          <w:noProof w:val="0"/>
          <w:rtl/>
        </w:rPr>
        <w:t>).</w:t>
      </w:r>
    </w:p>
    <w:p w14:paraId="0F74E850" w14:textId="77777777" w:rsidR="00964788" w:rsidRPr="002108E5" w:rsidRDefault="00964788" w:rsidP="00964788">
      <w:pPr>
        <w:spacing w:line="360" w:lineRule="auto"/>
        <w:ind w:left="652" w:hanging="709"/>
        <w:jc w:val="both"/>
        <w:rPr>
          <w:rFonts w:ascii="Arial" w:hAnsi="Arial"/>
          <w:noProof w:val="0"/>
          <w:rtl/>
        </w:rPr>
      </w:pPr>
    </w:p>
    <w:p w14:paraId="13010761" w14:textId="77777777" w:rsidR="00964788" w:rsidRDefault="00964788" w:rsidP="00964788">
      <w:pPr>
        <w:spacing w:line="360" w:lineRule="auto"/>
        <w:ind w:left="652" w:hanging="709"/>
        <w:jc w:val="both"/>
        <w:rPr>
          <w:rFonts w:ascii="Arial" w:hAnsi="Arial"/>
          <w:noProof w:val="0"/>
          <w:rtl/>
        </w:rPr>
      </w:pPr>
      <w:r w:rsidRPr="002108E5">
        <w:rPr>
          <w:rFonts w:ascii="Arial" w:hAnsi="Arial"/>
          <w:noProof w:val="0"/>
          <w:rtl/>
        </w:rPr>
        <w:tab/>
        <w:t>ב</w:t>
      </w:r>
      <w:hyperlink r:id="rId23" w:history="1">
        <w:r w:rsidR="00EC1139" w:rsidRPr="00EC1139">
          <w:rPr>
            <w:rFonts w:ascii="Arial" w:hAnsi="Arial"/>
            <w:noProof w:val="0"/>
            <w:color w:val="0000FF"/>
            <w:u w:val="single"/>
            <w:rtl/>
          </w:rPr>
          <w:t>ע"פ 3156/11</w:t>
        </w:r>
      </w:hyperlink>
      <w:r w:rsidRPr="002108E5">
        <w:rPr>
          <w:rFonts w:ascii="Arial" w:hAnsi="Arial"/>
          <w:noProof w:val="0"/>
          <w:rtl/>
        </w:rPr>
        <w:t xml:space="preserve"> </w:t>
      </w:r>
      <w:r w:rsidRPr="002108E5">
        <w:rPr>
          <w:rFonts w:ascii="Arial" w:hAnsi="Arial"/>
          <w:b/>
          <w:bCs/>
          <w:noProof w:val="0"/>
          <w:rtl/>
        </w:rPr>
        <w:t>ג'מיל זראיעה נ' מדינת ישראל</w:t>
      </w:r>
      <w:r w:rsidRPr="002108E5">
        <w:rPr>
          <w:rFonts w:ascii="Arial" w:hAnsi="Arial"/>
          <w:noProof w:val="0"/>
          <w:rtl/>
        </w:rPr>
        <w:t xml:space="preserve"> (פורסם בנבו, 14.12.2011) אותו </w:t>
      </w:r>
      <w:r>
        <w:rPr>
          <w:rFonts w:ascii="Arial" w:hAnsi="Arial"/>
          <w:noProof w:val="0"/>
          <w:rtl/>
        </w:rPr>
        <w:t xml:space="preserve">צרפה המאשימה, נדחה ערעורו של </w:t>
      </w:r>
      <w:r w:rsidRPr="002108E5">
        <w:rPr>
          <w:rFonts w:ascii="Arial" w:hAnsi="Arial"/>
          <w:noProof w:val="0"/>
          <w:rtl/>
        </w:rPr>
        <w:t xml:space="preserve">מערער שנתפס במסגרת חיפוש שגרתי לאחר שהסליק ברכב בו נסע אקדח, מחסנית טעונה בכדורי אקדח וקופסאות עם כדורי אקדח. בית המשפט העליון הותיר על כנו עונש של 24 חודשי מאסר שהשית עליו בית המשפט המחוזי, וזאת למרות שלא נעשה שימוש בנשק ולא הייתה כוונה לעשות בו שימוש. </w:t>
      </w:r>
    </w:p>
    <w:p w14:paraId="2984BE33" w14:textId="77777777" w:rsidR="00964788" w:rsidRDefault="00964788" w:rsidP="00964788">
      <w:pPr>
        <w:spacing w:line="360" w:lineRule="auto"/>
        <w:ind w:left="652" w:hanging="709"/>
        <w:jc w:val="both"/>
        <w:rPr>
          <w:rFonts w:ascii="Arial" w:hAnsi="Arial"/>
          <w:noProof w:val="0"/>
          <w:rtl/>
        </w:rPr>
      </w:pPr>
    </w:p>
    <w:p w14:paraId="64817993" w14:textId="77777777" w:rsidR="00964788" w:rsidRPr="00AA10F6" w:rsidRDefault="00964788" w:rsidP="00964788">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ב</w:t>
      </w:r>
      <w:hyperlink r:id="rId24" w:history="1">
        <w:r w:rsidR="00EC1139" w:rsidRPr="00EC1139">
          <w:rPr>
            <w:rFonts w:ascii="Arial" w:hAnsi="Arial"/>
            <w:noProof w:val="0"/>
            <w:color w:val="0000FF"/>
            <w:u w:val="single"/>
            <w:rtl/>
          </w:rPr>
          <w:t>ע"פ 5765/20</w:t>
        </w:r>
      </w:hyperlink>
      <w:r>
        <w:rPr>
          <w:rFonts w:ascii="Arial" w:hAnsi="Arial" w:hint="cs"/>
          <w:noProof w:val="0"/>
          <w:rtl/>
        </w:rPr>
        <w:t xml:space="preserve"> </w:t>
      </w:r>
      <w:r>
        <w:rPr>
          <w:rFonts w:ascii="Arial" w:hAnsi="Arial" w:hint="cs"/>
          <w:b/>
          <w:bCs/>
          <w:noProof w:val="0"/>
          <w:rtl/>
        </w:rPr>
        <w:t xml:space="preserve">וסים בכר ואח' נ' מדינת ישראל </w:t>
      </w:r>
      <w:r>
        <w:rPr>
          <w:rFonts w:ascii="Arial" w:hAnsi="Arial" w:hint="cs"/>
          <w:noProof w:val="0"/>
          <w:rtl/>
        </w:rPr>
        <w:t>(פורסם בנבו, 22.03.2021) נדחה ערעור הנאשמים שהורשעו בעבירות של הובלת ונשיאת נשק ושיבוש מהלכי משפט. במקרה זה נדונו הנאשמים ל-18 חודשי מאסר בגין כך שהובילו שני אקדחים, כאשר בכל אקדח מחסנית מלאה. השניים ברחו מניידת משטרה שסימנה להם לעצור, ואחד הנאשמים אף ברח רגלית כשהרכב עצר ובהמשך השליך את האקדחים והמחסניות.</w:t>
      </w:r>
    </w:p>
    <w:p w14:paraId="5621EE71" w14:textId="77777777" w:rsidR="00964788" w:rsidRPr="002108E5" w:rsidRDefault="00964788" w:rsidP="00964788">
      <w:pPr>
        <w:spacing w:line="360" w:lineRule="auto"/>
        <w:ind w:left="652" w:hanging="709"/>
        <w:jc w:val="both"/>
        <w:rPr>
          <w:rFonts w:ascii="Arial" w:hAnsi="Arial"/>
          <w:noProof w:val="0"/>
          <w:rtl/>
        </w:rPr>
      </w:pPr>
    </w:p>
    <w:p w14:paraId="6EC5506C" w14:textId="77777777" w:rsidR="00964788" w:rsidRDefault="00964788" w:rsidP="00964788">
      <w:pPr>
        <w:spacing w:line="360" w:lineRule="auto"/>
        <w:ind w:left="652" w:hanging="709"/>
        <w:jc w:val="both"/>
        <w:rPr>
          <w:rFonts w:ascii="Arial" w:hAnsi="Arial"/>
          <w:noProof w:val="0"/>
          <w:rtl/>
        </w:rPr>
      </w:pPr>
      <w:r w:rsidRPr="002108E5">
        <w:rPr>
          <w:rFonts w:ascii="Arial" w:hAnsi="Arial"/>
          <w:noProof w:val="0"/>
          <w:rtl/>
        </w:rPr>
        <w:tab/>
        <w:t>אציין כי מטבע הדברים מרבית הפסיקה שפורטה לעיל מתייחסת לנסיבות שונות</w:t>
      </w:r>
      <w:r>
        <w:rPr>
          <w:rFonts w:ascii="Arial" w:hAnsi="Arial" w:hint="cs"/>
          <w:noProof w:val="0"/>
          <w:rtl/>
        </w:rPr>
        <w:t xml:space="preserve"> מאלו שבענייננו</w:t>
      </w:r>
      <w:r w:rsidRPr="002108E5">
        <w:rPr>
          <w:rFonts w:ascii="Arial" w:hAnsi="Arial"/>
          <w:noProof w:val="0"/>
          <w:rtl/>
        </w:rPr>
        <w:t xml:space="preserve">, </w:t>
      </w:r>
      <w:r>
        <w:rPr>
          <w:rFonts w:ascii="Arial" w:hAnsi="Arial" w:hint="cs"/>
          <w:noProof w:val="0"/>
          <w:rtl/>
        </w:rPr>
        <w:t>ובעיקר ביחס לנסיבה הקשורה למספר כלי הנשק שהובלו ולסוגם, לרבות רובה סער</w:t>
      </w:r>
      <w:r w:rsidRPr="002108E5">
        <w:rPr>
          <w:rFonts w:ascii="Arial" w:hAnsi="Arial"/>
          <w:noProof w:val="0"/>
          <w:rtl/>
        </w:rPr>
        <w:t xml:space="preserve"> (לא מאולתר), על פוטנציאל הסיכון לציבור הנגזר מכך, </w:t>
      </w:r>
      <w:r>
        <w:rPr>
          <w:rFonts w:ascii="Arial" w:hAnsi="Arial" w:hint="cs"/>
          <w:noProof w:val="0"/>
          <w:rtl/>
        </w:rPr>
        <w:t>ואף לנסיבה הקשורה בהימלטות הנאשם</w:t>
      </w:r>
      <w:r w:rsidRPr="002108E5">
        <w:rPr>
          <w:rFonts w:ascii="Arial" w:hAnsi="Arial"/>
          <w:noProof w:val="0"/>
          <w:rtl/>
        </w:rPr>
        <w:t xml:space="preserve"> משוטרים שביקשו ממנו לעצור, תחילה באופן רכוב ובהמשך באופן רגלי, כאשר נוטל הוא עימו בבריחה הרגלית </w:t>
      </w:r>
      <w:r>
        <w:rPr>
          <w:rFonts w:ascii="Arial" w:hAnsi="Arial"/>
          <w:noProof w:val="0"/>
          <w:rtl/>
        </w:rPr>
        <w:t xml:space="preserve">שני </w:t>
      </w:r>
      <w:r w:rsidRPr="002108E5">
        <w:rPr>
          <w:rFonts w:ascii="Arial" w:hAnsi="Arial"/>
          <w:noProof w:val="0"/>
          <w:rtl/>
        </w:rPr>
        <w:t>אקדחים.</w:t>
      </w:r>
    </w:p>
    <w:p w14:paraId="22AB243D" w14:textId="77777777" w:rsidR="00964788" w:rsidRPr="002108E5" w:rsidRDefault="00964788" w:rsidP="00964788">
      <w:pPr>
        <w:spacing w:line="360" w:lineRule="auto"/>
        <w:ind w:left="652" w:hanging="709"/>
        <w:jc w:val="both"/>
        <w:rPr>
          <w:rFonts w:ascii="Arial" w:hAnsi="Arial"/>
          <w:noProof w:val="0"/>
          <w:rtl/>
        </w:rPr>
      </w:pPr>
      <w:r>
        <w:rPr>
          <w:rFonts w:ascii="Arial" w:hAnsi="Arial"/>
          <w:noProof w:val="0"/>
          <w:rtl/>
        </w:rPr>
        <w:tab/>
      </w:r>
      <w:r>
        <w:rPr>
          <w:rFonts w:ascii="Arial" w:hAnsi="Arial" w:hint="cs"/>
          <w:noProof w:val="0"/>
          <w:rtl/>
        </w:rPr>
        <w:t>כן יש לציין, כי בחלק מהפסיקה אליה הפניתי, הורשעו הנאשמים בעבירה של החזקת נשק, שהיא עבירה קלה מזו בה הורשע הנאשם.</w:t>
      </w:r>
    </w:p>
    <w:p w14:paraId="1A9A0C4F" w14:textId="77777777" w:rsidR="00964788" w:rsidRPr="002108E5" w:rsidRDefault="00964788" w:rsidP="00964788">
      <w:pPr>
        <w:spacing w:line="360" w:lineRule="auto"/>
        <w:ind w:left="652" w:hanging="709"/>
        <w:jc w:val="both"/>
        <w:rPr>
          <w:rFonts w:ascii="Arial" w:hAnsi="Arial"/>
          <w:noProof w:val="0"/>
          <w:rtl/>
        </w:rPr>
      </w:pPr>
    </w:p>
    <w:p w14:paraId="22D6E581" w14:textId="77777777" w:rsidR="00964788" w:rsidRDefault="00964788" w:rsidP="00964788">
      <w:pPr>
        <w:spacing w:line="360" w:lineRule="auto"/>
        <w:ind w:left="652" w:hanging="709"/>
        <w:jc w:val="both"/>
        <w:rPr>
          <w:rFonts w:ascii="Arial" w:hAnsi="Arial"/>
          <w:noProof w:val="0"/>
          <w:rtl/>
        </w:rPr>
      </w:pPr>
      <w:r w:rsidRPr="002108E5">
        <w:rPr>
          <w:rFonts w:ascii="Arial" w:hAnsi="Arial"/>
          <w:noProof w:val="0"/>
          <w:rtl/>
        </w:rPr>
        <w:tab/>
        <w:t>עיינתי בפסיקה שצרפו הצדדים ומצאתי את חלקה פחות רלוונטית</w:t>
      </w:r>
      <w:r>
        <w:rPr>
          <w:rFonts w:ascii="Arial" w:hAnsi="Arial"/>
          <w:noProof w:val="0"/>
          <w:rtl/>
        </w:rPr>
        <w:t xml:space="preserve"> לענייננו שכן בחלק מהמקרים </w:t>
      </w:r>
      <w:r w:rsidRPr="002108E5">
        <w:rPr>
          <w:rFonts w:ascii="Arial" w:hAnsi="Arial"/>
          <w:noProof w:val="0"/>
          <w:rtl/>
        </w:rPr>
        <w:t>דובר בעבירות נשק אחרות (למשל ב</w:t>
      </w:r>
      <w:hyperlink r:id="rId25" w:history="1">
        <w:r w:rsidR="00EC1139" w:rsidRPr="00EC1139">
          <w:rPr>
            <w:rFonts w:ascii="Arial" w:hAnsi="Arial"/>
            <w:noProof w:val="0"/>
            <w:color w:val="0000FF"/>
            <w:u w:val="single"/>
            <w:rtl/>
          </w:rPr>
          <w:t>ת"פ [מחוזי-נצ'] 41326-11-15</w:t>
        </w:r>
      </w:hyperlink>
      <w:r w:rsidRPr="002108E5">
        <w:rPr>
          <w:rFonts w:ascii="Arial" w:hAnsi="Arial"/>
          <w:noProof w:val="0"/>
          <w:rtl/>
        </w:rPr>
        <w:t xml:space="preserve"> </w:t>
      </w:r>
      <w:r w:rsidRPr="002108E5">
        <w:rPr>
          <w:rFonts w:ascii="Arial" w:hAnsi="Arial"/>
          <w:b/>
          <w:bCs/>
          <w:noProof w:val="0"/>
          <w:rtl/>
        </w:rPr>
        <w:t>מדינת ישראל נ' מוהאד זועבי ואח'</w:t>
      </w:r>
      <w:r w:rsidRPr="002108E5">
        <w:rPr>
          <w:rFonts w:ascii="Arial" w:hAnsi="Arial"/>
          <w:noProof w:val="0"/>
          <w:rtl/>
        </w:rPr>
        <w:t xml:space="preserve"> </w:t>
      </w:r>
      <w:r>
        <w:rPr>
          <w:rFonts w:ascii="Arial" w:hAnsi="Arial" w:hint="cs"/>
          <w:noProof w:val="0"/>
          <w:rtl/>
        </w:rPr>
        <w:t>[</w:t>
      </w:r>
      <w:r w:rsidRPr="002108E5">
        <w:rPr>
          <w:rFonts w:ascii="Arial" w:hAnsi="Arial"/>
          <w:noProof w:val="0"/>
          <w:rtl/>
        </w:rPr>
        <w:t>פורסם בנבו, 30.10.2016</w:t>
      </w:r>
      <w:r>
        <w:rPr>
          <w:rFonts w:ascii="Arial" w:hAnsi="Arial" w:hint="cs"/>
          <w:noProof w:val="0"/>
          <w:rtl/>
        </w:rPr>
        <w:t>]</w:t>
      </w:r>
      <w:r w:rsidRPr="002108E5">
        <w:rPr>
          <w:rFonts w:ascii="Arial" w:hAnsi="Arial"/>
          <w:noProof w:val="0"/>
          <w:rtl/>
        </w:rPr>
        <w:t xml:space="preserve"> שצורף על ידי המאשימה ואשר במסגרתו הורשע הנאשם בעבירה חמורה של סחר בנשק</w:t>
      </w:r>
      <w:r>
        <w:rPr>
          <w:rFonts w:ascii="Arial" w:hAnsi="Arial" w:hint="cs"/>
          <w:noProof w:val="0"/>
          <w:rtl/>
        </w:rPr>
        <w:t>), ובחלק מהמקרים</w:t>
      </w:r>
      <w:r w:rsidRPr="002108E5">
        <w:rPr>
          <w:rFonts w:ascii="Arial" w:hAnsi="Arial"/>
          <w:noProof w:val="0"/>
          <w:rtl/>
        </w:rPr>
        <w:t xml:space="preserve"> היו הסדרים "סגורים" לעניין העונש (למשל ב</w:t>
      </w:r>
      <w:hyperlink r:id="rId26" w:history="1">
        <w:r w:rsidR="00EC1139" w:rsidRPr="00EC1139">
          <w:rPr>
            <w:rFonts w:ascii="Arial" w:hAnsi="Arial"/>
            <w:noProof w:val="0"/>
            <w:color w:val="0000FF"/>
            <w:u w:val="single"/>
            <w:rtl/>
          </w:rPr>
          <w:t>ת"פ [מחוזי-ב"ש] 56232-12-14</w:t>
        </w:r>
      </w:hyperlink>
      <w:r w:rsidRPr="002108E5">
        <w:rPr>
          <w:rFonts w:ascii="Arial" w:hAnsi="Arial"/>
          <w:noProof w:val="0"/>
          <w:rtl/>
        </w:rPr>
        <w:t xml:space="preserve"> </w:t>
      </w:r>
      <w:r w:rsidRPr="00047CF8">
        <w:rPr>
          <w:rFonts w:ascii="Arial" w:hAnsi="Arial"/>
          <w:b/>
          <w:bCs/>
          <w:noProof w:val="0"/>
          <w:rtl/>
        </w:rPr>
        <w:t>מדינת ישראל נ' אדי מכלוף ואח'</w:t>
      </w:r>
      <w:r w:rsidRPr="002108E5">
        <w:rPr>
          <w:rFonts w:ascii="Arial" w:hAnsi="Arial"/>
          <w:noProof w:val="0"/>
          <w:rtl/>
        </w:rPr>
        <w:t xml:space="preserve"> </w:t>
      </w:r>
      <w:r>
        <w:rPr>
          <w:rFonts w:ascii="Arial" w:hAnsi="Arial" w:hint="cs"/>
          <w:noProof w:val="0"/>
          <w:rtl/>
        </w:rPr>
        <w:t>[</w:t>
      </w:r>
      <w:r w:rsidRPr="002108E5">
        <w:rPr>
          <w:rFonts w:ascii="Arial" w:hAnsi="Arial"/>
          <w:noProof w:val="0"/>
          <w:rtl/>
        </w:rPr>
        <w:t>פורסם בנבו, 8.9.2015</w:t>
      </w:r>
      <w:r>
        <w:rPr>
          <w:rFonts w:ascii="Arial" w:hAnsi="Arial" w:hint="cs"/>
          <w:noProof w:val="0"/>
          <w:rtl/>
        </w:rPr>
        <w:t>]</w:t>
      </w:r>
      <w:r>
        <w:rPr>
          <w:rFonts w:ascii="Arial" w:hAnsi="Arial"/>
          <w:noProof w:val="0"/>
          <w:rtl/>
        </w:rPr>
        <w:t xml:space="preserve"> אליו הפנה ב"כ הנאשם</w:t>
      </w:r>
      <w:r>
        <w:rPr>
          <w:rFonts w:ascii="Arial" w:hAnsi="Arial" w:hint="cs"/>
          <w:noProof w:val="0"/>
          <w:rtl/>
        </w:rPr>
        <w:t>).</w:t>
      </w:r>
    </w:p>
    <w:p w14:paraId="292F3F2F" w14:textId="77777777" w:rsidR="00964788" w:rsidRPr="002108E5" w:rsidRDefault="00964788" w:rsidP="00964788">
      <w:pPr>
        <w:spacing w:line="360" w:lineRule="auto"/>
        <w:ind w:left="652" w:hanging="1"/>
        <w:jc w:val="both"/>
        <w:rPr>
          <w:rFonts w:ascii="Arial" w:hAnsi="Arial"/>
          <w:noProof w:val="0"/>
          <w:rtl/>
        </w:rPr>
      </w:pPr>
      <w:r w:rsidRPr="002108E5">
        <w:rPr>
          <w:rFonts w:ascii="Arial" w:hAnsi="Arial"/>
          <w:noProof w:val="0"/>
          <w:rtl/>
        </w:rPr>
        <w:t>באופן מובן, גם נסיבות ביצוע העבירות בענייננו שונ</w:t>
      </w:r>
      <w:r>
        <w:rPr>
          <w:rFonts w:ascii="Arial" w:hAnsi="Arial" w:hint="cs"/>
          <w:noProof w:val="0"/>
          <w:rtl/>
        </w:rPr>
        <w:t>ות</w:t>
      </w:r>
      <w:r w:rsidRPr="002108E5">
        <w:rPr>
          <w:rFonts w:ascii="Arial" w:hAnsi="Arial"/>
          <w:noProof w:val="0"/>
          <w:rtl/>
        </w:rPr>
        <w:t xml:space="preserve"> מאלו שהיו בפסקי הדין אליהם הפנו הצדדים </w:t>
      </w:r>
      <w:r>
        <w:rPr>
          <w:rFonts w:ascii="Arial" w:hAnsi="Arial" w:hint="cs"/>
          <w:noProof w:val="0"/>
          <w:rtl/>
        </w:rPr>
        <w:t>ובעיקר הדבר נכון לעניין</w:t>
      </w:r>
      <w:r w:rsidRPr="002108E5">
        <w:rPr>
          <w:rFonts w:ascii="Arial" w:hAnsi="Arial"/>
          <w:noProof w:val="0"/>
          <w:rtl/>
        </w:rPr>
        <w:t xml:space="preserve"> </w:t>
      </w:r>
      <w:r>
        <w:rPr>
          <w:rFonts w:ascii="Arial" w:hAnsi="Arial" w:hint="cs"/>
          <w:noProof w:val="0"/>
          <w:rtl/>
        </w:rPr>
        <w:t xml:space="preserve">מספר </w:t>
      </w:r>
      <w:r w:rsidRPr="002108E5">
        <w:rPr>
          <w:rFonts w:ascii="Arial" w:hAnsi="Arial"/>
          <w:noProof w:val="0"/>
          <w:rtl/>
        </w:rPr>
        <w:t>כלי הנשק</w:t>
      </w:r>
      <w:r>
        <w:rPr>
          <w:rFonts w:ascii="Arial" w:hAnsi="Arial" w:hint="cs"/>
          <w:noProof w:val="0"/>
          <w:rtl/>
        </w:rPr>
        <w:t xml:space="preserve"> שהובלו</w:t>
      </w:r>
      <w:r w:rsidRPr="002108E5">
        <w:rPr>
          <w:rFonts w:ascii="Arial" w:hAnsi="Arial"/>
          <w:noProof w:val="0"/>
          <w:rtl/>
        </w:rPr>
        <w:t>.</w:t>
      </w:r>
    </w:p>
    <w:p w14:paraId="1497C631" w14:textId="77777777" w:rsidR="00964788" w:rsidRPr="002108E5" w:rsidRDefault="00964788" w:rsidP="00964788">
      <w:pPr>
        <w:spacing w:line="360" w:lineRule="auto"/>
        <w:ind w:left="652" w:hanging="709"/>
        <w:jc w:val="both"/>
        <w:rPr>
          <w:rFonts w:ascii="Arial" w:hAnsi="Arial"/>
          <w:noProof w:val="0"/>
          <w:rtl/>
        </w:rPr>
      </w:pPr>
    </w:p>
    <w:p w14:paraId="1D9B10A8" w14:textId="77777777" w:rsidR="00964788" w:rsidRPr="002108E5" w:rsidRDefault="00964788" w:rsidP="00964788">
      <w:pPr>
        <w:numPr>
          <w:ilvl w:val="0"/>
          <w:numId w:val="3"/>
        </w:numPr>
        <w:spacing w:line="360" w:lineRule="auto"/>
        <w:ind w:left="651" w:hanging="709"/>
        <w:contextualSpacing/>
        <w:jc w:val="both"/>
        <w:rPr>
          <w:rFonts w:ascii="Arial" w:hAnsi="Arial"/>
          <w:noProof w:val="0"/>
          <w:rtl/>
        </w:rPr>
      </w:pPr>
      <w:r w:rsidRPr="002108E5">
        <w:rPr>
          <w:rFonts w:ascii="Arial" w:hAnsi="Arial"/>
          <w:noProof w:val="0"/>
          <w:rtl/>
        </w:rPr>
        <w:t>לעניין הנסיבות שאינן קשורות לביצוע העבירה מצאתי לתת משקל (מסוים) להודאת הנאשם, הודאה שיש בה משום לקיחת אחריות וחיסכון בזמן שיפוטי.</w:t>
      </w:r>
    </w:p>
    <w:p w14:paraId="60DAC21D" w14:textId="77777777" w:rsidR="00964788" w:rsidRPr="002108E5" w:rsidRDefault="00964788" w:rsidP="00964788">
      <w:pPr>
        <w:spacing w:line="360" w:lineRule="auto"/>
        <w:ind w:left="651"/>
        <w:jc w:val="both"/>
        <w:rPr>
          <w:rFonts w:ascii="Arial" w:hAnsi="Arial"/>
          <w:noProof w:val="0"/>
          <w:rtl/>
        </w:rPr>
      </w:pPr>
      <w:r w:rsidRPr="002108E5">
        <w:rPr>
          <w:rFonts w:ascii="Arial" w:hAnsi="Arial"/>
          <w:noProof w:val="0"/>
          <w:rtl/>
        </w:rPr>
        <w:t>נתתי משקל</w:t>
      </w:r>
      <w:r>
        <w:rPr>
          <w:rFonts w:ascii="Arial" w:hAnsi="Arial" w:hint="cs"/>
          <w:noProof w:val="0"/>
          <w:rtl/>
        </w:rPr>
        <w:t xml:space="preserve"> גם</w:t>
      </w:r>
      <w:r w:rsidRPr="002108E5">
        <w:rPr>
          <w:rFonts w:ascii="Arial" w:hAnsi="Arial"/>
          <w:noProof w:val="0"/>
          <w:rtl/>
        </w:rPr>
        <w:t xml:space="preserve"> לגילו הצעיר של הנאשם, לכך שהוא למעשה נעדר עבר פלילי ולנסיבותיו האישיות לרבות היותו בן למשפחה נורמטיבית </w:t>
      </w:r>
      <w:r>
        <w:rPr>
          <w:rFonts w:ascii="Arial" w:hAnsi="Arial" w:hint="cs"/>
          <w:noProof w:val="0"/>
          <w:rtl/>
        </w:rPr>
        <w:t>אשר הוקיעה</w:t>
      </w:r>
      <w:r w:rsidRPr="002108E5">
        <w:rPr>
          <w:rFonts w:ascii="Arial" w:hAnsi="Arial"/>
          <w:noProof w:val="0"/>
          <w:rtl/>
        </w:rPr>
        <w:t xml:space="preserve"> את מעשיו.</w:t>
      </w:r>
    </w:p>
    <w:p w14:paraId="4355BE82" w14:textId="77777777" w:rsidR="00964788" w:rsidRPr="002108E5" w:rsidRDefault="00964788" w:rsidP="00964788">
      <w:pPr>
        <w:spacing w:line="360" w:lineRule="auto"/>
        <w:ind w:left="651" w:hanging="720"/>
        <w:jc w:val="both"/>
        <w:rPr>
          <w:rFonts w:ascii="Arial" w:hAnsi="Arial"/>
          <w:noProof w:val="0"/>
          <w:rtl/>
        </w:rPr>
      </w:pPr>
    </w:p>
    <w:p w14:paraId="4B7A5140" w14:textId="77777777" w:rsidR="00964788" w:rsidRPr="002108E5" w:rsidRDefault="00964788" w:rsidP="00964788">
      <w:pPr>
        <w:spacing w:line="360" w:lineRule="auto"/>
        <w:ind w:left="651" w:hanging="720"/>
        <w:jc w:val="both"/>
        <w:rPr>
          <w:rFonts w:ascii="Arial" w:hAnsi="Arial"/>
          <w:noProof w:val="0"/>
          <w:rtl/>
        </w:rPr>
      </w:pPr>
      <w:r w:rsidRPr="002108E5">
        <w:rPr>
          <w:rFonts w:ascii="Arial" w:hAnsi="Arial"/>
          <w:noProof w:val="0"/>
          <w:rtl/>
        </w:rPr>
        <w:tab/>
      </w:r>
      <w:r>
        <w:rPr>
          <w:rFonts w:ascii="Arial" w:hAnsi="Arial" w:hint="cs"/>
          <w:noProof w:val="0"/>
          <w:rtl/>
        </w:rPr>
        <w:t>נתתי</w:t>
      </w:r>
      <w:r w:rsidRPr="002108E5">
        <w:rPr>
          <w:rFonts w:ascii="Arial" w:hAnsi="Arial"/>
          <w:noProof w:val="0"/>
          <w:rtl/>
        </w:rPr>
        <w:t xml:space="preserve"> משקל </w:t>
      </w:r>
      <w:r>
        <w:rPr>
          <w:rFonts w:ascii="Arial" w:hAnsi="Arial" w:hint="cs"/>
          <w:noProof w:val="0"/>
          <w:rtl/>
        </w:rPr>
        <w:t xml:space="preserve">גם </w:t>
      </w:r>
      <w:r w:rsidRPr="002108E5">
        <w:rPr>
          <w:rFonts w:ascii="Arial" w:hAnsi="Arial"/>
          <w:noProof w:val="0"/>
          <w:rtl/>
        </w:rPr>
        <w:t xml:space="preserve">להתרשמות ולהמלצת שירות המבחן. מחד נתתי משקל לעובדה כי הנאשם לא לקח אחריות מלאה על מעשיו בפני שירות המבחן (כאשר אף לפני בית המשפט, במסגרת דבריו לעונש, התקשה הוא לקחת אחריות מלאה על מעשיו). </w:t>
      </w:r>
    </w:p>
    <w:p w14:paraId="2E8BDDCA" w14:textId="77777777" w:rsidR="00964788" w:rsidRDefault="00964788" w:rsidP="00964788">
      <w:pPr>
        <w:spacing w:line="360" w:lineRule="auto"/>
        <w:ind w:left="651" w:hanging="720"/>
        <w:jc w:val="both"/>
        <w:rPr>
          <w:rFonts w:ascii="Arial" w:hAnsi="Arial"/>
          <w:noProof w:val="0"/>
          <w:rtl/>
        </w:rPr>
      </w:pPr>
      <w:r w:rsidRPr="002108E5">
        <w:rPr>
          <w:rFonts w:ascii="Arial" w:hAnsi="Arial"/>
          <w:noProof w:val="0"/>
          <w:rtl/>
        </w:rPr>
        <w:tab/>
        <w:t>מאידך, נתתי משקל גם לחלקים החיוביים בתסקיר שירות המבחן לרבות ליציבות התעסוקתית שגילה</w:t>
      </w:r>
      <w:r>
        <w:rPr>
          <w:rFonts w:ascii="Arial" w:hAnsi="Arial" w:hint="cs"/>
          <w:noProof w:val="0"/>
          <w:rtl/>
        </w:rPr>
        <w:t xml:space="preserve"> קודם למעצרו</w:t>
      </w:r>
      <w:r w:rsidRPr="002108E5">
        <w:rPr>
          <w:rFonts w:ascii="Arial" w:hAnsi="Arial"/>
          <w:noProof w:val="0"/>
          <w:rtl/>
        </w:rPr>
        <w:t>.</w:t>
      </w:r>
    </w:p>
    <w:p w14:paraId="46C86A8B" w14:textId="77777777" w:rsidR="00964788" w:rsidRDefault="00964788" w:rsidP="00964788">
      <w:pPr>
        <w:spacing w:line="360" w:lineRule="auto"/>
        <w:ind w:left="651" w:hanging="720"/>
        <w:jc w:val="both"/>
        <w:rPr>
          <w:rFonts w:ascii="Arial" w:hAnsi="Arial"/>
          <w:noProof w:val="0"/>
          <w:rtl/>
        </w:rPr>
      </w:pPr>
    </w:p>
    <w:p w14:paraId="11AC405F" w14:textId="77777777" w:rsidR="00964788" w:rsidRPr="002108E5" w:rsidRDefault="00964788" w:rsidP="00964788">
      <w:pPr>
        <w:spacing w:line="360" w:lineRule="auto"/>
        <w:ind w:left="651" w:hanging="720"/>
        <w:jc w:val="both"/>
        <w:rPr>
          <w:rFonts w:ascii="Arial" w:hAnsi="Arial"/>
          <w:noProof w:val="0"/>
          <w:rtl/>
        </w:rPr>
      </w:pPr>
      <w:r>
        <w:rPr>
          <w:rFonts w:ascii="Arial" w:hAnsi="Arial"/>
          <w:noProof w:val="0"/>
          <w:rtl/>
        </w:rPr>
        <w:tab/>
        <w:t>אציין</w:t>
      </w:r>
      <w:r>
        <w:rPr>
          <w:rFonts w:ascii="Arial" w:hAnsi="Arial" w:hint="cs"/>
          <w:noProof w:val="0"/>
          <w:rtl/>
        </w:rPr>
        <w:t>,</w:t>
      </w:r>
      <w:r>
        <w:rPr>
          <w:rFonts w:ascii="Arial" w:hAnsi="Arial"/>
          <w:noProof w:val="0"/>
          <w:rtl/>
        </w:rPr>
        <w:t xml:space="preserve"> כי נתתי משקל גם לשיקול הרתע</w:t>
      </w:r>
      <w:r>
        <w:rPr>
          <w:rFonts w:ascii="Arial" w:hAnsi="Arial" w:hint="cs"/>
          <w:noProof w:val="0"/>
          <w:rtl/>
        </w:rPr>
        <w:t xml:space="preserve">ת הרבים </w:t>
      </w:r>
      <w:r>
        <w:rPr>
          <w:rFonts w:ascii="Arial" w:hAnsi="Arial"/>
          <w:noProof w:val="0"/>
          <w:rtl/>
        </w:rPr>
        <w:t>ה</w:t>
      </w:r>
      <w:r>
        <w:rPr>
          <w:rFonts w:ascii="Arial" w:hAnsi="Arial" w:hint="cs"/>
          <w:noProof w:val="0"/>
          <w:rtl/>
        </w:rPr>
        <w:t>רלוונטי ל</w:t>
      </w:r>
      <w:r w:rsidRPr="002108E5">
        <w:rPr>
          <w:rFonts w:ascii="Arial" w:hAnsi="Arial"/>
          <w:noProof w:val="0"/>
          <w:rtl/>
        </w:rPr>
        <w:t>גזרה זו של עבירות</w:t>
      </w:r>
      <w:r>
        <w:rPr>
          <w:rFonts w:ascii="Arial" w:hAnsi="Arial" w:hint="cs"/>
          <w:noProof w:val="0"/>
          <w:rtl/>
        </w:rPr>
        <w:t xml:space="preserve"> (ראו מבין רבים </w:t>
      </w:r>
      <w:hyperlink r:id="rId27" w:history="1">
        <w:r w:rsidR="00EC1139" w:rsidRPr="00EC1139">
          <w:rPr>
            <w:rFonts w:ascii="Arial" w:hAnsi="Arial"/>
            <w:noProof w:val="0"/>
            <w:color w:val="0000FF"/>
            <w:u w:val="single"/>
            <w:rtl/>
          </w:rPr>
          <w:t>ע"פ 1323/13</w:t>
        </w:r>
      </w:hyperlink>
      <w:r>
        <w:rPr>
          <w:rFonts w:ascii="Arial" w:hAnsi="Arial" w:hint="cs"/>
          <w:noProof w:val="0"/>
          <w:rtl/>
        </w:rPr>
        <w:t xml:space="preserve"> </w:t>
      </w:r>
      <w:r w:rsidRPr="00B5263C">
        <w:rPr>
          <w:rFonts w:ascii="Arial" w:hAnsi="Arial" w:hint="cs"/>
          <w:b/>
          <w:bCs/>
          <w:noProof w:val="0"/>
          <w:rtl/>
        </w:rPr>
        <w:t>רך חסן נ' מדינת ישראל</w:t>
      </w:r>
      <w:r>
        <w:rPr>
          <w:rFonts w:ascii="Arial" w:hAnsi="Arial" w:hint="cs"/>
          <w:noProof w:val="0"/>
          <w:rtl/>
        </w:rPr>
        <w:t xml:space="preserve"> [פורסם בנבו, 5.6.2013], פסקה 13)</w:t>
      </w:r>
      <w:r w:rsidRPr="002108E5">
        <w:rPr>
          <w:rFonts w:ascii="Arial" w:hAnsi="Arial"/>
          <w:noProof w:val="0"/>
          <w:rtl/>
        </w:rPr>
        <w:t>, ו</w:t>
      </w:r>
      <w:r>
        <w:rPr>
          <w:rFonts w:ascii="Arial" w:hAnsi="Arial" w:hint="cs"/>
          <w:noProof w:val="0"/>
          <w:rtl/>
        </w:rPr>
        <w:t xml:space="preserve">אף לשיקול הרתעת היחיד, </w:t>
      </w:r>
      <w:r w:rsidRPr="002108E5">
        <w:rPr>
          <w:rFonts w:ascii="Arial" w:hAnsi="Arial"/>
          <w:noProof w:val="0"/>
          <w:rtl/>
        </w:rPr>
        <w:t xml:space="preserve">בפרט </w:t>
      </w:r>
      <w:r>
        <w:rPr>
          <w:rFonts w:ascii="Arial" w:hAnsi="Arial" w:hint="cs"/>
          <w:noProof w:val="0"/>
          <w:rtl/>
        </w:rPr>
        <w:t>נוכח כך שהנאשם</w:t>
      </w:r>
      <w:r>
        <w:rPr>
          <w:rFonts w:ascii="Arial" w:hAnsi="Arial"/>
          <w:noProof w:val="0"/>
          <w:rtl/>
        </w:rPr>
        <w:t xml:space="preserve"> </w:t>
      </w:r>
      <w:r>
        <w:rPr>
          <w:rFonts w:ascii="Arial" w:hAnsi="Arial" w:hint="cs"/>
          <w:noProof w:val="0"/>
          <w:rtl/>
        </w:rPr>
        <w:t>עודנו מ</w:t>
      </w:r>
      <w:r w:rsidRPr="002108E5">
        <w:rPr>
          <w:rFonts w:ascii="Arial" w:hAnsi="Arial"/>
          <w:noProof w:val="0"/>
          <w:rtl/>
        </w:rPr>
        <w:t>תקשה לקחת אחריות מלאה על מעשיו.</w:t>
      </w:r>
    </w:p>
    <w:p w14:paraId="182E493E" w14:textId="77777777" w:rsidR="00964788" w:rsidRPr="002108E5" w:rsidRDefault="00964788" w:rsidP="00964788">
      <w:pPr>
        <w:spacing w:line="360" w:lineRule="auto"/>
        <w:ind w:left="651" w:hanging="720"/>
        <w:jc w:val="both"/>
        <w:rPr>
          <w:rFonts w:ascii="Arial" w:hAnsi="Arial"/>
          <w:noProof w:val="0"/>
          <w:rtl/>
        </w:rPr>
      </w:pPr>
    </w:p>
    <w:p w14:paraId="42BC8300" w14:textId="77777777" w:rsidR="00964788" w:rsidRPr="002108E5" w:rsidRDefault="00964788" w:rsidP="00964788">
      <w:pPr>
        <w:spacing w:line="360" w:lineRule="auto"/>
        <w:ind w:left="651" w:hanging="720"/>
        <w:jc w:val="both"/>
        <w:rPr>
          <w:rFonts w:ascii="Arial" w:hAnsi="Arial"/>
          <w:noProof w:val="0"/>
          <w:rtl/>
        </w:rPr>
      </w:pPr>
      <w:r w:rsidRPr="002108E5">
        <w:rPr>
          <w:rFonts w:ascii="Arial" w:hAnsi="Arial"/>
          <w:noProof w:val="0"/>
          <w:rtl/>
        </w:rPr>
        <w:t>17.</w:t>
      </w:r>
      <w:r w:rsidRPr="002108E5">
        <w:rPr>
          <w:rFonts w:ascii="Arial" w:hAnsi="Arial"/>
          <w:noProof w:val="0"/>
          <w:rtl/>
        </w:rPr>
        <w:tab/>
        <w:t>אף שב"כ הנאשם הצהיר במהלך הצגת ההסדר כי לא יטען להפליה בין הנאשם לנאשם 2 הרי שבין השורות הרימה ראש</w:t>
      </w:r>
      <w:r>
        <w:rPr>
          <w:rFonts w:ascii="Arial" w:hAnsi="Arial" w:hint="cs"/>
          <w:noProof w:val="0"/>
          <w:rtl/>
        </w:rPr>
        <w:t>ה</w:t>
      </w:r>
      <w:r>
        <w:rPr>
          <w:rFonts w:ascii="Arial" w:hAnsi="Arial"/>
          <w:noProof w:val="0"/>
          <w:rtl/>
        </w:rPr>
        <w:t xml:space="preserve"> טענה</w:t>
      </w:r>
      <w:r>
        <w:rPr>
          <w:rFonts w:ascii="Arial" w:hAnsi="Arial" w:hint="cs"/>
          <w:noProof w:val="0"/>
          <w:rtl/>
        </w:rPr>
        <w:t xml:space="preserve"> </w:t>
      </w:r>
      <w:r w:rsidRPr="002108E5">
        <w:rPr>
          <w:rFonts w:ascii="Arial" w:hAnsi="Arial"/>
          <w:noProof w:val="0"/>
          <w:rtl/>
        </w:rPr>
        <w:t xml:space="preserve">זו (עמ' 32 ש' 14-22 לפרוט' מיום 25.2.2021) ביחס לנאשם 2 ולעונש שנגזר עליו (12 חודשי מאסר וענישה נלווית כאמור לעיל). לכאורה, </w:t>
      </w:r>
      <w:r>
        <w:rPr>
          <w:rFonts w:ascii="Arial" w:hAnsi="Arial" w:hint="cs"/>
          <w:noProof w:val="0"/>
          <w:rtl/>
        </w:rPr>
        <w:t xml:space="preserve">בהתאם לטענה זו, </w:t>
      </w:r>
      <w:r w:rsidRPr="002108E5">
        <w:rPr>
          <w:rFonts w:ascii="Arial" w:hAnsi="Arial"/>
          <w:noProof w:val="0"/>
          <w:rtl/>
        </w:rPr>
        <w:t>יש מקום להטיל על הנאשם עונש זהה או דומה לזה שהוטל על הנאשם 2 כנגזר מעקרון האחידות בענישה, ואולם סבורני כי בענייננו</w:t>
      </w:r>
      <w:r>
        <w:rPr>
          <w:rFonts w:ascii="Arial" w:hAnsi="Arial" w:hint="cs"/>
          <w:noProof w:val="0"/>
          <w:rtl/>
        </w:rPr>
        <w:t xml:space="preserve"> ספק אם</w:t>
      </w:r>
      <w:r w:rsidRPr="002108E5">
        <w:rPr>
          <w:rFonts w:ascii="Arial" w:hAnsi="Arial"/>
          <w:noProof w:val="0"/>
          <w:rtl/>
        </w:rPr>
        <w:t xml:space="preserve"> יש מקום לתת משקל לעקרון זה.</w:t>
      </w:r>
    </w:p>
    <w:p w14:paraId="54FA68AC" w14:textId="77777777" w:rsidR="00964788" w:rsidRPr="002108E5" w:rsidRDefault="00964788" w:rsidP="00964788">
      <w:pPr>
        <w:spacing w:line="360" w:lineRule="auto"/>
        <w:ind w:left="720" w:hanging="720"/>
        <w:jc w:val="both"/>
        <w:rPr>
          <w:rFonts w:ascii="Arial" w:hAnsi="Arial"/>
          <w:noProof w:val="0"/>
          <w:rtl/>
        </w:rPr>
      </w:pPr>
      <w:r w:rsidRPr="002108E5">
        <w:rPr>
          <w:rFonts w:ascii="Arial" w:hAnsi="Arial"/>
          <w:noProof w:val="0"/>
          <w:rtl/>
        </w:rPr>
        <w:tab/>
        <w:t>אחד התנאים ליישום עקרון האחידות בענישה הוא קיומה של זהות</w:t>
      </w:r>
      <w:r>
        <w:rPr>
          <w:rFonts w:ascii="Arial" w:hAnsi="Arial"/>
          <w:noProof w:val="0"/>
          <w:rtl/>
        </w:rPr>
        <w:t xml:space="preserve"> או דמיון בולט בנסיבות ה"מעשה"</w:t>
      </w:r>
      <w:r>
        <w:rPr>
          <w:rFonts w:ascii="Arial" w:hAnsi="Arial" w:hint="cs"/>
          <w:noProof w:val="0"/>
          <w:rtl/>
        </w:rPr>
        <w:t xml:space="preserve">. </w:t>
      </w:r>
      <w:r w:rsidRPr="002108E5">
        <w:rPr>
          <w:rFonts w:ascii="Arial" w:hAnsi="Arial"/>
          <w:noProof w:val="0"/>
          <w:rtl/>
        </w:rPr>
        <w:t xml:space="preserve">לעניין זה ראו </w:t>
      </w:r>
      <w:hyperlink r:id="rId28" w:history="1">
        <w:r w:rsidR="00EC1139" w:rsidRPr="00EC1139">
          <w:rPr>
            <w:rFonts w:ascii="Arial" w:hAnsi="Arial"/>
            <w:noProof w:val="0"/>
            <w:color w:val="0000FF"/>
            <w:u w:val="single"/>
            <w:rtl/>
          </w:rPr>
          <w:t>ע"פ 9919/17</w:t>
        </w:r>
      </w:hyperlink>
      <w:r w:rsidR="00EC1139">
        <w:rPr>
          <w:rFonts w:ascii="Arial" w:hAnsi="Arial"/>
          <w:noProof w:val="0"/>
          <w:rtl/>
        </w:rPr>
        <w:t xml:space="preserve"> </w:t>
      </w:r>
      <w:r w:rsidRPr="002108E5">
        <w:rPr>
          <w:rFonts w:ascii="Arial" w:hAnsi="Arial"/>
          <w:b/>
          <w:bCs/>
          <w:noProof w:val="0"/>
          <w:rtl/>
        </w:rPr>
        <w:t xml:space="preserve">מוחמד זועבי נ' מדינת ישראל </w:t>
      </w:r>
      <w:r w:rsidRPr="002108E5">
        <w:rPr>
          <w:rFonts w:ascii="Arial" w:hAnsi="Arial"/>
          <w:noProof w:val="0"/>
          <w:rtl/>
        </w:rPr>
        <w:t>(פורסם בנבו, 9.7.2019), פסקה</w:t>
      </w:r>
      <w:r w:rsidR="00EC1139">
        <w:rPr>
          <w:rFonts w:ascii="Arial" w:hAnsi="Arial"/>
          <w:noProof w:val="0"/>
          <w:rtl/>
        </w:rPr>
        <w:t xml:space="preserve"> </w:t>
      </w:r>
      <w:r w:rsidRPr="002108E5">
        <w:rPr>
          <w:rFonts w:ascii="Arial" w:hAnsi="Arial"/>
          <w:noProof w:val="0"/>
          <w:rtl/>
        </w:rPr>
        <w:t>12:</w:t>
      </w:r>
    </w:p>
    <w:p w14:paraId="258E67E0" w14:textId="77777777" w:rsidR="00964788" w:rsidRPr="002108E5" w:rsidRDefault="00964788" w:rsidP="00964788">
      <w:pPr>
        <w:spacing w:line="360" w:lineRule="auto"/>
        <w:ind w:left="1361" w:right="709"/>
        <w:jc w:val="both"/>
        <w:rPr>
          <w:rFonts w:ascii="Arial" w:hAnsi="Arial"/>
          <w:noProof w:val="0"/>
          <w:rtl/>
        </w:rPr>
      </w:pPr>
      <w:r w:rsidRPr="002108E5">
        <w:rPr>
          <w:rFonts w:ascii="Arial" w:hAnsi="Arial"/>
          <w:noProof w:val="0"/>
          <w:rtl/>
        </w:rPr>
        <w:t xml:space="preserve"> </w:t>
      </w:r>
      <w:r w:rsidRPr="002108E5">
        <w:rPr>
          <w:rFonts w:ascii="Arial" w:hAnsi="Arial"/>
          <w:noProof w:val="0"/>
          <w:rtl/>
        </w:rPr>
        <w:tab/>
        <w:t>"</w:t>
      </w:r>
      <w:r w:rsidRPr="002108E5">
        <w:rPr>
          <w:rFonts w:ascii="Arial" w:hAnsi="Arial"/>
          <w:b/>
          <w:bCs/>
          <w:noProof w:val="0"/>
          <w:rtl/>
        </w:rPr>
        <w:t xml:space="preserve">עקרון אחידות הענישה, הנגזר מעיקרון שוויון הנאשמים בפני החוק, מחייב שמירה על הלימה בין עונשיהם של נאשמים בעלי נסיבות אישיות דומות </w:t>
      </w:r>
      <w:r w:rsidRPr="002108E5">
        <w:rPr>
          <w:rFonts w:ascii="Arial" w:hAnsi="Arial"/>
          <w:b/>
          <w:bCs/>
          <w:noProof w:val="0"/>
          <w:u w:val="single"/>
          <w:rtl/>
        </w:rPr>
        <w:t>אשר ביצעו עבירות הדומות באופיין</w:t>
      </w:r>
      <w:r w:rsidRPr="002108E5">
        <w:rPr>
          <w:rFonts w:ascii="Arial" w:hAnsi="Arial"/>
          <w:b/>
          <w:bCs/>
          <w:noProof w:val="0"/>
          <w:rtl/>
        </w:rPr>
        <w:t xml:space="preserve"> (ראו: </w:t>
      </w:r>
      <w:hyperlink r:id="rId29" w:history="1">
        <w:r w:rsidR="00EC1139" w:rsidRPr="00EC1139">
          <w:rPr>
            <w:b/>
            <w:bCs/>
            <w:noProof w:val="0"/>
            <w:color w:val="0000FF"/>
            <w:u w:val="single"/>
            <w:rtl/>
          </w:rPr>
          <w:t>ע"פ 5640/97</w:t>
        </w:r>
      </w:hyperlink>
      <w:r w:rsidRPr="00EC1139">
        <w:rPr>
          <w:b/>
          <w:bCs/>
          <w:noProof w:val="0"/>
          <w:color w:val="000000"/>
          <w:rtl/>
        </w:rPr>
        <w:t xml:space="preserve"> רייך נ' מדינת ישראל, פ"ד נג</w:t>
      </w:r>
      <w:r w:rsidRPr="002108E5">
        <w:rPr>
          <w:rFonts w:ascii="Arial" w:hAnsi="Arial"/>
          <w:b/>
          <w:bCs/>
          <w:noProof w:val="0"/>
          <w:rtl/>
        </w:rPr>
        <w:t xml:space="preserve">(2) 433, 471 (1999); </w:t>
      </w:r>
      <w:hyperlink r:id="rId30" w:history="1">
        <w:r w:rsidR="00EC1139" w:rsidRPr="00EC1139">
          <w:rPr>
            <w:b/>
            <w:bCs/>
            <w:noProof w:val="0"/>
            <w:color w:val="0000FF"/>
            <w:u w:val="single"/>
            <w:rtl/>
          </w:rPr>
          <w:t>ע"פ 9792/06</w:t>
        </w:r>
      </w:hyperlink>
      <w:r w:rsidRPr="002108E5">
        <w:rPr>
          <w:rFonts w:ascii="Arial" w:hAnsi="Arial"/>
          <w:b/>
          <w:bCs/>
          <w:noProof w:val="0"/>
          <w:rtl/>
        </w:rPr>
        <w:t xml:space="preserve"> חמוד נ' מדינת ישראל, [פורסם בנבו] פסקה 15 (1.4.2007); </w:t>
      </w:r>
      <w:hyperlink r:id="rId31" w:history="1">
        <w:r w:rsidR="00EC1139" w:rsidRPr="00EC1139">
          <w:rPr>
            <w:b/>
            <w:bCs/>
            <w:noProof w:val="0"/>
            <w:color w:val="0000FF"/>
            <w:u w:val="single"/>
            <w:rtl/>
          </w:rPr>
          <w:t>ע"פ 5576/10</w:t>
        </w:r>
      </w:hyperlink>
      <w:r w:rsidRPr="002108E5">
        <w:rPr>
          <w:rFonts w:ascii="Arial" w:hAnsi="Arial"/>
          <w:b/>
          <w:bCs/>
          <w:noProof w:val="0"/>
          <w:rtl/>
        </w:rPr>
        <w:t xml:space="preserve"> פלוני נ' מדינת ישראל, [פורסם בנבו] פסקה 4 לחוות דעתו של השופט (כתוארו אז) ס' ג'ובראן (14.4.2011) (להלן: עניין פלוני))"</w:t>
      </w:r>
      <w:r w:rsidRPr="002108E5">
        <w:rPr>
          <w:rFonts w:ascii="Arial" w:hAnsi="Arial"/>
          <w:noProof w:val="0"/>
          <w:rtl/>
        </w:rPr>
        <w:t xml:space="preserve"> (דגש לא במקור, י' ל').</w:t>
      </w:r>
    </w:p>
    <w:p w14:paraId="6333CA99" w14:textId="77777777" w:rsidR="00964788" w:rsidRPr="002108E5" w:rsidRDefault="00964788" w:rsidP="00964788">
      <w:pPr>
        <w:spacing w:line="360" w:lineRule="auto"/>
        <w:ind w:left="720" w:hanging="720"/>
        <w:jc w:val="both"/>
        <w:rPr>
          <w:rFonts w:ascii="Arial" w:hAnsi="Arial"/>
          <w:noProof w:val="0"/>
          <w:rtl/>
        </w:rPr>
      </w:pPr>
    </w:p>
    <w:p w14:paraId="54F041B2" w14:textId="77777777" w:rsidR="00964788" w:rsidRDefault="00964788" w:rsidP="00964788">
      <w:pPr>
        <w:spacing w:line="360" w:lineRule="auto"/>
        <w:ind w:left="651" w:hanging="709"/>
        <w:jc w:val="both"/>
        <w:rPr>
          <w:rFonts w:ascii="Arial" w:hAnsi="Arial"/>
          <w:noProof w:val="0"/>
          <w:rtl/>
        </w:rPr>
      </w:pPr>
      <w:r w:rsidRPr="002108E5">
        <w:rPr>
          <w:rFonts w:ascii="Arial" w:hAnsi="Arial"/>
          <w:noProof w:val="0"/>
          <w:rtl/>
        </w:rPr>
        <w:tab/>
        <w:t xml:space="preserve">בענייננו, לא קיימת זהות ואף לא דמיון </w:t>
      </w:r>
      <w:r>
        <w:rPr>
          <w:rFonts w:ascii="Arial" w:hAnsi="Arial" w:hint="cs"/>
          <w:noProof w:val="0"/>
          <w:rtl/>
        </w:rPr>
        <w:t>ניכר</w:t>
      </w:r>
      <w:r w:rsidRPr="002108E5">
        <w:rPr>
          <w:rFonts w:ascii="Arial" w:hAnsi="Arial"/>
          <w:noProof w:val="0"/>
          <w:rtl/>
        </w:rPr>
        <w:t xml:space="preserve"> בין הנאשם לנאשם 2</w:t>
      </w:r>
      <w:r>
        <w:rPr>
          <w:rFonts w:ascii="Arial" w:hAnsi="Arial" w:hint="cs"/>
          <w:noProof w:val="0"/>
          <w:rtl/>
        </w:rPr>
        <w:t xml:space="preserve"> במישור ה"מעשה"</w:t>
      </w:r>
      <w:r w:rsidRPr="002108E5">
        <w:rPr>
          <w:rFonts w:ascii="Arial" w:hAnsi="Arial"/>
          <w:noProof w:val="0"/>
          <w:rtl/>
        </w:rPr>
        <w:t xml:space="preserve">. הנאשם 2 הורשע בעבירת נשק אחת אל מול שלוש עבירות נשק </w:t>
      </w:r>
      <w:r>
        <w:rPr>
          <w:rFonts w:ascii="Arial" w:hAnsi="Arial" w:hint="cs"/>
          <w:noProof w:val="0"/>
          <w:rtl/>
        </w:rPr>
        <w:t>בהן הורשע</w:t>
      </w:r>
      <w:r w:rsidRPr="002108E5">
        <w:rPr>
          <w:rFonts w:ascii="Arial" w:hAnsi="Arial"/>
          <w:noProof w:val="0"/>
          <w:rtl/>
        </w:rPr>
        <w:t xml:space="preserve"> הנאשם. </w:t>
      </w:r>
    </w:p>
    <w:p w14:paraId="20153C02" w14:textId="77777777" w:rsidR="00964788" w:rsidRDefault="00964788" w:rsidP="00964788">
      <w:pPr>
        <w:spacing w:line="360" w:lineRule="auto"/>
        <w:ind w:left="651"/>
        <w:jc w:val="both"/>
        <w:rPr>
          <w:rFonts w:ascii="Arial" w:hAnsi="Arial"/>
          <w:noProof w:val="0"/>
          <w:rtl/>
        </w:rPr>
      </w:pPr>
      <w:r w:rsidRPr="002108E5">
        <w:rPr>
          <w:rFonts w:ascii="Arial" w:hAnsi="Arial"/>
          <w:noProof w:val="0"/>
          <w:rtl/>
        </w:rPr>
        <w:t xml:space="preserve">כמו כן הנאשם 2 הורשע בעבירה של </w:t>
      </w:r>
      <w:r w:rsidRPr="002108E5">
        <w:rPr>
          <w:rFonts w:ascii="Arial" w:hAnsi="Arial"/>
          <w:b/>
          <w:bCs/>
          <w:noProof w:val="0"/>
          <w:rtl/>
        </w:rPr>
        <w:t>סיוע</w:t>
      </w:r>
      <w:r w:rsidRPr="002108E5">
        <w:rPr>
          <w:rFonts w:ascii="Arial" w:hAnsi="Arial"/>
          <w:noProof w:val="0"/>
          <w:rtl/>
        </w:rPr>
        <w:t xml:space="preserve"> להובלה ונשי</w:t>
      </w:r>
      <w:r>
        <w:rPr>
          <w:rFonts w:ascii="Arial" w:hAnsi="Arial"/>
          <w:noProof w:val="0"/>
          <w:rtl/>
        </w:rPr>
        <w:t xml:space="preserve">אה של נשק ולא בעבירות המושלמות </w:t>
      </w:r>
      <w:r w:rsidRPr="002108E5">
        <w:rPr>
          <w:rFonts w:ascii="Arial" w:hAnsi="Arial"/>
          <w:noProof w:val="0"/>
          <w:rtl/>
        </w:rPr>
        <w:t xml:space="preserve">בהן הורשע הנאשם. </w:t>
      </w:r>
    </w:p>
    <w:p w14:paraId="69ABD33E" w14:textId="77777777" w:rsidR="00964788" w:rsidRDefault="00964788" w:rsidP="00964788">
      <w:pPr>
        <w:spacing w:line="360" w:lineRule="auto"/>
        <w:ind w:left="651"/>
        <w:jc w:val="both"/>
        <w:rPr>
          <w:rFonts w:ascii="Arial" w:hAnsi="Arial"/>
          <w:noProof w:val="0"/>
          <w:rtl/>
        </w:rPr>
      </w:pPr>
      <w:r w:rsidRPr="002108E5">
        <w:rPr>
          <w:rFonts w:ascii="Arial" w:hAnsi="Arial"/>
          <w:noProof w:val="0"/>
          <w:rtl/>
        </w:rPr>
        <w:t>אף בגזרת עבירת ההפרעה לשוטר המשותפת לשני הנאשמים ראוי לזכור שהנאשם הוא שנהג ברכב (שהיה בבעלותו) במהלך הבריחה הרכובה מהמשטרה,</w:t>
      </w:r>
      <w:r>
        <w:rPr>
          <w:rFonts w:ascii="Arial" w:hAnsi="Arial" w:hint="cs"/>
          <w:noProof w:val="0"/>
          <w:rtl/>
        </w:rPr>
        <w:t xml:space="preserve"> והוא זה שהיה</w:t>
      </w:r>
      <w:r w:rsidRPr="002108E5">
        <w:rPr>
          <w:rFonts w:ascii="Arial" w:hAnsi="Arial"/>
          <w:noProof w:val="0"/>
          <w:rtl/>
        </w:rPr>
        <w:t xml:space="preserve"> עם שני אקדחים עליו במהלך הבריחה הרגלית. </w:t>
      </w:r>
    </w:p>
    <w:p w14:paraId="7FD3EC67" w14:textId="77777777" w:rsidR="00964788" w:rsidRPr="002108E5" w:rsidRDefault="00964788" w:rsidP="00964788">
      <w:pPr>
        <w:spacing w:line="360" w:lineRule="auto"/>
        <w:ind w:left="651"/>
        <w:jc w:val="both"/>
        <w:rPr>
          <w:rFonts w:ascii="Arial" w:hAnsi="Arial"/>
          <w:noProof w:val="0"/>
          <w:rtl/>
        </w:rPr>
      </w:pPr>
      <w:r>
        <w:rPr>
          <w:rFonts w:ascii="Arial" w:hAnsi="Arial" w:hint="cs"/>
          <w:noProof w:val="0"/>
          <w:rtl/>
        </w:rPr>
        <w:t xml:space="preserve">אף </w:t>
      </w:r>
      <w:r>
        <w:rPr>
          <w:rFonts w:ascii="Arial" w:hAnsi="Arial"/>
          <w:noProof w:val="0"/>
          <w:rtl/>
        </w:rPr>
        <w:t>לטענת ב"כ הנאשם שנטע</w:t>
      </w:r>
      <w:r>
        <w:rPr>
          <w:rFonts w:ascii="Arial" w:hAnsi="Arial" w:hint="cs"/>
          <w:noProof w:val="0"/>
          <w:rtl/>
        </w:rPr>
        <w:t>נה</w:t>
      </w:r>
      <w:r w:rsidRPr="002108E5">
        <w:rPr>
          <w:rFonts w:ascii="Arial" w:hAnsi="Arial"/>
          <w:noProof w:val="0"/>
          <w:rtl/>
        </w:rPr>
        <w:t xml:space="preserve"> ב"חצי פה" אודות ההסדר</w:t>
      </w:r>
      <w:r>
        <w:rPr>
          <w:rFonts w:ascii="Arial" w:hAnsi="Arial" w:hint="cs"/>
          <w:noProof w:val="0"/>
          <w:rtl/>
        </w:rPr>
        <w:t xml:space="preserve"> המטיב</w:t>
      </w:r>
      <w:r w:rsidRPr="002108E5">
        <w:rPr>
          <w:rFonts w:ascii="Arial" w:hAnsi="Arial"/>
          <w:noProof w:val="0"/>
          <w:rtl/>
        </w:rPr>
        <w:t xml:space="preserve"> אליו הגיעה המאשימה עם הנאשם 2 אי</w:t>
      </w:r>
      <w:r>
        <w:rPr>
          <w:rFonts w:ascii="Arial" w:hAnsi="Arial"/>
          <w:noProof w:val="0"/>
          <w:rtl/>
        </w:rPr>
        <w:t>ן לתת משקל בגזר הדין של הנאשם</w:t>
      </w:r>
      <w:r>
        <w:rPr>
          <w:rFonts w:ascii="Arial" w:hAnsi="Arial" w:hint="cs"/>
          <w:noProof w:val="0"/>
          <w:rtl/>
        </w:rPr>
        <w:t>.</w:t>
      </w:r>
      <w:r>
        <w:rPr>
          <w:rFonts w:ascii="Arial" w:hAnsi="Arial"/>
          <w:noProof w:val="0"/>
          <w:rtl/>
        </w:rPr>
        <w:t xml:space="preserve"> </w:t>
      </w:r>
      <w:r>
        <w:rPr>
          <w:rFonts w:ascii="Arial" w:hAnsi="Arial" w:hint="cs"/>
          <w:noProof w:val="0"/>
          <w:rtl/>
        </w:rPr>
        <w:t xml:space="preserve">זאת, הן בשים לב לכך שלא הוצגה לפני </w:t>
      </w:r>
      <w:r>
        <w:rPr>
          <w:rFonts w:ascii="Arial" w:hAnsi="Arial"/>
          <w:noProof w:val="0"/>
          <w:rtl/>
        </w:rPr>
        <w:t xml:space="preserve">תשתית עובדתית מתאימה לביסוס </w:t>
      </w:r>
      <w:r>
        <w:rPr>
          <w:rFonts w:ascii="Arial" w:hAnsi="Arial" w:hint="cs"/>
          <w:noProof w:val="0"/>
          <w:rtl/>
        </w:rPr>
        <w:t>ה</w:t>
      </w:r>
      <w:r>
        <w:rPr>
          <w:rFonts w:ascii="Arial" w:hAnsi="Arial"/>
          <w:noProof w:val="0"/>
          <w:rtl/>
        </w:rPr>
        <w:t>טענ</w:t>
      </w:r>
      <w:r>
        <w:rPr>
          <w:rFonts w:ascii="Arial" w:hAnsi="Arial" w:hint="cs"/>
          <w:noProof w:val="0"/>
          <w:rtl/>
        </w:rPr>
        <w:t>ה</w:t>
      </w:r>
      <w:r>
        <w:rPr>
          <w:rFonts w:ascii="Arial" w:hAnsi="Arial"/>
          <w:noProof w:val="0"/>
          <w:rtl/>
        </w:rPr>
        <w:t>, ו</w:t>
      </w:r>
      <w:r>
        <w:rPr>
          <w:rFonts w:ascii="Arial" w:hAnsi="Arial" w:hint="cs"/>
          <w:noProof w:val="0"/>
          <w:rtl/>
        </w:rPr>
        <w:t>הן בשים לב לה</w:t>
      </w:r>
      <w:r w:rsidRPr="002108E5">
        <w:rPr>
          <w:rFonts w:ascii="Arial" w:hAnsi="Arial"/>
          <w:noProof w:val="0"/>
          <w:rtl/>
        </w:rPr>
        <w:t>חלטת הנאשם להודות בכ</w:t>
      </w:r>
      <w:r>
        <w:rPr>
          <w:rFonts w:ascii="Arial" w:hAnsi="Arial"/>
          <w:noProof w:val="0"/>
          <w:rtl/>
        </w:rPr>
        <w:t>תב האישום המתוקן בשנית בענייננו</w:t>
      </w:r>
      <w:r>
        <w:rPr>
          <w:rFonts w:ascii="Arial" w:hAnsi="Arial" w:hint="cs"/>
          <w:noProof w:val="0"/>
          <w:rtl/>
        </w:rPr>
        <w:t xml:space="preserve"> חרף ההסדר אליו הגיעה המאשימה עם הנאשם 2. </w:t>
      </w:r>
    </w:p>
    <w:p w14:paraId="0021276E" w14:textId="77777777" w:rsidR="00964788" w:rsidRDefault="00964788" w:rsidP="00964788">
      <w:pPr>
        <w:spacing w:line="360" w:lineRule="auto"/>
        <w:ind w:left="651" w:hanging="709"/>
        <w:jc w:val="both"/>
        <w:rPr>
          <w:rFonts w:ascii="Arial" w:hAnsi="Arial"/>
          <w:noProof w:val="0"/>
          <w:rtl/>
        </w:rPr>
      </w:pPr>
      <w:r w:rsidRPr="002108E5">
        <w:rPr>
          <w:rFonts w:ascii="Arial" w:hAnsi="Arial"/>
          <w:noProof w:val="0"/>
          <w:rtl/>
        </w:rPr>
        <w:tab/>
      </w:r>
    </w:p>
    <w:p w14:paraId="12F24BC1" w14:textId="77777777" w:rsidR="00964788" w:rsidRDefault="00964788" w:rsidP="00964788">
      <w:pPr>
        <w:spacing w:line="360" w:lineRule="auto"/>
        <w:ind w:left="651"/>
        <w:jc w:val="both"/>
        <w:rPr>
          <w:rFonts w:ascii="Arial" w:hAnsi="Arial"/>
          <w:noProof w:val="0"/>
          <w:rtl/>
        </w:rPr>
      </w:pPr>
      <w:r w:rsidRPr="002108E5">
        <w:rPr>
          <w:rFonts w:ascii="Arial" w:hAnsi="Arial"/>
          <w:noProof w:val="0"/>
          <w:rtl/>
        </w:rPr>
        <w:t xml:space="preserve">מעבר לאמור, עונשו של הנאשם 2 נגזר לאחר אימוץ הסדר עונשי "סגור" אליו הגיע עם המאשימה, כאשר השיקולים לאימוץ הסדר מסוג זה אינם חופפים לשיקולים ששוקל בית </w:t>
      </w:r>
      <w:r>
        <w:rPr>
          <w:rFonts w:ascii="Arial" w:hAnsi="Arial"/>
          <w:noProof w:val="0"/>
          <w:rtl/>
        </w:rPr>
        <w:t>המשפט בגזרו את הדין בדרך הרגילה</w:t>
      </w:r>
      <w:r>
        <w:rPr>
          <w:rFonts w:ascii="Arial" w:hAnsi="Arial" w:hint="cs"/>
          <w:noProof w:val="0"/>
          <w:rtl/>
        </w:rPr>
        <w:t>.</w:t>
      </w:r>
    </w:p>
    <w:p w14:paraId="7450E5B5" w14:textId="77777777" w:rsidR="00964788" w:rsidRPr="002108E5" w:rsidRDefault="00964788" w:rsidP="00964788">
      <w:pPr>
        <w:spacing w:line="360" w:lineRule="auto"/>
        <w:ind w:left="651" w:hanging="709"/>
        <w:jc w:val="both"/>
        <w:rPr>
          <w:rFonts w:ascii="Arial" w:hAnsi="Arial"/>
          <w:noProof w:val="0"/>
          <w:rtl/>
        </w:rPr>
      </w:pPr>
      <w:r>
        <w:rPr>
          <w:rFonts w:ascii="Arial" w:hAnsi="Arial"/>
          <w:noProof w:val="0"/>
          <w:rtl/>
        </w:rPr>
        <w:tab/>
      </w:r>
      <w:r>
        <w:rPr>
          <w:rFonts w:ascii="Arial" w:hAnsi="Arial" w:hint="cs"/>
          <w:noProof w:val="0"/>
          <w:rtl/>
        </w:rPr>
        <w:t>מאותו נימוק, ונוכח האיזון שמצאתי לערוך עם יתר רכיבי הענישה, ובפרט עם עונש המאסר, לא מצאתי לראות בגובה הקנס שהוטל על הנאשם 2 כנקודת מוצא לגובה הקנס שיוטל על הנאשם.</w:t>
      </w:r>
    </w:p>
    <w:p w14:paraId="5E893A9B" w14:textId="77777777" w:rsidR="00964788" w:rsidRPr="002108E5" w:rsidRDefault="00964788" w:rsidP="00964788">
      <w:pPr>
        <w:spacing w:line="360" w:lineRule="auto"/>
        <w:jc w:val="both"/>
        <w:rPr>
          <w:rFonts w:ascii="Arial" w:hAnsi="Arial"/>
          <w:noProof w:val="0"/>
          <w:rtl/>
        </w:rPr>
      </w:pPr>
    </w:p>
    <w:p w14:paraId="519A4744" w14:textId="77777777" w:rsidR="00964788" w:rsidRPr="002108E5" w:rsidRDefault="00964788" w:rsidP="00964788">
      <w:pPr>
        <w:spacing w:after="160" w:line="360" w:lineRule="auto"/>
        <w:ind w:left="651" w:hanging="709"/>
        <w:jc w:val="both"/>
        <w:rPr>
          <w:rFonts w:ascii="Arial" w:hAnsi="Arial"/>
          <w:noProof w:val="0"/>
          <w:rtl/>
        </w:rPr>
      </w:pPr>
      <w:r w:rsidRPr="002108E5">
        <w:rPr>
          <w:rFonts w:ascii="Arial" w:hAnsi="Arial"/>
          <w:noProof w:val="0"/>
          <w:rtl/>
        </w:rPr>
        <w:t>18.</w:t>
      </w:r>
      <w:r w:rsidRPr="002108E5">
        <w:rPr>
          <w:rFonts w:ascii="Arial" w:hAnsi="Arial"/>
          <w:noProof w:val="0"/>
          <w:rtl/>
        </w:rPr>
        <w:tab/>
        <w:t>לאור כל האמור לעיל, אני גוזר על הנאשם את העונשים הבאים:</w:t>
      </w:r>
    </w:p>
    <w:p w14:paraId="26ACD851" w14:textId="77777777" w:rsidR="00964788" w:rsidRPr="002108E5" w:rsidRDefault="00964788" w:rsidP="00964788">
      <w:pPr>
        <w:spacing w:line="360" w:lineRule="auto"/>
        <w:ind w:left="651" w:hanging="720"/>
        <w:jc w:val="both"/>
        <w:rPr>
          <w:rFonts w:ascii="Arial" w:hAnsi="Arial"/>
          <w:noProof w:val="0"/>
          <w:rtl/>
        </w:rPr>
      </w:pPr>
      <w:r w:rsidRPr="002108E5">
        <w:rPr>
          <w:rFonts w:ascii="Arial" w:hAnsi="Arial"/>
          <w:noProof w:val="0"/>
          <w:rtl/>
        </w:rPr>
        <w:tab/>
        <w:t>א.</w:t>
      </w:r>
      <w:r w:rsidRPr="002108E5">
        <w:rPr>
          <w:rFonts w:ascii="Arial" w:hAnsi="Arial"/>
          <w:noProof w:val="0"/>
          <w:rtl/>
        </w:rPr>
        <w:tab/>
        <w:t>3</w:t>
      </w:r>
      <w:r>
        <w:rPr>
          <w:rFonts w:ascii="Arial" w:hAnsi="Arial" w:hint="cs"/>
          <w:noProof w:val="0"/>
          <w:rtl/>
        </w:rPr>
        <w:t>2</w:t>
      </w:r>
      <w:r w:rsidRPr="002108E5">
        <w:rPr>
          <w:rFonts w:ascii="Arial" w:hAnsi="Arial"/>
          <w:noProof w:val="0"/>
          <w:rtl/>
        </w:rPr>
        <w:t xml:space="preserve">חודשי מאסר בפועל בניכוי ימי המעצר.  </w:t>
      </w:r>
    </w:p>
    <w:p w14:paraId="4FF36262" w14:textId="77777777" w:rsidR="00964788" w:rsidRPr="002108E5" w:rsidRDefault="00964788" w:rsidP="00964788">
      <w:pPr>
        <w:spacing w:line="360" w:lineRule="auto"/>
        <w:ind w:left="720" w:hanging="720"/>
        <w:jc w:val="both"/>
        <w:rPr>
          <w:rFonts w:ascii="Arial" w:hAnsi="Arial"/>
          <w:noProof w:val="0"/>
          <w:rtl/>
        </w:rPr>
      </w:pPr>
    </w:p>
    <w:p w14:paraId="471223F7" w14:textId="77777777" w:rsidR="00964788" w:rsidRPr="002108E5" w:rsidRDefault="00964788" w:rsidP="00964788">
      <w:pPr>
        <w:spacing w:line="360" w:lineRule="auto"/>
        <w:ind w:left="651" w:hanging="720"/>
        <w:jc w:val="both"/>
        <w:rPr>
          <w:rFonts w:ascii="Arial" w:hAnsi="Arial"/>
          <w:noProof w:val="0"/>
          <w:rtl/>
        </w:rPr>
      </w:pPr>
      <w:r w:rsidRPr="002108E5">
        <w:rPr>
          <w:rFonts w:ascii="Arial" w:hAnsi="Arial"/>
          <w:noProof w:val="0"/>
          <w:rtl/>
        </w:rPr>
        <w:tab/>
        <w:t>ב.</w:t>
      </w:r>
      <w:r w:rsidRPr="002108E5">
        <w:rPr>
          <w:rFonts w:ascii="Arial" w:hAnsi="Arial"/>
          <w:noProof w:val="0"/>
          <w:rtl/>
        </w:rPr>
        <w:tab/>
        <w:t xml:space="preserve">12 חודשי מאסר על תנאי, לתקופה של 3 שנים מיום שחרורו מן המאסר, שהנאשם </w:t>
      </w:r>
      <w:r w:rsidRPr="002108E5">
        <w:rPr>
          <w:rFonts w:ascii="Arial" w:hAnsi="Arial"/>
          <w:noProof w:val="0"/>
          <w:rtl/>
        </w:rPr>
        <w:tab/>
      </w:r>
      <w:r w:rsidRPr="002108E5">
        <w:rPr>
          <w:rFonts w:ascii="Arial" w:hAnsi="Arial"/>
          <w:noProof w:val="0"/>
          <w:rtl/>
        </w:rPr>
        <w:tab/>
        <w:t xml:space="preserve">לא יעבור עבירת נשק לפי </w:t>
      </w:r>
      <w:hyperlink r:id="rId32" w:history="1">
        <w:r w:rsidR="00DE2487" w:rsidRPr="00DE2487">
          <w:rPr>
            <w:rStyle w:val="Hyperlink"/>
            <w:rFonts w:ascii="Arial" w:hAnsi="Arial"/>
            <w:noProof w:val="0"/>
            <w:rtl/>
          </w:rPr>
          <w:t>סעיף 144</w:t>
        </w:r>
      </w:hyperlink>
      <w:r w:rsidRPr="002108E5">
        <w:rPr>
          <w:rFonts w:ascii="Arial" w:hAnsi="Arial"/>
          <w:noProof w:val="0"/>
          <w:rtl/>
        </w:rPr>
        <w:t xml:space="preserve"> ל</w:t>
      </w:r>
      <w:hyperlink r:id="rId33" w:history="1">
        <w:r w:rsidR="00EC1139" w:rsidRPr="00EC1139">
          <w:rPr>
            <w:rFonts w:ascii="Arial" w:hAnsi="Arial"/>
            <w:noProof w:val="0"/>
            <w:color w:val="0000FF"/>
            <w:u w:val="single"/>
            <w:rtl/>
          </w:rPr>
          <w:t>חוק העונשין</w:t>
        </w:r>
      </w:hyperlink>
      <w:r w:rsidRPr="002108E5">
        <w:rPr>
          <w:rFonts w:ascii="Arial" w:hAnsi="Arial"/>
          <w:noProof w:val="0"/>
          <w:rtl/>
        </w:rPr>
        <w:t xml:space="preserve"> על חלופותיו השונות.</w:t>
      </w:r>
    </w:p>
    <w:p w14:paraId="1DFA96D2" w14:textId="77777777" w:rsidR="00964788" w:rsidRPr="002108E5" w:rsidRDefault="00964788" w:rsidP="00964788">
      <w:pPr>
        <w:spacing w:line="360" w:lineRule="auto"/>
        <w:ind w:left="720" w:hanging="720"/>
        <w:jc w:val="both"/>
        <w:rPr>
          <w:rFonts w:ascii="Arial" w:hAnsi="Arial"/>
          <w:noProof w:val="0"/>
        </w:rPr>
      </w:pPr>
    </w:p>
    <w:p w14:paraId="3178B2D5" w14:textId="77777777" w:rsidR="00964788" w:rsidRPr="002108E5" w:rsidRDefault="00964788" w:rsidP="00964788">
      <w:pPr>
        <w:spacing w:line="360" w:lineRule="auto"/>
        <w:ind w:left="651" w:hanging="720"/>
        <w:jc w:val="both"/>
        <w:rPr>
          <w:rFonts w:ascii="Arial" w:hAnsi="Arial"/>
          <w:noProof w:val="0"/>
          <w:rtl/>
        </w:rPr>
      </w:pPr>
      <w:r w:rsidRPr="002108E5">
        <w:rPr>
          <w:rFonts w:ascii="Arial" w:hAnsi="Arial"/>
          <w:noProof w:val="0"/>
          <w:rtl/>
        </w:rPr>
        <w:tab/>
        <w:t>ג.</w:t>
      </w:r>
      <w:r w:rsidRPr="002108E5">
        <w:rPr>
          <w:rFonts w:ascii="Arial" w:hAnsi="Arial"/>
          <w:noProof w:val="0"/>
          <w:rtl/>
        </w:rPr>
        <w:tab/>
        <w:t xml:space="preserve">6 חודשי מאסר על תנאי, לתקופה של 3 שנים מיום שחרורו מן המאסר, שהנאשם </w:t>
      </w:r>
      <w:r w:rsidRPr="002108E5">
        <w:rPr>
          <w:rFonts w:ascii="Arial" w:hAnsi="Arial"/>
          <w:noProof w:val="0"/>
          <w:rtl/>
        </w:rPr>
        <w:tab/>
      </w:r>
      <w:r w:rsidRPr="002108E5">
        <w:rPr>
          <w:rFonts w:ascii="Arial" w:hAnsi="Arial"/>
          <w:noProof w:val="0"/>
          <w:rtl/>
        </w:rPr>
        <w:tab/>
        <w:t>לא יעבור עבירה של הפרעה לשוטר.</w:t>
      </w:r>
    </w:p>
    <w:p w14:paraId="7E716639" w14:textId="77777777" w:rsidR="00964788" w:rsidRPr="002108E5" w:rsidRDefault="00964788" w:rsidP="00964788">
      <w:pPr>
        <w:spacing w:line="360" w:lineRule="auto"/>
        <w:ind w:left="720" w:hanging="720"/>
        <w:jc w:val="both"/>
        <w:rPr>
          <w:rFonts w:ascii="Arial" w:hAnsi="Arial"/>
          <w:noProof w:val="0"/>
          <w:rtl/>
        </w:rPr>
      </w:pPr>
    </w:p>
    <w:p w14:paraId="5F6B9888" w14:textId="77777777" w:rsidR="00964788" w:rsidRDefault="00964788" w:rsidP="00964788">
      <w:pPr>
        <w:spacing w:line="360" w:lineRule="auto"/>
        <w:ind w:left="1440" w:hanging="789"/>
        <w:jc w:val="both"/>
        <w:rPr>
          <w:rFonts w:ascii="Arial" w:hAnsi="Arial"/>
          <w:noProof w:val="0"/>
          <w:rtl/>
        </w:rPr>
      </w:pPr>
      <w:r w:rsidRPr="002108E5">
        <w:rPr>
          <w:rFonts w:ascii="Arial" w:hAnsi="Arial"/>
          <w:noProof w:val="0"/>
          <w:rtl/>
        </w:rPr>
        <w:t>ד.</w:t>
      </w:r>
      <w:r w:rsidRPr="002108E5">
        <w:rPr>
          <w:rFonts w:ascii="Arial" w:hAnsi="Arial"/>
          <w:noProof w:val="0"/>
          <w:rtl/>
        </w:rPr>
        <w:tab/>
        <w:t xml:space="preserve">קנס בסך </w:t>
      </w:r>
      <w:r>
        <w:rPr>
          <w:rFonts w:ascii="Arial" w:hAnsi="Arial" w:hint="cs"/>
          <w:noProof w:val="0"/>
          <w:rtl/>
        </w:rPr>
        <w:t>5,000</w:t>
      </w:r>
      <w:r w:rsidRPr="002108E5">
        <w:rPr>
          <w:rFonts w:ascii="Arial" w:hAnsi="Arial"/>
          <w:noProof w:val="0"/>
          <w:rtl/>
        </w:rPr>
        <w:t xml:space="preserve"> ש"ח ₪ או </w:t>
      </w:r>
      <w:r>
        <w:rPr>
          <w:rFonts w:ascii="Arial" w:hAnsi="Arial" w:hint="cs"/>
          <w:noProof w:val="0"/>
          <w:rtl/>
        </w:rPr>
        <w:t>30</w:t>
      </w:r>
      <w:r>
        <w:rPr>
          <w:rFonts w:ascii="Arial" w:hAnsi="Arial"/>
          <w:noProof w:val="0"/>
          <w:rtl/>
        </w:rPr>
        <w:t xml:space="preserve"> ימי מאסר תמורתו. הקנס ישולם</w:t>
      </w:r>
      <w:r>
        <w:rPr>
          <w:rFonts w:ascii="Arial" w:hAnsi="Arial" w:hint="cs"/>
          <w:noProof w:val="0"/>
          <w:rtl/>
        </w:rPr>
        <w:t xml:space="preserve"> בתוך 120 יום מהיום.</w:t>
      </w:r>
    </w:p>
    <w:p w14:paraId="3DC7951D" w14:textId="77777777" w:rsidR="00964788" w:rsidRPr="00EC1139" w:rsidRDefault="00EC1139" w:rsidP="00964788">
      <w:pPr>
        <w:spacing w:line="360" w:lineRule="auto"/>
        <w:ind w:left="1440" w:hanging="789"/>
        <w:jc w:val="both"/>
        <w:rPr>
          <w:rFonts w:ascii="Arial" w:hAnsi="Arial"/>
          <w:noProof w:val="0"/>
          <w:color w:val="FFFFFF"/>
          <w:sz w:val="2"/>
          <w:szCs w:val="2"/>
          <w:rtl/>
        </w:rPr>
      </w:pPr>
      <w:r w:rsidRPr="00EC1139">
        <w:rPr>
          <w:rFonts w:ascii="Arial" w:hAnsi="Arial"/>
          <w:noProof w:val="0"/>
          <w:color w:val="FFFFFF"/>
          <w:sz w:val="2"/>
          <w:szCs w:val="2"/>
          <w:rtl/>
        </w:rPr>
        <w:t>5129371</w:t>
      </w:r>
    </w:p>
    <w:p w14:paraId="2CB04F1B" w14:textId="77777777" w:rsidR="00964788" w:rsidRPr="002108E5" w:rsidRDefault="00EC1139" w:rsidP="00964788">
      <w:pPr>
        <w:spacing w:line="360" w:lineRule="auto"/>
        <w:ind w:left="720" w:hanging="720"/>
        <w:jc w:val="both"/>
        <w:rPr>
          <w:rFonts w:ascii="Arial" w:hAnsi="Arial"/>
          <w:noProof w:val="0"/>
          <w:rtl/>
        </w:rPr>
      </w:pPr>
      <w:r w:rsidRPr="00EC1139">
        <w:rPr>
          <w:rFonts w:ascii="Arial" w:hAnsi="Arial"/>
          <w:noProof w:val="0"/>
          <w:color w:val="FFFFFF"/>
          <w:sz w:val="2"/>
          <w:szCs w:val="2"/>
          <w:rtl/>
        </w:rPr>
        <w:t>54678313</w:t>
      </w:r>
      <w:r w:rsidR="00964788" w:rsidRPr="002108E5">
        <w:rPr>
          <w:rFonts w:ascii="Arial" w:hAnsi="Arial"/>
          <w:noProof w:val="0"/>
          <w:rtl/>
        </w:rPr>
        <w:tab/>
      </w:r>
      <w:r w:rsidR="00964788" w:rsidRPr="002108E5">
        <w:rPr>
          <w:rFonts w:ascii="Arial" w:hAnsi="Arial"/>
          <w:b/>
          <w:bCs/>
          <w:noProof w:val="0"/>
          <w:rtl/>
        </w:rPr>
        <w:t>זכות ערעור לבית המשפט העליון תוך 45 יום</w:t>
      </w:r>
      <w:r w:rsidR="00964788">
        <w:rPr>
          <w:rFonts w:ascii="Arial" w:hAnsi="Arial" w:hint="cs"/>
          <w:noProof w:val="0"/>
          <w:rtl/>
        </w:rPr>
        <w:t>.</w:t>
      </w:r>
    </w:p>
    <w:p w14:paraId="02D782EC" w14:textId="77777777" w:rsidR="00964788" w:rsidRPr="00DE1E7D" w:rsidRDefault="00964788" w:rsidP="00964788">
      <w:pPr>
        <w:spacing w:line="360" w:lineRule="auto"/>
        <w:jc w:val="both"/>
        <w:rPr>
          <w:rFonts w:ascii="Arial" w:hAnsi="Arial"/>
          <w:noProof w:val="0"/>
          <w:rtl/>
        </w:rPr>
      </w:pPr>
    </w:p>
    <w:p w14:paraId="20C64F7C" w14:textId="77777777" w:rsidR="00964788" w:rsidRDefault="00EC1139" w:rsidP="00964788">
      <w:pPr>
        <w:tabs>
          <w:tab w:val="left" w:pos="2553"/>
        </w:tabs>
        <w:ind w:left="5040"/>
        <w:rPr>
          <w:rtl/>
        </w:rPr>
      </w:pPr>
      <w:bookmarkStart w:id="8" w:name="Nitan"/>
      <w:r>
        <w:rPr>
          <w:rFonts w:ascii="Arial" w:hAnsi="Arial"/>
          <w:noProof w:val="0"/>
          <w:rtl/>
        </w:rPr>
        <w:t xml:space="preserve">ניתן היום, י"א ניסן תשפ"א, 24 מרץ 2021, במעמד הצדדים. </w:t>
      </w:r>
      <w:bookmarkEnd w:id="8"/>
      <w:r w:rsidR="00964788">
        <w:rPr>
          <w:rFonts w:hint="cs"/>
          <w:rtl/>
        </w:rPr>
        <w:t xml:space="preserve">     </w:t>
      </w:r>
    </w:p>
    <w:p w14:paraId="72E400EB" w14:textId="77777777" w:rsidR="00EC1139" w:rsidRDefault="00EC1139" w:rsidP="00EC1139">
      <w:pPr>
        <w:rPr>
          <w:rtl/>
        </w:rPr>
      </w:pPr>
    </w:p>
    <w:p w14:paraId="3004230B" w14:textId="77777777" w:rsidR="00EC1139" w:rsidRDefault="00EC1139" w:rsidP="00EC1139">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29C13796" w14:textId="77777777" w:rsidR="00DE2487" w:rsidRPr="00DE2487" w:rsidRDefault="00DE2487" w:rsidP="00DE2487">
      <w:pPr>
        <w:keepNext/>
        <w:rPr>
          <w:rFonts w:ascii="David" w:hAnsi="David"/>
          <w:color w:val="000000"/>
          <w:sz w:val="22"/>
          <w:szCs w:val="22"/>
          <w:rtl/>
        </w:rPr>
      </w:pPr>
    </w:p>
    <w:p w14:paraId="747E401E" w14:textId="77777777" w:rsidR="00DE2487" w:rsidRPr="00DE2487" w:rsidRDefault="00DE2487" w:rsidP="00DE2487">
      <w:pPr>
        <w:keepNext/>
        <w:rPr>
          <w:rFonts w:ascii="David" w:hAnsi="David"/>
          <w:color w:val="000000"/>
          <w:sz w:val="22"/>
          <w:szCs w:val="22"/>
          <w:rtl/>
        </w:rPr>
      </w:pPr>
      <w:r w:rsidRPr="00DE2487">
        <w:rPr>
          <w:rFonts w:ascii="David" w:hAnsi="David"/>
          <w:color w:val="000000"/>
          <w:sz w:val="22"/>
          <w:szCs w:val="22"/>
          <w:rtl/>
        </w:rPr>
        <w:t>יובל ליבדרו 54678313-/</w:t>
      </w:r>
    </w:p>
    <w:p w14:paraId="2A6EBBCE" w14:textId="77777777" w:rsidR="00EC1139" w:rsidRPr="00EC1139" w:rsidRDefault="00DE2487" w:rsidP="00DE2487">
      <w:pPr>
        <w:rPr>
          <w:rFonts w:hint="cs"/>
          <w:color w:val="0000FF"/>
          <w:u w:val="single"/>
        </w:rPr>
      </w:pPr>
      <w:r w:rsidRPr="00DE2487">
        <w:rPr>
          <w:color w:val="000000"/>
          <w:u w:val="single"/>
          <w:rtl/>
        </w:rPr>
        <w:t>נוסח מסמך זה כפוף לשינויי ניסוח ועריכה</w:t>
      </w:r>
      <w:r w:rsidR="005E46CC">
        <w:rPr>
          <w:rFonts w:hint="cs"/>
          <w:color w:val="0000FF"/>
          <w:u w:val="single"/>
          <w:rtl/>
        </w:rPr>
        <w:t xml:space="preserve"> </w:t>
      </w:r>
    </w:p>
    <w:sectPr w:rsidR="00EC1139" w:rsidRPr="00EC1139" w:rsidSect="00DE2487">
      <w:headerReference w:type="even" r:id="rId35"/>
      <w:headerReference w:type="default" r:id="rId36"/>
      <w:footerReference w:type="even" r:id="rId37"/>
      <w:footerReference w:type="default" r:id="rId38"/>
      <w:pgSz w:w="11907" w:h="16840" w:code="9"/>
      <w:pgMar w:top="1701" w:right="1800" w:bottom="1440" w:left="1800"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8AE4C" w14:textId="77777777" w:rsidR="0088113C" w:rsidRDefault="0088113C" w:rsidP="004B166E">
      <w:r>
        <w:separator/>
      </w:r>
    </w:p>
  </w:endnote>
  <w:endnote w:type="continuationSeparator" w:id="0">
    <w:p w14:paraId="50DD977B" w14:textId="77777777" w:rsidR="0088113C" w:rsidRDefault="0088113C" w:rsidP="004B1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4B6D9" w14:textId="77777777" w:rsidR="00DE2487" w:rsidRDefault="00DE2487" w:rsidP="00DE2487">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1E9784FE" w14:textId="77777777" w:rsidR="00EC1139" w:rsidRPr="00DE2487" w:rsidRDefault="00DE2487" w:rsidP="00DE2487">
    <w:pPr>
      <w:pStyle w:val="a5"/>
      <w:pBdr>
        <w:top w:val="single" w:sz="4" w:space="1" w:color="auto"/>
        <w:between w:val="single" w:sz="4" w:space="0" w:color="auto"/>
      </w:pBdr>
      <w:spacing w:after="60"/>
      <w:jc w:val="center"/>
      <w:rPr>
        <w:rFonts w:ascii="FrankRuehl" w:hAnsi="FrankRuehl" w:cs="FrankRuehl"/>
        <w:color w:val="000000"/>
      </w:rPr>
    </w:pPr>
    <w:r w:rsidRPr="00DE248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C55C8" w14:textId="77777777" w:rsidR="00DE2487" w:rsidRDefault="00DE2487" w:rsidP="00DE2487">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PAGE</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683D68">
      <w:rPr>
        <w:rStyle w:val="a8"/>
        <w:rFonts w:ascii="FrankRuehl" w:hAnsi="FrankRuehl" w:cs="FrankRuehl"/>
        <w:rtl/>
      </w:rPr>
      <w:t>1</w:t>
    </w:r>
    <w:r>
      <w:rPr>
        <w:rStyle w:val="a8"/>
        <w:rFonts w:ascii="FrankRuehl" w:hAnsi="FrankRuehl" w:cs="FrankRuehl"/>
        <w:rtl/>
      </w:rPr>
      <w:fldChar w:fldCharType="end"/>
    </w:r>
  </w:p>
  <w:p w14:paraId="0863D178" w14:textId="77777777" w:rsidR="00001D2B" w:rsidRPr="00DE2487" w:rsidRDefault="00DE2487" w:rsidP="00DE2487">
    <w:pPr>
      <w:pStyle w:val="a5"/>
      <w:pBdr>
        <w:top w:val="single" w:sz="4" w:space="1" w:color="auto"/>
        <w:between w:val="single" w:sz="4" w:space="0" w:color="auto"/>
      </w:pBdr>
      <w:spacing w:after="60"/>
      <w:jc w:val="center"/>
      <w:rPr>
        <w:rStyle w:val="a8"/>
        <w:rFonts w:ascii="FrankRuehl" w:hAnsi="FrankRuehl" w:cs="FrankRuehl" w:hint="cs"/>
        <w:color w:val="000000"/>
        <w:rtl/>
      </w:rPr>
    </w:pPr>
    <w:r w:rsidRPr="00DE2487">
      <w:rPr>
        <w:rStyle w:val="a8"/>
        <w:rFonts w:ascii="FrankRuehl" w:hAnsi="FrankRuehl" w:cs="FrankRuehl" w:hint="cs"/>
        <w:color w:val="000000"/>
      </w:rPr>
      <w:pict w14:anchorId="71454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2D76F9" w14:textId="77777777" w:rsidR="0088113C" w:rsidRDefault="0088113C" w:rsidP="004B166E">
      <w:r>
        <w:separator/>
      </w:r>
    </w:p>
  </w:footnote>
  <w:footnote w:type="continuationSeparator" w:id="0">
    <w:p w14:paraId="138ED4A3" w14:textId="77777777" w:rsidR="0088113C" w:rsidRDefault="0088113C" w:rsidP="004B16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539E71" w14:textId="77777777" w:rsidR="00EC1139" w:rsidRPr="00DE2487" w:rsidRDefault="00DE2487" w:rsidP="00DE248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55054-02-20</w:t>
    </w:r>
    <w:r>
      <w:rPr>
        <w:rFonts w:ascii="David" w:hAnsi="David"/>
        <w:color w:val="000000"/>
        <w:sz w:val="22"/>
        <w:szCs w:val="22"/>
        <w:rtl/>
      </w:rPr>
      <w:tab/>
      <w:t xml:space="preserve"> מדינת ישראל נ' פאדל אלעודאת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C7DAD" w14:textId="77777777" w:rsidR="00EC1139" w:rsidRPr="00DE2487" w:rsidRDefault="00DE2487" w:rsidP="00DE248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55054-02-20</w:t>
    </w:r>
    <w:r>
      <w:rPr>
        <w:rFonts w:ascii="David" w:hAnsi="David"/>
        <w:color w:val="000000"/>
        <w:sz w:val="22"/>
        <w:szCs w:val="22"/>
        <w:rtl/>
      </w:rPr>
      <w:tab/>
      <w:t xml:space="preserve"> מדינת ישראל נ' פאדל אלעודאת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742AF4"/>
    <w:multiLevelType w:val="hybridMultilevel"/>
    <w:tmpl w:val="09488282"/>
    <w:lvl w:ilvl="0" w:tplc="290894B2">
      <w:start w:val="14"/>
      <w:numFmt w:val="decimal"/>
      <w:lvlText w:val="%1."/>
      <w:lvlJc w:val="left"/>
      <w:pPr>
        <w:ind w:left="360" w:hanging="360"/>
      </w:pPr>
      <w:rPr>
        <w:rFonts w:ascii="David" w:hAnsi="David" w:cs="David" w:hint="default"/>
      </w:rPr>
    </w:lvl>
    <w:lvl w:ilvl="1" w:tplc="04090019" w:tentative="1">
      <w:start w:val="1"/>
      <w:numFmt w:val="lowerLetter"/>
      <w:lvlText w:val="%2."/>
      <w:lvlJc w:val="left"/>
      <w:pPr>
        <w:ind w:left="1022" w:hanging="360"/>
      </w:pPr>
      <w:rPr>
        <w:rFonts w:cs="Times New Roman"/>
      </w:rPr>
    </w:lvl>
    <w:lvl w:ilvl="2" w:tplc="0409001B" w:tentative="1">
      <w:start w:val="1"/>
      <w:numFmt w:val="lowerRoman"/>
      <w:lvlText w:val="%3."/>
      <w:lvlJc w:val="right"/>
      <w:pPr>
        <w:ind w:left="1742" w:hanging="180"/>
      </w:pPr>
      <w:rPr>
        <w:rFonts w:cs="Times New Roman"/>
      </w:rPr>
    </w:lvl>
    <w:lvl w:ilvl="3" w:tplc="0409000F" w:tentative="1">
      <w:start w:val="1"/>
      <w:numFmt w:val="decimal"/>
      <w:lvlText w:val="%4."/>
      <w:lvlJc w:val="left"/>
      <w:pPr>
        <w:ind w:left="2462" w:hanging="360"/>
      </w:pPr>
      <w:rPr>
        <w:rFonts w:cs="Times New Roman"/>
      </w:rPr>
    </w:lvl>
    <w:lvl w:ilvl="4" w:tplc="04090019" w:tentative="1">
      <w:start w:val="1"/>
      <w:numFmt w:val="lowerLetter"/>
      <w:lvlText w:val="%5."/>
      <w:lvlJc w:val="left"/>
      <w:pPr>
        <w:ind w:left="3182" w:hanging="360"/>
      </w:pPr>
      <w:rPr>
        <w:rFonts w:cs="Times New Roman"/>
      </w:rPr>
    </w:lvl>
    <w:lvl w:ilvl="5" w:tplc="0409001B" w:tentative="1">
      <w:start w:val="1"/>
      <w:numFmt w:val="lowerRoman"/>
      <w:lvlText w:val="%6."/>
      <w:lvlJc w:val="right"/>
      <w:pPr>
        <w:ind w:left="3902" w:hanging="180"/>
      </w:pPr>
      <w:rPr>
        <w:rFonts w:cs="Times New Roman"/>
      </w:rPr>
    </w:lvl>
    <w:lvl w:ilvl="6" w:tplc="0409000F" w:tentative="1">
      <w:start w:val="1"/>
      <w:numFmt w:val="decimal"/>
      <w:lvlText w:val="%7."/>
      <w:lvlJc w:val="left"/>
      <w:pPr>
        <w:ind w:left="4622" w:hanging="360"/>
      </w:pPr>
      <w:rPr>
        <w:rFonts w:cs="Times New Roman"/>
      </w:rPr>
    </w:lvl>
    <w:lvl w:ilvl="7" w:tplc="04090019" w:tentative="1">
      <w:start w:val="1"/>
      <w:numFmt w:val="lowerLetter"/>
      <w:lvlText w:val="%8."/>
      <w:lvlJc w:val="left"/>
      <w:pPr>
        <w:ind w:left="5342" w:hanging="360"/>
      </w:pPr>
      <w:rPr>
        <w:rFonts w:cs="Times New Roman"/>
      </w:rPr>
    </w:lvl>
    <w:lvl w:ilvl="8" w:tplc="0409001B" w:tentative="1">
      <w:start w:val="1"/>
      <w:numFmt w:val="lowerRoman"/>
      <w:lvlText w:val="%9."/>
      <w:lvlJc w:val="right"/>
      <w:pPr>
        <w:ind w:left="6062" w:hanging="180"/>
      </w:pPr>
      <w:rPr>
        <w:rFonts w:cs="Times New Roman"/>
      </w:rPr>
    </w:lvl>
  </w:abstractNum>
  <w:abstractNum w:abstractNumId="1" w15:restartNumberingAfterBreak="0">
    <w:nsid w:val="40901C6E"/>
    <w:multiLevelType w:val="hybridMultilevel"/>
    <w:tmpl w:val="74B6DDCA"/>
    <w:lvl w:ilvl="0" w:tplc="2228B01E">
      <w:start w:val="1"/>
      <w:numFmt w:val="decimal"/>
      <w:lvlText w:val="%1."/>
      <w:lvlJc w:val="left"/>
      <w:pPr>
        <w:ind w:left="360" w:hanging="360"/>
      </w:pPr>
      <w:rPr>
        <w:rFonts w:ascii="David" w:hAnsi="David" w:cs="David" w:hint="default"/>
        <w:b w:val="0"/>
        <w:bCs w:val="0"/>
      </w:rPr>
    </w:lvl>
    <w:lvl w:ilvl="1" w:tplc="04090019" w:tentative="1">
      <w:start w:val="1"/>
      <w:numFmt w:val="lowerLetter"/>
      <w:lvlText w:val="%2."/>
      <w:lvlJc w:val="left"/>
      <w:pPr>
        <w:ind w:left="1022" w:hanging="360"/>
      </w:pPr>
      <w:rPr>
        <w:rFonts w:cs="Times New Roman"/>
      </w:rPr>
    </w:lvl>
    <w:lvl w:ilvl="2" w:tplc="0409001B" w:tentative="1">
      <w:start w:val="1"/>
      <w:numFmt w:val="lowerRoman"/>
      <w:lvlText w:val="%3."/>
      <w:lvlJc w:val="right"/>
      <w:pPr>
        <w:ind w:left="1742" w:hanging="180"/>
      </w:pPr>
      <w:rPr>
        <w:rFonts w:cs="Times New Roman"/>
      </w:rPr>
    </w:lvl>
    <w:lvl w:ilvl="3" w:tplc="0409000F" w:tentative="1">
      <w:start w:val="1"/>
      <w:numFmt w:val="decimal"/>
      <w:lvlText w:val="%4."/>
      <w:lvlJc w:val="left"/>
      <w:pPr>
        <w:ind w:left="2462" w:hanging="360"/>
      </w:pPr>
      <w:rPr>
        <w:rFonts w:cs="Times New Roman"/>
      </w:rPr>
    </w:lvl>
    <w:lvl w:ilvl="4" w:tplc="04090019" w:tentative="1">
      <w:start w:val="1"/>
      <w:numFmt w:val="lowerLetter"/>
      <w:lvlText w:val="%5."/>
      <w:lvlJc w:val="left"/>
      <w:pPr>
        <w:ind w:left="3182" w:hanging="360"/>
      </w:pPr>
      <w:rPr>
        <w:rFonts w:cs="Times New Roman"/>
      </w:rPr>
    </w:lvl>
    <w:lvl w:ilvl="5" w:tplc="0409001B" w:tentative="1">
      <w:start w:val="1"/>
      <w:numFmt w:val="lowerRoman"/>
      <w:lvlText w:val="%6."/>
      <w:lvlJc w:val="right"/>
      <w:pPr>
        <w:ind w:left="3902" w:hanging="180"/>
      </w:pPr>
      <w:rPr>
        <w:rFonts w:cs="Times New Roman"/>
      </w:rPr>
    </w:lvl>
    <w:lvl w:ilvl="6" w:tplc="0409000F" w:tentative="1">
      <w:start w:val="1"/>
      <w:numFmt w:val="decimal"/>
      <w:lvlText w:val="%7."/>
      <w:lvlJc w:val="left"/>
      <w:pPr>
        <w:ind w:left="4622" w:hanging="360"/>
      </w:pPr>
      <w:rPr>
        <w:rFonts w:cs="Times New Roman"/>
      </w:rPr>
    </w:lvl>
    <w:lvl w:ilvl="7" w:tplc="04090019" w:tentative="1">
      <w:start w:val="1"/>
      <w:numFmt w:val="lowerLetter"/>
      <w:lvlText w:val="%8."/>
      <w:lvlJc w:val="left"/>
      <w:pPr>
        <w:ind w:left="5342" w:hanging="360"/>
      </w:pPr>
      <w:rPr>
        <w:rFonts w:cs="Times New Roman"/>
      </w:rPr>
    </w:lvl>
    <w:lvl w:ilvl="8" w:tplc="0409001B" w:tentative="1">
      <w:start w:val="1"/>
      <w:numFmt w:val="lowerRoman"/>
      <w:lvlText w:val="%9."/>
      <w:lvlJc w:val="right"/>
      <w:pPr>
        <w:ind w:left="6062" w:hanging="180"/>
      </w:pPr>
      <w:rPr>
        <w:rFonts w:cs="Times New Roman"/>
      </w:rPr>
    </w:lvl>
  </w:abstractNum>
  <w:abstractNum w:abstractNumId="2" w15:restartNumberingAfterBreak="0">
    <w:nsid w:val="55D874E4"/>
    <w:multiLevelType w:val="hybridMultilevel"/>
    <w:tmpl w:val="01E064CC"/>
    <w:lvl w:ilvl="0" w:tplc="67989BEA">
      <w:start w:val="16"/>
      <w:numFmt w:val="decimal"/>
      <w:lvlText w:val="%1."/>
      <w:lvlJc w:val="left"/>
      <w:pPr>
        <w:ind w:left="720" w:hanging="360"/>
      </w:pPr>
      <w:rPr>
        <w:rFonts w:ascii="David" w:hAnsi="David" w:cs="David"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831098969">
    <w:abstractNumId w:val="1"/>
  </w:num>
  <w:num w:numId="2" w16cid:durableId="1466967499">
    <w:abstractNumId w:val="0"/>
  </w:num>
  <w:num w:numId="3" w16cid:durableId="339938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4788"/>
    <w:rsid w:val="00001D2B"/>
    <w:rsid w:val="00023FBB"/>
    <w:rsid w:val="00180596"/>
    <w:rsid w:val="001B5A3B"/>
    <w:rsid w:val="004B166E"/>
    <w:rsid w:val="005120C8"/>
    <w:rsid w:val="00547934"/>
    <w:rsid w:val="005E46CC"/>
    <w:rsid w:val="00683D68"/>
    <w:rsid w:val="00742F2B"/>
    <w:rsid w:val="0088113C"/>
    <w:rsid w:val="00964788"/>
    <w:rsid w:val="00B03BCF"/>
    <w:rsid w:val="00CD7116"/>
    <w:rsid w:val="00DE2487"/>
    <w:rsid w:val="00E11927"/>
    <w:rsid w:val="00EC11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DB5A0C"/>
  <w15:chartTrackingRefBased/>
  <w15:docId w15:val="{B68A36A5-95B4-4073-8FF5-E0B02FBB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4788"/>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4788"/>
    <w:pPr>
      <w:tabs>
        <w:tab w:val="center" w:pos="4153"/>
        <w:tab w:val="right" w:pos="8306"/>
      </w:tabs>
    </w:pPr>
  </w:style>
  <w:style w:type="character" w:customStyle="1" w:styleId="a4">
    <w:name w:val="כותרת עליונה תו"/>
    <w:link w:val="a3"/>
    <w:rsid w:val="00964788"/>
    <w:rPr>
      <w:rFonts w:ascii="Times New Roman" w:eastAsia="Times New Roman" w:hAnsi="Times New Roman" w:cs="David"/>
      <w:noProof/>
      <w:sz w:val="24"/>
      <w:szCs w:val="24"/>
    </w:rPr>
  </w:style>
  <w:style w:type="paragraph" w:styleId="a5">
    <w:name w:val="footer"/>
    <w:basedOn w:val="a"/>
    <w:link w:val="a6"/>
    <w:rsid w:val="00964788"/>
    <w:pPr>
      <w:tabs>
        <w:tab w:val="center" w:pos="4153"/>
        <w:tab w:val="right" w:pos="8306"/>
      </w:tabs>
    </w:pPr>
  </w:style>
  <w:style w:type="character" w:customStyle="1" w:styleId="a6">
    <w:name w:val="כותרת תחתונה תו"/>
    <w:link w:val="a5"/>
    <w:rsid w:val="00964788"/>
    <w:rPr>
      <w:rFonts w:ascii="Times New Roman" w:eastAsia="Times New Roman" w:hAnsi="Times New Roman" w:cs="David"/>
      <w:noProof/>
      <w:sz w:val="24"/>
      <w:szCs w:val="24"/>
    </w:rPr>
  </w:style>
  <w:style w:type="table" w:styleId="a7">
    <w:name w:val="Table Grid"/>
    <w:basedOn w:val="a1"/>
    <w:rsid w:val="0096478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64788"/>
  </w:style>
  <w:style w:type="character" w:styleId="a9">
    <w:name w:val="line number"/>
    <w:rsid w:val="00964788"/>
  </w:style>
  <w:style w:type="character" w:styleId="Hyperlink">
    <w:name w:val="Hyperlink"/>
    <w:rsid w:val="00EC11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6888657" TargetMode="External"/><Relationship Id="rId26" Type="http://schemas.openxmlformats.org/officeDocument/2006/relationships/hyperlink" Target="http://www.nevo.co.il/case/18762911" TargetMode="External"/><Relationship Id="rId39" Type="http://schemas.openxmlformats.org/officeDocument/2006/relationships/fontTable" Target="fontTable.xml"/><Relationship Id="rId21" Type="http://schemas.openxmlformats.org/officeDocument/2006/relationships/hyperlink" Target="http://www.nevo.co.il/case/5724364"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275" TargetMode="External"/><Relationship Id="rId17" Type="http://schemas.openxmlformats.org/officeDocument/2006/relationships/hyperlink" Target="http://www.nevo.co.il/case/25612982" TargetMode="External"/><Relationship Id="rId25" Type="http://schemas.openxmlformats.org/officeDocument/2006/relationships/hyperlink" Target="http://www.nevo.co.il/case/20737271" TargetMode="External"/><Relationship Id="rId33" Type="http://schemas.openxmlformats.org/officeDocument/2006/relationships/hyperlink" Target="http://www.nevo.co.il/law/70301"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6000182" TargetMode="External"/><Relationship Id="rId20" Type="http://schemas.openxmlformats.org/officeDocument/2006/relationships/hyperlink" Target="http://www.nevo.co.il/case/24140726" TargetMode="External"/><Relationship Id="rId29" Type="http://schemas.openxmlformats.org/officeDocument/2006/relationships/hyperlink" Target="http://www.nevo.co.il/case/582094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6931111" TargetMode="External"/><Relationship Id="rId32" Type="http://schemas.openxmlformats.org/officeDocument/2006/relationships/hyperlink" Target="http://www.nevo.co.il/law/70301/144"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1479019" TargetMode="External"/><Relationship Id="rId23" Type="http://schemas.openxmlformats.org/officeDocument/2006/relationships/hyperlink" Target="http://www.nevo.co.il/case/5878682" TargetMode="External"/><Relationship Id="rId28" Type="http://schemas.openxmlformats.org/officeDocument/2006/relationships/hyperlink" Target="http://www.nevo.co.il/case/23535856" TargetMode="External"/><Relationship Id="rId36" Type="http://schemas.openxmlformats.org/officeDocument/2006/relationships/header" Target="header2.xml"/><Relationship Id="rId10" Type="http://schemas.openxmlformats.org/officeDocument/2006/relationships/hyperlink" Target="http://www.nevo.co.il/law/70301/275" TargetMode="External"/><Relationship Id="rId19" Type="http://schemas.openxmlformats.org/officeDocument/2006/relationships/hyperlink" Target="http://www.nevo.co.il/case/26905925" TargetMode="External"/><Relationship Id="rId31" Type="http://schemas.openxmlformats.org/officeDocument/2006/relationships/hyperlink" Target="http://www.nevo.co.il/case/6246447"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case/20683368" TargetMode="External"/><Relationship Id="rId22" Type="http://schemas.openxmlformats.org/officeDocument/2006/relationships/hyperlink" Target="http://www.nevo.co.il/case/26032623" TargetMode="External"/><Relationship Id="rId27" Type="http://schemas.openxmlformats.org/officeDocument/2006/relationships/hyperlink" Target="http://www.nevo.co.il/case/6473037" TargetMode="External"/><Relationship Id="rId30" Type="http://schemas.openxmlformats.org/officeDocument/2006/relationships/hyperlink" Target="http://www.nevo.co.il/case/6159820" TargetMode="External"/><Relationship Id="rId35" Type="http://schemas.openxmlformats.org/officeDocument/2006/relationships/header" Target="header1.xml"/><Relationship Id="rId8" Type="http://schemas.openxmlformats.org/officeDocument/2006/relationships/hyperlink" Target="http://www.nevo.co.il/law/70301/144"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3502</Words>
  <Characters>17514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20975</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7995492</vt:i4>
      </vt:variant>
      <vt:variant>
        <vt:i4>78</vt:i4>
      </vt:variant>
      <vt:variant>
        <vt:i4>0</vt:i4>
      </vt:variant>
      <vt:variant>
        <vt:i4>5</vt:i4>
      </vt:variant>
      <vt:variant>
        <vt:lpwstr>http://www.nevo.co.il/law/70301</vt:lpwstr>
      </vt:variant>
      <vt:variant>
        <vt:lpwstr/>
      </vt:variant>
      <vt:variant>
        <vt:i4>6357092</vt:i4>
      </vt:variant>
      <vt:variant>
        <vt:i4>75</vt:i4>
      </vt:variant>
      <vt:variant>
        <vt:i4>0</vt:i4>
      </vt:variant>
      <vt:variant>
        <vt:i4>5</vt:i4>
      </vt:variant>
      <vt:variant>
        <vt:lpwstr>http://www.nevo.co.il/law/70301/144</vt:lpwstr>
      </vt:variant>
      <vt:variant>
        <vt:lpwstr/>
      </vt:variant>
      <vt:variant>
        <vt:i4>3211380</vt:i4>
      </vt:variant>
      <vt:variant>
        <vt:i4>72</vt:i4>
      </vt:variant>
      <vt:variant>
        <vt:i4>0</vt:i4>
      </vt:variant>
      <vt:variant>
        <vt:i4>5</vt:i4>
      </vt:variant>
      <vt:variant>
        <vt:lpwstr>http://www.nevo.co.il/case/6246447</vt:lpwstr>
      </vt:variant>
      <vt:variant>
        <vt:lpwstr/>
      </vt:variant>
      <vt:variant>
        <vt:i4>3866750</vt:i4>
      </vt:variant>
      <vt:variant>
        <vt:i4>69</vt:i4>
      </vt:variant>
      <vt:variant>
        <vt:i4>0</vt:i4>
      </vt:variant>
      <vt:variant>
        <vt:i4>5</vt:i4>
      </vt:variant>
      <vt:variant>
        <vt:lpwstr>http://www.nevo.co.il/case/6159820</vt:lpwstr>
      </vt:variant>
      <vt:variant>
        <vt:lpwstr/>
      </vt:variant>
      <vt:variant>
        <vt:i4>3932280</vt:i4>
      </vt:variant>
      <vt:variant>
        <vt:i4>66</vt:i4>
      </vt:variant>
      <vt:variant>
        <vt:i4>0</vt:i4>
      </vt:variant>
      <vt:variant>
        <vt:i4>5</vt:i4>
      </vt:variant>
      <vt:variant>
        <vt:lpwstr>http://www.nevo.co.il/case/5820942</vt:lpwstr>
      </vt:variant>
      <vt:variant>
        <vt:lpwstr/>
      </vt:variant>
      <vt:variant>
        <vt:i4>3604604</vt:i4>
      </vt:variant>
      <vt:variant>
        <vt:i4>63</vt:i4>
      </vt:variant>
      <vt:variant>
        <vt:i4>0</vt:i4>
      </vt:variant>
      <vt:variant>
        <vt:i4>5</vt:i4>
      </vt:variant>
      <vt:variant>
        <vt:lpwstr>http://www.nevo.co.il/case/23535856</vt:lpwstr>
      </vt:variant>
      <vt:variant>
        <vt:lpwstr/>
      </vt:variant>
      <vt:variant>
        <vt:i4>3539056</vt:i4>
      </vt:variant>
      <vt:variant>
        <vt:i4>60</vt:i4>
      </vt:variant>
      <vt:variant>
        <vt:i4>0</vt:i4>
      </vt:variant>
      <vt:variant>
        <vt:i4>5</vt:i4>
      </vt:variant>
      <vt:variant>
        <vt:lpwstr>http://www.nevo.co.il/case/6473037</vt:lpwstr>
      </vt:variant>
      <vt:variant>
        <vt:lpwstr/>
      </vt:variant>
      <vt:variant>
        <vt:i4>3473523</vt:i4>
      </vt:variant>
      <vt:variant>
        <vt:i4>57</vt:i4>
      </vt:variant>
      <vt:variant>
        <vt:i4>0</vt:i4>
      </vt:variant>
      <vt:variant>
        <vt:i4>5</vt:i4>
      </vt:variant>
      <vt:variant>
        <vt:lpwstr>http://www.nevo.co.il/case/18762911</vt:lpwstr>
      </vt:variant>
      <vt:variant>
        <vt:lpwstr/>
      </vt:variant>
      <vt:variant>
        <vt:i4>3473525</vt:i4>
      </vt:variant>
      <vt:variant>
        <vt:i4>54</vt:i4>
      </vt:variant>
      <vt:variant>
        <vt:i4>0</vt:i4>
      </vt:variant>
      <vt:variant>
        <vt:i4>5</vt:i4>
      </vt:variant>
      <vt:variant>
        <vt:lpwstr>http://www.nevo.co.il/case/20737271</vt:lpwstr>
      </vt:variant>
      <vt:variant>
        <vt:lpwstr/>
      </vt:variant>
      <vt:variant>
        <vt:i4>3866736</vt:i4>
      </vt:variant>
      <vt:variant>
        <vt:i4>51</vt:i4>
      </vt:variant>
      <vt:variant>
        <vt:i4>0</vt:i4>
      </vt:variant>
      <vt:variant>
        <vt:i4>5</vt:i4>
      </vt:variant>
      <vt:variant>
        <vt:lpwstr>http://www.nevo.co.il/case/26931111</vt:lpwstr>
      </vt:variant>
      <vt:variant>
        <vt:lpwstr/>
      </vt:variant>
      <vt:variant>
        <vt:i4>3539068</vt:i4>
      </vt:variant>
      <vt:variant>
        <vt:i4>48</vt:i4>
      </vt:variant>
      <vt:variant>
        <vt:i4>0</vt:i4>
      </vt:variant>
      <vt:variant>
        <vt:i4>5</vt:i4>
      </vt:variant>
      <vt:variant>
        <vt:lpwstr>http://www.nevo.co.il/case/5878682</vt:lpwstr>
      </vt:variant>
      <vt:variant>
        <vt:lpwstr/>
      </vt:variant>
      <vt:variant>
        <vt:i4>3276919</vt:i4>
      </vt:variant>
      <vt:variant>
        <vt:i4>45</vt:i4>
      </vt:variant>
      <vt:variant>
        <vt:i4>0</vt:i4>
      </vt:variant>
      <vt:variant>
        <vt:i4>5</vt:i4>
      </vt:variant>
      <vt:variant>
        <vt:lpwstr>http://www.nevo.co.il/case/26032623</vt:lpwstr>
      </vt:variant>
      <vt:variant>
        <vt:lpwstr/>
      </vt:variant>
      <vt:variant>
        <vt:i4>3145841</vt:i4>
      </vt:variant>
      <vt:variant>
        <vt:i4>42</vt:i4>
      </vt:variant>
      <vt:variant>
        <vt:i4>0</vt:i4>
      </vt:variant>
      <vt:variant>
        <vt:i4>5</vt:i4>
      </vt:variant>
      <vt:variant>
        <vt:lpwstr>http://www.nevo.co.il/case/5724364</vt:lpwstr>
      </vt:variant>
      <vt:variant>
        <vt:lpwstr/>
      </vt:variant>
      <vt:variant>
        <vt:i4>3211379</vt:i4>
      </vt:variant>
      <vt:variant>
        <vt:i4>39</vt:i4>
      </vt:variant>
      <vt:variant>
        <vt:i4>0</vt:i4>
      </vt:variant>
      <vt:variant>
        <vt:i4>5</vt:i4>
      </vt:variant>
      <vt:variant>
        <vt:lpwstr>http://www.nevo.co.il/case/24140726</vt:lpwstr>
      </vt:variant>
      <vt:variant>
        <vt:lpwstr/>
      </vt:variant>
      <vt:variant>
        <vt:i4>3932283</vt:i4>
      </vt:variant>
      <vt:variant>
        <vt:i4>36</vt:i4>
      </vt:variant>
      <vt:variant>
        <vt:i4>0</vt:i4>
      </vt:variant>
      <vt:variant>
        <vt:i4>5</vt:i4>
      </vt:variant>
      <vt:variant>
        <vt:lpwstr>http://www.nevo.co.il/case/26905925</vt:lpwstr>
      </vt:variant>
      <vt:variant>
        <vt:lpwstr/>
      </vt:variant>
      <vt:variant>
        <vt:i4>3604604</vt:i4>
      </vt:variant>
      <vt:variant>
        <vt:i4>33</vt:i4>
      </vt:variant>
      <vt:variant>
        <vt:i4>0</vt:i4>
      </vt:variant>
      <vt:variant>
        <vt:i4>5</vt:i4>
      </vt:variant>
      <vt:variant>
        <vt:lpwstr>http://www.nevo.co.il/case/26888657</vt:lpwstr>
      </vt:variant>
      <vt:variant>
        <vt:lpwstr/>
      </vt:variant>
      <vt:variant>
        <vt:i4>4063353</vt:i4>
      </vt:variant>
      <vt:variant>
        <vt:i4>30</vt:i4>
      </vt:variant>
      <vt:variant>
        <vt:i4>0</vt:i4>
      </vt:variant>
      <vt:variant>
        <vt:i4>5</vt:i4>
      </vt:variant>
      <vt:variant>
        <vt:lpwstr>http://www.nevo.co.il/case/25612982</vt:lpwstr>
      </vt:variant>
      <vt:variant>
        <vt:lpwstr/>
      </vt:variant>
      <vt:variant>
        <vt:i4>3473532</vt:i4>
      </vt:variant>
      <vt:variant>
        <vt:i4>27</vt:i4>
      </vt:variant>
      <vt:variant>
        <vt:i4>0</vt:i4>
      </vt:variant>
      <vt:variant>
        <vt:i4>5</vt:i4>
      </vt:variant>
      <vt:variant>
        <vt:lpwstr>http://www.nevo.co.il/case/6000182</vt:lpwstr>
      </vt:variant>
      <vt:variant>
        <vt:lpwstr/>
      </vt:variant>
      <vt:variant>
        <vt:i4>4063346</vt:i4>
      </vt:variant>
      <vt:variant>
        <vt:i4>24</vt:i4>
      </vt:variant>
      <vt:variant>
        <vt:i4>0</vt:i4>
      </vt:variant>
      <vt:variant>
        <vt:i4>5</vt:i4>
      </vt:variant>
      <vt:variant>
        <vt:lpwstr>http://www.nevo.co.il/case/21479019</vt:lpwstr>
      </vt:variant>
      <vt:variant>
        <vt:lpwstr/>
      </vt:variant>
      <vt:variant>
        <vt:i4>3211391</vt:i4>
      </vt:variant>
      <vt:variant>
        <vt:i4>21</vt:i4>
      </vt:variant>
      <vt:variant>
        <vt:i4>0</vt:i4>
      </vt:variant>
      <vt:variant>
        <vt:i4>5</vt:i4>
      </vt:variant>
      <vt:variant>
        <vt:lpwstr>http://www.nevo.co.il/case/20683368</vt:lpwstr>
      </vt:variant>
      <vt:variant>
        <vt:lpwstr/>
      </vt:variant>
      <vt:variant>
        <vt:i4>7995492</vt:i4>
      </vt:variant>
      <vt:variant>
        <vt:i4>18</vt:i4>
      </vt:variant>
      <vt:variant>
        <vt:i4>0</vt:i4>
      </vt:variant>
      <vt:variant>
        <vt:i4>5</vt:i4>
      </vt:variant>
      <vt:variant>
        <vt:lpwstr>http://www.nevo.co.il/law/70301</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6422631</vt:i4>
      </vt:variant>
      <vt:variant>
        <vt:i4>9</vt:i4>
      </vt:variant>
      <vt:variant>
        <vt:i4>0</vt:i4>
      </vt:variant>
      <vt:variant>
        <vt:i4>5</vt:i4>
      </vt:variant>
      <vt:variant>
        <vt:lpwstr>http://www.nevo.co.il/law/70301/275</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2025-04-25T10:46:00Z</dcterms:created>
  <dcterms:modified xsi:type="dcterms:W3CDTF">2025-04-25T10:46:00Z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55054</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פאדל אלעודאת;אחמד אבו קטיפאן </vt:lpwstr>
  </property>
  <property fmtid="{D5CDD505-2E9C-101B-9397-08002B2CF9AE}" pid="10" name="LAWYER">
    <vt:lpwstr>ראמי אלמכאוי;אלי אונגר</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20210324</vt:lpwstr>
  </property>
  <property fmtid="{D5CDD505-2E9C-101B-9397-08002B2CF9AE}" pid="14" name="TYPE_N_DATE">
    <vt:lpwstr>39020210324</vt:lpwstr>
  </property>
  <property fmtid="{D5CDD505-2E9C-101B-9397-08002B2CF9AE}" pid="15" name="WORDNUMPAGES">
    <vt:lpwstr>10</vt:lpwstr>
  </property>
  <property fmtid="{D5CDD505-2E9C-101B-9397-08002B2CF9AE}" pid="16" name="TYPE_ABS_DATE">
    <vt:lpwstr>390020210324</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20683368;21479019;6000182;25612982;26888657;26905925;24140726;5724364;26032623;5878682;26931111;20737271;18762911;6473037;23535856;5820942;6159820;6246447</vt:lpwstr>
  </property>
  <property fmtid="{D5CDD505-2E9C-101B-9397-08002B2CF9AE}" pid="36" name="LAWLISTTMP1">
    <vt:lpwstr>70301/144.b;275;144</vt:lpwstr>
  </property>
</Properties>
</file>