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74"/>
        <w:gridCol w:w="2831"/>
      </w:tblGrid>
      <w:tr w:rsidR="00ED0DD9" w:rsidRPr="001F508A" w14:paraId="038168AA" w14:textId="77777777" w:rsidTr="00140695">
        <w:trPr>
          <w:trHeight w:hRule="exact" w:val="418"/>
          <w:jc w:val="center"/>
        </w:trPr>
        <w:tc>
          <w:tcPr>
            <w:tcW w:w="8505" w:type="dxa"/>
            <w:gridSpan w:val="2"/>
          </w:tcPr>
          <w:p w14:paraId="7F87457A" w14:textId="77777777" w:rsidR="00ED0DD9" w:rsidRPr="001F508A" w:rsidRDefault="00ED0DD9" w:rsidP="00140695">
            <w:pPr>
              <w:pStyle w:val="a3"/>
              <w:jc w:val="center"/>
              <w:rPr>
                <w:rFonts w:ascii="Tahoma" w:hAnsi="Tahoma" w:cs="Tahoma"/>
                <w:color w:val="000080"/>
                <w:rtl/>
              </w:rPr>
            </w:pPr>
            <w:bookmarkStart w:id="0" w:name="LastJudge"/>
            <w:r w:rsidRPr="001F508A">
              <w:rPr>
                <w:rFonts w:ascii="Tahoma" w:hAnsi="Tahoma" w:cs="Tahoma"/>
                <w:b/>
                <w:bCs/>
                <w:color w:val="000080"/>
                <w:rtl/>
              </w:rPr>
              <w:t>בית המשפט המחוזי בירושלים</w:t>
            </w:r>
          </w:p>
        </w:tc>
      </w:tr>
      <w:tr w:rsidR="00ED0DD9" w:rsidRPr="001F508A" w14:paraId="49E98FD7" w14:textId="77777777" w:rsidTr="00140695">
        <w:trPr>
          <w:trHeight w:val="337"/>
          <w:jc w:val="center"/>
        </w:trPr>
        <w:tc>
          <w:tcPr>
            <w:tcW w:w="5674" w:type="dxa"/>
          </w:tcPr>
          <w:p w14:paraId="1698E14E" w14:textId="77777777" w:rsidR="00ED0DD9" w:rsidRPr="001F508A" w:rsidRDefault="00ED0DD9" w:rsidP="00140695">
            <w:pPr>
              <w:rPr>
                <w:rFonts w:ascii="Tahoma" w:hAnsi="Tahoma" w:cs="Tahoma"/>
                <w:b/>
                <w:bCs/>
                <w:sz w:val="20"/>
                <w:szCs w:val="20"/>
                <w:rtl/>
              </w:rPr>
            </w:pPr>
            <w:r w:rsidRPr="001F508A">
              <w:rPr>
                <w:rFonts w:ascii="Tahoma" w:hAnsi="Tahoma" w:cs="Tahoma"/>
                <w:b/>
                <w:bCs/>
                <w:sz w:val="20"/>
                <w:szCs w:val="20"/>
                <w:rtl/>
              </w:rPr>
              <w:t>בפני כב' השופטים א' דראל, א' אברבנאל, ח' זנדברג</w:t>
            </w:r>
            <w:r w:rsidRPr="001F508A">
              <w:rPr>
                <w:rFonts w:ascii="Tahoma" w:hAnsi="Tahoma" w:cs="Tahoma"/>
                <w:b/>
                <w:bCs/>
                <w:sz w:val="20"/>
                <w:szCs w:val="20"/>
                <w:rtl/>
              </w:rPr>
              <w:br/>
              <w:t>תפ"ח 5511-02-20 מדינת ישראל נ' חמד</w:t>
            </w:r>
            <w:r w:rsidRPr="001F508A">
              <w:rPr>
                <w:rFonts w:ascii="Tahoma" w:hAnsi="Tahoma" w:cs="Tahoma" w:hint="cs"/>
                <w:b/>
                <w:bCs/>
                <w:sz w:val="20"/>
                <w:szCs w:val="20"/>
                <w:rtl/>
              </w:rPr>
              <w:t xml:space="preserve"> </w:t>
            </w:r>
            <w:r w:rsidRPr="001F508A">
              <w:rPr>
                <w:rFonts w:ascii="Tahoma" w:hAnsi="Tahoma" w:cs="Tahoma"/>
                <w:b/>
                <w:bCs/>
                <w:sz w:val="20"/>
                <w:szCs w:val="20"/>
                <w:rtl/>
              </w:rPr>
              <w:t>ואח'</w:t>
            </w:r>
          </w:p>
          <w:p w14:paraId="020832E0" w14:textId="77777777" w:rsidR="00ED0DD9" w:rsidRPr="001F508A" w:rsidRDefault="00ED0DD9" w:rsidP="00140695">
            <w:pPr>
              <w:pStyle w:val="a3"/>
              <w:rPr>
                <w:rFonts w:cs="FrankRuehl"/>
                <w:sz w:val="28"/>
                <w:szCs w:val="28"/>
                <w:rtl/>
              </w:rPr>
            </w:pPr>
          </w:p>
        </w:tc>
        <w:tc>
          <w:tcPr>
            <w:tcW w:w="2831" w:type="dxa"/>
          </w:tcPr>
          <w:p w14:paraId="0F945E12" w14:textId="77777777" w:rsidR="00ED0DD9" w:rsidRPr="001F508A" w:rsidRDefault="00ED0DD9" w:rsidP="00140695">
            <w:pPr>
              <w:pStyle w:val="a3"/>
              <w:jc w:val="right"/>
              <w:rPr>
                <w:rFonts w:cs="FrankRuehl"/>
                <w:sz w:val="28"/>
                <w:szCs w:val="28"/>
                <w:rtl/>
              </w:rPr>
            </w:pPr>
            <w:r w:rsidRPr="001F508A">
              <w:rPr>
                <w:rFonts w:cs="FrankRuehl" w:hint="cs"/>
                <w:sz w:val="28"/>
                <w:szCs w:val="28"/>
                <w:rtl/>
              </w:rPr>
              <w:t>19.4.2021</w:t>
            </w:r>
          </w:p>
        </w:tc>
      </w:tr>
    </w:tbl>
    <w:p w14:paraId="203FF789" w14:textId="77777777" w:rsidR="00ED0DD9" w:rsidRPr="001F508A" w:rsidRDefault="00ED0DD9" w:rsidP="00ED0DD9">
      <w:pPr>
        <w:pStyle w:val="a3"/>
        <w:rPr>
          <w:rtl/>
        </w:rPr>
      </w:pPr>
      <w:r w:rsidRPr="001F508A">
        <w:rPr>
          <w:rFonts w:hint="cs"/>
          <w:rtl/>
        </w:rPr>
        <w:t xml:space="preserve"> </w:t>
      </w:r>
    </w:p>
    <w:p w14:paraId="510800BC" w14:textId="77777777" w:rsidR="00ED0DD9" w:rsidRPr="001F508A" w:rsidRDefault="00ED0DD9" w:rsidP="00ED0DD9">
      <w:pPr>
        <w:pStyle w:val="a3"/>
        <w:rPr>
          <w:rtl/>
        </w:rPr>
      </w:pPr>
    </w:p>
    <w:p w14:paraId="3B110E74" w14:textId="77777777" w:rsidR="00ED0DD9" w:rsidRPr="001F508A" w:rsidRDefault="00ED0DD9" w:rsidP="00ED0DD9">
      <w:pPr>
        <w:pStyle w:val="a3"/>
        <w:rPr>
          <w:rtl/>
        </w:rPr>
      </w:pPr>
    </w:p>
    <w:p w14:paraId="18645009" w14:textId="77777777" w:rsidR="00ED0DD9" w:rsidRPr="001F508A" w:rsidRDefault="00ED0DD9" w:rsidP="00ED0DD9">
      <w:pPr>
        <w:rPr>
          <w:b/>
          <w:bCs/>
          <w:szCs w:val="26"/>
          <w:rtl/>
        </w:rPr>
      </w:pPr>
    </w:p>
    <w:p w14:paraId="5B5F1F37" w14:textId="77777777" w:rsidR="00ED0DD9" w:rsidRPr="001F508A" w:rsidRDefault="00ED0DD9" w:rsidP="00ED0DD9">
      <w:pPr>
        <w:rPr>
          <w:b/>
          <w:bCs/>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40"/>
        <w:gridCol w:w="566"/>
        <w:gridCol w:w="2691"/>
      </w:tblGrid>
      <w:tr w:rsidR="00ED0DD9" w:rsidRPr="001F508A" w14:paraId="7FC15A2B" w14:textId="77777777" w:rsidTr="00ED0DD9">
        <w:trPr>
          <w:trHeight w:val="295"/>
          <w:jc w:val="center"/>
        </w:trPr>
        <w:tc>
          <w:tcPr>
            <w:tcW w:w="923" w:type="dxa"/>
            <w:tcBorders>
              <w:top w:val="nil"/>
              <w:left w:val="nil"/>
              <w:bottom w:val="nil"/>
              <w:right w:val="nil"/>
            </w:tcBorders>
            <w:shd w:val="clear" w:color="auto" w:fill="auto"/>
          </w:tcPr>
          <w:p w14:paraId="6B3D78CA" w14:textId="77777777" w:rsidR="00ED0DD9" w:rsidRPr="001F508A" w:rsidRDefault="00ED0DD9" w:rsidP="00ED0DD9">
            <w:pPr>
              <w:jc w:val="both"/>
              <w:rPr>
                <w:rFonts w:ascii="Arial" w:hAnsi="Arial"/>
                <w:b/>
                <w:bCs/>
                <w:sz w:val="28"/>
                <w:szCs w:val="26"/>
              </w:rPr>
            </w:pPr>
          </w:p>
        </w:tc>
        <w:tc>
          <w:tcPr>
            <w:tcW w:w="7897" w:type="dxa"/>
            <w:gridSpan w:val="3"/>
            <w:tcBorders>
              <w:top w:val="nil"/>
              <w:left w:val="nil"/>
              <w:bottom w:val="nil"/>
              <w:right w:val="nil"/>
            </w:tcBorders>
            <w:shd w:val="clear" w:color="auto" w:fill="auto"/>
          </w:tcPr>
          <w:p w14:paraId="304FC83B" w14:textId="77777777" w:rsidR="00ED0DD9" w:rsidRPr="001F508A" w:rsidRDefault="00ED0DD9" w:rsidP="00140695">
            <w:pPr>
              <w:rPr>
                <w:b/>
                <w:bCs/>
                <w:szCs w:val="26"/>
                <w:rtl/>
              </w:rPr>
            </w:pPr>
          </w:p>
        </w:tc>
      </w:tr>
      <w:tr w:rsidR="00ED0DD9" w:rsidRPr="001F508A" w14:paraId="7FE2C617" w14:textId="77777777" w:rsidTr="00ED0DD9">
        <w:trPr>
          <w:trHeight w:val="355"/>
          <w:jc w:val="center"/>
        </w:trPr>
        <w:tc>
          <w:tcPr>
            <w:tcW w:w="923" w:type="dxa"/>
            <w:tcBorders>
              <w:top w:val="nil"/>
              <w:left w:val="nil"/>
              <w:bottom w:val="nil"/>
              <w:right w:val="nil"/>
            </w:tcBorders>
            <w:shd w:val="clear" w:color="auto" w:fill="auto"/>
          </w:tcPr>
          <w:p w14:paraId="37AD228D" w14:textId="77777777" w:rsidR="00ED0DD9" w:rsidRPr="001F508A" w:rsidRDefault="00ED0DD9" w:rsidP="00ED0DD9">
            <w:pPr>
              <w:jc w:val="both"/>
              <w:rPr>
                <w:rFonts w:ascii="Arial" w:hAnsi="Arial"/>
                <w:b/>
                <w:bCs/>
                <w:sz w:val="28"/>
                <w:szCs w:val="26"/>
              </w:rPr>
            </w:pPr>
            <w:bookmarkStart w:id="1" w:name="FirstAppellant"/>
            <w:r w:rsidRPr="001F508A">
              <w:rPr>
                <w:rFonts w:ascii="Arial" w:hAnsi="Arial" w:hint="cs"/>
                <w:b/>
                <w:bCs/>
                <w:sz w:val="28"/>
                <w:szCs w:val="26"/>
                <w:rtl/>
              </w:rPr>
              <w:t>בעניין:</w:t>
            </w:r>
          </w:p>
        </w:tc>
        <w:tc>
          <w:tcPr>
            <w:tcW w:w="5206" w:type="dxa"/>
            <w:gridSpan w:val="2"/>
            <w:tcBorders>
              <w:top w:val="nil"/>
              <w:left w:val="nil"/>
              <w:bottom w:val="nil"/>
              <w:right w:val="nil"/>
            </w:tcBorders>
            <w:shd w:val="clear" w:color="auto" w:fill="auto"/>
          </w:tcPr>
          <w:p w14:paraId="081349AD" w14:textId="77777777" w:rsidR="00ED0DD9" w:rsidRPr="001F508A" w:rsidRDefault="00ED0DD9" w:rsidP="00140695">
            <w:pPr>
              <w:rPr>
                <w:rFonts w:ascii="Arial" w:hAnsi="Arial"/>
                <w:b/>
                <w:bCs/>
                <w:sz w:val="28"/>
                <w:szCs w:val="26"/>
                <w:rtl/>
              </w:rPr>
            </w:pPr>
            <w:r w:rsidRPr="001F508A">
              <w:rPr>
                <w:rFonts w:ascii="Arial" w:hAnsi="Arial"/>
                <w:b/>
                <w:bCs/>
                <w:sz w:val="28"/>
                <w:szCs w:val="26"/>
                <w:rtl/>
              </w:rPr>
              <w:t>מדינת ישראל</w:t>
            </w:r>
          </w:p>
          <w:p w14:paraId="66FE2C24" w14:textId="77777777" w:rsidR="00ED0DD9" w:rsidRPr="001F508A" w:rsidRDefault="00ED0DD9" w:rsidP="00140695">
            <w:pPr>
              <w:rPr>
                <w:szCs w:val="26"/>
              </w:rPr>
            </w:pPr>
            <w:r w:rsidRPr="001F508A">
              <w:rPr>
                <w:rFonts w:hint="cs"/>
                <w:szCs w:val="26"/>
                <w:rtl/>
              </w:rPr>
              <w:t>ע"י עו"ד אביעד דוויק, פרקליטות מחוז י-ם</w:t>
            </w:r>
          </w:p>
        </w:tc>
        <w:tc>
          <w:tcPr>
            <w:tcW w:w="2691" w:type="dxa"/>
            <w:tcBorders>
              <w:top w:val="nil"/>
              <w:left w:val="nil"/>
              <w:bottom w:val="nil"/>
              <w:right w:val="nil"/>
            </w:tcBorders>
            <w:shd w:val="clear" w:color="auto" w:fill="auto"/>
          </w:tcPr>
          <w:p w14:paraId="3FF0470E" w14:textId="77777777" w:rsidR="00ED0DD9" w:rsidRPr="001F508A" w:rsidRDefault="00ED0DD9" w:rsidP="00ED0DD9">
            <w:pPr>
              <w:jc w:val="both"/>
              <w:rPr>
                <w:rFonts w:ascii="Arial" w:hAnsi="Arial"/>
                <w:b/>
                <w:bCs/>
                <w:sz w:val="28"/>
                <w:szCs w:val="26"/>
              </w:rPr>
            </w:pPr>
          </w:p>
        </w:tc>
      </w:tr>
      <w:bookmarkEnd w:id="1"/>
      <w:tr w:rsidR="00ED0DD9" w:rsidRPr="001F508A" w14:paraId="6FBDD572" w14:textId="77777777" w:rsidTr="00ED0DD9">
        <w:trPr>
          <w:trHeight w:val="355"/>
          <w:jc w:val="center"/>
        </w:trPr>
        <w:tc>
          <w:tcPr>
            <w:tcW w:w="923" w:type="dxa"/>
            <w:tcBorders>
              <w:top w:val="nil"/>
              <w:left w:val="nil"/>
              <w:bottom w:val="nil"/>
              <w:right w:val="nil"/>
            </w:tcBorders>
            <w:shd w:val="clear" w:color="auto" w:fill="auto"/>
          </w:tcPr>
          <w:p w14:paraId="39D650AC" w14:textId="77777777" w:rsidR="00ED0DD9" w:rsidRPr="001F508A" w:rsidRDefault="00ED0DD9" w:rsidP="00ED0DD9">
            <w:pPr>
              <w:jc w:val="both"/>
              <w:rPr>
                <w:rFonts w:ascii="Arial" w:hAnsi="Arial"/>
                <w:b/>
                <w:bCs/>
                <w:sz w:val="28"/>
                <w:szCs w:val="26"/>
                <w:rtl/>
              </w:rPr>
            </w:pPr>
          </w:p>
        </w:tc>
        <w:tc>
          <w:tcPr>
            <w:tcW w:w="5206" w:type="dxa"/>
            <w:gridSpan w:val="2"/>
            <w:tcBorders>
              <w:top w:val="nil"/>
              <w:left w:val="nil"/>
              <w:bottom w:val="nil"/>
              <w:right w:val="nil"/>
            </w:tcBorders>
            <w:shd w:val="clear" w:color="auto" w:fill="auto"/>
          </w:tcPr>
          <w:p w14:paraId="6DE1BB1C" w14:textId="77777777" w:rsidR="00ED0DD9" w:rsidRPr="001F508A" w:rsidRDefault="00ED0DD9" w:rsidP="00ED0DD9">
            <w:pPr>
              <w:jc w:val="both"/>
              <w:rPr>
                <w:b/>
                <w:bCs/>
                <w:szCs w:val="26"/>
                <w:rtl/>
              </w:rPr>
            </w:pPr>
          </w:p>
        </w:tc>
        <w:tc>
          <w:tcPr>
            <w:tcW w:w="2691" w:type="dxa"/>
            <w:tcBorders>
              <w:top w:val="nil"/>
              <w:left w:val="nil"/>
              <w:bottom w:val="nil"/>
              <w:right w:val="nil"/>
            </w:tcBorders>
            <w:shd w:val="clear" w:color="auto" w:fill="auto"/>
          </w:tcPr>
          <w:p w14:paraId="07D41F34" w14:textId="77777777" w:rsidR="00ED0DD9" w:rsidRPr="001F508A" w:rsidRDefault="00ED0DD9" w:rsidP="00ED0DD9">
            <w:pPr>
              <w:jc w:val="right"/>
              <w:rPr>
                <w:rFonts w:ascii="Arial" w:hAnsi="Arial"/>
                <w:b/>
                <w:bCs/>
                <w:sz w:val="28"/>
                <w:szCs w:val="26"/>
                <w:rtl/>
              </w:rPr>
            </w:pPr>
            <w:r w:rsidRPr="001F508A">
              <w:rPr>
                <w:rFonts w:ascii="Arial" w:hAnsi="Arial" w:hint="cs"/>
                <w:b/>
                <w:bCs/>
                <w:sz w:val="28"/>
                <w:szCs w:val="26"/>
                <w:rtl/>
              </w:rPr>
              <w:t>ה</w:t>
            </w:r>
            <w:r w:rsidRPr="001F508A">
              <w:rPr>
                <w:rFonts w:ascii="Arial" w:hAnsi="Arial"/>
                <w:b/>
                <w:bCs/>
                <w:sz w:val="28"/>
                <w:szCs w:val="26"/>
                <w:rtl/>
              </w:rPr>
              <w:t>מאשימה</w:t>
            </w:r>
          </w:p>
        </w:tc>
      </w:tr>
      <w:tr w:rsidR="00ED0DD9" w:rsidRPr="001F508A" w14:paraId="4793AC5C" w14:textId="77777777" w:rsidTr="00ED0DD9">
        <w:trPr>
          <w:trHeight w:val="355"/>
          <w:jc w:val="center"/>
        </w:trPr>
        <w:tc>
          <w:tcPr>
            <w:tcW w:w="923" w:type="dxa"/>
            <w:tcBorders>
              <w:top w:val="nil"/>
              <w:left w:val="nil"/>
              <w:bottom w:val="nil"/>
              <w:right w:val="nil"/>
            </w:tcBorders>
            <w:shd w:val="clear" w:color="auto" w:fill="auto"/>
          </w:tcPr>
          <w:p w14:paraId="60B26229" w14:textId="77777777" w:rsidR="00ED0DD9" w:rsidRPr="001F508A" w:rsidRDefault="00ED0DD9" w:rsidP="00ED0DD9">
            <w:pPr>
              <w:jc w:val="both"/>
              <w:rPr>
                <w:rFonts w:ascii="Arial" w:hAnsi="Arial"/>
                <w:b/>
                <w:bCs/>
                <w:sz w:val="28"/>
                <w:szCs w:val="26"/>
                <w:rtl/>
              </w:rPr>
            </w:pPr>
          </w:p>
        </w:tc>
        <w:tc>
          <w:tcPr>
            <w:tcW w:w="7897" w:type="dxa"/>
            <w:gridSpan w:val="3"/>
            <w:tcBorders>
              <w:top w:val="nil"/>
              <w:left w:val="nil"/>
              <w:bottom w:val="nil"/>
              <w:right w:val="nil"/>
            </w:tcBorders>
            <w:shd w:val="clear" w:color="auto" w:fill="auto"/>
          </w:tcPr>
          <w:p w14:paraId="366CA087" w14:textId="77777777" w:rsidR="00ED0DD9" w:rsidRPr="001F508A" w:rsidRDefault="00ED0DD9" w:rsidP="00ED0DD9">
            <w:pPr>
              <w:jc w:val="center"/>
              <w:rPr>
                <w:rFonts w:ascii="Arial" w:hAnsi="Arial"/>
                <w:b/>
                <w:bCs/>
                <w:sz w:val="28"/>
                <w:szCs w:val="26"/>
                <w:rtl/>
              </w:rPr>
            </w:pPr>
          </w:p>
          <w:p w14:paraId="00572886" w14:textId="77777777" w:rsidR="00ED0DD9" w:rsidRPr="001F508A" w:rsidRDefault="00ED0DD9" w:rsidP="00ED0DD9">
            <w:pPr>
              <w:jc w:val="center"/>
              <w:rPr>
                <w:rFonts w:ascii="Arial" w:hAnsi="Arial"/>
                <w:b/>
                <w:bCs/>
                <w:sz w:val="28"/>
                <w:szCs w:val="26"/>
                <w:rtl/>
              </w:rPr>
            </w:pPr>
            <w:r w:rsidRPr="001F508A">
              <w:rPr>
                <w:rFonts w:ascii="Arial" w:hAnsi="Arial"/>
                <w:b/>
                <w:bCs/>
                <w:sz w:val="28"/>
                <w:szCs w:val="26"/>
                <w:rtl/>
              </w:rPr>
              <w:t>נגד</w:t>
            </w:r>
          </w:p>
          <w:p w14:paraId="2ABA491D" w14:textId="77777777" w:rsidR="00ED0DD9" w:rsidRPr="001F508A" w:rsidRDefault="00ED0DD9" w:rsidP="00ED0DD9">
            <w:pPr>
              <w:jc w:val="both"/>
              <w:rPr>
                <w:rFonts w:ascii="Arial" w:hAnsi="Arial"/>
                <w:b/>
                <w:bCs/>
                <w:sz w:val="28"/>
                <w:szCs w:val="26"/>
              </w:rPr>
            </w:pPr>
          </w:p>
        </w:tc>
      </w:tr>
      <w:tr w:rsidR="00ED0DD9" w:rsidRPr="001F508A" w14:paraId="4A14AC20" w14:textId="77777777" w:rsidTr="00ED0DD9">
        <w:trPr>
          <w:trHeight w:val="355"/>
          <w:jc w:val="center"/>
        </w:trPr>
        <w:tc>
          <w:tcPr>
            <w:tcW w:w="923" w:type="dxa"/>
            <w:tcBorders>
              <w:top w:val="nil"/>
              <w:left w:val="nil"/>
              <w:bottom w:val="nil"/>
              <w:right w:val="nil"/>
            </w:tcBorders>
            <w:shd w:val="clear" w:color="auto" w:fill="auto"/>
          </w:tcPr>
          <w:p w14:paraId="074830F3" w14:textId="77777777" w:rsidR="00ED0DD9" w:rsidRPr="001F508A" w:rsidRDefault="00ED0DD9" w:rsidP="00140695">
            <w:pPr>
              <w:rPr>
                <w:rFonts w:ascii="Arial" w:hAnsi="Arial"/>
                <w:b/>
                <w:bCs/>
                <w:sz w:val="28"/>
                <w:szCs w:val="26"/>
                <w:rtl/>
              </w:rPr>
            </w:pPr>
            <w:bookmarkStart w:id="2" w:name="FirstLawyer"/>
          </w:p>
        </w:tc>
        <w:tc>
          <w:tcPr>
            <w:tcW w:w="4640" w:type="dxa"/>
            <w:tcBorders>
              <w:top w:val="nil"/>
              <w:left w:val="nil"/>
              <w:bottom w:val="nil"/>
              <w:right w:val="nil"/>
            </w:tcBorders>
            <w:shd w:val="clear" w:color="auto" w:fill="auto"/>
          </w:tcPr>
          <w:p w14:paraId="778A807D" w14:textId="77777777" w:rsidR="00ED0DD9" w:rsidRPr="001F508A" w:rsidRDefault="00ED0DD9" w:rsidP="00140695">
            <w:pPr>
              <w:rPr>
                <w:b/>
                <w:bCs/>
                <w:szCs w:val="26"/>
                <w:rtl/>
              </w:rPr>
            </w:pPr>
            <w:r w:rsidRPr="001F508A">
              <w:rPr>
                <w:rFonts w:ascii="Arial" w:hAnsi="Arial"/>
                <w:b/>
                <w:bCs/>
                <w:sz w:val="28"/>
                <w:szCs w:val="26"/>
                <w:rtl/>
              </w:rPr>
              <w:t>1</w:t>
            </w:r>
            <w:r w:rsidRPr="001F508A">
              <w:rPr>
                <w:rFonts w:ascii="Arial" w:hAnsi="Arial" w:hint="cs"/>
                <w:b/>
                <w:bCs/>
                <w:sz w:val="28"/>
                <w:szCs w:val="26"/>
                <w:rtl/>
              </w:rPr>
              <w:t>.</w:t>
            </w:r>
            <w:r w:rsidRPr="001F508A">
              <w:rPr>
                <w:rFonts w:ascii="Arial" w:hAnsi="Arial"/>
                <w:b/>
                <w:bCs/>
                <w:sz w:val="28"/>
                <w:szCs w:val="26"/>
                <w:rtl/>
              </w:rPr>
              <w:t>מהנד חמד</w:t>
            </w:r>
          </w:p>
          <w:p w14:paraId="17702DAE" w14:textId="77777777" w:rsidR="00ED0DD9" w:rsidRPr="001F508A" w:rsidRDefault="00ED0DD9" w:rsidP="00140695">
            <w:pPr>
              <w:rPr>
                <w:szCs w:val="26"/>
                <w:rtl/>
              </w:rPr>
            </w:pPr>
            <w:r w:rsidRPr="001F508A">
              <w:rPr>
                <w:rFonts w:hint="cs"/>
                <w:szCs w:val="26"/>
                <w:rtl/>
              </w:rPr>
              <w:t xml:space="preserve">   ע"י ב"כ עו"ד רמי עותמאן</w:t>
            </w:r>
          </w:p>
          <w:p w14:paraId="45951FD6" w14:textId="77777777" w:rsidR="00ED0DD9" w:rsidRPr="001F508A" w:rsidRDefault="00ED0DD9" w:rsidP="00140695">
            <w:pPr>
              <w:rPr>
                <w:szCs w:val="26"/>
                <w:rtl/>
              </w:rPr>
            </w:pPr>
          </w:p>
          <w:p w14:paraId="04F3345B" w14:textId="77777777" w:rsidR="00ED0DD9" w:rsidRPr="001F508A" w:rsidRDefault="00ED0DD9" w:rsidP="00140695">
            <w:pPr>
              <w:rPr>
                <w:b/>
                <w:bCs/>
                <w:szCs w:val="26"/>
                <w:rtl/>
              </w:rPr>
            </w:pPr>
            <w:r w:rsidRPr="001F508A">
              <w:rPr>
                <w:rFonts w:ascii="Arial" w:hAnsi="Arial"/>
                <w:b/>
                <w:bCs/>
                <w:sz w:val="28"/>
                <w:szCs w:val="26"/>
                <w:rtl/>
              </w:rPr>
              <w:t>2</w:t>
            </w:r>
            <w:r w:rsidRPr="001F508A">
              <w:rPr>
                <w:rFonts w:ascii="Arial" w:hAnsi="Arial" w:hint="cs"/>
                <w:b/>
                <w:bCs/>
                <w:sz w:val="28"/>
                <w:szCs w:val="26"/>
                <w:rtl/>
              </w:rPr>
              <w:t>.</w:t>
            </w:r>
            <w:r w:rsidRPr="001F508A">
              <w:rPr>
                <w:rFonts w:ascii="Arial" w:hAnsi="Arial"/>
                <w:b/>
                <w:bCs/>
                <w:sz w:val="28"/>
                <w:szCs w:val="26"/>
                <w:rtl/>
              </w:rPr>
              <w:t xml:space="preserve">מהדי אבו מייאלה </w:t>
            </w:r>
          </w:p>
          <w:p w14:paraId="012C31D9" w14:textId="77777777" w:rsidR="00ED0DD9" w:rsidRPr="001F508A" w:rsidRDefault="00ED0DD9" w:rsidP="00140695">
            <w:pPr>
              <w:rPr>
                <w:szCs w:val="26"/>
                <w:rtl/>
              </w:rPr>
            </w:pPr>
            <w:r w:rsidRPr="001F508A">
              <w:rPr>
                <w:rFonts w:hint="cs"/>
                <w:szCs w:val="26"/>
                <w:rtl/>
              </w:rPr>
              <w:t xml:space="preserve">   ע"י ב"כ עו"ד גיורא זילברשטיין</w:t>
            </w:r>
          </w:p>
        </w:tc>
        <w:tc>
          <w:tcPr>
            <w:tcW w:w="3257" w:type="dxa"/>
            <w:gridSpan w:val="2"/>
            <w:tcBorders>
              <w:top w:val="nil"/>
              <w:left w:val="nil"/>
              <w:bottom w:val="nil"/>
              <w:right w:val="nil"/>
            </w:tcBorders>
            <w:shd w:val="clear" w:color="auto" w:fill="auto"/>
          </w:tcPr>
          <w:p w14:paraId="1780FA72" w14:textId="77777777" w:rsidR="00ED0DD9" w:rsidRPr="001F508A" w:rsidRDefault="00ED0DD9" w:rsidP="00ED0DD9">
            <w:pPr>
              <w:jc w:val="right"/>
              <w:rPr>
                <w:rFonts w:ascii="Arial" w:hAnsi="Arial"/>
                <w:b/>
                <w:bCs/>
                <w:sz w:val="28"/>
                <w:szCs w:val="26"/>
              </w:rPr>
            </w:pPr>
          </w:p>
        </w:tc>
      </w:tr>
      <w:bookmarkEnd w:id="2"/>
      <w:tr w:rsidR="00ED0DD9" w:rsidRPr="001F508A" w14:paraId="0B98DFE4" w14:textId="77777777" w:rsidTr="00ED0DD9">
        <w:trPr>
          <w:trHeight w:val="355"/>
          <w:jc w:val="center"/>
        </w:trPr>
        <w:tc>
          <w:tcPr>
            <w:tcW w:w="923" w:type="dxa"/>
            <w:tcBorders>
              <w:top w:val="nil"/>
              <w:left w:val="nil"/>
              <w:bottom w:val="nil"/>
              <w:right w:val="nil"/>
            </w:tcBorders>
            <w:shd w:val="clear" w:color="auto" w:fill="auto"/>
          </w:tcPr>
          <w:p w14:paraId="161C1C42" w14:textId="77777777" w:rsidR="00ED0DD9" w:rsidRPr="001F508A" w:rsidRDefault="00ED0DD9" w:rsidP="00ED0DD9">
            <w:pPr>
              <w:jc w:val="both"/>
              <w:rPr>
                <w:rFonts w:ascii="Arial" w:hAnsi="Arial"/>
                <w:b/>
                <w:bCs/>
                <w:sz w:val="28"/>
                <w:szCs w:val="26"/>
                <w:rtl/>
              </w:rPr>
            </w:pPr>
          </w:p>
        </w:tc>
        <w:tc>
          <w:tcPr>
            <w:tcW w:w="5206" w:type="dxa"/>
            <w:gridSpan w:val="2"/>
            <w:tcBorders>
              <w:top w:val="nil"/>
              <w:left w:val="nil"/>
              <w:bottom w:val="nil"/>
              <w:right w:val="nil"/>
            </w:tcBorders>
            <w:shd w:val="clear" w:color="auto" w:fill="auto"/>
          </w:tcPr>
          <w:p w14:paraId="4F74DCDA" w14:textId="77777777" w:rsidR="00ED0DD9" w:rsidRPr="001F508A" w:rsidRDefault="00ED0DD9" w:rsidP="00ED0DD9">
            <w:pPr>
              <w:jc w:val="both"/>
              <w:rPr>
                <w:b/>
                <w:bCs/>
                <w:szCs w:val="26"/>
                <w:rtl/>
              </w:rPr>
            </w:pPr>
          </w:p>
        </w:tc>
        <w:tc>
          <w:tcPr>
            <w:tcW w:w="2691" w:type="dxa"/>
            <w:tcBorders>
              <w:top w:val="nil"/>
              <w:left w:val="nil"/>
              <w:bottom w:val="nil"/>
              <w:right w:val="nil"/>
            </w:tcBorders>
            <w:shd w:val="clear" w:color="auto" w:fill="auto"/>
          </w:tcPr>
          <w:p w14:paraId="51497EF8" w14:textId="77777777" w:rsidR="00ED0DD9" w:rsidRPr="001F508A" w:rsidRDefault="00ED0DD9" w:rsidP="00ED0DD9">
            <w:pPr>
              <w:jc w:val="right"/>
              <w:rPr>
                <w:rFonts w:ascii="Arial" w:hAnsi="Arial"/>
                <w:b/>
                <w:bCs/>
                <w:sz w:val="28"/>
                <w:szCs w:val="26"/>
              </w:rPr>
            </w:pPr>
            <w:r w:rsidRPr="001F508A">
              <w:rPr>
                <w:rFonts w:ascii="Arial" w:hAnsi="Arial" w:hint="cs"/>
                <w:b/>
                <w:bCs/>
                <w:sz w:val="28"/>
                <w:szCs w:val="26"/>
                <w:rtl/>
              </w:rPr>
              <w:t>ה</w:t>
            </w:r>
            <w:r w:rsidRPr="001F508A">
              <w:rPr>
                <w:rFonts w:ascii="Arial" w:hAnsi="Arial"/>
                <w:b/>
                <w:bCs/>
                <w:sz w:val="28"/>
                <w:szCs w:val="26"/>
                <w:rtl/>
              </w:rPr>
              <w:t>נאשמים</w:t>
            </w:r>
          </w:p>
        </w:tc>
      </w:tr>
    </w:tbl>
    <w:p w14:paraId="02D1E19C" w14:textId="77777777" w:rsidR="00475E23" w:rsidRDefault="00475E23" w:rsidP="00ED0DD9">
      <w:pPr>
        <w:rPr>
          <w:szCs w:val="26"/>
          <w:rtl/>
        </w:rPr>
      </w:pPr>
    </w:p>
    <w:p w14:paraId="48C8BE7E" w14:textId="77777777" w:rsidR="00475E23" w:rsidRPr="00475E23" w:rsidRDefault="00475E23" w:rsidP="00475E23">
      <w:pPr>
        <w:spacing w:after="120" w:line="240" w:lineRule="exact"/>
        <w:ind w:left="283" w:hanging="283"/>
        <w:jc w:val="both"/>
        <w:rPr>
          <w:rFonts w:ascii="FrankRuehl" w:hAnsi="FrankRuehl" w:cs="FrankRuehl"/>
          <w:rtl/>
        </w:rPr>
      </w:pPr>
    </w:p>
    <w:p w14:paraId="5840B0AE" w14:textId="77777777" w:rsidR="003A0E09" w:rsidRDefault="003A0E09" w:rsidP="003A0E09">
      <w:pPr>
        <w:rPr>
          <w:rFonts w:ascii="Arial" w:hAnsi="Arial"/>
          <w:szCs w:val="26"/>
          <w:rtl/>
        </w:rPr>
      </w:pPr>
      <w:bookmarkStart w:id="3" w:name="LawTable"/>
      <w:bookmarkEnd w:id="3"/>
    </w:p>
    <w:p w14:paraId="44C6E9F0" w14:textId="77777777" w:rsidR="003A0E09" w:rsidRPr="003A0E09" w:rsidRDefault="003A0E09" w:rsidP="003A0E09">
      <w:pPr>
        <w:spacing w:before="120" w:after="120" w:line="240" w:lineRule="exact"/>
        <w:ind w:left="283" w:hanging="283"/>
        <w:jc w:val="both"/>
        <w:rPr>
          <w:rFonts w:ascii="FrankRuehl" w:hAnsi="FrankRuehl" w:cs="FrankRuehl"/>
          <w:rtl/>
        </w:rPr>
      </w:pPr>
    </w:p>
    <w:p w14:paraId="1E097727" w14:textId="77777777" w:rsidR="003A0E09" w:rsidRPr="003A0E09" w:rsidRDefault="003A0E09" w:rsidP="003A0E09">
      <w:pPr>
        <w:spacing w:before="120" w:after="120" w:line="240" w:lineRule="exact"/>
        <w:ind w:left="283" w:hanging="283"/>
        <w:jc w:val="both"/>
        <w:rPr>
          <w:rFonts w:ascii="FrankRuehl" w:hAnsi="FrankRuehl" w:cs="FrankRuehl"/>
          <w:rtl/>
        </w:rPr>
      </w:pPr>
    </w:p>
    <w:p w14:paraId="6C2CDA46" w14:textId="77777777" w:rsidR="003A0E09" w:rsidRPr="003A0E09" w:rsidRDefault="003A0E09" w:rsidP="003A0E09">
      <w:pPr>
        <w:spacing w:before="120" w:after="120" w:line="240" w:lineRule="exact"/>
        <w:ind w:left="283" w:hanging="283"/>
        <w:jc w:val="both"/>
        <w:rPr>
          <w:rFonts w:ascii="FrankRuehl" w:hAnsi="FrankRuehl" w:cs="FrankRuehl"/>
          <w:rtl/>
        </w:rPr>
      </w:pPr>
      <w:r w:rsidRPr="003A0E09">
        <w:rPr>
          <w:rFonts w:ascii="FrankRuehl" w:hAnsi="FrankRuehl" w:cs="FrankRuehl"/>
          <w:rtl/>
        </w:rPr>
        <w:t xml:space="preserve">חקיקה שאוזכרה: </w:t>
      </w:r>
    </w:p>
    <w:p w14:paraId="0FBE97BC" w14:textId="77777777" w:rsidR="003A0E09" w:rsidRPr="003A0E09" w:rsidRDefault="003A0E09" w:rsidP="003A0E09">
      <w:pPr>
        <w:spacing w:before="120" w:after="120" w:line="240" w:lineRule="exact"/>
        <w:ind w:left="283" w:hanging="283"/>
        <w:jc w:val="both"/>
        <w:rPr>
          <w:rFonts w:ascii="FrankRuehl" w:hAnsi="FrankRuehl" w:cs="FrankRuehl"/>
          <w:rtl/>
        </w:rPr>
      </w:pPr>
      <w:hyperlink r:id="rId7" w:history="1">
        <w:r w:rsidRPr="003A0E09">
          <w:rPr>
            <w:rFonts w:ascii="FrankRuehl" w:hAnsi="FrankRuehl" w:cs="FrankRuehl"/>
            <w:color w:val="0000FF"/>
            <w:rtl/>
          </w:rPr>
          <w:t>חוק העונשין, תשל"ז-1977</w:t>
        </w:r>
      </w:hyperlink>
      <w:r w:rsidRPr="003A0E09">
        <w:rPr>
          <w:rFonts w:ascii="FrankRuehl" w:hAnsi="FrankRuehl" w:cs="FrankRuehl"/>
          <w:rtl/>
        </w:rPr>
        <w:t xml:space="preserve">: סע'  </w:t>
      </w:r>
      <w:hyperlink r:id="rId8" w:history="1">
        <w:r w:rsidRPr="003A0E09">
          <w:rPr>
            <w:rFonts w:ascii="FrankRuehl" w:hAnsi="FrankRuehl" w:cs="FrankRuehl"/>
            <w:color w:val="0000FF"/>
            <w:rtl/>
          </w:rPr>
          <w:t>31</w:t>
        </w:r>
      </w:hyperlink>
      <w:r w:rsidRPr="003A0E09">
        <w:rPr>
          <w:rFonts w:ascii="FrankRuehl" w:hAnsi="FrankRuehl" w:cs="FrankRuehl"/>
          <w:rtl/>
        </w:rPr>
        <w:t xml:space="preserve">, </w:t>
      </w:r>
      <w:hyperlink r:id="rId9" w:history="1">
        <w:r w:rsidRPr="003A0E09">
          <w:rPr>
            <w:rFonts w:ascii="FrankRuehl" w:hAnsi="FrankRuehl" w:cs="FrankRuehl"/>
            <w:color w:val="0000FF"/>
            <w:rtl/>
          </w:rPr>
          <w:t>144 (ב)</w:t>
        </w:r>
      </w:hyperlink>
      <w:r w:rsidRPr="003A0E09">
        <w:rPr>
          <w:rFonts w:ascii="FrankRuehl" w:hAnsi="FrankRuehl" w:cs="FrankRuehl"/>
          <w:rtl/>
        </w:rPr>
        <w:t xml:space="preserve">, </w:t>
      </w:r>
      <w:hyperlink r:id="rId10" w:history="1">
        <w:r w:rsidRPr="003A0E09">
          <w:rPr>
            <w:rFonts w:ascii="FrankRuehl" w:hAnsi="FrankRuehl" w:cs="FrankRuehl"/>
            <w:color w:val="0000FF"/>
            <w:rtl/>
          </w:rPr>
          <w:t>329</w:t>
        </w:r>
      </w:hyperlink>
      <w:r w:rsidRPr="003A0E09">
        <w:rPr>
          <w:rFonts w:ascii="FrankRuehl" w:hAnsi="FrankRuehl" w:cs="FrankRuehl"/>
          <w:rtl/>
        </w:rPr>
        <w:t xml:space="preserve">, </w:t>
      </w:r>
      <w:hyperlink r:id="rId11" w:history="1">
        <w:r w:rsidRPr="003A0E09">
          <w:rPr>
            <w:rFonts w:ascii="FrankRuehl" w:hAnsi="FrankRuehl" w:cs="FrankRuehl"/>
            <w:color w:val="0000FF"/>
            <w:rtl/>
          </w:rPr>
          <w:t>329(א)(2)</w:t>
        </w:r>
      </w:hyperlink>
    </w:p>
    <w:p w14:paraId="1DCFB4C8" w14:textId="77777777" w:rsidR="003A0E09" w:rsidRPr="003A0E09" w:rsidRDefault="003A0E09" w:rsidP="003A0E09">
      <w:pPr>
        <w:rPr>
          <w:rFonts w:ascii="Arial" w:hAnsi="Arial"/>
          <w:szCs w:val="26"/>
          <w:rtl/>
        </w:rPr>
      </w:pPr>
      <w:bookmarkStart w:id="4" w:name="LawTable_End"/>
      <w:bookmarkEnd w:id="4"/>
    </w:p>
    <w:p w14:paraId="445719F3" w14:textId="77777777" w:rsidR="00ED0DD9" w:rsidRPr="001F508A" w:rsidRDefault="00ED0DD9" w:rsidP="00ED0DD9">
      <w:pPr>
        <w:rPr>
          <w:rFonts w:ascii="Arial" w:hAnsi="Arial"/>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D0DD9" w:rsidRPr="007F67F4" w14:paraId="448E26D4" w14:textId="77777777" w:rsidTr="00ED0DD9">
        <w:trPr>
          <w:trHeight w:val="355"/>
          <w:jc w:val="center"/>
        </w:trPr>
        <w:tc>
          <w:tcPr>
            <w:tcW w:w="8820" w:type="dxa"/>
            <w:tcBorders>
              <w:top w:val="nil"/>
              <w:left w:val="nil"/>
              <w:bottom w:val="nil"/>
              <w:right w:val="nil"/>
            </w:tcBorders>
            <w:shd w:val="clear" w:color="auto" w:fill="auto"/>
          </w:tcPr>
          <w:p w14:paraId="5C8B4915" w14:textId="77777777" w:rsidR="001F508A" w:rsidRPr="001F508A" w:rsidRDefault="001F508A" w:rsidP="001F508A">
            <w:pPr>
              <w:jc w:val="center"/>
              <w:rPr>
                <w:rFonts w:ascii="Arial" w:hAnsi="Arial"/>
                <w:b/>
                <w:bCs/>
                <w:sz w:val="36"/>
                <w:szCs w:val="30"/>
                <w:u w:val="single"/>
                <w:rtl/>
              </w:rPr>
            </w:pPr>
            <w:bookmarkStart w:id="5" w:name="PsakDin" w:colFirst="0" w:colLast="0"/>
            <w:bookmarkEnd w:id="0"/>
            <w:r w:rsidRPr="001F508A">
              <w:rPr>
                <w:rFonts w:ascii="Arial" w:hAnsi="Arial"/>
                <w:b/>
                <w:bCs/>
                <w:sz w:val="36"/>
                <w:szCs w:val="30"/>
                <w:u w:val="single"/>
                <w:rtl/>
              </w:rPr>
              <w:t>גזר דין</w:t>
            </w:r>
          </w:p>
          <w:p w14:paraId="667F813E" w14:textId="77777777" w:rsidR="00ED0DD9" w:rsidRPr="001F508A" w:rsidRDefault="00ED0DD9" w:rsidP="001F508A">
            <w:pPr>
              <w:jc w:val="center"/>
              <w:rPr>
                <w:rFonts w:ascii="Arial" w:hAnsi="Arial"/>
                <w:b/>
                <w:bCs/>
                <w:sz w:val="36"/>
                <w:szCs w:val="30"/>
                <w:u w:val="single"/>
                <w:rtl/>
              </w:rPr>
            </w:pPr>
          </w:p>
        </w:tc>
      </w:tr>
      <w:bookmarkEnd w:id="5"/>
    </w:tbl>
    <w:p w14:paraId="1C745DCC" w14:textId="77777777" w:rsidR="00ED0DD9" w:rsidRPr="007F67F4" w:rsidRDefault="00ED0DD9" w:rsidP="00ED0DD9">
      <w:pPr>
        <w:rPr>
          <w:rFonts w:ascii="Arial" w:hAnsi="Arial"/>
          <w:szCs w:val="26"/>
          <w:rtl/>
        </w:rPr>
      </w:pPr>
    </w:p>
    <w:p w14:paraId="373F193A" w14:textId="77777777" w:rsidR="00ED0DD9" w:rsidRPr="007F67F4" w:rsidRDefault="00ED0DD9" w:rsidP="00ED0DD9">
      <w:pPr>
        <w:rPr>
          <w:rFonts w:ascii="Arial" w:hAnsi="Arial"/>
          <w:szCs w:val="26"/>
          <w:rtl/>
        </w:rPr>
      </w:pPr>
    </w:p>
    <w:p w14:paraId="0AB78FCE" w14:textId="77777777" w:rsidR="00ED0DD9" w:rsidRPr="007F67F4" w:rsidRDefault="00ED0DD9" w:rsidP="00ED0DD9">
      <w:pPr>
        <w:rPr>
          <w:szCs w:val="26"/>
          <w:rtl/>
        </w:rPr>
      </w:pPr>
    </w:p>
    <w:p w14:paraId="3F147B1F" w14:textId="77777777" w:rsidR="00ED0DD9" w:rsidRDefault="00ED0DD9" w:rsidP="00ED0DD9">
      <w:pPr>
        <w:spacing w:line="360" w:lineRule="auto"/>
        <w:jc w:val="both"/>
        <w:rPr>
          <w:rFonts w:ascii="David" w:hAnsi="David"/>
          <w:b/>
          <w:bCs/>
          <w:sz w:val="26"/>
          <w:szCs w:val="26"/>
          <w:u w:val="single"/>
        </w:rPr>
      </w:pPr>
      <w:r>
        <w:rPr>
          <w:rFonts w:ascii="David" w:hAnsi="David"/>
          <w:b/>
          <w:bCs/>
          <w:sz w:val="26"/>
          <w:szCs w:val="26"/>
          <w:u w:val="single"/>
          <w:rtl/>
        </w:rPr>
        <w:t>כתב האישום</w:t>
      </w:r>
    </w:p>
    <w:p w14:paraId="0FC43153"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bookmarkStart w:id="6" w:name="ABSTRACT_START"/>
      <w:bookmarkEnd w:id="6"/>
      <w:r>
        <w:rPr>
          <w:rFonts w:ascii="David" w:hAnsi="David" w:cs="David"/>
          <w:sz w:val="26"/>
          <w:szCs w:val="26"/>
          <w:rtl/>
        </w:rPr>
        <w:t xml:space="preserve">הנאשם 1 (להלן: </w:t>
      </w:r>
      <w:r>
        <w:rPr>
          <w:rFonts w:ascii="David" w:hAnsi="David" w:cs="David"/>
          <w:b/>
          <w:bCs/>
          <w:sz w:val="26"/>
          <w:szCs w:val="26"/>
          <w:rtl/>
        </w:rPr>
        <w:t>מהנד</w:t>
      </w:r>
      <w:r>
        <w:rPr>
          <w:rFonts w:ascii="David" w:hAnsi="David" w:cs="David"/>
          <w:sz w:val="26"/>
          <w:szCs w:val="26"/>
          <w:rtl/>
        </w:rPr>
        <w:t xml:space="preserve">) הורשע על פי הודאתו בשלוש עבירות של סיוע לחבלה בכוונה מחמירה לפי </w:t>
      </w:r>
      <w:hyperlink r:id="rId12" w:history="1">
        <w:r w:rsidR="00475E23" w:rsidRPr="00475E23">
          <w:rPr>
            <w:rStyle w:val="Hyperlink"/>
            <w:rFonts w:ascii="David" w:hAnsi="David" w:cs="David"/>
            <w:sz w:val="26"/>
            <w:szCs w:val="26"/>
            <w:rtl/>
          </w:rPr>
          <w:t>סעיף 329(א)(2)</w:t>
        </w:r>
      </w:hyperlink>
      <w:r>
        <w:rPr>
          <w:rFonts w:ascii="David" w:hAnsi="David" w:cs="David"/>
          <w:sz w:val="26"/>
          <w:szCs w:val="26"/>
          <w:rtl/>
        </w:rPr>
        <w:t xml:space="preserve"> ל</w:t>
      </w:r>
      <w:hyperlink r:id="rId13" w:history="1">
        <w:r w:rsidR="001F508A" w:rsidRPr="001F508A">
          <w:rPr>
            <w:rFonts w:ascii="David" w:hAnsi="David" w:cs="David"/>
            <w:color w:val="0000FF"/>
            <w:sz w:val="26"/>
            <w:szCs w:val="26"/>
            <w:u w:val="single"/>
            <w:rtl/>
          </w:rPr>
          <w:t>חוק העונשין</w:t>
        </w:r>
      </w:hyperlink>
      <w:r>
        <w:rPr>
          <w:rFonts w:ascii="David" w:hAnsi="David" w:cs="David"/>
          <w:sz w:val="26"/>
          <w:szCs w:val="26"/>
          <w:rtl/>
        </w:rPr>
        <w:t xml:space="preserve">, התשל"ז-1977 (להלן: </w:t>
      </w:r>
      <w:r>
        <w:rPr>
          <w:rFonts w:ascii="David" w:hAnsi="David" w:cs="David"/>
          <w:b/>
          <w:bCs/>
          <w:sz w:val="26"/>
          <w:szCs w:val="26"/>
          <w:rtl/>
        </w:rPr>
        <w:t>חוק העונשין</w:t>
      </w:r>
      <w:r>
        <w:rPr>
          <w:rFonts w:ascii="David" w:hAnsi="David" w:cs="David"/>
          <w:sz w:val="26"/>
          <w:szCs w:val="26"/>
          <w:rtl/>
        </w:rPr>
        <w:t xml:space="preserve">) בצירוף </w:t>
      </w:r>
      <w:hyperlink r:id="rId14" w:history="1">
        <w:r w:rsidR="00475E23" w:rsidRPr="00475E23">
          <w:rPr>
            <w:rStyle w:val="Hyperlink"/>
            <w:rFonts w:ascii="David" w:hAnsi="David" w:cs="David"/>
            <w:sz w:val="26"/>
            <w:szCs w:val="26"/>
            <w:rtl/>
          </w:rPr>
          <w:t>סעיף 31</w:t>
        </w:r>
      </w:hyperlink>
      <w:r>
        <w:rPr>
          <w:rFonts w:ascii="David" w:hAnsi="David" w:cs="David"/>
          <w:sz w:val="26"/>
          <w:szCs w:val="26"/>
          <w:rtl/>
        </w:rPr>
        <w:t xml:space="preserve"> לחוק העונשין. הנאשם 2 (להלן: </w:t>
      </w:r>
      <w:r>
        <w:rPr>
          <w:rFonts w:ascii="David" w:hAnsi="David" w:cs="David"/>
          <w:b/>
          <w:bCs/>
          <w:sz w:val="26"/>
          <w:szCs w:val="26"/>
          <w:rtl/>
        </w:rPr>
        <w:t>מהדי</w:t>
      </w:r>
      <w:r>
        <w:rPr>
          <w:rFonts w:ascii="David" w:hAnsi="David" w:cs="David"/>
          <w:sz w:val="26"/>
          <w:szCs w:val="26"/>
          <w:rtl/>
        </w:rPr>
        <w:t xml:space="preserve">) הורשע על פי הודאתו בשלוש עבירות של חבלה בכוונה מחמירה ובעבירה של נשיאה והובלת נשק  לפי סעיף </w:t>
      </w:r>
      <w:hyperlink r:id="rId15" w:history="1">
        <w:r w:rsidR="00475E23" w:rsidRPr="00475E23">
          <w:rPr>
            <w:rStyle w:val="Hyperlink"/>
            <w:rFonts w:ascii="David" w:hAnsi="David" w:cs="David"/>
            <w:sz w:val="26"/>
            <w:szCs w:val="26"/>
            <w:rtl/>
          </w:rPr>
          <w:t>144 (ב)</w:t>
        </w:r>
      </w:hyperlink>
      <w:r>
        <w:rPr>
          <w:rFonts w:ascii="David" w:hAnsi="David" w:cs="David"/>
          <w:sz w:val="26"/>
          <w:szCs w:val="26"/>
          <w:rtl/>
        </w:rPr>
        <w:t xml:space="preserve"> רישא ל</w:t>
      </w:r>
      <w:hyperlink r:id="rId16" w:history="1">
        <w:r w:rsidR="001F508A" w:rsidRPr="001F508A">
          <w:rPr>
            <w:rFonts w:ascii="David" w:hAnsi="David" w:cs="David"/>
            <w:color w:val="0000FF"/>
            <w:sz w:val="26"/>
            <w:szCs w:val="26"/>
            <w:u w:val="single"/>
            <w:rtl/>
          </w:rPr>
          <w:t>חוק העונשין</w:t>
        </w:r>
      </w:hyperlink>
      <w:r>
        <w:rPr>
          <w:rFonts w:ascii="David" w:hAnsi="David" w:cs="David"/>
          <w:sz w:val="26"/>
          <w:szCs w:val="26"/>
          <w:rtl/>
        </w:rPr>
        <w:t>.</w:t>
      </w:r>
    </w:p>
    <w:p w14:paraId="74A5078E" w14:textId="77777777" w:rsidR="00ED0DD9" w:rsidRDefault="00ED0DD9" w:rsidP="00ED0DD9">
      <w:pPr>
        <w:pStyle w:val="a9"/>
        <w:spacing w:after="0" w:line="240" w:lineRule="auto"/>
        <w:ind w:left="84"/>
        <w:jc w:val="both"/>
        <w:rPr>
          <w:rFonts w:ascii="David" w:hAnsi="David" w:cs="David"/>
          <w:sz w:val="26"/>
          <w:szCs w:val="26"/>
        </w:rPr>
      </w:pPr>
      <w:bookmarkStart w:id="7" w:name="ABSTRACT_END"/>
      <w:bookmarkEnd w:id="7"/>
    </w:p>
    <w:p w14:paraId="7A1FBA95"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Pr>
      </w:pPr>
      <w:r>
        <w:rPr>
          <w:rFonts w:ascii="David" w:hAnsi="David" w:cs="David"/>
          <w:sz w:val="26"/>
          <w:szCs w:val="26"/>
          <w:rtl/>
        </w:rPr>
        <w:t xml:space="preserve">מאחר וכל אחד משני הנאשמים הגיע להסדר טיעון בשלב אחר, הוגשו בנפרד שני כתבי אישום מתוקנים, שמתארים את אותו אירוע, למעט הבדלים קלים ביניהם. בכתב </w:t>
      </w:r>
      <w:r>
        <w:rPr>
          <w:rFonts w:ascii="David" w:hAnsi="David" w:cs="David"/>
          <w:sz w:val="26"/>
          <w:szCs w:val="26"/>
          <w:rtl/>
        </w:rPr>
        <w:lastRenderedPageBreak/>
        <w:t xml:space="preserve">האישום המתוקן שהוגש נגד מהדי מתואר כי בין מהדי לבין בני משפחת טוויל סכסוך, שנוצר לאחר שמהדי רצה להינשא עם פלק טוויל אך אביה נדאל טוויל סרב לכך. חכם ואכרים טוויל הם בניו של נדאל. </w:t>
      </w:r>
    </w:p>
    <w:p w14:paraId="2E45EAD4" w14:textId="77777777" w:rsidR="00ED0DD9" w:rsidRDefault="00ED0DD9" w:rsidP="00ED0DD9">
      <w:pPr>
        <w:pStyle w:val="a9"/>
        <w:rPr>
          <w:rFonts w:ascii="David" w:hAnsi="David" w:cs="David"/>
          <w:sz w:val="26"/>
          <w:szCs w:val="26"/>
        </w:rPr>
      </w:pPr>
    </w:p>
    <w:p w14:paraId="4B4E94DE"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בתאריך שאינו ידוע למאשימה גמלה בלבו של מהדי ההחלטה לבצע ירי לעבר בני משפחת טוויל במטרה לפגוע בהם. מהדי קשר עם אחרים קשר במסגרתו החליטו יחדיו לארוב עם שני כלי רכב במקום שבו עוברים בני משפחת טוויל בדרכם לעבודה בשעות הבוקר ולירות עליהם.</w:t>
      </w:r>
    </w:p>
    <w:p w14:paraId="20B1D7ED" w14:textId="77777777" w:rsidR="00ED0DD9" w:rsidRDefault="00ED0DD9" w:rsidP="00ED0DD9">
      <w:pPr>
        <w:pStyle w:val="a9"/>
        <w:rPr>
          <w:rFonts w:ascii="David" w:hAnsi="David" w:cs="David"/>
          <w:sz w:val="26"/>
          <w:szCs w:val="26"/>
        </w:rPr>
      </w:pPr>
    </w:p>
    <w:p w14:paraId="61B55951"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 xml:space="preserve">כדי להוציא לפועל את הקשר הגיעו מהדי והאחרים בתאריך 9.1.20 בשתי מכוניות לכביש צדדי בעמק הארזים בירושלים כשהם חמושים באקדחים, וחיכו למעברם של בני משפחת טוויל ברכבם. </w:t>
      </w:r>
    </w:p>
    <w:p w14:paraId="05305770" w14:textId="77777777" w:rsidR="00ED0DD9" w:rsidRDefault="00ED0DD9" w:rsidP="00ED0DD9">
      <w:pPr>
        <w:pStyle w:val="a9"/>
        <w:rPr>
          <w:rFonts w:ascii="David" w:hAnsi="David" w:cs="David"/>
          <w:sz w:val="26"/>
          <w:szCs w:val="26"/>
        </w:rPr>
      </w:pPr>
    </w:p>
    <w:p w14:paraId="2A972374"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 xml:space="preserve">בסמוך לשעה 07:15, כמנהגם בכל יום, נסעו חכם, אכרים ובן דודם רעד (להלן: </w:t>
      </w:r>
      <w:r>
        <w:rPr>
          <w:rFonts w:ascii="David" w:hAnsi="David" w:cs="David"/>
          <w:b/>
          <w:bCs/>
          <w:sz w:val="26"/>
          <w:szCs w:val="26"/>
          <w:rtl/>
        </w:rPr>
        <w:t>המתלוננים</w:t>
      </w:r>
      <w:r>
        <w:rPr>
          <w:rFonts w:ascii="David" w:hAnsi="David" w:cs="David"/>
          <w:sz w:val="26"/>
          <w:szCs w:val="26"/>
          <w:rtl/>
        </w:rPr>
        <w:t xml:space="preserve">) ברכב מסחרי מסוג פיאט למקום העבודה שלהם. בדרכם הגיעו לקרבת המקום שבו ארבו  להם מהנד והאחר. המתלוננים - נהג ושני נוסעים - ישבו במושב הקדמי של רכבם. מהדי והאחר חסמו בעזרת רכבם את כיוון נסיעתם של המתלוננים, ומיד לאחר שרכב המתלוננים נעצר בשל החסימה, יצאו מהדי והאחר מרכבם כשהם רעולי פנים ובידיהם אקדחים שלופים. </w:t>
      </w:r>
    </w:p>
    <w:p w14:paraId="0337E2B9" w14:textId="77777777" w:rsidR="00ED0DD9" w:rsidRDefault="00ED0DD9" w:rsidP="00ED0DD9">
      <w:pPr>
        <w:pStyle w:val="a9"/>
        <w:rPr>
          <w:rFonts w:ascii="David" w:hAnsi="David" w:cs="David"/>
          <w:sz w:val="26"/>
          <w:szCs w:val="26"/>
        </w:rPr>
      </w:pPr>
    </w:p>
    <w:p w14:paraId="120194EC"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מיד עם צאתם מרכבם ירו מהדי והאחר מהאקדחים שבידיהם לעבר המתלוננים דרך שמשת הרכב, ממרחק קצר, בכוונה להטיל בהם נכות או מום או לגרום להם חבלה חמורה. חכם טוויל שנהג ברכב ניסה להימלט בנסיעה לאחור עד אשר הרכב נתקע, זאת בעת שמהדי והאחר ממשיכים לירות לעברם. מהדי והאחר ירו ששה כדורים בסך הכול.</w:t>
      </w:r>
    </w:p>
    <w:p w14:paraId="61BAE0AD" w14:textId="77777777" w:rsidR="00ED0DD9" w:rsidRDefault="00ED0DD9" w:rsidP="00ED0DD9">
      <w:pPr>
        <w:pStyle w:val="a9"/>
        <w:rPr>
          <w:rFonts w:ascii="David" w:hAnsi="David" w:cs="David"/>
          <w:sz w:val="26"/>
          <w:szCs w:val="26"/>
        </w:rPr>
      </w:pPr>
    </w:p>
    <w:p w14:paraId="594A2D81"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מיד לאחר מכן נכנסו מהדי והאחר לרכבם וברחו מהמקום. בסמוך לכך הורידו השניים את לוחיות הזיהוי של רכבם, והותירו את הרכב בשכונת גבעת שאול בירושלים.</w:t>
      </w:r>
    </w:p>
    <w:p w14:paraId="0DC093D8" w14:textId="77777777" w:rsidR="00ED0DD9" w:rsidRDefault="00ED0DD9" w:rsidP="00ED0DD9">
      <w:pPr>
        <w:pStyle w:val="a9"/>
        <w:rPr>
          <w:rFonts w:ascii="David" w:hAnsi="David" w:cs="David"/>
          <w:sz w:val="26"/>
          <w:szCs w:val="26"/>
        </w:rPr>
      </w:pPr>
    </w:p>
    <w:p w14:paraId="2FF4811D"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המתלוננים, חכם, אכרים ורעד סבלו מפגיעות שונות: חכם סבל משפשוף מפגיעת קליע בזרוע ימין, אכרים משני שפשופים מפגיעות קליעים בזרוע שמאל, ורעד משפשוף בחזה מפגיעת קליע מתחת לבית השחי השמאלי.</w:t>
      </w:r>
    </w:p>
    <w:p w14:paraId="5209FF7D" w14:textId="77777777" w:rsidR="00ED0DD9" w:rsidRDefault="00ED0DD9" w:rsidP="00ED0DD9">
      <w:pPr>
        <w:pStyle w:val="a9"/>
        <w:rPr>
          <w:rFonts w:ascii="David" w:hAnsi="David" w:cs="David"/>
          <w:sz w:val="26"/>
          <w:szCs w:val="26"/>
        </w:rPr>
      </w:pPr>
    </w:p>
    <w:p w14:paraId="649B42F6"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 xml:space="preserve">כתב האישום נגד מהנד מלמד כי היה אחד משלושת המעורבים, והוא  שנהג ברכב, והתמקם במקום סמוך למקום שבו המתינו מהדי והאחר, כדי שיוכל להזהיר אותם מפני המשטרה או מפני כל גורם העלול להפריע להם בהוצאת הקשר לפועל. </w:t>
      </w:r>
    </w:p>
    <w:p w14:paraId="3364CE6E" w14:textId="77777777" w:rsidR="00ED0DD9" w:rsidRDefault="00ED0DD9" w:rsidP="00ED0DD9">
      <w:pPr>
        <w:pStyle w:val="a9"/>
        <w:rPr>
          <w:rFonts w:ascii="David" w:hAnsi="David" w:cs="David"/>
          <w:sz w:val="26"/>
          <w:szCs w:val="26"/>
        </w:rPr>
      </w:pPr>
    </w:p>
    <w:p w14:paraId="3D501D7D"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lastRenderedPageBreak/>
        <w:t>למהנד יוחסו שלוש עבירות סיוע לחבלה מחמירה אך לא יוחסה לו מעורבות כלשהי בעבירת הנשק, ומכתב האישום המתוקן נמחקה האמירה כי הירי נעשה בידיעתו וכחלק מהקשר, שהיה שותף לו (ר' התיקון לסעיף 5 לכתב האישום המתוקן).</w:t>
      </w:r>
    </w:p>
    <w:p w14:paraId="458821D9" w14:textId="77777777" w:rsidR="00ED0DD9" w:rsidRDefault="00ED0DD9" w:rsidP="00ED0DD9">
      <w:pPr>
        <w:pStyle w:val="a9"/>
        <w:rPr>
          <w:rFonts w:ascii="David" w:hAnsi="David" w:cs="David"/>
          <w:sz w:val="26"/>
          <w:szCs w:val="26"/>
          <w:rtl/>
        </w:rPr>
      </w:pPr>
    </w:p>
    <w:p w14:paraId="128748B8" w14:textId="77777777" w:rsidR="00ED0DD9" w:rsidRDefault="00ED0DD9" w:rsidP="00ED0DD9">
      <w:pPr>
        <w:pStyle w:val="a9"/>
        <w:spacing w:after="0" w:line="360" w:lineRule="auto"/>
        <w:ind w:left="84"/>
        <w:jc w:val="both"/>
        <w:rPr>
          <w:rFonts w:ascii="David" w:hAnsi="David" w:cs="David"/>
          <w:b/>
          <w:bCs/>
          <w:sz w:val="26"/>
          <w:szCs w:val="26"/>
          <w:u w:val="single"/>
          <w:rtl/>
        </w:rPr>
      </w:pPr>
      <w:r>
        <w:rPr>
          <w:rFonts w:ascii="David" w:hAnsi="David" w:cs="David"/>
          <w:b/>
          <w:bCs/>
          <w:sz w:val="26"/>
          <w:szCs w:val="26"/>
          <w:u w:val="single"/>
          <w:rtl/>
        </w:rPr>
        <w:t>הסדר הטיעון</w:t>
      </w:r>
    </w:p>
    <w:p w14:paraId="6AFD67E0"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Pr>
      </w:pPr>
      <w:r>
        <w:rPr>
          <w:rFonts w:ascii="David" w:hAnsi="David" w:cs="David"/>
          <w:sz w:val="26"/>
          <w:szCs w:val="26"/>
          <w:rtl/>
        </w:rPr>
        <w:t xml:space="preserve">הצדדים הגיעו להסדר טיעון טרם שמיעת הראיות (מהדי הגיע להסדר בשלב מוקדם ואילו מהנד והמאשימה הגיעו להסכמה בבוקר יום ההוכחות ובטרם נשמעו העדויות, אך לאחר שהעדים כבר התייצבו בבית המשפט). לפי הסדר הטיעון מהדי ומהנד הודו כל אחד בנטען כלפיהם בכתב האישום המתוקן שהוגש בעניינו של כל אחד מהם. </w:t>
      </w:r>
    </w:p>
    <w:p w14:paraId="1686DC96" w14:textId="77777777" w:rsidR="00ED0DD9" w:rsidRDefault="00ED0DD9" w:rsidP="00ED0DD9">
      <w:pPr>
        <w:pStyle w:val="a9"/>
        <w:spacing w:after="0" w:line="240" w:lineRule="auto"/>
        <w:ind w:left="84"/>
        <w:jc w:val="both"/>
        <w:rPr>
          <w:rFonts w:ascii="David" w:hAnsi="David" w:cs="David"/>
          <w:sz w:val="26"/>
          <w:szCs w:val="26"/>
        </w:rPr>
      </w:pPr>
    </w:p>
    <w:p w14:paraId="4EC922A9"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Pr>
      </w:pPr>
      <w:r>
        <w:rPr>
          <w:rFonts w:ascii="David" w:hAnsi="David" w:cs="David"/>
          <w:sz w:val="26"/>
          <w:szCs w:val="26"/>
          <w:rtl/>
        </w:rPr>
        <w:t>המאשימה מצדה הסכימה להגביל את עצמה בטיעון לעונש, ולטעון לעונש של תשע שנות מאסר בפועל  למהדי ופרק זמן של חמש שנים למהנד. נוסף על כך הוסכם על הטלת עונשי מאסר על תנאי ופיצוי למתלוננים וכן הושג הסדר בכל הנוגע לכלי הרכב, כך שאחד מכלי הרכב (רכב מסוג מאזדה) יחולט והרכב הנוסף (מסוג ב.מ.וו.) יוחזר למהדי.</w:t>
      </w:r>
    </w:p>
    <w:p w14:paraId="154381C4" w14:textId="77777777" w:rsidR="00ED0DD9" w:rsidRDefault="00ED0DD9" w:rsidP="00ED0DD9">
      <w:pPr>
        <w:pStyle w:val="a9"/>
        <w:spacing w:after="0" w:line="360" w:lineRule="auto"/>
        <w:ind w:left="84"/>
        <w:jc w:val="both"/>
        <w:rPr>
          <w:rFonts w:ascii="David" w:hAnsi="David" w:cs="David"/>
          <w:sz w:val="26"/>
          <w:szCs w:val="26"/>
        </w:rPr>
      </w:pPr>
    </w:p>
    <w:p w14:paraId="59D603E9" w14:textId="77777777" w:rsidR="00ED0DD9" w:rsidRDefault="00ED0DD9" w:rsidP="00ED0DD9">
      <w:pPr>
        <w:pStyle w:val="a9"/>
        <w:spacing w:after="0" w:line="360" w:lineRule="auto"/>
        <w:ind w:left="84"/>
        <w:jc w:val="both"/>
        <w:rPr>
          <w:rFonts w:ascii="David" w:hAnsi="David" w:cs="David"/>
          <w:b/>
          <w:bCs/>
          <w:sz w:val="26"/>
          <w:szCs w:val="26"/>
          <w:u w:val="single"/>
          <w:rtl/>
        </w:rPr>
      </w:pPr>
      <w:r>
        <w:rPr>
          <w:rFonts w:ascii="David" w:hAnsi="David" w:cs="David"/>
          <w:b/>
          <w:bCs/>
          <w:sz w:val="26"/>
          <w:szCs w:val="26"/>
          <w:u w:val="single"/>
          <w:rtl/>
        </w:rPr>
        <w:t>הראיות לעונש</w:t>
      </w:r>
    </w:p>
    <w:p w14:paraId="0260D4F8"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המאשימה הגישה את גיליון ההרשעות הקודמות של מהנד, הכולל הרשעה בעבירות משנת 2008 של רכישה והחזקה של נשק שלא כדין, נשיאה והובלה של נשק שלא כדין, וירי מנשק חם באזור מגורים. בגין הרשעה זו משנת 2010  נדון מהנד ל-30 חודשי מאסר בפועל. פרט להרשעה זו לחובתו של מהנד שתי הרשעות נוספות בגין הפרעה לשוטר במילוי תפקידו (משנת 2008) וסיכון אדם בנתיב תחבורה (משנת 2004).</w:t>
      </w:r>
    </w:p>
    <w:p w14:paraId="57D6E0F8" w14:textId="77777777" w:rsidR="00ED0DD9" w:rsidRDefault="00ED0DD9" w:rsidP="00ED0DD9">
      <w:pPr>
        <w:pStyle w:val="a9"/>
        <w:spacing w:after="0" w:line="240" w:lineRule="auto"/>
        <w:ind w:left="84"/>
        <w:jc w:val="both"/>
        <w:rPr>
          <w:rFonts w:ascii="David" w:hAnsi="David" w:cs="David"/>
          <w:sz w:val="26"/>
          <w:szCs w:val="26"/>
        </w:rPr>
      </w:pPr>
    </w:p>
    <w:p w14:paraId="698170BF"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Pr>
      </w:pPr>
      <w:r>
        <w:rPr>
          <w:rFonts w:ascii="David" w:hAnsi="David" w:cs="David"/>
          <w:sz w:val="26"/>
          <w:szCs w:val="26"/>
          <w:rtl/>
        </w:rPr>
        <w:t>המאשימה הגישה שלוש הצהרות נפגעי עבירה. מההצהרות נלמד כי האירוע היה טראומטי לנפגעי העבירה והותיר בהם תחושות פחד. עוד עולה מהצהרות הנפגעים כי נגרמו להם הפסדי שכר וכן לנפגע אכרים נגרמה הוצאה לצורך תיקון רכבו.</w:t>
      </w:r>
    </w:p>
    <w:p w14:paraId="25CF3A63" w14:textId="77777777" w:rsidR="00ED0DD9" w:rsidRDefault="00ED0DD9" w:rsidP="00ED0DD9">
      <w:pPr>
        <w:pStyle w:val="a9"/>
        <w:rPr>
          <w:rFonts w:ascii="David" w:hAnsi="David" w:cs="David"/>
          <w:sz w:val="26"/>
          <w:szCs w:val="26"/>
        </w:rPr>
      </w:pPr>
    </w:p>
    <w:p w14:paraId="19FFAA21"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מטעמו של מהדי הוגשו מסמכים רפואיים המתארים פצעי ירי ברגלו באירוע משנת 2017, שבגינם מתקשה הוא בהליכה, נזקק לסד, וכן עובר מעת לעת ניתוחים.</w:t>
      </w:r>
    </w:p>
    <w:p w14:paraId="002E7661" w14:textId="77777777" w:rsidR="00ED0DD9" w:rsidRDefault="00ED0DD9" w:rsidP="00ED0DD9">
      <w:pPr>
        <w:pStyle w:val="a9"/>
        <w:rPr>
          <w:rFonts w:ascii="David" w:hAnsi="David" w:cs="David"/>
          <w:sz w:val="26"/>
          <w:szCs w:val="26"/>
        </w:rPr>
      </w:pPr>
    </w:p>
    <w:p w14:paraId="1180182B" w14:textId="77777777" w:rsidR="00ED0DD9" w:rsidRDefault="00ED0DD9" w:rsidP="00ED0DD9">
      <w:pPr>
        <w:pStyle w:val="a9"/>
        <w:spacing w:after="0" w:line="360" w:lineRule="auto"/>
        <w:ind w:left="84"/>
        <w:jc w:val="both"/>
        <w:rPr>
          <w:rFonts w:ascii="David" w:hAnsi="David" w:cs="David"/>
          <w:b/>
          <w:bCs/>
          <w:sz w:val="26"/>
          <w:szCs w:val="26"/>
          <w:u w:val="single"/>
          <w:rtl/>
        </w:rPr>
      </w:pPr>
      <w:r>
        <w:rPr>
          <w:rFonts w:ascii="David" w:hAnsi="David" w:cs="David"/>
          <w:b/>
          <w:bCs/>
          <w:sz w:val="26"/>
          <w:szCs w:val="26"/>
          <w:u w:val="single"/>
          <w:rtl/>
        </w:rPr>
        <w:t>טיעוני הצדדים</w:t>
      </w:r>
    </w:p>
    <w:p w14:paraId="7A2BF48C"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 xml:space="preserve">בא-כוח המאשימה עמד על חומרת המעשים, על כך שלוו בתכנון מוקדם, וחלוקת עבודה בין הקושרים, כאשר שניים (מהדי והאחר) מבצעים ואחר (מהנד) מסייע להם - מתצפת ומאבטח. הוא עמד על כך שהמדובר בירי של שישה כדורים לעבר שלושה נפגעים הנמצאים ברכב ואינם מצליחים להימלט ממנו, בעוד הירי נמשך, אף בעת שאחד הנפגעים מנסה להניס את הרכב מהמקום. אשר לחלקו של מהנד נטען כי המדובר בסיוע ברף הגבוה, שאפשר את מעשה העבירה העיקרי. </w:t>
      </w:r>
    </w:p>
    <w:p w14:paraId="03519FA5" w14:textId="77777777" w:rsidR="00ED0DD9" w:rsidRDefault="00ED0DD9" w:rsidP="00ED0DD9">
      <w:pPr>
        <w:pStyle w:val="a9"/>
        <w:spacing w:after="0" w:line="240" w:lineRule="auto"/>
        <w:ind w:left="84"/>
        <w:jc w:val="both"/>
        <w:rPr>
          <w:rFonts w:ascii="David" w:hAnsi="David" w:cs="David"/>
          <w:sz w:val="26"/>
          <w:szCs w:val="26"/>
        </w:rPr>
      </w:pPr>
    </w:p>
    <w:p w14:paraId="6D664180"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Pr>
      </w:pPr>
      <w:r>
        <w:rPr>
          <w:rFonts w:ascii="David" w:hAnsi="David" w:cs="David"/>
          <w:sz w:val="26"/>
          <w:szCs w:val="26"/>
          <w:rtl/>
        </w:rPr>
        <w:t>לדברי בא-כוח המאשימה אף שהתוצאות אינן חמורות, הפוטנציאל לנזק הוא משמעותי, שכן ירי מטווח קצר היה יכול להסתיים בפגיעה חמורה בהרבה, ומכאן נובעת העמדה העונשית והבקשה להחמיר עם הנאשמים.</w:t>
      </w:r>
    </w:p>
    <w:p w14:paraId="06EBAD10" w14:textId="77777777" w:rsidR="00ED0DD9" w:rsidRDefault="00ED0DD9" w:rsidP="00ED0DD9">
      <w:pPr>
        <w:pStyle w:val="a9"/>
        <w:spacing w:after="0" w:line="240" w:lineRule="auto"/>
        <w:ind w:left="84"/>
        <w:jc w:val="both"/>
        <w:rPr>
          <w:rFonts w:ascii="David" w:hAnsi="David" w:cs="David"/>
          <w:sz w:val="26"/>
          <w:szCs w:val="26"/>
        </w:rPr>
      </w:pPr>
    </w:p>
    <w:p w14:paraId="1A5AF60A"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Pr>
      </w:pPr>
      <w:r>
        <w:rPr>
          <w:rFonts w:ascii="David" w:hAnsi="David" w:cs="David"/>
          <w:sz w:val="26"/>
          <w:szCs w:val="26"/>
          <w:rtl/>
        </w:rPr>
        <w:t xml:space="preserve">בהתייחסו לערכים המוגנים עמד בא כוח המאשימה על הפגיעה בשלמות הגוף, כתוצאה מירי בבוקרו של יום, וציין את התופעה שהפכה רווחת במגזרים שונים לפתרון סכסוכים באמצעות ירי. בא-כוח המאשימה הפנה למספר פסקי דין שמהם הוא ביקש ללמוד על מדיניות הענישה הנוהגת. הוא הציע להגדיר את ההתרחשות כאירוע אחד,  ובהתבסס על מדיניות הענישה הנוהגת ועל נסיבות ביצוען של העבירות  הוא הציע כי מתחם העונש ההולם שייקבע למהדי ינוע בין 12-9 שנות מאסר בפועל לצד ענישה נלווית, וכי המתחם הנוגע למהנד יעמוד על מחצית העונש האמור - 6-4.5 שנות מאסר לצד ענישה נלווית. </w:t>
      </w:r>
    </w:p>
    <w:p w14:paraId="2E9D8C17" w14:textId="77777777" w:rsidR="00ED0DD9" w:rsidRDefault="00ED0DD9" w:rsidP="00ED0DD9">
      <w:pPr>
        <w:pStyle w:val="a9"/>
        <w:rPr>
          <w:rFonts w:ascii="David" w:hAnsi="David" w:cs="David"/>
          <w:sz w:val="26"/>
          <w:szCs w:val="26"/>
        </w:rPr>
      </w:pPr>
    </w:p>
    <w:p w14:paraId="6D141982"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אשר לקביעת העונש בתוך המתחם, בא כוח המאשימה ביקש להטיל על הנאשמים את העונש המרבי שהמאשימה הסכימה להגביל את עצמה אליו – 9 שנות מאסר למהדי, ו-5 שנות  מאסר למהנד – העונשים שבתחתית המתחמים המוצעים על ידי המאשימה. בא-כוח המאשימה לא סבר שיש לתת ביטוי משמעותי למצבו הרפואי של מהדי, מקום בו העבירה בוצעה למרות מצב זה.</w:t>
      </w:r>
    </w:p>
    <w:p w14:paraId="3723712F" w14:textId="77777777" w:rsidR="00ED0DD9" w:rsidRDefault="00ED0DD9" w:rsidP="00ED0DD9">
      <w:pPr>
        <w:pStyle w:val="a9"/>
        <w:rPr>
          <w:rFonts w:ascii="David" w:hAnsi="David" w:cs="David"/>
          <w:sz w:val="26"/>
          <w:szCs w:val="26"/>
        </w:rPr>
      </w:pPr>
    </w:p>
    <w:p w14:paraId="65B9F3B6"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בא-כוחו של מהדי ציין את הודאתו של מרשו ואת התיקון המשמעותי שהוכנס לכתב האישום בעקבות ההודאה. הוא עמד על נטילת האחריות מצדו, ועל הבעת החרטה הגלומה בהודאה. לדידו על בית המשפט לבוא לקראת נאשמים המודים ומקבלים אחריות, וכן חוסכים את הצורך בהבאתם לעדות של מומחים, מומחי זירה, וניהול הליך הוכחות מורכב. בא-כוחו של מהדי הדגיש את מצבו הרפואי. לדבריו מהדי מצליח לעמוד רק בקושי, לאחר שנפגע כאמור מיריות בשנת 2017, מבלי שאותרו האשמים בכך, וכן עמד על הסבל הרב שהמאסר מסב לו בשל המגבלה הרפואית. הוא הוסיף שגיליון ההרשעות הקודמות שלו נקי. עניין אחר שאותו הדגיש בא-כוחו של מהדי היה הנזק הקל שנגרם לנפגעי העבירה, והפסקת הירי לאחר שהיורים עזבו את המקום. בהתבסס על שורה של פסקי דין שהגיש, ביקש בא כוחו של מהדי להסתפק בעונש מאסר בפועל למשך 3 שנים ולקבוע פיצוי למתלוננים בשיעור מתון.</w:t>
      </w:r>
    </w:p>
    <w:p w14:paraId="29C76C94" w14:textId="77777777" w:rsidR="00ED0DD9" w:rsidRDefault="00ED0DD9" w:rsidP="00ED0DD9">
      <w:pPr>
        <w:pStyle w:val="a9"/>
        <w:rPr>
          <w:rFonts w:ascii="David" w:hAnsi="David" w:cs="David"/>
          <w:sz w:val="26"/>
          <w:szCs w:val="26"/>
        </w:rPr>
      </w:pPr>
    </w:p>
    <w:p w14:paraId="629D2CF9"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 xml:space="preserve">מהדי אמר בדבריו האחרונים כי הוא מצטער על המעשה, והדגיש את הנכות שממנה הוא סובל, את הניתוח שהוא עתיד לעבור וכי לא ניתנת לו בכלא כל עזרה. </w:t>
      </w:r>
    </w:p>
    <w:p w14:paraId="42D34A09" w14:textId="77777777" w:rsidR="00ED0DD9" w:rsidRDefault="00ED0DD9" w:rsidP="00ED0DD9">
      <w:pPr>
        <w:pStyle w:val="a9"/>
        <w:rPr>
          <w:rFonts w:ascii="David" w:hAnsi="David" w:cs="David"/>
          <w:sz w:val="26"/>
          <w:szCs w:val="26"/>
        </w:rPr>
      </w:pPr>
    </w:p>
    <w:p w14:paraId="3ECC2598"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אף בא-כוחו של מהנד עמד על הקשיים הראייתיים שהביאו להסדר הטיעון, והדגיש כי על פי הסכמת הצדדים בכל הנוגע למהנד אין לקשור אותו לשימוש בנשק, בכל צורה שהיא. על רקע זה הוא טען כי אין הצדקה ללמוד על מידת עונשו מעונשו של מהדי, זאת משום הפער בין שניהם בכל הנוגע לשימוש בנשק. לטענתו מעורבותו של מהנד מסתכמת בכך שהיה "משגיח מרחוק על התנועה". בהתייחסו לעבר הפלילי של מהנד, עמד בא-כוחו על כך שמדובר בעבירות ישנות יחסית וכי משך למעלה מעשור אין הוא מעורב בפלילים. הוא ביקש להטיל עליו עונש מאסר שעומד על התקופה שבה הוא עצור (כשנה). מהנד סיים את שלב הטיעונים לעונש באמרו כי הוא מצטער על חלקו בעבירה.</w:t>
      </w:r>
    </w:p>
    <w:p w14:paraId="38CB0865" w14:textId="77777777" w:rsidR="00ED0DD9" w:rsidRDefault="00ED0DD9" w:rsidP="00ED0DD9">
      <w:pPr>
        <w:pStyle w:val="a9"/>
        <w:rPr>
          <w:rFonts w:ascii="David" w:hAnsi="David" w:cs="David"/>
          <w:sz w:val="26"/>
          <w:szCs w:val="26"/>
        </w:rPr>
      </w:pPr>
    </w:p>
    <w:p w14:paraId="600DCBCD" w14:textId="77777777" w:rsidR="00ED0DD9" w:rsidRDefault="00ED0DD9" w:rsidP="00ED0DD9">
      <w:pPr>
        <w:pStyle w:val="a9"/>
        <w:spacing w:after="0" w:line="360" w:lineRule="auto"/>
        <w:ind w:left="84"/>
        <w:jc w:val="both"/>
        <w:rPr>
          <w:rFonts w:ascii="David" w:hAnsi="David" w:cs="David"/>
          <w:b/>
          <w:bCs/>
          <w:sz w:val="26"/>
          <w:szCs w:val="26"/>
          <w:u w:val="single"/>
          <w:rtl/>
        </w:rPr>
      </w:pPr>
      <w:r>
        <w:rPr>
          <w:rFonts w:ascii="David" w:hAnsi="David" w:cs="David"/>
          <w:b/>
          <w:bCs/>
          <w:sz w:val="26"/>
          <w:szCs w:val="26"/>
          <w:u w:val="single"/>
          <w:rtl/>
        </w:rPr>
        <w:t>דיון והכרעה</w:t>
      </w:r>
    </w:p>
    <w:p w14:paraId="0C5071C2"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Pr>
      </w:pPr>
      <w:r>
        <w:rPr>
          <w:rFonts w:ascii="David" w:hAnsi="David" w:cs="David"/>
          <w:sz w:val="26"/>
          <w:szCs w:val="26"/>
          <w:rtl/>
        </w:rPr>
        <w:t xml:space="preserve">עבירות אלימות בדרגת החומרה שלפנינו חמורות ומסוכנות. יש בהן כדי לפגוע בזכות האדם לשלמות גופו ולביטחונו האישי וכן לגרום לפגיעה מהותית בסדר החברתי. </w:t>
      </w:r>
    </w:p>
    <w:p w14:paraId="0528E3BD" w14:textId="77777777" w:rsidR="00ED0DD9" w:rsidRDefault="00ED0DD9" w:rsidP="00ED0DD9">
      <w:pPr>
        <w:pStyle w:val="a9"/>
        <w:spacing w:after="0" w:line="240" w:lineRule="auto"/>
        <w:ind w:left="84"/>
        <w:jc w:val="both"/>
        <w:rPr>
          <w:rFonts w:ascii="David" w:hAnsi="David" w:cs="David"/>
          <w:sz w:val="26"/>
          <w:szCs w:val="26"/>
        </w:rPr>
      </w:pPr>
    </w:p>
    <w:p w14:paraId="0CB58F59"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Pr>
      </w:pPr>
      <w:r>
        <w:rPr>
          <w:rFonts w:ascii="David" w:hAnsi="David" w:cs="David"/>
          <w:sz w:val="26"/>
          <w:szCs w:val="26"/>
          <w:rtl/>
        </w:rPr>
        <w:t>באירוע שלפנינו בחרו הנאשמים לפגוע בשלושה אנשים שלא עוללו להם דבר כשהם בדרכם למקום עבודתם, בכוונה לגרום להם חבלה חמורה או נכות, כל זאת אך ורק משום שאביהם של שניים מהנפגעים לא אבה להתיר למהדי להינשא לבתו.</w:t>
      </w:r>
    </w:p>
    <w:p w14:paraId="2C48F9F6" w14:textId="77777777" w:rsidR="00ED0DD9" w:rsidRDefault="00ED0DD9" w:rsidP="00ED0DD9">
      <w:pPr>
        <w:pStyle w:val="a9"/>
        <w:spacing w:after="0" w:line="240" w:lineRule="auto"/>
        <w:ind w:left="84"/>
        <w:jc w:val="both"/>
        <w:rPr>
          <w:rFonts w:ascii="David" w:hAnsi="David" w:cs="David"/>
          <w:sz w:val="26"/>
          <w:szCs w:val="26"/>
        </w:rPr>
      </w:pPr>
    </w:p>
    <w:p w14:paraId="06AA27CA"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Pr>
      </w:pPr>
      <w:r>
        <w:rPr>
          <w:rFonts w:ascii="David" w:hAnsi="David" w:cs="David"/>
          <w:sz w:val="26"/>
          <w:szCs w:val="26"/>
          <w:rtl/>
        </w:rPr>
        <w:t xml:space="preserve">מהלך דברים שכזה, שבו תסכול או כעס, מביאים לתכנון ולביצוע של ירי כלפי חפים מפשע הוא בלתי נסבל ומחייב ענישה חמורה ומרתיעה. כפי שנקבע </w:t>
      </w:r>
      <w:r>
        <w:rPr>
          <w:rFonts w:ascii="David" w:hAnsi="David" w:cs="Miriam" w:hint="cs"/>
          <w:sz w:val="24"/>
          <w:szCs w:val="24"/>
          <w:rtl/>
        </w:rPr>
        <w:t>"חברה מתוקנת אינה יכולה להשלים עם פתרון סכסוכים בנשק קר או חם, במיוחד כאשר תופעות מסוג זה מתרחשות חדשות לבקרים..."</w:t>
      </w:r>
      <w:r>
        <w:rPr>
          <w:rFonts w:ascii="David" w:hAnsi="David" w:cs="David"/>
          <w:sz w:val="26"/>
          <w:szCs w:val="26"/>
          <w:rtl/>
        </w:rPr>
        <w:t xml:space="preserve"> (</w:t>
      </w:r>
      <w:hyperlink r:id="rId17" w:history="1">
        <w:r w:rsidR="001F508A" w:rsidRPr="001F508A">
          <w:rPr>
            <w:rFonts w:ascii="David" w:hAnsi="David" w:cs="David"/>
            <w:color w:val="0000FF"/>
            <w:sz w:val="26"/>
            <w:szCs w:val="26"/>
            <w:u w:val="single"/>
            <w:rtl/>
          </w:rPr>
          <w:t>ע"פ 4697/11</w:t>
        </w:r>
      </w:hyperlink>
      <w:r>
        <w:rPr>
          <w:rFonts w:ascii="David" w:hAnsi="David" w:cs="David"/>
          <w:sz w:val="26"/>
          <w:szCs w:val="26"/>
          <w:rtl/>
        </w:rPr>
        <w:t xml:space="preserve"> </w:t>
      </w:r>
      <w:r>
        <w:rPr>
          <w:rFonts w:ascii="David" w:hAnsi="David" w:cs="David"/>
          <w:b/>
          <w:bCs/>
          <w:sz w:val="26"/>
          <w:szCs w:val="26"/>
          <w:rtl/>
        </w:rPr>
        <w:t xml:space="preserve">מדינת ישראל נ' סילמאן אל צאנע </w:t>
      </w:r>
      <w:r>
        <w:rPr>
          <w:rFonts w:ascii="David" w:hAnsi="David" w:cs="David"/>
          <w:sz w:val="26"/>
          <w:szCs w:val="26"/>
          <w:rtl/>
        </w:rPr>
        <w:t xml:space="preserve">(24.3.2013) (להלן: עניין </w:t>
      </w:r>
      <w:r>
        <w:rPr>
          <w:rFonts w:ascii="David" w:hAnsi="David" w:cs="David"/>
          <w:b/>
          <w:bCs/>
          <w:sz w:val="26"/>
          <w:szCs w:val="26"/>
          <w:rtl/>
        </w:rPr>
        <w:t>אל צאנע</w:t>
      </w:r>
      <w:r>
        <w:rPr>
          <w:rFonts w:ascii="David" w:hAnsi="David" w:cs="David"/>
          <w:sz w:val="26"/>
          <w:szCs w:val="26"/>
          <w:rtl/>
        </w:rPr>
        <w:t xml:space="preserve">). </w:t>
      </w:r>
    </w:p>
    <w:p w14:paraId="48C5268E" w14:textId="77777777" w:rsidR="00ED0DD9" w:rsidRDefault="00ED0DD9" w:rsidP="00ED0DD9">
      <w:pPr>
        <w:pStyle w:val="a9"/>
        <w:rPr>
          <w:rFonts w:ascii="David" w:hAnsi="David" w:cs="David"/>
          <w:sz w:val="26"/>
          <w:szCs w:val="26"/>
        </w:rPr>
      </w:pPr>
    </w:p>
    <w:p w14:paraId="4E64FBF0"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 xml:space="preserve">חומרתה הרבה של עבירת החבלה בכוונה מחמירה, שבה הורשעו הנאשמים ופגיעתה הקשה בערכים המוגנים, הביאו את המחוקק לקביעת עונש מאסר מרבי העומד על 20 שנות מאסר (ר' </w:t>
      </w:r>
      <w:hyperlink r:id="rId18" w:history="1">
        <w:r w:rsidR="001F508A" w:rsidRPr="001F508A">
          <w:rPr>
            <w:rFonts w:ascii="David" w:hAnsi="David" w:cs="David"/>
            <w:color w:val="0000FF"/>
            <w:sz w:val="26"/>
            <w:szCs w:val="26"/>
            <w:u w:val="single"/>
            <w:rtl/>
          </w:rPr>
          <w:t>ע"פ 205/19</w:t>
        </w:r>
      </w:hyperlink>
      <w:r>
        <w:rPr>
          <w:rFonts w:ascii="David" w:hAnsi="David" w:cs="David"/>
          <w:sz w:val="26"/>
          <w:szCs w:val="26"/>
          <w:rtl/>
        </w:rPr>
        <w:t xml:space="preserve"> </w:t>
      </w:r>
      <w:r>
        <w:rPr>
          <w:rFonts w:ascii="David" w:hAnsi="David" w:cs="David"/>
          <w:b/>
          <w:bCs/>
          <w:sz w:val="26"/>
          <w:szCs w:val="26"/>
          <w:rtl/>
        </w:rPr>
        <w:t xml:space="preserve">ולדיסלב לברוב נ' מדינת ישראל, </w:t>
      </w:r>
      <w:r>
        <w:rPr>
          <w:rFonts w:ascii="David" w:hAnsi="David" w:cs="David"/>
          <w:sz w:val="26"/>
          <w:szCs w:val="26"/>
          <w:rtl/>
        </w:rPr>
        <w:t xml:space="preserve">פסקה 9 (7.6.2020) (להלן: עניין </w:t>
      </w:r>
      <w:r>
        <w:rPr>
          <w:rFonts w:ascii="David" w:hAnsi="David" w:cs="David"/>
          <w:b/>
          <w:bCs/>
          <w:sz w:val="26"/>
          <w:szCs w:val="26"/>
          <w:rtl/>
        </w:rPr>
        <w:t>לברוב</w:t>
      </w:r>
      <w:r>
        <w:rPr>
          <w:rFonts w:ascii="David" w:hAnsi="David" w:cs="David"/>
          <w:sz w:val="26"/>
          <w:szCs w:val="26"/>
          <w:rtl/>
        </w:rPr>
        <w:t>)). בהתאם לכך בית המשפט העליון הדגיש חזור והדגש את ההכרח בהטלת עונשים משמעותיים בגין נקיטה באלימות:</w:t>
      </w:r>
    </w:p>
    <w:p w14:paraId="132204AD" w14:textId="77777777" w:rsidR="00ED0DD9" w:rsidRDefault="00ED0DD9" w:rsidP="00ED0DD9">
      <w:pPr>
        <w:pStyle w:val="a9"/>
        <w:rPr>
          <w:rFonts w:ascii="David" w:hAnsi="David" w:cs="David"/>
          <w:sz w:val="26"/>
          <w:szCs w:val="26"/>
        </w:rPr>
      </w:pPr>
    </w:p>
    <w:p w14:paraId="1B1A1633" w14:textId="77777777" w:rsidR="00ED0DD9" w:rsidRDefault="00ED0DD9" w:rsidP="00ED0DD9">
      <w:pPr>
        <w:pStyle w:val="a9"/>
        <w:spacing w:after="0" w:line="240" w:lineRule="auto"/>
        <w:ind w:right="851"/>
        <w:jc w:val="both"/>
        <w:rPr>
          <w:rFonts w:ascii="David" w:hAnsi="David" w:cs="David"/>
          <w:sz w:val="26"/>
          <w:szCs w:val="26"/>
          <w:rtl/>
        </w:rPr>
      </w:pPr>
      <w:r>
        <w:rPr>
          <w:rFonts w:ascii="David" w:hAnsi="David" w:cs="Miriam" w:hint="cs"/>
          <w:sz w:val="24"/>
          <w:szCs w:val="24"/>
          <w:rtl/>
        </w:rPr>
        <w:t>"בית משפט זה עמד לא אחת על כך שחברה מתוקנת אינה יכולה להשלים עם אלימות החותרת תחת זכותו של אדם לשלמות גופו... וכן על הצורך להרתיע את הפונים לפתרון סכסוכים בכוח הזרוע באמצעות השתת עונשים הולמים ומשמעותיים. זאת במטרה להעביר את המסר כי החברה אינה סובלנית להתנהגויות מסוג זה..."</w:t>
      </w:r>
      <w:r>
        <w:rPr>
          <w:rFonts w:ascii="David" w:hAnsi="David" w:cs="David"/>
          <w:sz w:val="26"/>
          <w:szCs w:val="26"/>
          <w:rtl/>
        </w:rPr>
        <w:t xml:space="preserve"> (</w:t>
      </w:r>
      <w:hyperlink r:id="rId19" w:history="1">
        <w:r w:rsidR="001F508A" w:rsidRPr="001F508A">
          <w:rPr>
            <w:rFonts w:ascii="David" w:hAnsi="David" w:cs="David"/>
            <w:color w:val="0000FF"/>
            <w:sz w:val="26"/>
            <w:szCs w:val="26"/>
            <w:u w:val="single"/>
            <w:rtl/>
          </w:rPr>
          <w:t>ע"פ 759/16</w:t>
        </w:r>
      </w:hyperlink>
      <w:r>
        <w:rPr>
          <w:rFonts w:ascii="David" w:hAnsi="David" w:cs="David"/>
          <w:sz w:val="26"/>
          <w:szCs w:val="26"/>
          <w:rtl/>
        </w:rPr>
        <w:t xml:space="preserve"> </w:t>
      </w:r>
      <w:r>
        <w:rPr>
          <w:rFonts w:ascii="David" w:hAnsi="David" w:cs="David"/>
          <w:b/>
          <w:bCs/>
          <w:sz w:val="26"/>
          <w:szCs w:val="26"/>
          <w:rtl/>
        </w:rPr>
        <w:t xml:space="preserve">תאמר גבארין נ' מדינת ישראל, </w:t>
      </w:r>
      <w:r>
        <w:rPr>
          <w:rFonts w:ascii="David" w:hAnsi="David" w:cs="David"/>
          <w:sz w:val="26"/>
          <w:szCs w:val="26"/>
          <w:rtl/>
        </w:rPr>
        <w:t>פסקה 9 (13.6.2016)).</w:t>
      </w:r>
    </w:p>
    <w:p w14:paraId="52D26297" w14:textId="77777777" w:rsidR="00ED0DD9" w:rsidRDefault="00ED0DD9" w:rsidP="00ED0DD9">
      <w:pPr>
        <w:pStyle w:val="a9"/>
        <w:spacing w:after="0" w:line="240" w:lineRule="auto"/>
        <w:ind w:right="851"/>
        <w:jc w:val="both"/>
        <w:rPr>
          <w:rFonts w:ascii="David" w:hAnsi="David" w:cs="David"/>
          <w:sz w:val="26"/>
          <w:szCs w:val="26"/>
          <w:rtl/>
        </w:rPr>
      </w:pPr>
    </w:p>
    <w:p w14:paraId="6C1D204E" w14:textId="77777777" w:rsidR="00ED0DD9" w:rsidRDefault="00ED0DD9" w:rsidP="00ED0DD9">
      <w:pPr>
        <w:pStyle w:val="a9"/>
        <w:rPr>
          <w:rFonts w:ascii="David" w:hAnsi="David" w:cs="David"/>
          <w:sz w:val="26"/>
          <w:szCs w:val="26"/>
        </w:rPr>
      </w:pPr>
    </w:p>
    <w:p w14:paraId="346D4E4B"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 xml:space="preserve">בחינת מדיניות הענישה הנוהגת מעלה כי קיים בפסיקה מנעד רחב יחסית של עונשים הניתנים בנסיבות דומות, אם כי בשנים האחרונות חלה מגמת החמרה מסוימת. בגין עבירות של חבלה בנסיבות מחמירות לפי </w:t>
      </w:r>
      <w:hyperlink r:id="rId20" w:history="1">
        <w:r w:rsidR="00475E23" w:rsidRPr="00475E23">
          <w:rPr>
            <w:rStyle w:val="Hyperlink"/>
            <w:rFonts w:ascii="David" w:hAnsi="David" w:cs="David"/>
            <w:sz w:val="26"/>
            <w:szCs w:val="26"/>
            <w:rtl/>
          </w:rPr>
          <w:t>סעיף 329</w:t>
        </w:r>
      </w:hyperlink>
      <w:r>
        <w:rPr>
          <w:rFonts w:ascii="David" w:hAnsi="David" w:cs="David"/>
          <w:sz w:val="26"/>
          <w:szCs w:val="26"/>
          <w:rtl/>
        </w:rPr>
        <w:t xml:space="preserve"> ל</w:t>
      </w:r>
      <w:hyperlink r:id="rId21" w:history="1">
        <w:r w:rsidR="001F508A" w:rsidRPr="001F508A">
          <w:rPr>
            <w:rFonts w:ascii="David" w:hAnsi="David" w:cs="David"/>
            <w:color w:val="0000FF"/>
            <w:sz w:val="26"/>
            <w:szCs w:val="26"/>
            <w:u w:val="single"/>
            <w:rtl/>
          </w:rPr>
          <w:t>חוק העונשין</w:t>
        </w:r>
      </w:hyperlink>
      <w:r>
        <w:rPr>
          <w:rFonts w:ascii="David" w:hAnsi="David" w:cs="David"/>
          <w:sz w:val="26"/>
          <w:szCs w:val="26"/>
          <w:rtl/>
        </w:rPr>
        <w:t xml:space="preserve"> מוטלים בדרך כלל עונשי מאסר בפועל העומדים על ארבע עד תשע שנות מאסר בפועל (</w:t>
      </w:r>
      <w:hyperlink r:id="rId22" w:history="1">
        <w:r w:rsidR="001F508A" w:rsidRPr="001F508A">
          <w:rPr>
            <w:rFonts w:ascii="David" w:hAnsi="David" w:cs="David"/>
            <w:color w:val="0000FF"/>
            <w:sz w:val="26"/>
            <w:szCs w:val="26"/>
            <w:u w:val="single"/>
            <w:rtl/>
          </w:rPr>
          <w:t>ע"פ 517/19</w:t>
        </w:r>
      </w:hyperlink>
      <w:r>
        <w:rPr>
          <w:rFonts w:ascii="David" w:hAnsi="David" w:cs="David"/>
          <w:sz w:val="26"/>
          <w:szCs w:val="26"/>
          <w:rtl/>
        </w:rPr>
        <w:t xml:space="preserve"> </w:t>
      </w:r>
      <w:r>
        <w:rPr>
          <w:rFonts w:ascii="David" w:hAnsi="David" w:cs="David"/>
          <w:b/>
          <w:bCs/>
          <w:sz w:val="26"/>
          <w:szCs w:val="26"/>
          <w:rtl/>
        </w:rPr>
        <w:t>אבו עמאר ואח' נ' מדינת ישראל</w:t>
      </w:r>
      <w:r>
        <w:rPr>
          <w:rFonts w:ascii="David" w:hAnsi="David" w:cs="David"/>
          <w:sz w:val="26"/>
          <w:szCs w:val="26"/>
          <w:rtl/>
        </w:rPr>
        <w:t xml:space="preserve"> (6.7.2020); </w:t>
      </w:r>
      <w:hyperlink r:id="rId23" w:history="1">
        <w:r w:rsidR="001F508A" w:rsidRPr="001F508A">
          <w:rPr>
            <w:rFonts w:ascii="David" w:hAnsi="David" w:cs="David"/>
            <w:color w:val="0000FF"/>
            <w:sz w:val="26"/>
            <w:szCs w:val="26"/>
            <w:u w:val="single"/>
            <w:rtl/>
          </w:rPr>
          <w:t>ע"פ 4344/18</w:t>
        </w:r>
      </w:hyperlink>
      <w:r>
        <w:rPr>
          <w:rFonts w:ascii="David" w:hAnsi="David" w:cs="David"/>
          <w:sz w:val="26"/>
          <w:szCs w:val="26"/>
          <w:rtl/>
        </w:rPr>
        <w:t xml:space="preserve"> </w:t>
      </w:r>
      <w:r>
        <w:rPr>
          <w:rFonts w:ascii="David" w:hAnsi="David" w:cs="David"/>
          <w:b/>
          <w:bCs/>
          <w:sz w:val="26"/>
          <w:szCs w:val="26"/>
          <w:rtl/>
        </w:rPr>
        <w:t xml:space="preserve">אשרף ג'אבר נ' מדינת ישראל </w:t>
      </w:r>
      <w:r>
        <w:rPr>
          <w:rFonts w:ascii="David" w:hAnsi="David" w:cs="David"/>
          <w:sz w:val="26"/>
          <w:szCs w:val="26"/>
          <w:rtl/>
        </w:rPr>
        <w:t xml:space="preserve">(16.8.2019); ע"פ 7459/17 </w:t>
      </w:r>
      <w:r>
        <w:rPr>
          <w:rFonts w:ascii="David" w:hAnsi="David" w:cs="David"/>
          <w:b/>
          <w:bCs/>
          <w:sz w:val="26"/>
          <w:szCs w:val="26"/>
          <w:rtl/>
        </w:rPr>
        <w:t xml:space="preserve">מדינת ישראל נ' אור קדושים </w:t>
      </w:r>
      <w:r>
        <w:rPr>
          <w:rFonts w:ascii="David" w:hAnsi="David" w:cs="David"/>
          <w:sz w:val="26"/>
          <w:szCs w:val="26"/>
          <w:rtl/>
        </w:rPr>
        <w:t xml:space="preserve">(27.2.2018); </w:t>
      </w:r>
      <w:hyperlink r:id="rId24" w:history="1">
        <w:r w:rsidR="001F508A" w:rsidRPr="001F508A">
          <w:rPr>
            <w:rFonts w:ascii="David" w:hAnsi="David" w:cs="David"/>
            <w:color w:val="0000FF"/>
            <w:sz w:val="26"/>
            <w:szCs w:val="26"/>
            <w:u w:val="single"/>
            <w:rtl/>
          </w:rPr>
          <w:t>ע"פ 6101/16</w:t>
        </w:r>
      </w:hyperlink>
      <w:r>
        <w:rPr>
          <w:rFonts w:ascii="David" w:hAnsi="David" w:cs="David"/>
          <w:sz w:val="26"/>
          <w:szCs w:val="26"/>
          <w:rtl/>
        </w:rPr>
        <w:t xml:space="preserve"> </w:t>
      </w:r>
      <w:r>
        <w:rPr>
          <w:rFonts w:ascii="David" w:hAnsi="David" w:cs="David"/>
          <w:b/>
          <w:bCs/>
          <w:sz w:val="26"/>
          <w:szCs w:val="26"/>
          <w:rtl/>
        </w:rPr>
        <w:t>אחמד עווד נ' מדינת ישראל</w:t>
      </w:r>
      <w:r>
        <w:rPr>
          <w:rFonts w:ascii="David" w:hAnsi="David" w:cs="David"/>
          <w:sz w:val="26"/>
          <w:szCs w:val="26"/>
          <w:rtl/>
        </w:rPr>
        <w:t xml:space="preserve"> (28.6.2017); ע"פ 2350/12 </w:t>
      </w:r>
      <w:r>
        <w:rPr>
          <w:rFonts w:ascii="David" w:hAnsi="David" w:cs="David"/>
          <w:b/>
          <w:bCs/>
          <w:sz w:val="26"/>
          <w:szCs w:val="26"/>
          <w:rtl/>
        </w:rPr>
        <w:t xml:space="preserve">ג'עברי נ' מדינת ישראל </w:t>
      </w:r>
      <w:r>
        <w:rPr>
          <w:rFonts w:ascii="David" w:hAnsi="David" w:cs="David"/>
          <w:sz w:val="26"/>
          <w:szCs w:val="26"/>
          <w:rtl/>
        </w:rPr>
        <w:t xml:space="preserve">(18.1.2015); </w:t>
      </w:r>
      <w:hyperlink r:id="rId25" w:history="1">
        <w:r w:rsidR="001F508A" w:rsidRPr="001F508A">
          <w:rPr>
            <w:rFonts w:ascii="David" w:hAnsi="David" w:cs="David"/>
            <w:color w:val="0000FF"/>
            <w:sz w:val="26"/>
            <w:szCs w:val="26"/>
            <w:u w:val="single"/>
            <w:rtl/>
          </w:rPr>
          <w:t>ע"פ 768/13</w:t>
        </w:r>
      </w:hyperlink>
      <w:r>
        <w:rPr>
          <w:rFonts w:ascii="David" w:hAnsi="David" w:cs="David"/>
          <w:sz w:val="26"/>
          <w:szCs w:val="26"/>
          <w:rtl/>
        </w:rPr>
        <w:t xml:space="preserve"> </w:t>
      </w:r>
      <w:r>
        <w:rPr>
          <w:rFonts w:ascii="David" w:hAnsi="David" w:cs="David"/>
          <w:b/>
          <w:bCs/>
          <w:sz w:val="26"/>
          <w:szCs w:val="26"/>
          <w:rtl/>
        </w:rPr>
        <w:t xml:space="preserve">מוחמד נאסר נ' מדינת ישראל </w:t>
      </w:r>
      <w:r>
        <w:rPr>
          <w:rFonts w:ascii="David" w:hAnsi="David" w:cs="David"/>
          <w:sz w:val="26"/>
          <w:szCs w:val="26"/>
          <w:rtl/>
        </w:rPr>
        <w:t xml:space="preserve">(29.10.2014); </w:t>
      </w:r>
      <w:hyperlink r:id="rId26" w:history="1">
        <w:r w:rsidR="001F508A" w:rsidRPr="001F508A">
          <w:rPr>
            <w:rFonts w:ascii="David" w:hAnsi="David" w:cs="David"/>
            <w:color w:val="0000FF"/>
            <w:sz w:val="26"/>
            <w:szCs w:val="26"/>
            <w:u w:val="single"/>
            <w:rtl/>
          </w:rPr>
          <w:t>ע"פ 5762/13</w:t>
        </w:r>
      </w:hyperlink>
      <w:r>
        <w:rPr>
          <w:rFonts w:ascii="David" w:hAnsi="David" w:cs="David"/>
          <w:sz w:val="26"/>
          <w:szCs w:val="26"/>
          <w:rtl/>
        </w:rPr>
        <w:t xml:space="preserve"> </w:t>
      </w:r>
      <w:r>
        <w:rPr>
          <w:rFonts w:ascii="David" w:hAnsi="David" w:cs="David"/>
          <w:b/>
          <w:bCs/>
          <w:sz w:val="26"/>
          <w:szCs w:val="26"/>
          <w:rtl/>
        </w:rPr>
        <w:t xml:space="preserve">אנואר פאעור נ' מדינת ישראל </w:t>
      </w:r>
      <w:r>
        <w:rPr>
          <w:rFonts w:ascii="David" w:hAnsi="David" w:cs="David"/>
          <w:sz w:val="26"/>
          <w:szCs w:val="26"/>
          <w:rtl/>
        </w:rPr>
        <w:t xml:space="preserve">(21.10.2014); עניין </w:t>
      </w:r>
      <w:r>
        <w:rPr>
          <w:rFonts w:ascii="David" w:hAnsi="David" w:cs="David"/>
          <w:b/>
          <w:bCs/>
          <w:sz w:val="26"/>
          <w:szCs w:val="26"/>
          <w:rtl/>
        </w:rPr>
        <w:t xml:space="preserve">אל צאנע; </w:t>
      </w:r>
      <w:r>
        <w:rPr>
          <w:rFonts w:ascii="David" w:hAnsi="David" w:cs="David"/>
          <w:sz w:val="26"/>
          <w:szCs w:val="26"/>
          <w:rtl/>
        </w:rPr>
        <w:t xml:space="preserve">עניין </w:t>
      </w:r>
      <w:r>
        <w:rPr>
          <w:rFonts w:ascii="David" w:hAnsi="David" w:cs="David"/>
          <w:b/>
          <w:bCs/>
          <w:sz w:val="26"/>
          <w:szCs w:val="26"/>
          <w:rtl/>
        </w:rPr>
        <w:t xml:space="preserve">לברוב; </w:t>
      </w:r>
      <w:r>
        <w:rPr>
          <w:rFonts w:ascii="David" w:hAnsi="David" w:cs="David"/>
          <w:sz w:val="26"/>
          <w:szCs w:val="26"/>
          <w:rtl/>
        </w:rPr>
        <w:t xml:space="preserve"> ו</w:t>
      </w:r>
      <w:hyperlink r:id="rId27" w:history="1">
        <w:r w:rsidR="001F508A" w:rsidRPr="001F508A">
          <w:rPr>
            <w:rFonts w:ascii="David" w:hAnsi="David" w:cs="David"/>
            <w:color w:val="0000FF"/>
            <w:sz w:val="26"/>
            <w:szCs w:val="26"/>
            <w:u w:val="single"/>
            <w:rtl/>
          </w:rPr>
          <w:t>ע"פ 6296/11</w:t>
        </w:r>
      </w:hyperlink>
      <w:r>
        <w:rPr>
          <w:rFonts w:ascii="David" w:hAnsi="David" w:cs="David"/>
          <w:sz w:val="26"/>
          <w:szCs w:val="26"/>
          <w:rtl/>
        </w:rPr>
        <w:t xml:space="preserve"> </w:t>
      </w:r>
      <w:r>
        <w:rPr>
          <w:rFonts w:ascii="David" w:hAnsi="David" w:cs="David"/>
          <w:b/>
          <w:bCs/>
          <w:sz w:val="26"/>
          <w:szCs w:val="26"/>
          <w:rtl/>
        </w:rPr>
        <w:t>מדינת ישראל נ' בכר אגבאריה</w:t>
      </w:r>
      <w:r>
        <w:rPr>
          <w:rFonts w:ascii="David" w:hAnsi="David" w:cs="David"/>
          <w:sz w:val="26"/>
          <w:szCs w:val="26"/>
          <w:rtl/>
        </w:rPr>
        <w:t xml:space="preserve"> (13.11.2012)).</w:t>
      </w:r>
    </w:p>
    <w:p w14:paraId="606153C2" w14:textId="77777777" w:rsidR="00ED0DD9" w:rsidRDefault="00ED0DD9" w:rsidP="00ED0DD9">
      <w:pPr>
        <w:pStyle w:val="a9"/>
        <w:spacing w:after="0" w:line="360" w:lineRule="auto"/>
        <w:ind w:left="84"/>
        <w:jc w:val="both"/>
        <w:rPr>
          <w:rFonts w:ascii="David" w:hAnsi="David" w:cs="David"/>
          <w:sz w:val="26"/>
          <w:szCs w:val="26"/>
          <w:rtl/>
        </w:rPr>
      </w:pPr>
    </w:p>
    <w:p w14:paraId="10D72261"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Pr>
      </w:pPr>
      <w:r>
        <w:rPr>
          <w:rFonts w:ascii="David" w:eastAsia="Times New Roman" w:hAnsi="David" w:cs="David"/>
          <w:sz w:val="26"/>
          <w:szCs w:val="26"/>
          <w:rtl/>
        </w:rPr>
        <w:t xml:space="preserve">בית המשפט העליון ביטא לא אחת שאט נפש מנקיטה באלימות חמורה לשם פתרון סכסוכים, ואת הצורך בהחמרת הענישה ככל שמתרבות העבירות מסוג זה. סירוב של אב להשיא את בתו לאחר אינה עילה לשפיכות דמים. במיוחד חמור השימוש בנשק חם העלול להסתיים במותם של קורבנות הירי. </w:t>
      </w:r>
      <w:r>
        <w:rPr>
          <w:rFonts w:ascii="David" w:hAnsi="David" w:cs="David"/>
          <w:sz w:val="26"/>
          <w:szCs w:val="26"/>
          <w:rtl/>
        </w:rPr>
        <w:t>לדידנו, נדרשת לעת הזו עמדה ברורה וחד משמעית מצד בתי המשפט ולפיה לא ניתן להשלים עם התנהלות עבריינית אלימה, המזלזלת בחיי אדם, לצורך פתרון מחלוקות בכוח הזרוע תוך שימוש בנשק חם או בנשק קר. בטרם התנהגות זו תהפוך נורמה מקובלת, יש לתת לה מענה עונשי אשר יביא בחשבון את החומרה הניכרת הנלווית לה ואת תוצאותיה הקשות.</w:t>
      </w:r>
    </w:p>
    <w:p w14:paraId="284EA21B" w14:textId="77777777" w:rsidR="00ED0DD9" w:rsidRDefault="00ED0DD9" w:rsidP="00ED0DD9">
      <w:pPr>
        <w:pStyle w:val="a9"/>
        <w:spacing w:line="360" w:lineRule="auto"/>
        <w:ind w:left="714"/>
        <w:jc w:val="both"/>
        <w:rPr>
          <w:rFonts w:ascii="David" w:eastAsia="Times New Roman" w:hAnsi="David" w:cs="David"/>
          <w:sz w:val="26"/>
          <w:szCs w:val="26"/>
        </w:rPr>
      </w:pPr>
    </w:p>
    <w:p w14:paraId="6BADA87E"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eastAsia="Times New Roman" w:hAnsi="David" w:cs="David"/>
          <w:sz w:val="26"/>
          <w:szCs w:val="26"/>
          <w:rtl/>
        </w:rPr>
        <w:t xml:space="preserve">את מתחם העונש ההולם לעבירה שלפנינו יש לקבוע על הצד המחמיר. כאמור בפסיקת בית המשפט העליון, נראה כי הגיעה השעה להחמיר באופן הדרגתי את רמת הענישה בעבירות אלימות. העניין שלפנינו מתאים לנקיטה בדרך זו – מהדי הוא מחולל האירוע. הוא תכנן בקפידה אירוע עברייני חמור ונועז שמטרתו להשיב כביכול את כבודו. בהתאם לתכנית שיזם, לאחר שהוא וחברו חסמו את דרכם של נפגעי העבירה, המטירו עליהם אש מכלי נשק שהחזיקו. </w:t>
      </w:r>
      <w:r>
        <w:rPr>
          <w:rFonts w:ascii="David" w:hAnsi="David" w:cs="David"/>
          <w:sz w:val="26"/>
          <w:szCs w:val="26"/>
          <w:rtl/>
        </w:rPr>
        <w:t>בשים לב למרכזיותה של מדיניות הענישה הנוהגת בקביעת מתחם העונש ההולם לעבירה (</w:t>
      </w:r>
      <w:hyperlink r:id="rId28" w:history="1">
        <w:r w:rsidR="001F508A" w:rsidRPr="001F508A">
          <w:rPr>
            <w:rFonts w:ascii="David" w:hAnsi="David" w:cs="David"/>
            <w:color w:val="0000FF"/>
            <w:sz w:val="26"/>
            <w:szCs w:val="26"/>
            <w:u w:val="single"/>
            <w:rtl/>
          </w:rPr>
          <w:t>ע"פ 1323/13</w:t>
        </w:r>
      </w:hyperlink>
      <w:r>
        <w:rPr>
          <w:rFonts w:ascii="David" w:hAnsi="David" w:cs="David"/>
          <w:sz w:val="26"/>
          <w:szCs w:val="26"/>
          <w:rtl/>
        </w:rPr>
        <w:t xml:space="preserve"> </w:t>
      </w:r>
      <w:r>
        <w:rPr>
          <w:rFonts w:ascii="David" w:hAnsi="David" w:cs="David"/>
          <w:b/>
          <w:bCs/>
          <w:sz w:val="26"/>
          <w:szCs w:val="26"/>
          <w:rtl/>
        </w:rPr>
        <w:t>רך חסן נ' מדינת ישראל</w:t>
      </w:r>
      <w:r>
        <w:rPr>
          <w:rFonts w:ascii="David" w:hAnsi="David" w:cs="David"/>
          <w:sz w:val="26"/>
          <w:szCs w:val="26"/>
          <w:rtl/>
        </w:rPr>
        <w:t xml:space="preserve"> (5.6.2013)) ולכך שהחמרה בענישה צריכה להיעשות באופן מתון ומדורג</w:t>
      </w:r>
      <w:r>
        <w:rPr>
          <w:rFonts w:ascii="David" w:hAnsi="David" w:cs="David" w:hint="cs"/>
          <w:sz w:val="26"/>
          <w:szCs w:val="26"/>
          <w:rtl/>
        </w:rPr>
        <w:t xml:space="preserve"> (ר' </w:t>
      </w:r>
      <w:hyperlink r:id="rId29" w:history="1">
        <w:r w:rsidR="001F508A" w:rsidRPr="001F508A">
          <w:rPr>
            <w:rFonts w:ascii="David" w:hAnsi="David" w:cs="David"/>
            <w:color w:val="0000FF"/>
            <w:sz w:val="26"/>
            <w:szCs w:val="26"/>
            <w:u w:val="single"/>
            <w:rtl/>
          </w:rPr>
          <w:t>ע"פ 6193/20</w:t>
        </w:r>
      </w:hyperlink>
      <w:r>
        <w:rPr>
          <w:rFonts w:ascii="David" w:hAnsi="David" w:cs="David" w:hint="cs"/>
          <w:sz w:val="26"/>
          <w:szCs w:val="26"/>
          <w:rtl/>
        </w:rPr>
        <w:t xml:space="preserve"> </w:t>
      </w:r>
      <w:r>
        <w:rPr>
          <w:rFonts w:ascii="David" w:hAnsi="David" w:cs="David" w:hint="cs"/>
          <w:b/>
          <w:bCs/>
          <w:sz w:val="26"/>
          <w:szCs w:val="26"/>
          <w:rtl/>
        </w:rPr>
        <w:t xml:space="preserve">אליהו בר זכאי נ' מדינת ישראל, </w:t>
      </w:r>
      <w:r>
        <w:rPr>
          <w:rFonts w:ascii="David" w:hAnsi="David" w:cs="David" w:hint="cs"/>
          <w:sz w:val="26"/>
          <w:szCs w:val="26"/>
          <w:rtl/>
        </w:rPr>
        <w:t>פסקה 37 (25.3.2021)</w:t>
      </w:r>
      <w:r>
        <w:rPr>
          <w:rFonts w:ascii="David" w:hAnsi="David" w:cs="David"/>
          <w:sz w:val="26"/>
          <w:szCs w:val="26"/>
          <w:rtl/>
        </w:rPr>
        <w:t>, וכן בהתחשב בכך שהפגיעה הפיזית שנגרמה לנפגעי העבירה מצומצמת יחסית, אנו מעמידים את מתחם העונש ההולם למהדי על שבע שנות מאסר וחצי עד 12 שנות מאסר בפועל לצד ענישה נלווית.</w:t>
      </w:r>
    </w:p>
    <w:p w14:paraId="0025DCF1" w14:textId="77777777" w:rsidR="00ED0DD9" w:rsidRDefault="00ED0DD9" w:rsidP="00ED0DD9">
      <w:pPr>
        <w:pStyle w:val="a9"/>
        <w:spacing w:line="360" w:lineRule="auto"/>
        <w:ind w:left="714"/>
        <w:jc w:val="both"/>
        <w:rPr>
          <w:rFonts w:ascii="David" w:eastAsia="Times New Roman" w:hAnsi="David" w:cs="David"/>
          <w:sz w:val="26"/>
          <w:szCs w:val="26"/>
        </w:rPr>
      </w:pPr>
    </w:p>
    <w:p w14:paraId="4799C412" w14:textId="77777777" w:rsidR="00ED0DD9" w:rsidRDefault="00ED0DD9" w:rsidP="00ED0DD9">
      <w:pPr>
        <w:pStyle w:val="a9"/>
        <w:numPr>
          <w:ilvl w:val="0"/>
          <w:numId w:val="1"/>
        </w:numPr>
        <w:spacing w:line="360" w:lineRule="auto"/>
        <w:ind w:left="84" w:firstLine="0"/>
        <w:jc w:val="both"/>
        <w:rPr>
          <w:rFonts w:ascii="David" w:hAnsi="David" w:cs="David"/>
          <w:sz w:val="26"/>
          <w:szCs w:val="26"/>
          <w:rtl/>
        </w:rPr>
      </w:pPr>
      <w:r>
        <w:rPr>
          <w:rFonts w:ascii="David" w:eastAsia="Times New Roman" w:hAnsi="David" w:cs="David"/>
          <w:sz w:val="26"/>
          <w:szCs w:val="26"/>
          <w:rtl/>
        </w:rPr>
        <w:t xml:space="preserve">את מתחם העונש ההולם של מהנד יש לקבוע בהתאם לעובדות המוסכמות של כתב האישום. </w:t>
      </w:r>
      <w:r>
        <w:rPr>
          <w:rFonts w:ascii="David" w:hAnsi="David" w:cs="David"/>
          <w:sz w:val="26"/>
          <w:szCs w:val="26"/>
          <w:rtl/>
        </w:rPr>
        <w:t>משכך נכון להעמיד את מתחם העונש ההולם לגביו שלוש שנות מאסר וחצי עד שש שנות מאסר בפועל לצד ענישה נלווית.</w:t>
      </w:r>
    </w:p>
    <w:p w14:paraId="7103BB0F" w14:textId="77777777" w:rsidR="00ED0DD9" w:rsidRDefault="00ED0DD9" w:rsidP="00ED0DD9">
      <w:pPr>
        <w:pStyle w:val="a9"/>
        <w:rPr>
          <w:rFonts w:ascii="David" w:hAnsi="David" w:cs="David"/>
          <w:sz w:val="26"/>
          <w:szCs w:val="26"/>
        </w:rPr>
      </w:pPr>
    </w:p>
    <w:p w14:paraId="372C127B"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sz w:val="26"/>
          <w:szCs w:val="26"/>
          <w:rtl/>
        </w:rPr>
        <w:t>אשר לגזירת העונש בתום המתחם יש להביא בחשבון את השיקולים הבאים:</w:t>
      </w:r>
    </w:p>
    <w:p w14:paraId="30CDBF0B" w14:textId="77777777" w:rsidR="00ED0DD9" w:rsidRDefault="00ED0DD9" w:rsidP="00ED0DD9">
      <w:pPr>
        <w:pStyle w:val="a9"/>
        <w:rPr>
          <w:rFonts w:ascii="David" w:hAnsi="David" w:cs="David"/>
          <w:sz w:val="26"/>
          <w:szCs w:val="26"/>
        </w:rPr>
      </w:pPr>
    </w:p>
    <w:p w14:paraId="6026D1FA" w14:textId="77777777" w:rsidR="00ED0DD9" w:rsidRDefault="00ED0DD9" w:rsidP="00ED0DD9">
      <w:pPr>
        <w:pStyle w:val="a9"/>
        <w:numPr>
          <w:ilvl w:val="0"/>
          <w:numId w:val="2"/>
        </w:numPr>
        <w:spacing w:after="0" w:line="360" w:lineRule="auto"/>
        <w:jc w:val="both"/>
        <w:rPr>
          <w:rFonts w:ascii="David" w:hAnsi="David" w:cs="David"/>
          <w:sz w:val="26"/>
          <w:szCs w:val="26"/>
          <w:rtl/>
        </w:rPr>
      </w:pPr>
      <w:r>
        <w:rPr>
          <w:rFonts w:ascii="David" w:hAnsi="David" w:cs="David"/>
          <w:sz w:val="26"/>
          <w:szCs w:val="26"/>
          <w:rtl/>
        </w:rPr>
        <w:t>שני הנאשמים הודו בשלבים שונים של ההליך, אך בטרם נשמעו ראיות ובכך קיבלו על עצמם אחריות למעשים. עם זאת הבעת החרטה שנשמעה בדבריהם האחרונים של הנאשמים הייתה לקונית וניתנה להתרשמותנו מהפה ולחוץ.</w:t>
      </w:r>
    </w:p>
    <w:p w14:paraId="4C523A83" w14:textId="77777777" w:rsidR="00ED0DD9" w:rsidRDefault="00ED0DD9" w:rsidP="00ED0DD9">
      <w:pPr>
        <w:pStyle w:val="a9"/>
        <w:spacing w:after="0" w:line="240" w:lineRule="auto"/>
        <w:ind w:left="1080"/>
        <w:jc w:val="both"/>
        <w:rPr>
          <w:rFonts w:ascii="David" w:hAnsi="David" w:cs="David"/>
          <w:sz w:val="26"/>
          <w:szCs w:val="26"/>
        </w:rPr>
      </w:pPr>
    </w:p>
    <w:p w14:paraId="099B9380" w14:textId="77777777" w:rsidR="00ED0DD9" w:rsidRDefault="00ED0DD9" w:rsidP="00ED0DD9">
      <w:pPr>
        <w:pStyle w:val="a9"/>
        <w:numPr>
          <w:ilvl w:val="0"/>
          <w:numId w:val="2"/>
        </w:numPr>
        <w:spacing w:after="0" w:line="360" w:lineRule="auto"/>
        <w:jc w:val="both"/>
        <w:rPr>
          <w:rFonts w:ascii="David" w:hAnsi="David" w:cs="David"/>
          <w:sz w:val="26"/>
          <w:szCs w:val="26"/>
        </w:rPr>
      </w:pPr>
      <w:r>
        <w:rPr>
          <w:rFonts w:ascii="David" w:hAnsi="David" w:cs="David"/>
          <w:sz w:val="26"/>
          <w:szCs w:val="26"/>
          <w:rtl/>
        </w:rPr>
        <w:t>אין בעברו של מהדי הרשעות. בעברו של מהנד הרשעות רלוונטיות כאמור לעיל, אם כי חלפו שנים מאז הרשעתו בהן.</w:t>
      </w:r>
    </w:p>
    <w:p w14:paraId="30765C29" w14:textId="77777777" w:rsidR="00ED0DD9" w:rsidRDefault="00ED0DD9" w:rsidP="00ED0DD9">
      <w:pPr>
        <w:pStyle w:val="a9"/>
        <w:rPr>
          <w:rFonts w:ascii="David" w:hAnsi="David" w:cs="David"/>
          <w:sz w:val="26"/>
          <w:szCs w:val="26"/>
        </w:rPr>
      </w:pPr>
    </w:p>
    <w:p w14:paraId="47BA4F62" w14:textId="77777777" w:rsidR="00ED0DD9" w:rsidRDefault="00ED0DD9" w:rsidP="00ED0DD9">
      <w:pPr>
        <w:pStyle w:val="a9"/>
        <w:numPr>
          <w:ilvl w:val="0"/>
          <w:numId w:val="2"/>
        </w:numPr>
        <w:spacing w:after="0" w:line="360" w:lineRule="auto"/>
        <w:jc w:val="both"/>
        <w:rPr>
          <w:rFonts w:ascii="David" w:hAnsi="David" w:cs="David"/>
          <w:sz w:val="26"/>
          <w:szCs w:val="26"/>
          <w:rtl/>
        </w:rPr>
      </w:pPr>
      <w:r>
        <w:rPr>
          <w:rFonts w:ascii="David" w:hAnsi="David" w:cs="David"/>
          <w:sz w:val="26"/>
          <w:szCs w:val="26"/>
          <w:rtl/>
        </w:rPr>
        <w:t>מהדי סובל מפגיעה רפואית לא פשוטה שיש בה כדי לגרום לו סבל רב יותר כתוצאה מנשיאתו בעונש מאסר. עם זאת יודגש כי העבירות נשוא ההרשעה שלפנינו בוצעו למרות אותה נכות.</w:t>
      </w:r>
    </w:p>
    <w:p w14:paraId="51844F2C" w14:textId="77777777" w:rsidR="00ED0DD9" w:rsidRDefault="00ED0DD9" w:rsidP="00ED0DD9">
      <w:pPr>
        <w:pStyle w:val="a9"/>
        <w:rPr>
          <w:rFonts w:ascii="David" w:hAnsi="David" w:cs="David"/>
          <w:sz w:val="26"/>
          <w:szCs w:val="26"/>
        </w:rPr>
      </w:pPr>
    </w:p>
    <w:p w14:paraId="5BDE2C64"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Pr>
      </w:pPr>
      <w:r w:rsidRPr="006A4FA4">
        <w:rPr>
          <w:rFonts w:ascii="David" w:hAnsi="David" w:cs="David"/>
          <w:sz w:val="26"/>
          <w:szCs w:val="26"/>
          <w:rtl/>
        </w:rPr>
        <w:t xml:space="preserve">על יסוד כל האמור יש להטיל על הנאשמים עונש המצוי בסמיכות לתחתית המתחם אם כי לא בתחתיתו ממש. </w:t>
      </w:r>
    </w:p>
    <w:p w14:paraId="7559D742" w14:textId="77777777" w:rsidR="00ED0DD9" w:rsidRDefault="00ED0DD9" w:rsidP="00ED0DD9">
      <w:pPr>
        <w:pStyle w:val="a9"/>
        <w:spacing w:after="0" w:line="240" w:lineRule="auto"/>
        <w:ind w:left="84"/>
        <w:jc w:val="both"/>
        <w:rPr>
          <w:rFonts w:ascii="David" w:hAnsi="David" w:cs="David"/>
          <w:sz w:val="26"/>
          <w:szCs w:val="26"/>
        </w:rPr>
      </w:pPr>
    </w:p>
    <w:p w14:paraId="12A40480" w14:textId="77777777" w:rsidR="00ED0DD9" w:rsidRPr="006A4FA4" w:rsidRDefault="00ED0DD9" w:rsidP="00ED0DD9">
      <w:pPr>
        <w:pStyle w:val="a9"/>
        <w:numPr>
          <w:ilvl w:val="0"/>
          <w:numId w:val="1"/>
        </w:numPr>
        <w:spacing w:after="0" w:line="360" w:lineRule="auto"/>
        <w:ind w:left="84" w:firstLine="0"/>
        <w:jc w:val="both"/>
        <w:rPr>
          <w:rFonts w:ascii="David" w:hAnsi="David" w:cs="David"/>
          <w:sz w:val="26"/>
          <w:szCs w:val="26"/>
          <w:rtl/>
        </w:rPr>
      </w:pPr>
      <w:r>
        <w:rPr>
          <w:rFonts w:ascii="David" w:hAnsi="David" w:cs="David" w:hint="cs"/>
          <w:sz w:val="26"/>
          <w:szCs w:val="26"/>
          <w:rtl/>
        </w:rPr>
        <w:t>ל</w:t>
      </w:r>
      <w:r w:rsidRPr="006A4FA4">
        <w:rPr>
          <w:rFonts w:ascii="David" w:hAnsi="David" w:cs="David"/>
          <w:sz w:val="26"/>
          <w:szCs w:val="26"/>
          <w:rtl/>
        </w:rPr>
        <w:t>פיכך אנו דנים את הנאשמים לעונשים הבאים:</w:t>
      </w:r>
    </w:p>
    <w:p w14:paraId="394D705A" w14:textId="77777777" w:rsidR="00ED0DD9" w:rsidRDefault="00ED0DD9" w:rsidP="00ED0DD9">
      <w:pPr>
        <w:pStyle w:val="a9"/>
        <w:spacing w:after="0" w:line="360" w:lineRule="auto"/>
        <w:ind w:left="84"/>
        <w:jc w:val="both"/>
        <w:rPr>
          <w:rFonts w:ascii="David" w:hAnsi="David" w:cs="David"/>
          <w:sz w:val="26"/>
          <w:szCs w:val="26"/>
        </w:rPr>
      </w:pPr>
    </w:p>
    <w:p w14:paraId="6ADBFBF8" w14:textId="77777777" w:rsidR="00ED0DD9" w:rsidRDefault="00ED0DD9" w:rsidP="00ED0DD9">
      <w:pPr>
        <w:pStyle w:val="a9"/>
        <w:spacing w:after="0" w:line="360" w:lineRule="auto"/>
        <w:jc w:val="both"/>
        <w:rPr>
          <w:rFonts w:ascii="David" w:hAnsi="David" w:cs="David"/>
          <w:b/>
          <w:bCs/>
          <w:sz w:val="26"/>
          <w:szCs w:val="26"/>
          <w:u w:val="single"/>
          <w:rtl/>
        </w:rPr>
      </w:pPr>
      <w:r>
        <w:rPr>
          <w:rFonts w:ascii="David" w:hAnsi="David" w:cs="David"/>
          <w:b/>
          <w:bCs/>
          <w:sz w:val="26"/>
          <w:szCs w:val="26"/>
          <w:u w:val="single"/>
          <w:rtl/>
        </w:rPr>
        <w:t>מהדי אבו מיאלה:</w:t>
      </w:r>
    </w:p>
    <w:p w14:paraId="145E39AE" w14:textId="77777777" w:rsidR="00ED0DD9" w:rsidRDefault="00ED0DD9" w:rsidP="00ED0DD9">
      <w:pPr>
        <w:pStyle w:val="a9"/>
        <w:numPr>
          <w:ilvl w:val="0"/>
          <w:numId w:val="3"/>
        </w:numPr>
        <w:spacing w:after="0" w:line="360" w:lineRule="auto"/>
        <w:jc w:val="both"/>
        <w:rPr>
          <w:rFonts w:ascii="David" w:hAnsi="David" w:cs="David"/>
          <w:sz w:val="26"/>
          <w:szCs w:val="26"/>
          <w:rtl/>
        </w:rPr>
      </w:pPr>
      <w:r>
        <w:rPr>
          <w:rFonts w:ascii="David" w:hAnsi="David" w:cs="David"/>
          <w:sz w:val="26"/>
          <w:szCs w:val="26"/>
          <w:rtl/>
        </w:rPr>
        <w:t>שמונה שנות מאסר לריצוי בפועל החל מיום מעצרו – 19.1.2020</w:t>
      </w:r>
    </w:p>
    <w:p w14:paraId="7DD780EE" w14:textId="77777777" w:rsidR="00ED0DD9" w:rsidRDefault="00ED0DD9" w:rsidP="00ED0DD9">
      <w:pPr>
        <w:pStyle w:val="a9"/>
        <w:spacing w:after="0" w:line="240" w:lineRule="auto"/>
        <w:ind w:left="1080"/>
        <w:jc w:val="both"/>
        <w:rPr>
          <w:rFonts w:ascii="David" w:hAnsi="David" w:cs="David"/>
          <w:sz w:val="26"/>
          <w:szCs w:val="26"/>
        </w:rPr>
      </w:pPr>
    </w:p>
    <w:p w14:paraId="4F7A178E" w14:textId="77777777" w:rsidR="00ED0DD9" w:rsidRDefault="00ED0DD9" w:rsidP="00ED0DD9">
      <w:pPr>
        <w:pStyle w:val="a9"/>
        <w:numPr>
          <w:ilvl w:val="0"/>
          <w:numId w:val="3"/>
        </w:numPr>
        <w:spacing w:after="0" w:line="360" w:lineRule="auto"/>
        <w:jc w:val="both"/>
        <w:rPr>
          <w:rFonts w:ascii="David" w:hAnsi="David" w:cs="David"/>
          <w:sz w:val="26"/>
          <w:szCs w:val="26"/>
        </w:rPr>
      </w:pPr>
      <w:r>
        <w:rPr>
          <w:rFonts w:ascii="David" w:hAnsi="David" w:cs="David"/>
          <w:sz w:val="26"/>
          <w:szCs w:val="26"/>
          <w:rtl/>
        </w:rPr>
        <w:t>מאסר על תנאי למשך 6 חודשים והתנאי הוא שלא יעבור עבירת אלימות מסוג פשע בתוך שלוש שנים ממועד שחרורו ממאסר.</w:t>
      </w:r>
    </w:p>
    <w:p w14:paraId="19E68E69" w14:textId="77777777" w:rsidR="00ED0DD9" w:rsidRDefault="00ED0DD9" w:rsidP="00ED0DD9">
      <w:pPr>
        <w:pStyle w:val="a9"/>
        <w:rPr>
          <w:rFonts w:ascii="David" w:hAnsi="David" w:cs="David"/>
          <w:sz w:val="26"/>
          <w:szCs w:val="26"/>
        </w:rPr>
      </w:pPr>
    </w:p>
    <w:p w14:paraId="3CF2143B" w14:textId="77777777" w:rsidR="00ED0DD9" w:rsidRDefault="00ED0DD9" w:rsidP="00ED0DD9">
      <w:pPr>
        <w:pStyle w:val="a9"/>
        <w:numPr>
          <w:ilvl w:val="0"/>
          <w:numId w:val="3"/>
        </w:numPr>
        <w:spacing w:after="0" w:line="360" w:lineRule="auto"/>
        <w:jc w:val="both"/>
        <w:rPr>
          <w:rFonts w:ascii="David" w:hAnsi="David" w:cs="David"/>
          <w:sz w:val="26"/>
          <w:szCs w:val="26"/>
          <w:rtl/>
        </w:rPr>
      </w:pPr>
      <w:r>
        <w:rPr>
          <w:rFonts w:ascii="David" w:hAnsi="David" w:cs="David"/>
          <w:sz w:val="26"/>
          <w:szCs w:val="26"/>
          <w:rtl/>
        </w:rPr>
        <w:t>פיצוי בסכום של 10,000 ₪ לכל אחד מהמתלוננים. הפיצוי ישולם עד ליום 1.6.21.</w:t>
      </w:r>
    </w:p>
    <w:p w14:paraId="2DFEFD37" w14:textId="77777777" w:rsidR="00ED0DD9" w:rsidRDefault="00ED0DD9" w:rsidP="00ED0DD9">
      <w:pPr>
        <w:pStyle w:val="a9"/>
        <w:spacing w:after="0" w:line="360" w:lineRule="auto"/>
        <w:ind w:left="84"/>
        <w:jc w:val="both"/>
        <w:rPr>
          <w:rFonts w:ascii="David" w:hAnsi="David" w:cs="David"/>
          <w:sz w:val="26"/>
          <w:szCs w:val="26"/>
          <w:rtl/>
        </w:rPr>
      </w:pPr>
    </w:p>
    <w:p w14:paraId="2A450265" w14:textId="77777777" w:rsidR="00ED0DD9" w:rsidRDefault="00ED0DD9" w:rsidP="00ED0DD9">
      <w:pPr>
        <w:pStyle w:val="a9"/>
        <w:spacing w:after="0" w:line="360" w:lineRule="auto"/>
        <w:jc w:val="both"/>
        <w:rPr>
          <w:rFonts w:ascii="David" w:hAnsi="David" w:cs="David"/>
          <w:b/>
          <w:bCs/>
          <w:sz w:val="26"/>
          <w:szCs w:val="26"/>
          <w:u w:val="single"/>
          <w:rtl/>
        </w:rPr>
      </w:pPr>
      <w:r>
        <w:rPr>
          <w:rFonts w:ascii="David" w:hAnsi="David" w:cs="David"/>
          <w:b/>
          <w:bCs/>
          <w:sz w:val="26"/>
          <w:szCs w:val="26"/>
          <w:u w:val="single"/>
          <w:rtl/>
        </w:rPr>
        <w:t>מהנד חמד:</w:t>
      </w:r>
    </w:p>
    <w:p w14:paraId="3479A73F" w14:textId="77777777" w:rsidR="00ED0DD9" w:rsidRDefault="00ED0DD9" w:rsidP="00ED0DD9">
      <w:pPr>
        <w:pStyle w:val="a9"/>
        <w:numPr>
          <w:ilvl w:val="0"/>
          <w:numId w:val="4"/>
        </w:numPr>
        <w:spacing w:after="0" w:line="360" w:lineRule="auto"/>
        <w:ind w:left="1076"/>
        <w:jc w:val="both"/>
        <w:rPr>
          <w:rFonts w:ascii="David" w:hAnsi="David" w:cs="David"/>
          <w:sz w:val="26"/>
          <w:szCs w:val="26"/>
          <w:rtl/>
        </w:rPr>
      </w:pPr>
      <w:r>
        <w:rPr>
          <w:rFonts w:ascii="David" w:hAnsi="David" w:cs="David"/>
          <w:sz w:val="26"/>
          <w:szCs w:val="26"/>
          <w:rtl/>
        </w:rPr>
        <w:t>ארבע שנות מאסר לריצוי בפועל החל מיום מעצרו – 13.1.2020.</w:t>
      </w:r>
    </w:p>
    <w:p w14:paraId="3A11EB76" w14:textId="77777777" w:rsidR="00ED0DD9" w:rsidRDefault="00ED0DD9" w:rsidP="00ED0DD9">
      <w:pPr>
        <w:pStyle w:val="a9"/>
        <w:spacing w:after="0" w:line="240" w:lineRule="auto"/>
        <w:ind w:left="1076"/>
        <w:jc w:val="both"/>
        <w:rPr>
          <w:rFonts w:ascii="David" w:hAnsi="David" w:cs="David"/>
          <w:sz w:val="26"/>
          <w:szCs w:val="26"/>
        </w:rPr>
      </w:pPr>
    </w:p>
    <w:p w14:paraId="5C82E3F5" w14:textId="77777777" w:rsidR="00ED0DD9" w:rsidRDefault="00ED0DD9" w:rsidP="00ED0DD9">
      <w:pPr>
        <w:pStyle w:val="a9"/>
        <w:numPr>
          <w:ilvl w:val="0"/>
          <w:numId w:val="4"/>
        </w:numPr>
        <w:spacing w:after="0" w:line="360" w:lineRule="auto"/>
        <w:ind w:left="1076"/>
        <w:jc w:val="both"/>
        <w:rPr>
          <w:rFonts w:ascii="David" w:hAnsi="David" w:cs="David"/>
          <w:sz w:val="26"/>
          <w:szCs w:val="26"/>
        </w:rPr>
      </w:pPr>
      <w:r>
        <w:rPr>
          <w:rFonts w:ascii="David" w:hAnsi="David" w:cs="David"/>
          <w:sz w:val="26"/>
          <w:szCs w:val="26"/>
          <w:rtl/>
        </w:rPr>
        <w:t>מאסר על תנאי למשך 4 חודשים והתנאי הוא שלא יעבור עבירת אלימות מסוג פשע בתוך 3 שנים ממועד שחרור ממאסר.</w:t>
      </w:r>
    </w:p>
    <w:p w14:paraId="247022E5" w14:textId="77777777" w:rsidR="00ED0DD9" w:rsidRDefault="00ED0DD9" w:rsidP="00ED0DD9">
      <w:pPr>
        <w:pStyle w:val="a9"/>
        <w:rPr>
          <w:rFonts w:ascii="David" w:hAnsi="David" w:cs="David"/>
          <w:sz w:val="26"/>
          <w:szCs w:val="26"/>
        </w:rPr>
      </w:pPr>
    </w:p>
    <w:p w14:paraId="7CF76C73" w14:textId="77777777" w:rsidR="00ED0DD9" w:rsidRDefault="00ED0DD9" w:rsidP="00ED0DD9">
      <w:pPr>
        <w:pStyle w:val="a9"/>
        <w:numPr>
          <w:ilvl w:val="0"/>
          <w:numId w:val="4"/>
        </w:numPr>
        <w:spacing w:after="0" w:line="360" w:lineRule="auto"/>
        <w:ind w:left="1076"/>
        <w:jc w:val="both"/>
        <w:rPr>
          <w:rFonts w:ascii="David" w:hAnsi="David" w:cs="David"/>
          <w:sz w:val="26"/>
          <w:szCs w:val="26"/>
          <w:rtl/>
        </w:rPr>
      </w:pPr>
      <w:r>
        <w:rPr>
          <w:rFonts w:ascii="David" w:hAnsi="David" w:cs="David"/>
          <w:sz w:val="26"/>
          <w:szCs w:val="26"/>
          <w:rtl/>
        </w:rPr>
        <w:t>פיצוי בסכום של 5,000 ₪ לכל אחד מהמתלוננים. הפיצוי ישולם עד ליום 1.6.21.</w:t>
      </w:r>
    </w:p>
    <w:p w14:paraId="3B087FFF" w14:textId="77777777" w:rsidR="00ED0DD9" w:rsidRDefault="00ED0DD9" w:rsidP="00ED0DD9">
      <w:pPr>
        <w:pStyle w:val="a9"/>
        <w:spacing w:after="0" w:line="360" w:lineRule="auto"/>
        <w:ind w:left="84"/>
        <w:jc w:val="both"/>
        <w:rPr>
          <w:rFonts w:ascii="David" w:hAnsi="David" w:cs="David"/>
          <w:sz w:val="26"/>
          <w:szCs w:val="26"/>
        </w:rPr>
      </w:pPr>
    </w:p>
    <w:p w14:paraId="50233C2B" w14:textId="77777777" w:rsidR="00ED0DD9" w:rsidRDefault="00ED0DD9" w:rsidP="00ED0DD9">
      <w:pPr>
        <w:pStyle w:val="a9"/>
        <w:numPr>
          <w:ilvl w:val="0"/>
          <w:numId w:val="1"/>
        </w:numPr>
        <w:spacing w:after="0" w:line="360" w:lineRule="auto"/>
        <w:ind w:left="84" w:firstLine="0"/>
        <w:jc w:val="both"/>
        <w:rPr>
          <w:rFonts w:ascii="David" w:hAnsi="David" w:cs="David"/>
          <w:sz w:val="26"/>
          <w:szCs w:val="26"/>
        </w:rPr>
      </w:pPr>
      <w:r>
        <w:rPr>
          <w:rFonts w:ascii="David" w:hAnsi="David" w:cs="David"/>
          <w:sz w:val="26"/>
          <w:szCs w:val="26"/>
          <w:rtl/>
        </w:rPr>
        <w:t>כמוסכם על הצדדים, רכב מסוג מאזדה, מ.ר. 2796059 יחולט לטובת אוצר המדינה.</w:t>
      </w:r>
    </w:p>
    <w:p w14:paraId="72C811FD" w14:textId="77777777" w:rsidR="00ED0DD9" w:rsidRDefault="00ED0DD9" w:rsidP="00ED0DD9">
      <w:pPr>
        <w:spacing w:line="360" w:lineRule="auto"/>
        <w:rPr>
          <w:rFonts w:ascii="David" w:hAnsi="David"/>
          <w:sz w:val="26"/>
          <w:szCs w:val="26"/>
        </w:rPr>
      </w:pPr>
      <w:r>
        <w:rPr>
          <w:rFonts w:ascii="David" w:hAnsi="David"/>
          <w:sz w:val="26"/>
          <w:szCs w:val="26"/>
          <w:rtl/>
        </w:rPr>
        <w:t xml:space="preserve"> </w:t>
      </w:r>
    </w:p>
    <w:p w14:paraId="006704FC" w14:textId="77777777" w:rsidR="00ED0DD9" w:rsidRDefault="00ED0DD9" w:rsidP="00ED0DD9">
      <w:pPr>
        <w:jc w:val="both"/>
        <w:rPr>
          <w:rFonts w:ascii="Arial" w:hAnsi="Arial"/>
          <w:b/>
          <w:bCs/>
          <w:szCs w:val="26"/>
          <w:rtl/>
        </w:rPr>
      </w:pPr>
    </w:p>
    <w:p w14:paraId="0B36E495" w14:textId="77777777" w:rsidR="00ED0DD9" w:rsidRDefault="00ED0DD9" w:rsidP="00ED0DD9">
      <w:pPr>
        <w:jc w:val="both"/>
        <w:rPr>
          <w:rFonts w:ascii="Arial" w:hAnsi="Arial"/>
          <w:szCs w:val="26"/>
          <w:rtl/>
        </w:rPr>
      </w:pPr>
      <w:r>
        <w:rPr>
          <w:rFonts w:ascii="Arial" w:hAnsi="Arial" w:hint="cs"/>
          <w:szCs w:val="26"/>
          <w:rtl/>
        </w:rPr>
        <w:t>הודע לנאשמים על זכותם להגיש ערעור על גזר הדין לבית המשפט העליון בתוך 45 יום.</w:t>
      </w:r>
    </w:p>
    <w:p w14:paraId="53EBE1F9" w14:textId="77777777" w:rsidR="00ED0DD9" w:rsidRDefault="00ED0DD9" w:rsidP="00ED0DD9">
      <w:pPr>
        <w:jc w:val="both"/>
        <w:rPr>
          <w:rFonts w:ascii="Arial" w:hAnsi="Arial"/>
          <w:b/>
          <w:bCs/>
          <w:szCs w:val="26"/>
          <w:rtl/>
        </w:rPr>
      </w:pPr>
    </w:p>
    <w:p w14:paraId="1B48FE5E" w14:textId="77777777" w:rsidR="00ED0DD9" w:rsidRDefault="00ED0DD9" w:rsidP="00ED0DD9">
      <w:pPr>
        <w:jc w:val="both"/>
        <w:rPr>
          <w:rFonts w:ascii="Arial" w:hAnsi="Arial"/>
          <w:b/>
          <w:bCs/>
          <w:szCs w:val="26"/>
          <w:rtl/>
        </w:rPr>
      </w:pPr>
    </w:p>
    <w:p w14:paraId="5A531C70" w14:textId="77777777" w:rsidR="00ED0DD9" w:rsidRDefault="001F508A" w:rsidP="00ED0DD9">
      <w:pPr>
        <w:jc w:val="both"/>
        <w:rPr>
          <w:rFonts w:ascii="Arial" w:hAnsi="Arial"/>
          <w:szCs w:val="26"/>
          <w:rtl/>
        </w:rPr>
      </w:pPr>
      <w:bookmarkStart w:id="8" w:name="Nitan"/>
      <w:r>
        <w:rPr>
          <w:rFonts w:ascii="Arial" w:hAnsi="Arial"/>
          <w:b/>
          <w:bCs/>
          <w:szCs w:val="26"/>
          <w:rtl/>
        </w:rPr>
        <w:t xml:space="preserve">ניתן היום, ז' באייר תשפ"א, 19 באפריל 2021, בנוכחות הנאשמים ובאי כוחם וב"כ </w:t>
      </w:r>
      <w:bookmarkEnd w:id="8"/>
      <w:r w:rsidR="00ED0DD9" w:rsidRPr="007F67F4">
        <w:rPr>
          <w:rFonts w:ascii="Arial" w:hAnsi="Arial" w:hint="cs"/>
          <w:b/>
          <w:bCs/>
          <w:szCs w:val="26"/>
          <w:rtl/>
        </w:rPr>
        <w:t>המאשימה</w:t>
      </w:r>
      <w:r w:rsidR="00ED0DD9" w:rsidRPr="007F67F4">
        <w:rPr>
          <w:rFonts w:ascii="Arial" w:hAnsi="Arial"/>
          <w:szCs w:val="26"/>
          <w:rtl/>
        </w:rPr>
        <w:t>.</w:t>
      </w:r>
    </w:p>
    <w:p w14:paraId="4176C8AF" w14:textId="77777777" w:rsidR="00ED0DD9" w:rsidRDefault="00ED0DD9" w:rsidP="00ED0DD9">
      <w:pPr>
        <w:jc w:val="both"/>
        <w:rPr>
          <w:rFonts w:ascii="Arial" w:hAnsi="Arial"/>
          <w:szCs w:val="26"/>
          <w:rtl/>
        </w:rPr>
      </w:pPr>
    </w:p>
    <w:p w14:paraId="04FDACCE" w14:textId="77777777" w:rsidR="00ED0DD9" w:rsidRPr="001F508A" w:rsidRDefault="001F508A" w:rsidP="00ED0DD9">
      <w:pPr>
        <w:jc w:val="both"/>
        <w:rPr>
          <w:rFonts w:ascii="Arial" w:hAnsi="Arial"/>
          <w:color w:val="FFFFFF"/>
          <w:sz w:val="2"/>
          <w:szCs w:val="2"/>
          <w:rtl/>
        </w:rPr>
      </w:pPr>
      <w:r w:rsidRPr="001F508A">
        <w:rPr>
          <w:rFonts w:ascii="Arial" w:hAnsi="Arial"/>
          <w:color w:val="FFFFFF"/>
          <w:sz w:val="2"/>
          <w:szCs w:val="2"/>
          <w:rtl/>
        </w:rPr>
        <w:t>5129371</w:t>
      </w:r>
    </w:p>
    <w:tbl>
      <w:tblPr>
        <w:bidiVisual/>
        <w:tblW w:w="8628" w:type="dxa"/>
        <w:tblLook w:val="01E0" w:firstRow="1" w:lastRow="1" w:firstColumn="1" w:lastColumn="1" w:noHBand="0" w:noVBand="0"/>
      </w:tblPr>
      <w:tblGrid>
        <w:gridCol w:w="2782"/>
        <w:gridCol w:w="236"/>
        <w:gridCol w:w="2491"/>
        <w:gridCol w:w="284"/>
        <w:gridCol w:w="2835"/>
      </w:tblGrid>
      <w:tr w:rsidR="00ED0DD9" w14:paraId="546A815E" w14:textId="77777777" w:rsidTr="00ED0DD9">
        <w:tc>
          <w:tcPr>
            <w:tcW w:w="2782" w:type="dxa"/>
            <w:tcBorders>
              <w:top w:val="nil"/>
              <w:left w:val="nil"/>
              <w:bottom w:val="single" w:sz="4" w:space="0" w:color="auto"/>
              <w:right w:val="nil"/>
            </w:tcBorders>
            <w:shd w:val="clear" w:color="auto" w:fill="auto"/>
            <w:vAlign w:val="center"/>
          </w:tcPr>
          <w:p w14:paraId="12DB1C67" w14:textId="77777777" w:rsidR="00ED0DD9" w:rsidRPr="001F508A" w:rsidRDefault="001F508A" w:rsidP="00ED0DD9">
            <w:pPr>
              <w:spacing w:before="40" w:after="40"/>
              <w:jc w:val="center"/>
              <w:rPr>
                <w:rFonts w:ascii="Courier New" w:hAnsi="Courier New"/>
                <w:b/>
                <w:bCs/>
                <w:color w:val="FFFFFF"/>
                <w:sz w:val="2"/>
                <w:szCs w:val="2"/>
                <w:rtl/>
              </w:rPr>
            </w:pPr>
            <w:r w:rsidRPr="001F508A">
              <w:rPr>
                <w:rFonts w:ascii="Courier New" w:hAnsi="Courier New"/>
                <w:b/>
                <w:bCs/>
                <w:color w:val="FFFFFF"/>
                <w:sz w:val="2"/>
                <w:szCs w:val="2"/>
                <w:rtl/>
              </w:rPr>
              <w:t>54678313</w:t>
            </w:r>
          </w:p>
        </w:tc>
        <w:tc>
          <w:tcPr>
            <w:tcW w:w="236" w:type="dxa"/>
            <w:shd w:val="clear" w:color="auto" w:fill="auto"/>
            <w:vAlign w:val="center"/>
          </w:tcPr>
          <w:p w14:paraId="7ADD4C6B" w14:textId="77777777" w:rsidR="00ED0DD9" w:rsidRPr="00ED0DD9" w:rsidRDefault="00ED0DD9" w:rsidP="00ED0DD9">
            <w:pPr>
              <w:spacing w:before="40" w:after="40"/>
              <w:jc w:val="center"/>
              <w:rPr>
                <w:rFonts w:ascii="Courier New" w:hAnsi="Courier New"/>
                <w:b/>
                <w:bCs/>
              </w:rPr>
            </w:pPr>
          </w:p>
        </w:tc>
        <w:tc>
          <w:tcPr>
            <w:tcW w:w="2491" w:type="dxa"/>
            <w:tcBorders>
              <w:top w:val="nil"/>
              <w:left w:val="nil"/>
              <w:bottom w:val="single" w:sz="4" w:space="0" w:color="auto"/>
              <w:right w:val="nil"/>
            </w:tcBorders>
            <w:shd w:val="clear" w:color="auto" w:fill="auto"/>
            <w:vAlign w:val="center"/>
          </w:tcPr>
          <w:p w14:paraId="16C99D22" w14:textId="77777777" w:rsidR="00ED0DD9" w:rsidRPr="00ED0DD9" w:rsidRDefault="00ED0DD9" w:rsidP="00ED0DD9">
            <w:pPr>
              <w:spacing w:before="40" w:after="40"/>
              <w:jc w:val="center"/>
              <w:rPr>
                <w:rFonts w:ascii="Courier New" w:hAnsi="Courier New"/>
                <w:b/>
                <w:bCs/>
                <w:rtl/>
              </w:rPr>
            </w:pPr>
          </w:p>
        </w:tc>
        <w:tc>
          <w:tcPr>
            <w:tcW w:w="284" w:type="dxa"/>
            <w:shd w:val="clear" w:color="auto" w:fill="auto"/>
            <w:vAlign w:val="center"/>
          </w:tcPr>
          <w:p w14:paraId="4F9DE95B" w14:textId="77777777" w:rsidR="00ED0DD9" w:rsidRPr="00ED0DD9" w:rsidRDefault="00ED0DD9" w:rsidP="00ED0DD9">
            <w:pPr>
              <w:spacing w:before="40" w:after="40"/>
              <w:jc w:val="center"/>
              <w:rPr>
                <w:rFonts w:ascii="Courier New" w:hAnsi="Courier New"/>
                <w:b/>
                <w:bCs/>
              </w:rPr>
            </w:pPr>
          </w:p>
        </w:tc>
        <w:tc>
          <w:tcPr>
            <w:tcW w:w="2835" w:type="dxa"/>
            <w:tcBorders>
              <w:top w:val="nil"/>
              <w:left w:val="nil"/>
              <w:bottom w:val="single" w:sz="4" w:space="0" w:color="auto"/>
              <w:right w:val="nil"/>
            </w:tcBorders>
            <w:shd w:val="clear" w:color="auto" w:fill="auto"/>
            <w:vAlign w:val="center"/>
          </w:tcPr>
          <w:p w14:paraId="780E3740" w14:textId="77777777" w:rsidR="00ED0DD9" w:rsidRPr="00ED0DD9" w:rsidRDefault="00ED0DD9" w:rsidP="00ED0DD9">
            <w:pPr>
              <w:spacing w:before="40" w:after="40"/>
              <w:jc w:val="center"/>
              <w:rPr>
                <w:rFonts w:ascii="Courier New" w:hAnsi="Courier New"/>
                <w:b/>
                <w:bCs/>
              </w:rPr>
            </w:pPr>
          </w:p>
        </w:tc>
      </w:tr>
      <w:tr w:rsidR="00ED0DD9" w14:paraId="3168B557" w14:textId="77777777" w:rsidTr="00ED0DD9">
        <w:tc>
          <w:tcPr>
            <w:tcW w:w="2782" w:type="dxa"/>
            <w:tcBorders>
              <w:top w:val="single" w:sz="4" w:space="0" w:color="auto"/>
              <w:left w:val="nil"/>
              <w:bottom w:val="nil"/>
              <w:right w:val="nil"/>
            </w:tcBorders>
            <w:shd w:val="clear" w:color="auto" w:fill="auto"/>
          </w:tcPr>
          <w:p w14:paraId="14F1DB60" w14:textId="77777777" w:rsidR="00ED0DD9" w:rsidRPr="00ED0DD9" w:rsidRDefault="00ED0DD9" w:rsidP="00ED0DD9">
            <w:pPr>
              <w:spacing w:before="40" w:after="40"/>
              <w:jc w:val="center"/>
              <w:rPr>
                <w:b/>
                <w:bCs/>
                <w:noProof/>
                <w:sz w:val="28"/>
                <w:rtl/>
              </w:rPr>
            </w:pPr>
            <w:r w:rsidRPr="00ED0DD9">
              <w:rPr>
                <w:rFonts w:hint="cs"/>
                <w:b/>
                <w:bCs/>
                <w:sz w:val="28"/>
                <w:rtl/>
              </w:rPr>
              <w:t>ארנון דראל, שופט</w:t>
            </w:r>
          </w:p>
        </w:tc>
        <w:tc>
          <w:tcPr>
            <w:tcW w:w="236" w:type="dxa"/>
            <w:shd w:val="clear" w:color="auto" w:fill="auto"/>
          </w:tcPr>
          <w:p w14:paraId="1D79BEC1" w14:textId="77777777" w:rsidR="00ED0DD9" w:rsidRPr="00ED0DD9" w:rsidRDefault="00ED0DD9" w:rsidP="00ED0DD9">
            <w:pPr>
              <w:spacing w:before="40" w:after="40"/>
              <w:jc w:val="center"/>
              <w:rPr>
                <w:b/>
                <w:bCs/>
                <w:noProof/>
                <w:color w:val="FF0000"/>
                <w:sz w:val="28"/>
              </w:rPr>
            </w:pPr>
          </w:p>
        </w:tc>
        <w:tc>
          <w:tcPr>
            <w:tcW w:w="2491" w:type="dxa"/>
            <w:tcBorders>
              <w:top w:val="single" w:sz="4" w:space="0" w:color="auto"/>
              <w:left w:val="nil"/>
              <w:bottom w:val="nil"/>
              <w:right w:val="nil"/>
            </w:tcBorders>
            <w:shd w:val="clear" w:color="auto" w:fill="auto"/>
          </w:tcPr>
          <w:p w14:paraId="6297B386" w14:textId="77777777" w:rsidR="00ED0DD9" w:rsidRPr="00ED0DD9" w:rsidRDefault="00ED0DD9" w:rsidP="00ED0DD9">
            <w:pPr>
              <w:pStyle w:val="3"/>
              <w:spacing w:before="40" w:after="40" w:line="240" w:lineRule="auto"/>
              <w:jc w:val="center"/>
              <w:rPr>
                <w:sz w:val="28"/>
                <w:rtl/>
              </w:rPr>
            </w:pPr>
            <w:r w:rsidRPr="00ED0DD9">
              <w:rPr>
                <w:rFonts w:hint="cs"/>
                <w:sz w:val="28"/>
                <w:rtl/>
              </w:rPr>
              <w:t>אלי אברבנאל, שופט</w:t>
            </w:r>
          </w:p>
        </w:tc>
        <w:tc>
          <w:tcPr>
            <w:tcW w:w="284" w:type="dxa"/>
            <w:shd w:val="clear" w:color="auto" w:fill="auto"/>
          </w:tcPr>
          <w:p w14:paraId="70CF0B78" w14:textId="77777777" w:rsidR="00ED0DD9" w:rsidRPr="00ED0DD9" w:rsidRDefault="00ED0DD9" w:rsidP="00ED0DD9">
            <w:pPr>
              <w:spacing w:before="40" w:after="40"/>
              <w:jc w:val="center"/>
              <w:rPr>
                <w:b/>
                <w:bCs/>
                <w:noProof/>
                <w:color w:val="FF0000"/>
                <w:sz w:val="28"/>
              </w:rPr>
            </w:pPr>
          </w:p>
        </w:tc>
        <w:tc>
          <w:tcPr>
            <w:tcW w:w="2835" w:type="dxa"/>
            <w:tcBorders>
              <w:top w:val="single" w:sz="4" w:space="0" w:color="auto"/>
              <w:left w:val="nil"/>
              <w:bottom w:val="nil"/>
              <w:right w:val="nil"/>
            </w:tcBorders>
            <w:shd w:val="clear" w:color="auto" w:fill="auto"/>
          </w:tcPr>
          <w:p w14:paraId="51F7FB18" w14:textId="77777777" w:rsidR="00ED0DD9" w:rsidRPr="00ED0DD9" w:rsidRDefault="00ED0DD9" w:rsidP="00ED0DD9">
            <w:pPr>
              <w:spacing w:before="40" w:after="40"/>
              <w:jc w:val="center"/>
              <w:rPr>
                <w:b/>
                <w:bCs/>
                <w:noProof/>
                <w:sz w:val="28"/>
              </w:rPr>
            </w:pPr>
            <w:r w:rsidRPr="00ED0DD9">
              <w:rPr>
                <w:rFonts w:hint="cs"/>
                <w:b/>
                <w:bCs/>
                <w:noProof/>
                <w:sz w:val="28"/>
                <w:rtl/>
              </w:rPr>
              <w:t>חיה זנדברג, שופטת</w:t>
            </w:r>
          </w:p>
        </w:tc>
      </w:tr>
    </w:tbl>
    <w:p w14:paraId="19019A7B" w14:textId="77777777" w:rsidR="00ED0DD9" w:rsidRDefault="00ED0DD9" w:rsidP="00ED0DD9">
      <w:pPr>
        <w:jc w:val="center"/>
        <w:rPr>
          <w:rtl/>
        </w:rPr>
      </w:pPr>
    </w:p>
    <w:p w14:paraId="6D902C49" w14:textId="77777777" w:rsidR="00ED0DD9" w:rsidRPr="00475E23" w:rsidRDefault="00475E23" w:rsidP="00ED0DD9">
      <w:pPr>
        <w:spacing w:line="360" w:lineRule="auto"/>
        <w:jc w:val="both"/>
        <w:rPr>
          <w:rFonts w:ascii="Arial" w:hAnsi="Arial"/>
          <w:color w:val="FFFFFF"/>
          <w:sz w:val="2"/>
          <w:szCs w:val="2"/>
          <w:rtl/>
        </w:rPr>
      </w:pPr>
      <w:r w:rsidRPr="00475E23">
        <w:rPr>
          <w:rFonts w:ascii="Arial" w:hAnsi="Arial"/>
          <w:color w:val="FFFFFF"/>
          <w:sz w:val="2"/>
          <w:szCs w:val="2"/>
          <w:rtl/>
        </w:rPr>
        <w:t>5129371</w:t>
      </w:r>
    </w:p>
    <w:p w14:paraId="4EFFD0EC" w14:textId="77777777" w:rsidR="00375150" w:rsidRPr="00475E23" w:rsidRDefault="00475E23" w:rsidP="001F508A">
      <w:pPr>
        <w:keepNext/>
        <w:rPr>
          <w:rFonts w:ascii="David" w:hAnsi="David"/>
          <w:color w:val="FFFFFF"/>
          <w:sz w:val="2"/>
          <w:szCs w:val="2"/>
          <w:rtl/>
        </w:rPr>
      </w:pPr>
      <w:r w:rsidRPr="00475E23">
        <w:rPr>
          <w:rFonts w:ascii="David" w:hAnsi="David"/>
          <w:color w:val="FFFFFF"/>
          <w:sz w:val="2"/>
          <w:szCs w:val="2"/>
          <w:rtl/>
        </w:rPr>
        <w:t>54678313</w:t>
      </w:r>
    </w:p>
    <w:p w14:paraId="46FED6DC" w14:textId="77777777" w:rsidR="001F508A" w:rsidRDefault="001F508A" w:rsidP="001F508A">
      <w:pPr>
        <w:rPr>
          <w:rtl/>
        </w:rPr>
      </w:pPr>
    </w:p>
    <w:p w14:paraId="398589B1" w14:textId="77777777" w:rsidR="001F508A" w:rsidRDefault="001F508A" w:rsidP="001F508A">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530027FC" w14:textId="77777777" w:rsidR="00475E23" w:rsidRPr="00475E23" w:rsidRDefault="00475E23" w:rsidP="00475E23">
      <w:pPr>
        <w:keepNext/>
        <w:rPr>
          <w:rFonts w:ascii="David" w:hAnsi="David"/>
          <w:color w:val="000000"/>
          <w:sz w:val="22"/>
          <w:szCs w:val="22"/>
          <w:rtl/>
        </w:rPr>
      </w:pPr>
    </w:p>
    <w:p w14:paraId="480AE2D6" w14:textId="77777777" w:rsidR="00475E23" w:rsidRPr="00475E23" w:rsidRDefault="00475E23" w:rsidP="00475E23">
      <w:pPr>
        <w:keepNext/>
        <w:rPr>
          <w:rFonts w:ascii="David" w:hAnsi="David"/>
          <w:color w:val="000000"/>
          <w:sz w:val="22"/>
          <w:szCs w:val="22"/>
          <w:rtl/>
        </w:rPr>
      </w:pPr>
      <w:r w:rsidRPr="00475E23">
        <w:rPr>
          <w:rFonts w:ascii="David" w:hAnsi="David"/>
          <w:color w:val="000000"/>
          <w:sz w:val="22"/>
          <w:szCs w:val="22"/>
          <w:rtl/>
        </w:rPr>
        <w:t>א' דראל 54678313-/</w:t>
      </w:r>
    </w:p>
    <w:p w14:paraId="64AD01FC" w14:textId="77777777" w:rsidR="001F508A" w:rsidRPr="001F508A" w:rsidRDefault="00475E23" w:rsidP="00475E23">
      <w:pPr>
        <w:rPr>
          <w:rFonts w:hint="cs"/>
          <w:color w:val="0000FF"/>
          <w:u w:val="single"/>
        </w:rPr>
      </w:pPr>
      <w:r w:rsidRPr="00475E23">
        <w:rPr>
          <w:color w:val="000000"/>
          <w:u w:val="single"/>
          <w:rtl/>
        </w:rPr>
        <w:t>נוסח מסמך זה כפוף לשינויי ניסוח ועריכה</w:t>
      </w:r>
      <w:r w:rsidR="00212349">
        <w:rPr>
          <w:rFonts w:hint="cs"/>
          <w:color w:val="0000FF"/>
          <w:u w:val="single"/>
          <w:rtl/>
        </w:rPr>
        <w:t xml:space="preserve"> </w:t>
      </w:r>
    </w:p>
    <w:sectPr w:rsidR="001F508A" w:rsidRPr="001F508A" w:rsidSect="00475E23">
      <w:headerReference w:type="even" r:id="rId31"/>
      <w:headerReference w:type="default" r:id="rId32"/>
      <w:footerReference w:type="even" r:id="rId33"/>
      <w:footerReference w:type="default" r:id="rId34"/>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97C41" w14:textId="77777777" w:rsidR="00B10CBC" w:rsidRDefault="00B10CBC" w:rsidP="00374E64">
      <w:r>
        <w:separator/>
      </w:r>
    </w:p>
  </w:endnote>
  <w:endnote w:type="continuationSeparator" w:id="0">
    <w:p w14:paraId="293F390A" w14:textId="77777777" w:rsidR="00B10CBC" w:rsidRDefault="00B10CBC" w:rsidP="00374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AB4DC" w14:textId="77777777" w:rsidR="00475E23" w:rsidRDefault="00475E23" w:rsidP="00475E2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B9413A" w14:textId="77777777" w:rsidR="00140695" w:rsidRPr="00475E23" w:rsidRDefault="00475E23" w:rsidP="00475E23">
    <w:pPr>
      <w:pStyle w:val="a5"/>
      <w:pBdr>
        <w:top w:val="single" w:sz="4" w:space="1" w:color="auto"/>
        <w:between w:val="single" w:sz="4" w:space="0" w:color="auto"/>
      </w:pBdr>
      <w:spacing w:after="60"/>
      <w:jc w:val="center"/>
      <w:rPr>
        <w:rFonts w:ascii="FrankRuehl" w:hAnsi="FrankRuehl" w:cs="FrankRuehl"/>
        <w:color w:val="000000"/>
      </w:rPr>
    </w:pPr>
    <w:r w:rsidRPr="00475E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30341" w14:textId="77777777" w:rsidR="00475E23" w:rsidRDefault="00475E23" w:rsidP="00475E2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C100C">
      <w:rPr>
        <w:rFonts w:ascii="FrankRuehl" w:hAnsi="FrankRuehl" w:cs="FrankRuehl"/>
        <w:noProof/>
        <w:rtl/>
      </w:rPr>
      <w:t>1</w:t>
    </w:r>
    <w:r>
      <w:rPr>
        <w:rFonts w:ascii="FrankRuehl" w:hAnsi="FrankRuehl" w:cs="FrankRuehl"/>
        <w:rtl/>
      </w:rPr>
      <w:fldChar w:fldCharType="end"/>
    </w:r>
  </w:p>
  <w:p w14:paraId="2E208F6F" w14:textId="77777777" w:rsidR="00140695" w:rsidRPr="00475E23" w:rsidRDefault="00475E23" w:rsidP="00475E23">
    <w:pPr>
      <w:pStyle w:val="a5"/>
      <w:pBdr>
        <w:top w:val="single" w:sz="4" w:space="1" w:color="auto"/>
        <w:between w:val="single" w:sz="4" w:space="0" w:color="auto"/>
      </w:pBdr>
      <w:spacing w:after="60"/>
      <w:jc w:val="center"/>
      <w:rPr>
        <w:rFonts w:ascii="FrankRuehl" w:hAnsi="FrankRuehl" w:cs="FrankRuehl"/>
        <w:color w:val="000000"/>
      </w:rPr>
    </w:pPr>
    <w:r w:rsidRPr="00475E23">
      <w:rPr>
        <w:rFonts w:ascii="FrankRuehl" w:hAnsi="FrankRuehl" w:cs="FrankRuehl"/>
        <w:color w:val="000000"/>
      </w:rPr>
      <w:pict w14:anchorId="294D8F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4151D" w14:textId="77777777" w:rsidR="00B10CBC" w:rsidRDefault="00B10CBC" w:rsidP="00374E64">
      <w:r>
        <w:separator/>
      </w:r>
    </w:p>
  </w:footnote>
  <w:footnote w:type="continuationSeparator" w:id="0">
    <w:p w14:paraId="25CC6EA2" w14:textId="77777777" w:rsidR="00B10CBC" w:rsidRDefault="00B10CBC" w:rsidP="00374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49690" w14:textId="77777777" w:rsidR="001F508A" w:rsidRPr="00475E23" w:rsidRDefault="00475E23" w:rsidP="00475E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5511-02-20</w:t>
    </w:r>
    <w:r>
      <w:rPr>
        <w:rFonts w:ascii="David" w:hAnsi="David"/>
        <w:color w:val="000000"/>
        <w:sz w:val="22"/>
        <w:szCs w:val="22"/>
        <w:rtl/>
      </w:rPr>
      <w:tab/>
      <w:t xml:space="preserve"> מדינת ישראל נ' מהנד 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9776D" w14:textId="77777777" w:rsidR="001F508A" w:rsidRPr="00475E23" w:rsidRDefault="00475E23" w:rsidP="00475E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5511-02-20</w:t>
    </w:r>
    <w:r>
      <w:rPr>
        <w:rFonts w:ascii="David" w:hAnsi="David"/>
        <w:color w:val="000000"/>
        <w:sz w:val="22"/>
        <w:szCs w:val="22"/>
        <w:rtl/>
      </w:rPr>
      <w:tab/>
      <w:t xml:space="preserve"> מדינת ישראל נ' מהנד חמד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0360"/>
    <w:multiLevelType w:val="hybridMultilevel"/>
    <w:tmpl w:val="11D09742"/>
    <w:lvl w:ilvl="0" w:tplc="226CDBF0">
      <w:start w:val="1"/>
      <w:numFmt w:val="decimal"/>
      <w:lvlText w:val="%1."/>
      <w:lvlJc w:val="left"/>
      <w:pPr>
        <w:ind w:left="714" w:hanging="630"/>
      </w:pPr>
      <w:rPr>
        <w:sz w:val="24"/>
        <w:szCs w:val="24"/>
      </w:rPr>
    </w:lvl>
    <w:lvl w:ilvl="1" w:tplc="04090019">
      <w:start w:val="1"/>
      <w:numFmt w:val="lowerLetter"/>
      <w:lvlText w:val="%2."/>
      <w:lvlJc w:val="left"/>
      <w:pPr>
        <w:ind w:left="1164" w:hanging="360"/>
      </w:pPr>
    </w:lvl>
    <w:lvl w:ilvl="2" w:tplc="0409001B">
      <w:start w:val="1"/>
      <w:numFmt w:val="lowerRoman"/>
      <w:lvlText w:val="%3."/>
      <w:lvlJc w:val="right"/>
      <w:pPr>
        <w:ind w:left="1884" w:hanging="180"/>
      </w:pPr>
    </w:lvl>
    <w:lvl w:ilvl="3" w:tplc="0409000F">
      <w:start w:val="1"/>
      <w:numFmt w:val="decimal"/>
      <w:lvlText w:val="%4."/>
      <w:lvlJc w:val="left"/>
      <w:pPr>
        <w:ind w:left="2604" w:hanging="360"/>
      </w:pPr>
    </w:lvl>
    <w:lvl w:ilvl="4" w:tplc="04090019">
      <w:start w:val="1"/>
      <w:numFmt w:val="lowerLetter"/>
      <w:lvlText w:val="%5."/>
      <w:lvlJc w:val="left"/>
      <w:pPr>
        <w:ind w:left="3324" w:hanging="360"/>
      </w:pPr>
    </w:lvl>
    <w:lvl w:ilvl="5" w:tplc="0409001B">
      <w:start w:val="1"/>
      <w:numFmt w:val="lowerRoman"/>
      <w:lvlText w:val="%6."/>
      <w:lvlJc w:val="right"/>
      <w:pPr>
        <w:ind w:left="4044" w:hanging="180"/>
      </w:pPr>
    </w:lvl>
    <w:lvl w:ilvl="6" w:tplc="0409000F">
      <w:start w:val="1"/>
      <w:numFmt w:val="decimal"/>
      <w:lvlText w:val="%7."/>
      <w:lvlJc w:val="left"/>
      <w:pPr>
        <w:ind w:left="4764" w:hanging="360"/>
      </w:pPr>
    </w:lvl>
    <w:lvl w:ilvl="7" w:tplc="04090019">
      <w:start w:val="1"/>
      <w:numFmt w:val="lowerLetter"/>
      <w:lvlText w:val="%8."/>
      <w:lvlJc w:val="left"/>
      <w:pPr>
        <w:ind w:left="5484" w:hanging="360"/>
      </w:pPr>
    </w:lvl>
    <w:lvl w:ilvl="8" w:tplc="0409001B">
      <w:start w:val="1"/>
      <w:numFmt w:val="lowerRoman"/>
      <w:lvlText w:val="%9."/>
      <w:lvlJc w:val="right"/>
      <w:pPr>
        <w:ind w:left="6204" w:hanging="180"/>
      </w:pPr>
    </w:lvl>
  </w:abstractNum>
  <w:abstractNum w:abstractNumId="1" w15:restartNumberingAfterBreak="0">
    <w:nsid w:val="3A8B190B"/>
    <w:multiLevelType w:val="hybridMultilevel"/>
    <w:tmpl w:val="A5C04EB2"/>
    <w:lvl w:ilvl="0" w:tplc="CE92751E">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48244D95"/>
    <w:multiLevelType w:val="hybridMultilevel"/>
    <w:tmpl w:val="B31A970E"/>
    <w:lvl w:ilvl="0" w:tplc="C806365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1B45577"/>
    <w:multiLevelType w:val="hybridMultilevel"/>
    <w:tmpl w:val="B63E1654"/>
    <w:lvl w:ilvl="0" w:tplc="CB04E97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4865847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62306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31997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04671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0DD9"/>
    <w:rsid w:val="00140695"/>
    <w:rsid w:val="001B5A3B"/>
    <w:rsid w:val="001F508A"/>
    <w:rsid w:val="00212349"/>
    <w:rsid w:val="00374E64"/>
    <w:rsid w:val="00375150"/>
    <w:rsid w:val="003918E5"/>
    <w:rsid w:val="003A0E09"/>
    <w:rsid w:val="00475E23"/>
    <w:rsid w:val="005C100C"/>
    <w:rsid w:val="00636404"/>
    <w:rsid w:val="00903739"/>
    <w:rsid w:val="00AA6EF0"/>
    <w:rsid w:val="00B10CBC"/>
    <w:rsid w:val="00B55067"/>
    <w:rsid w:val="00ED0D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327322"/>
  <w15:chartTrackingRefBased/>
  <w15:docId w15:val="{B0BBD1EC-8808-4E54-A170-9D9F3A38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0DD9"/>
    <w:pPr>
      <w:bidi/>
    </w:pPr>
    <w:rPr>
      <w:rFonts w:ascii="Times New Roman" w:eastAsia="Times New Roman" w:hAnsi="Times New Roman" w:cs="David"/>
      <w:sz w:val="24"/>
      <w:szCs w:val="24"/>
    </w:rPr>
  </w:style>
  <w:style w:type="paragraph" w:styleId="3">
    <w:name w:val="heading 3"/>
    <w:basedOn w:val="a"/>
    <w:next w:val="a"/>
    <w:link w:val="30"/>
    <w:qFormat/>
    <w:rsid w:val="00ED0DD9"/>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ED0DD9"/>
    <w:rPr>
      <w:rFonts w:ascii="Times New Roman" w:eastAsia="Times New Roman" w:hAnsi="Times New Roman" w:cs="David"/>
      <w:b/>
      <w:bCs/>
      <w:noProof/>
      <w:sz w:val="20"/>
      <w:szCs w:val="24"/>
      <w:lang w:eastAsia="he-IL"/>
    </w:rPr>
  </w:style>
  <w:style w:type="paragraph" w:styleId="a3">
    <w:name w:val="header"/>
    <w:basedOn w:val="a"/>
    <w:link w:val="a4"/>
    <w:rsid w:val="00ED0DD9"/>
    <w:pPr>
      <w:tabs>
        <w:tab w:val="center" w:pos="4153"/>
        <w:tab w:val="right" w:pos="8306"/>
      </w:tabs>
    </w:pPr>
  </w:style>
  <w:style w:type="character" w:customStyle="1" w:styleId="a4">
    <w:name w:val="כותרת עליונה תו"/>
    <w:link w:val="a3"/>
    <w:rsid w:val="00ED0DD9"/>
    <w:rPr>
      <w:rFonts w:ascii="Times New Roman" w:eastAsia="Times New Roman" w:hAnsi="Times New Roman" w:cs="David"/>
      <w:sz w:val="24"/>
      <w:szCs w:val="24"/>
    </w:rPr>
  </w:style>
  <w:style w:type="paragraph" w:styleId="a5">
    <w:name w:val="footer"/>
    <w:basedOn w:val="a"/>
    <w:link w:val="a6"/>
    <w:rsid w:val="00ED0DD9"/>
    <w:pPr>
      <w:tabs>
        <w:tab w:val="center" w:pos="4153"/>
        <w:tab w:val="right" w:pos="8306"/>
      </w:tabs>
    </w:pPr>
  </w:style>
  <w:style w:type="character" w:customStyle="1" w:styleId="a6">
    <w:name w:val="כותרת תחתונה תו"/>
    <w:link w:val="a5"/>
    <w:rsid w:val="00ED0DD9"/>
    <w:rPr>
      <w:rFonts w:ascii="Times New Roman" w:eastAsia="Times New Roman" w:hAnsi="Times New Roman" w:cs="David"/>
      <w:sz w:val="24"/>
      <w:szCs w:val="24"/>
    </w:rPr>
  </w:style>
  <w:style w:type="table" w:styleId="a7">
    <w:name w:val="Table Grid"/>
    <w:basedOn w:val="a1"/>
    <w:rsid w:val="00ED0DD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D0DD9"/>
  </w:style>
  <w:style w:type="paragraph" w:styleId="a9">
    <w:name w:val="List Paragraph"/>
    <w:basedOn w:val="a"/>
    <w:qFormat/>
    <w:rsid w:val="00ED0DD9"/>
    <w:pPr>
      <w:spacing w:after="160" w:line="256" w:lineRule="auto"/>
      <w:ind w:left="720"/>
      <w:contextualSpacing/>
    </w:pPr>
    <w:rPr>
      <w:rFonts w:ascii="Calibri" w:eastAsia="Calibri" w:hAnsi="Calibri" w:cs="Arial"/>
      <w:sz w:val="22"/>
      <w:szCs w:val="22"/>
    </w:rPr>
  </w:style>
  <w:style w:type="character" w:styleId="Hyperlink">
    <w:name w:val="Hyperlink"/>
    <w:rsid w:val="001F50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5305595" TargetMode="External"/><Relationship Id="rId26" Type="http://schemas.openxmlformats.org/officeDocument/2006/relationships/hyperlink" Target="http://www.nevo.co.il/case/7965143"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329.a.2" TargetMode="External"/><Relationship Id="rId17" Type="http://schemas.openxmlformats.org/officeDocument/2006/relationships/hyperlink" Target="http://www.nevo.co.il/case/5753941" TargetMode="External"/><Relationship Id="rId25" Type="http://schemas.openxmlformats.org/officeDocument/2006/relationships/hyperlink" Target="http://www.nevo.co.il/case/5172636"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329" TargetMode="External"/><Relationship Id="rId29" Type="http://schemas.openxmlformats.org/officeDocument/2006/relationships/hyperlink" Target="http://www.nevo.co.il/case/269780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29.a.2" TargetMode="External"/><Relationship Id="rId24" Type="http://schemas.openxmlformats.org/officeDocument/2006/relationships/hyperlink" Target="http://www.nevo.co.il/case/21476990"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4269594" TargetMode="External"/><Relationship Id="rId28" Type="http://schemas.openxmlformats.org/officeDocument/2006/relationships/hyperlink" Target="http://www.nevo.co.il/case/6473037" TargetMode="External"/><Relationship Id="rId36" Type="http://schemas.openxmlformats.org/officeDocument/2006/relationships/theme" Target="theme/theme1.xml"/><Relationship Id="rId10" Type="http://schemas.openxmlformats.org/officeDocument/2006/relationships/hyperlink" Target="http://www.nevo.co.il/law/70301/329" TargetMode="External"/><Relationship Id="rId19" Type="http://schemas.openxmlformats.org/officeDocument/2006/relationships/hyperlink" Target="http://www.nevo.co.il/case/20923897"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1" TargetMode="External"/><Relationship Id="rId22" Type="http://schemas.openxmlformats.org/officeDocument/2006/relationships/hyperlink" Target="http://www.nevo.co.il/case/25349520" TargetMode="External"/><Relationship Id="rId27" Type="http://schemas.openxmlformats.org/officeDocument/2006/relationships/hyperlink" Target="http://www.nevo.co.il/case/5594142"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2265</Words>
  <Characters>11326</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13564</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3539061</vt:i4>
      </vt:variant>
      <vt:variant>
        <vt:i4>66</vt:i4>
      </vt:variant>
      <vt:variant>
        <vt:i4>0</vt:i4>
      </vt:variant>
      <vt:variant>
        <vt:i4>5</vt:i4>
      </vt:variant>
      <vt:variant>
        <vt:lpwstr>http://www.nevo.co.il/case/26978057</vt:lpwstr>
      </vt:variant>
      <vt:variant>
        <vt:lpwstr/>
      </vt:variant>
      <vt:variant>
        <vt:i4>3539056</vt:i4>
      </vt:variant>
      <vt:variant>
        <vt:i4>63</vt:i4>
      </vt:variant>
      <vt:variant>
        <vt:i4>0</vt:i4>
      </vt:variant>
      <vt:variant>
        <vt:i4>5</vt:i4>
      </vt:variant>
      <vt:variant>
        <vt:lpwstr>http://www.nevo.co.il/case/6473037</vt:lpwstr>
      </vt:variant>
      <vt:variant>
        <vt:lpwstr/>
      </vt:variant>
      <vt:variant>
        <vt:i4>4128881</vt:i4>
      </vt:variant>
      <vt:variant>
        <vt:i4>60</vt:i4>
      </vt:variant>
      <vt:variant>
        <vt:i4>0</vt:i4>
      </vt:variant>
      <vt:variant>
        <vt:i4>5</vt:i4>
      </vt:variant>
      <vt:variant>
        <vt:lpwstr>http://www.nevo.co.il/case/5594142</vt:lpwstr>
      </vt:variant>
      <vt:variant>
        <vt:lpwstr/>
      </vt:variant>
      <vt:variant>
        <vt:i4>3342460</vt:i4>
      </vt:variant>
      <vt:variant>
        <vt:i4>57</vt:i4>
      </vt:variant>
      <vt:variant>
        <vt:i4>0</vt:i4>
      </vt:variant>
      <vt:variant>
        <vt:i4>5</vt:i4>
      </vt:variant>
      <vt:variant>
        <vt:lpwstr>http://www.nevo.co.il/case/7965143</vt:lpwstr>
      </vt:variant>
      <vt:variant>
        <vt:lpwstr/>
      </vt:variant>
      <vt:variant>
        <vt:i4>3276916</vt:i4>
      </vt:variant>
      <vt:variant>
        <vt:i4>54</vt:i4>
      </vt:variant>
      <vt:variant>
        <vt:i4>0</vt:i4>
      </vt:variant>
      <vt:variant>
        <vt:i4>5</vt:i4>
      </vt:variant>
      <vt:variant>
        <vt:lpwstr>http://www.nevo.co.il/case/5172636</vt:lpwstr>
      </vt:variant>
      <vt:variant>
        <vt:lpwstr/>
      </vt:variant>
      <vt:variant>
        <vt:i4>3735675</vt:i4>
      </vt:variant>
      <vt:variant>
        <vt:i4>51</vt:i4>
      </vt:variant>
      <vt:variant>
        <vt:i4>0</vt:i4>
      </vt:variant>
      <vt:variant>
        <vt:i4>5</vt:i4>
      </vt:variant>
      <vt:variant>
        <vt:lpwstr>http://www.nevo.co.il/case/21476990</vt:lpwstr>
      </vt:variant>
      <vt:variant>
        <vt:lpwstr/>
      </vt:variant>
      <vt:variant>
        <vt:i4>3145843</vt:i4>
      </vt:variant>
      <vt:variant>
        <vt:i4>48</vt:i4>
      </vt:variant>
      <vt:variant>
        <vt:i4>0</vt:i4>
      </vt:variant>
      <vt:variant>
        <vt:i4>5</vt:i4>
      </vt:variant>
      <vt:variant>
        <vt:lpwstr>http://www.nevo.co.il/case/24269594</vt:lpwstr>
      </vt:variant>
      <vt:variant>
        <vt:lpwstr/>
      </vt:variant>
      <vt:variant>
        <vt:i4>3801200</vt:i4>
      </vt:variant>
      <vt:variant>
        <vt:i4>45</vt:i4>
      </vt:variant>
      <vt:variant>
        <vt:i4>0</vt:i4>
      </vt:variant>
      <vt:variant>
        <vt:i4>5</vt:i4>
      </vt:variant>
      <vt:variant>
        <vt:lpwstr>http://www.nevo.co.il/case/25349520</vt:lpwstr>
      </vt:variant>
      <vt:variant>
        <vt:lpwstr/>
      </vt:variant>
      <vt:variant>
        <vt:i4>7995492</vt:i4>
      </vt:variant>
      <vt:variant>
        <vt:i4>42</vt:i4>
      </vt:variant>
      <vt:variant>
        <vt:i4>0</vt:i4>
      </vt:variant>
      <vt:variant>
        <vt:i4>5</vt:i4>
      </vt:variant>
      <vt:variant>
        <vt:lpwstr>http://www.nevo.co.il/law/70301</vt:lpwstr>
      </vt:variant>
      <vt:variant>
        <vt:lpwstr/>
      </vt:variant>
      <vt:variant>
        <vt:i4>6750310</vt:i4>
      </vt:variant>
      <vt:variant>
        <vt:i4>39</vt:i4>
      </vt:variant>
      <vt:variant>
        <vt:i4>0</vt:i4>
      </vt:variant>
      <vt:variant>
        <vt:i4>5</vt:i4>
      </vt:variant>
      <vt:variant>
        <vt:lpwstr>http://www.nevo.co.il/law/70301/329</vt:lpwstr>
      </vt:variant>
      <vt:variant>
        <vt:lpwstr/>
      </vt:variant>
      <vt:variant>
        <vt:i4>3211390</vt:i4>
      </vt:variant>
      <vt:variant>
        <vt:i4>36</vt:i4>
      </vt:variant>
      <vt:variant>
        <vt:i4>0</vt:i4>
      </vt:variant>
      <vt:variant>
        <vt:i4>5</vt:i4>
      </vt:variant>
      <vt:variant>
        <vt:lpwstr>http://www.nevo.co.il/case/20923897</vt:lpwstr>
      </vt:variant>
      <vt:variant>
        <vt:lpwstr/>
      </vt:variant>
      <vt:variant>
        <vt:i4>3997812</vt:i4>
      </vt:variant>
      <vt:variant>
        <vt:i4>33</vt:i4>
      </vt:variant>
      <vt:variant>
        <vt:i4>0</vt:i4>
      </vt:variant>
      <vt:variant>
        <vt:i4>5</vt:i4>
      </vt:variant>
      <vt:variant>
        <vt:lpwstr>http://www.nevo.co.il/case/25305595</vt:lpwstr>
      </vt:variant>
      <vt:variant>
        <vt:lpwstr/>
      </vt:variant>
      <vt:variant>
        <vt:i4>3670132</vt:i4>
      </vt:variant>
      <vt:variant>
        <vt:i4>30</vt:i4>
      </vt:variant>
      <vt:variant>
        <vt:i4>0</vt:i4>
      </vt:variant>
      <vt:variant>
        <vt:i4>5</vt:i4>
      </vt:variant>
      <vt:variant>
        <vt:lpwstr>http://www.nevo.co.il/case/5753941</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7995492</vt:i4>
      </vt:variant>
      <vt:variant>
        <vt:i4>18</vt:i4>
      </vt:variant>
      <vt:variant>
        <vt:i4>0</vt:i4>
      </vt:variant>
      <vt:variant>
        <vt:i4>5</vt:i4>
      </vt:variant>
      <vt:variant>
        <vt:lpwstr>http://www.nevo.co.il/law/70301</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6750270</vt:i4>
      </vt:variant>
      <vt:variant>
        <vt:i4>12</vt:i4>
      </vt:variant>
      <vt:variant>
        <vt:i4>0</vt:i4>
      </vt:variant>
      <vt:variant>
        <vt:i4>5</vt:i4>
      </vt:variant>
      <vt:variant>
        <vt:lpwstr>http://www.nevo.co.il/law/70301/329.a.2</vt:lpwstr>
      </vt:variant>
      <vt:variant>
        <vt:lpwstr/>
      </vt:variant>
      <vt:variant>
        <vt:i4>6750310</vt:i4>
      </vt:variant>
      <vt:variant>
        <vt:i4>9</vt:i4>
      </vt:variant>
      <vt:variant>
        <vt:i4>0</vt:i4>
      </vt:variant>
      <vt:variant>
        <vt:i4>5</vt:i4>
      </vt:variant>
      <vt:variant>
        <vt:lpwstr>http://www.nevo.co.il/law/70301/329</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2025-04-25T10:46:00Z</dcterms:created>
  <dcterms:modified xsi:type="dcterms:W3CDTF">2025-04-25T10:46:00Z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5511</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מהנד חמד;מהדי אבו מייאלה</vt:lpwstr>
  </property>
  <property fmtid="{D5CDD505-2E9C-101B-9397-08002B2CF9AE}" pid="10" name="LAWYER">
    <vt:lpwstr>רמי עותמאן;גיורא זילברשטיין;אביעד דוויק</vt:lpwstr>
  </property>
  <property fmtid="{D5CDD505-2E9C-101B-9397-08002B2CF9AE}" pid="11" name="JUDGE">
    <vt:lpwstr>א' דראל;א' אברבנאל;ח' זנדברג </vt:lpwstr>
  </property>
  <property fmtid="{D5CDD505-2E9C-101B-9397-08002B2CF9AE}" pid="12" name="CITY">
    <vt:lpwstr>י-ם</vt:lpwstr>
  </property>
  <property fmtid="{D5CDD505-2E9C-101B-9397-08002B2CF9AE}" pid="13" name="DATE">
    <vt:lpwstr>20210419</vt:lpwstr>
  </property>
  <property fmtid="{D5CDD505-2E9C-101B-9397-08002B2CF9AE}" pid="14" name="TYPE_N_DATE">
    <vt:lpwstr>39020210419</vt:lpwstr>
  </property>
  <property fmtid="{D5CDD505-2E9C-101B-9397-08002B2CF9AE}" pid="15" name="WORDNUMPAGES">
    <vt:lpwstr>8</vt:lpwstr>
  </property>
  <property fmtid="{D5CDD505-2E9C-101B-9397-08002B2CF9AE}" pid="16" name="TYPE_ABS_DATE">
    <vt:lpwstr>390020210419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5753941;25305595;20923897;25349520;24269594;21476990;5172636;7965143;5594142;6473037;26978057</vt:lpwstr>
  </property>
  <property fmtid="{D5CDD505-2E9C-101B-9397-08002B2CF9AE}" pid="36" name="LAWLISTTMP1">
    <vt:lpwstr>70301/329.a.2;031;144.b;329</vt:lpwstr>
  </property>
</Properties>
</file>