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C874CD" w:rsidRPr="00FC37BD" w14:paraId="16054294" w14:textId="77777777" w:rsidTr="00DC233A">
        <w:trPr>
          <w:trHeight w:hRule="exact" w:val="418"/>
          <w:jc w:val="center"/>
        </w:trPr>
        <w:tc>
          <w:tcPr>
            <w:tcW w:w="8721" w:type="dxa"/>
            <w:gridSpan w:val="2"/>
          </w:tcPr>
          <w:p w14:paraId="7FDB2AC8" w14:textId="77777777" w:rsidR="00C874CD" w:rsidRPr="00FC37BD" w:rsidRDefault="00C874CD" w:rsidP="001268EE">
            <w:pPr>
              <w:pStyle w:val="a3"/>
              <w:jc w:val="center"/>
              <w:rPr>
                <w:rFonts w:ascii="Tahoma" w:hAnsi="Tahoma" w:cs="Tahoma"/>
                <w:color w:val="000080"/>
                <w:rtl/>
              </w:rPr>
            </w:pPr>
            <w:bookmarkStart w:id="0" w:name="LastJudge"/>
            <w:r w:rsidRPr="00FC37BD">
              <w:rPr>
                <w:rFonts w:ascii="Tahoma" w:hAnsi="Tahoma" w:cs="Tahoma"/>
                <w:b/>
                <w:bCs/>
                <w:color w:val="000080"/>
                <w:rtl/>
              </w:rPr>
              <w:t>בית המשפט המחוזי בחיפה</w:t>
            </w:r>
          </w:p>
        </w:tc>
      </w:tr>
      <w:tr w:rsidR="00C874CD" w:rsidRPr="00FC37BD" w14:paraId="501727B8" w14:textId="77777777" w:rsidTr="00DC233A">
        <w:trPr>
          <w:trHeight w:val="337"/>
          <w:jc w:val="center"/>
        </w:trPr>
        <w:tc>
          <w:tcPr>
            <w:tcW w:w="5062" w:type="dxa"/>
          </w:tcPr>
          <w:p w14:paraId="62D7EE6C" w14:textId="77777777" w:rsidR="00C874CD" w:rsidRPr="00FC37BD" w:rsidRDefault="00C874CD" w:rsidP="001268EE">
            <w:pPr>
              <w:rPr>
                <w:rFonts w:cs="FrankRuehl"/>
                <w:sz w:val="28"/>
                <w:szCs w:val="28"/>
                <w:rtl/>
              </w:rPr>
            </w:pPr>
            <w:r w:rsidRPr="00FC37BD">
              <w:rPr>
                <w:rFonts w:cs="FrankRuehl"/>
                <w:sz w:val="28"/>
                <w:szCs w:val="28"/>
                <w:rtl/>
              </w:rPr>
              <w:t>ת"פ</w:t>
            </w:r>
            <w:r w:rsidRPr="00FC37BD">
              <w:rPr>
                <w:rFonts w:cs="FrankRuehl" w:hint="cs"/>
                <w:sz w:val="28"/>
                <w:szCs w:val="28"/>
                <w:rtl/>
              </w:rPr>
              <w:t xml:space="preserve"> </w:t>
            </w:r>
            <w:r w:rsidRPr="00FC37BD">
              <w:rPr>
                <w:rFonts w:cs="FrankRuehl"/>
                <w:sz w:val="28"/>
                <w:szCs w:val="28"/>
                <w:rtl/>
              </w:rPr>
              <w:t>30575-03-20</w:t>
            </w:r>
            <w:r w:rsidRPr="00FC37BD">
              <w:rPr>
                <w:rFonts w:cs="FrankRuehl" w:hint="cs"/>
                <w:sz w:val="28"/>
                <w:szCs w:val="28"/>
                <w:rtl/>
              </w:rPr>
              <w:t xml:space="preserve"> </w:t>
            </w:r>
            <w:r w:rsidRPr="00FC37BD">
              <w:rPr>
                <w:rFonts w:cs="FrankRuehl"/>
                <w:sz w:val="28"/>
                <w:szCs w:val="28"/>
                <w:rtl/>
              </w:rPr>
              <w:t>מדינת ישראל נ' עאיד(עצור/אסיר בפיקוח) ואח'</w:t>
            </w:r>
          </w:p>
          <w:p w14:paraId="10E28A17" w14:textId="77777777" w:rsidR="00C874CD" w:rsidRPr="00FC37BD" w:rsidRDefault="00C874CD" w:rsidP="001268EE">
            <w:pPr>
              <w:pStyle w:val="a3"/>
              <w:rPr>
                <w:rFonts w:cs="FrankRuehl"/>
                <w:sz w:val="28"/>
                <w:szCs w:val="28"/>
                <w:rtl/>
              </w:rPr>
            </w:pPr>
          </w:p>
        </w:tc>
        <w:tc>
          <w:tcPr>
            <w:tcW w:w="3659" w:type="dxa"/>
          </w:tcPr>
          <w:p w14:paraId="5DD85A90" w14:textId="77777777" w:rsidR="00C874CD" w:rsidRPr="00FC37BD" w:rsidRDefault="00C874CD" w:rsidP="001268EE">
            <w:pPr>
              <w:pStyle w:val="a3"/>
              <w:jc w:val="right"/>
              <w:rPr>
                <w:rFonts w:cs="FrankRuehl"/>
                <w:sz w:val="28"/>
                <w:szCs w:val="28"/>
                <w:rtl/>
              </w:rPr>
            </w:pPr>
          </w:p>
        </w:tc>
      </w:tr>
    </w:tbl>
    <w:p w14:paraId="235B9CC8" w14:textId="77777777" w:rsidR="00C874CD" w:rsidRPr="00FC37BD" w:rsidRDefault="00C874CD" w:rsidP="00C874CD">
      <w:pPr>
        <w:pStyle w:val="a3"/>
        <w:rPr>
          <w:rtl/>
        </w:rPr>
      </w:pPr>
      <w:r w:rsidRPr="00FC37BD">
        <w:rPr>
          <w:rFonts w:hint="cs"/>
          <w:rtl/>
        </w:rPr>
        <w:t xml:space="preserve"> </w:t>
      </w:r>
    </w:p>
    <w:p w14:paraId="0C9A5D75" w14:textId="77777777" w:rsidR="00C874CD" w:rsidRPr="00FC37BD" w:rsidRDefault="00C874CD" w:rsidP="00C874CD">
      <w:pPr>
        <w:jc w:val="both"/>
        <w:rPr>
          <w:b/>
          <w:bCs/>
          <w:sz w:val="6"/>
          <w:szCs w:val="6"/>
          <w:rtl/>
        </w:rPr>
      </w:pPr>
    </w:p>
    <w:p w14:paraId="18FFF8D8" w14:textId="77777777" w:rsidR="00C874CD" w:rsidRPr="00FC37BD" w:rsidRDefault="00C874CD" w:rsidP="00C874CD">
      <w:pPr>
        <w:jc w:val="both"/>
        <w:rPr>
          <w:b/>
          <w:bCs/>
          <w:sz w:val="6"/>
          <w:szCs w:val="6"/>
          <w:rtl/>
        </w:rPr>
      </w:pPr>
    </w:p>
    <w:tbl>
      <w:tblPr>
        <w:bidiVisual/>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1"/>
        <w:gridCol w:w="5922"/>
        <w:gridCol w:w="46"/>
      </w:tblGrid>
      <w:tr w:rsidR="00C874CD" w:rsidRPr="00FC37BD" w14:paraId="503BC2A9" w14:textId="77777777" w:rsidTr="00C874CD">
        <w:trPr>
          <w:trHeight w:val="295"/>
          <w:jc w:val="center"/>
        </w:trPr>
        <w:tc>
          <w:tcPr>
            <w:tcW w:w="8509" w:type="dxa"/>
            <w:gridSpan w:val="3"/>
            <w:tcBorders>
              <w:top w:val="nil"/>
              <w:left w:val="nil"/>
              <w:bottom w:val="nil"/>
              <w:right w:val="nil"/>
            </w:tcBorders>
            <w:shd w:val="clear" w:color="auto" w:fill="auto"/>
          </w:tcPr>
          <w:p w14:paraId="2EFA37CF" w14:textId="77777777" w:rsidR="00C874CD" w:rsidRPr="00FC37BD" w:rsidRDefault="00C874CD" w:rsidP="00C874CD">
            <w:pPr>
              <w:jc w:val="both"/>
              <w:rPr>
                <w:rFonts w:ascii="David" w:hAnsi="David"/>
                <w:b/>
                <w:bCs/>
              </w:rPr>
            </w:pPr>
            <w:r w:rsidRPr="00FC37BD">
              <w:rPr>
                <w:rFonts w:ascii="David" w:hAnsi="David"/>
                <w:b/>
                <w:bCs/>
                <w:sz w:val="26"/>
                <w:szCs w:val="26"/>
                <w:rtl/>
              </w:rPr>
              <w:t>בפני כבוד השופט  דניאל פיש</w:t>
            </w:r>
          </w:p>
        </w:tc>
      </w:tr>
      <w:tr w:rsidR="00C874CD" w:rsidRPr="00FC37BD" w14:paraId="60BB4308" w14:textId="77777777" w:rsidTr="00C874CD">
        <w:trPr>
          <w:gridAfter w:val="1"/>
          <w:wAfter w:w="46" w:type="dxa"/>
          <w:cantSplit/>
          <w:trHeight w:val="724"/>
          <w:jc w:val="center"/>
        </w:trPr>
        <w:tc>
          <w:tcPr>
            <w:tcW w:w="2541" w:type="dxa"/>
            <w:tcBorders>
              <w:top w:val="nil"/>
              <w:left w:val="nil"/>
              <w:bottom w:val="nil"/>
              <w:right w:val="nil"/>
            </w:tcBorders>
            <w:shd w:val="clear" w:color="auto" w:fill="auto"/>
          </w:tcPr>
          <w:p w14:paraId="1FA7ABA8" w14:textId="77777777" w:rsidR="00C874CD" w:rsidRPr="00FC37BD" w:rsidRDefault="00C874CD" w:rsidP="00C874CD">
            <w:pPr>
              <w:ind w:left="26"/>
              <w:rPr>
                <w:rFonts w:ascii="David" w:hAnsi="David"/>
                <w:b/>
                <w:bCs/>
                <w:sz w:val="26"/>
                <w:szCs w:val="26"/>
              </w:rPr>
            </w:pPr>
            <w:bookmarkStart w:id="1" w:name="FirstAppellant"/>
          </w:p>
          <w:p w14:paraId="7E7112D6" w14:textId="77777777" w:rsidR="00C874CD" w:rsidRPr="00FC37BD" w:rsidRDefault="00C874CD" w:rsidP="00C874CD">
            <w:pPr>
              <w:ind w:left="26"/>
              <w:rPr>
                <w:rFonts w:ascii="David" w:hAnsi="David"/>
                <w:b/>
                <w:bCs/>
                <w:sz w:val="26"/>
                <w:szCs w:val="26"/>
              </w:rPr>
            </w:pPr>
            <w:r w:rsidRPr="00FC37BD">
              <w:rPr>
                <w:rFonts w:ascii="David" w:hAnsi="David"/>
                <w:b/>
                <w:bCs/>
                <w:sz w:val="26"/>
                <w:szCs w:val="26"/>
                <w:rtl/>
              </w:rPr>
              <w:t>המאשימה</w:t>
            </w:r>
          </w:p>
        </w:tc>
        <w:tc>
          <w:tcPr>
            <w:tcW w:w="5922" w:type="dxa"/>
            <w:tcBorders>
              <w:top w:val="nil"/>
              <w:left w:val="nil"/>
              <w:bottom w:val="nil"/>
              <w:right w:val="nil"/>
            </w:tcBorders>
            <w:shd w:val="clear" w:color="auto" w:fill="auto"/>
          </w:tcPr>
          <w:p w14:paraId="52EC8E88" w14:textId="77777777" w:rsidR="00C874CD" w:rsidRPr="00FC37BD" w:rsidRDefault="00C874CD" w:rsidP="001268EE">
            <w:pPr>
              <w:rPr>
                <w:rFonts w:ascii="David" w:hAnsi="David"/>
                <w:b/>
                <w:bCs/>
                <w:rtl/>
              </w:rPr>
            </w:pPr>
          </w:p>
          <w:p w14:paraId="5824DBBC" w14:textId="77777777" w:rsidR="00C874CD" w:rsidRPr="00FC37BD" w:rsidRDefault="00C874CD" w:rsidP="001268EE">
            <w:pPr>
              <w:rPr>
                <w:rFonts w:ascii="David" w:hAnsi="David"/>
                <w:b/>
                <w:bCs/>
                <w:sz w:val="26"/>
                <w:szCs w:val="26"/>
                <w:rtl/>
              </w:rPr>
            </w:pPr>
            <w:r w:rsidRPr="00FC37BD">
              <w:rPr>
                <w:rFonts w:ascii="David" w:hAnsi="David"/>
                <w:b/>
                <w:bCs/>
                <w:rtl/>
              </w:rPr>
              <w:t xml:space="preserve"> </w:t>
            </w:r>
            <w:r w:rsidRPr="00FC37BD">
              <w:rPr>
                <w:rFonts w:ascii="David" w:hAnsi="David"/>
                <w:b/>
                <w:bCs/>
                <w:sz w:val="26"/>
                <w:szCs w:val="26"/>
                <w:rtl/>
              </w:rPr>
              <w:t>מדינת ישראל</w:t>
            </w:r>
          </w:p>
          <w:p w14:paraId="190E9D75" w14:textId="77777777" w:rsidR="00C874CD" w:rsidRPr="00FC37BD" w:rsidRDefault="00C874CD" w:rsidP="001268EE">
            <w:pPr>
              <w:rPr>
                <w:rFonts w:ascii="David" w:hAnsi="David"/>
                <w:b/>
                <w:bCs/>
                <w:sz w:val="26"/>
                <w:szCs w:val="26"/>
                <w:rtl/>
              </w:rPr>
            </w:pPr>
          </w:p>
        </w:tc>
      </w:tr>
      <w:bookmarkEnd w:id="1"/>
      <w:tr w:rsidR="00C874CD" w:rsidRPr="00FC37BD" w14:paraId="6A82BD05" w14:textId="77777777" w:rsidTr="00C874CD">
        <w:trPr>
          <w:gridAfter w:val="1"/>
          <w:wAfter w:w="46" w:type="dxa"/>
          <w:jc w:val="center"/>
        </w:trPr>
        <w:tc>
          <w:tcPr>
            <w:tcW w:w="8463" w:type="dxa"/>
            <w:gridSpan w:val="2"/>
            <w:tcBorders>
              <w:top w:val="nil"/>
              <w:left w:val="nil"/>
              <w:bottom w:val="nil"/>
              <w:right w:val="nil"/>
            </w:tcBorders>
            <w:shd w:val="clear" w:color="auto" w:fill="auto"/>
            <w:vAlign w:val="center"/>
          </w:tcPr>
          <w:p w14:paraId="0B076639" w14:textId="77777777" w:rsidR="00C874CD" w:rsidRPr="00FC37BD" w:rsidRDefault="00C874CD" w:rsidP="00C874CD">
            <w:pPr>
              <w:jc w:val="center"/>
              <w:rPr>
                <w:rFonts w:ascii="Arial" w:hAnsi="Arial"/>
                <w:b/>
                <w:bCs/>
                <w:sz w:val="26"/>
                <w:szCs w:val="26"/>
                <w:rtl/>
              </w:rPr>
            </w:pPr>
          </w:p>
          <w:p w14:paraId="35E943CB" w14:textId="77777777" w:rsidR="00C874CD" w:rsidRPr="00FC37BD" w:rsidRDefault="00C874CD" w:rsidP="00C874CD">
            <w:pPr>
              <w:jc w:val="center"/>
              <w:rPr>
                <w:rFonts w:ascii="Arial" w:hAnsi="Arial"/>
                <w:b/>
                <w:bCs/>
                <w:sz w:val="26"/>
                <w:szCs w:val="26"/>
                <w:rtl/>
              </w:rPr>
            </w:pPr>
            <w:r w:rsidRPr="00FC37BD">
              <w:rPr>
                <w:rFonts w:ascii="Arial" w:hAnsi="Arial"/>
                <w:b/>
                <w:bCs/>
                <w:sz w:val="26"/>
                <w:szCs w:val="26"/>
                <w:rtl/>
              </w:rPr>
              <w:t>נגד</w:t>
            </w:r>
          </w:p>
          <w:p w14:paraId="50DA873B" w14:textId="77777777" w:rsidR="00C874CD" w:rsidRPr="00FC37BD" w:rsidRDefault="00C874CD" w:rsidP="001268EE">
            <w:pPr>
              <w:rPr>
                <w:rFonts w:ascii="Arial" w:hAnsi="Arial"/>
                <w:b/>
                <w:bCs/>
                <w:sz w:val="26"/>
                <w:szCs w:val="26"/>
                <w:rtl/>
              </w:rPr>
            </w:pPr>
          </w:p>
        </w:tc>
      </w:tr>
      <w:tr w:rsidR="00C874CD" w:rsidRPr="00FC37BD" w14:paraId="2CD8978A" w14:textId="77777777" w:rsidTr="00C874CD">
        <w:trPr>
          <w:gridAfter w:val="1"/>
          <w:wAfter w:w="46" w:type="dxa"/>
          <w:jc w:val="center"/>
        </w:trPr>
        <w:tc>
          <w:tcPr>
            <w:tcW w:w="2541" w:type="dxa"/>
            <w:tcBorders>
              <w:top w:val="nil"/>
              <w:left w:val="nil"/>
              <w:bottom w:val="nil"/>
              <w:right w:val="nil"/>
            </w:tcBorders>
            <w:shd w:val="clear" w:color="auto" w:fill="auto"/>
          </w:tcPr>
          <w:p w14:paraId="349A59CF" w14:textId="77777777" w:rsidR="00C874CD" w:rsidRPr="00FC37BD" w:rsidRDefault="00C874CD" w:rsidP="00C874CD">
            <w:pPr>
              <w:ind w:left="26"/>
              <w:rPr>
                <w:b/>
                <w:bCs/>
                <w:sz w:val="26"/>
                <w:szCs w:val="26"/>
                <w:rtl/>
              </w:rPr>
            </w:pPr>
            <w:r w:rsidRPr="00FC37BD">
              <w:rPr>
                <w:b/>
                <w:bCs/>
                <w:sz w:val="26"/>
                <w:szCs w:val="26"/>
                <w:rtl/>
              </w:rPr>
              <w:t>הנאשמים</w:t>
            </w:r>
          </w:p>
        </w:tc>
        <w:tc>
          <w:tcPr>
            <w:tcW w:w="5922" w:type="dxa"/>
            <w:tcBorders>
              <w:top w:val="nil"/>
              <w:left w:val="nil"/>
              <w:bottom w:val="nil"/>
              <w:right w:val="nil"/>
            </w:tcBorders>
            <w:shd w:val="clear" w:color="auto" w:fill="auto"/>
          </w:tcPr>
          <w:p w14:paraId="207430BE" w14:textId="77777777" w:rsidR="00C874CD" w:rsidRPr="00FC37BD" w:rsidRDefault="00C874CD" w:rsidP="001268EE">
            <w:pPr>
              <w:rPr>
                <w:b/>
                <w:bCs/>
                <w:sz w:val="26"/>
                <w:szCs w:val="26"/>
              </w:rPr>
            </w:pPr>
            <w:r w:rsidRPr="00FC37BD">
              <w:rPr>
                <w:b/>
                <w:bCs/>
                <w:sz w:val="26"/>
                <w:szCs w:val="26"/>
              </w:rPr>
              <w:t>.1</w:t>
            </w:r>
            <w:r w:rsidRPr="00FC37BD">
              <w:rPr>
                <w:rFonts w:cs="Times New Roman" w:hint="cs"/>
                <w:b/>
                <w:bCs/>
                <w:rtl/>
              </w:rPr>
              <w:t xml:space="preserve"> </w:t>
            </w:r>
            <w:r w:rsidRPr="00FC37BD">
              <w:rPr>
                <w:b/>
                <w:bCs/>
                <w:sz w:val="26"/>
                <w:szCs w:val="26"/>
                <w:rtl/>
              </w:rPr>
              <w:t>נדאל עאיד (עצור/אסיר בפיקוח)</w:t>
            </w:r>
            <w:r w:rsidRPr="00FC37BD">
              <w:rPr>
                <w:rFonts w:cs="Times New Roman" w:hint="cs"/>
                <w:b/>
                <w:bCs/>
                <w:rtl/>
              </w:rPr>
              <w:t xml:space="preserve"> </w:t>
            </w:r>
            <w:r w:rsidRPr="00FC37BD">
              <w:rPr>
                <w:b/>
                <w:bCs/>
                <w:sz w:val="26"/>
                <w:szCs w:val="26"/>
                <w:rtl/>
              </w:rPr>
              <w:t xml:space="preserve">ת"ז  </w:t>
            </w:r>
            <w:r w:rsidR="00FC37BD">
              <w:rPr>
                <w:b/>
                <w:bCs/>
                <w:sz w:val="26"/>
                <w:szCs w:val="26"/>
              </w:rPr>
              <w:t>xxxxxxxxxx</w:t>
            </w:r>
          </w:p>
          <w:p w14:paraId="247EBAFF" w14:textId="77777777" w:rsidR="00C874CD" w:rsidRPr="00FC37BD" w:rsidRDefault="00C874CD" w:rsidP="001268EE">
            <w:pPr>
              <w:rPr>
                <w:b/>
                <w:bCs/>
                <w:sz w:val="26"/>
                <w:szCs w:val="26"/>
                <w:rtl/>
              </w:rPr>
            </w:pPr>
            <w:r w:rsidRPr="00FC37BD">
              <w:rPr>
                <w:b/>
                <w:bCs/>
                <w:sz w:val="26"/>
                <w:szCs w:val="26"/>
              </w:rPr>
              <w:t>.2</w:t>
            </w:r>
            <w:r w:rsidRPr="00FC37BD">
              <w:rPr>
                <w:rFonts w:cs="Times New Roman" w:hint="cs"/>
                <w:b/>
                <w:bCs/>
                <w:rtl/>
              </w:rPr>
              <w:t xml:space="preserve"> </w:t>
            </w:r>
            <w:r w:rsidRPr="00FC37BD">
              <w:rPr>
                <w:b/>
                <w:bCs/>
                <w:sz w:val="26"/>
                <w:szCs w:val="26"/>
                <w:rtl/>
              </w:rPr>
              <w:t>עמאד אלדין חוסיין (עציר)</w:t>
            </w:r>
            <w:r w:rsidRPr="00FC37BD">
              <w:rPr>
                <w:rFonts w:cs="Times New Roman" w:hint="cs"/>
                <w:b/>
                <w:bCs/>
                <w:rtl/>
              </w:rPr>
              <w:t xml:space="preserve"> </w:t>
            </w:r>
            <w:r w:rsidRPr="00FC37BD">
              <w:rPr>
                <w:b/>
                <w:bCs/>
                <w:sz w:val="26"/>
                <w:szCs w:val="26"/>
                <w:rtl/>
              </w:rPr>
              <w:t xml:space="preserve">ת"ז  </w:t>
            </w:r>
            <w:r w:rsidR="00FC37BD">
              <w:rPr>
                <w:b/>
                <w:bCs/>
                <w:sz w:val="26"/>
                <w:szCs w:val="26"/>
              </w:rPr>
              <w:t>xxxxxxxxxx</w:t>
            </w:r>
          </w:p>
        </w:tc>
      </w:tr>
    </w:tbl>
    <w:p w14:paraId="0C3A46E1" w14:textId="77777777" w:rsidR="00C874CD" w:rsidRPr="00FC37BD" w:rsidRDefault="00C874CD" w:rsidP="00C874CD">
      <w:pPr>
        <w:jc w:val="both"/>
        <w:rPr>
          <w:rFonts w:ascii="David" w:hAnsi="David"/>
          <w:b/>
          <w:bCs/>
          <w:sz w:val="6"/>
          <w:szCs w:val="6"/>
          <w:rtl/>
        </w:rPr>
      </w:pPr>
      <w:r w:rsidRPr="00FC37BD">
        <w:rPr>
          <w:b/>
          <w:bCs/>
          <w:sz w:val="6"/>
          <w:szCs w:val="6"/>
          <w:rtl/>
        </w:rPr>
        <w:t>&lt;#1#&gt;</w:t>
      </w:r>
    </w:p>
    <w:p w14:paraId="32BDCCA1" w14:textId="77777777" w:rsidR="00C874CD" w:rsidRPr="00FC37BD" w:rsidRDefault="00C874CD" w:rsidP="00C874CD">
      <w:pPr>
        <w:suppressLineNumbers/>
        <w:rPr>
          <w:rFonts w:ascii="Arial" w:hAnsi="Arial"/>
          <w:b/>
          <w:bCs/>
          <w:rtl/>
        </w:rPr>
      </w:pPr>
    </w:p>
    <w:p w14:paraId="365FFA61" w14:textId="77777777" w:rsidR="00C874CD" w:rsidRPr="00FC37BD" w:rsidRDefault="00C874CD" w:rsidP="00C874CD">
      <w:pPr>
        <w:suppressLineNumbers/>
        <w:rPr>
          <w:rFonts w:ascii="Arial" w:hAnsi="Arial"/>
          <w:rtl/>
        </w:rPr>
      </w:pPr>
      <w:bookmarkStart w:id="2" w:name="FirstLawyer"/>
      <w:r w:rsidRPr="00FC37BD">
        <w:rPr>
          <w:rFonts w:ascii="Arial" w:hAnsi="Arial"/>
          <w:rtl/>
        </w:rPr>
        <w:t>בשם</w:t>
      </w:r>
      <w:bookmarkEnd w:id="2"/>
      <w:r w:rsidRPr="00FC37BD">
        <w:rPr>
          <w:rFonts w:ascii="Arial" w:hAnsi="Arial"/>
          <w:rtl/>
        </w:rPr>
        <w:t xml:space="preserve"> המאשימה: עו"ד נג'וא סלימאן</w:t>
      </w:r>
    </w:p>
    <w:p w14:paraId="1B15366E" w14:textId="77777777" w:rsidR="00C874CD" w:rsidRPr="00FC37BD" w:rsidRDefault="00C874CD" w:rsidP="00C874CD">
      <w:pPr>
        <w:suppressLineNumbers/>
        <w:rPr>
          <w:rFonts w:ascii="Arial" w:hAnsi="Arial"/>
          <w:rtl/>
        </w:rPr>
      </w:pPr>
      <w:r w:rsidRPr="00FC37BD">
        <w:rPr>
          <w:rFonts w:ascii="Arial" w:hAnsi="Arial"/>
          <w:rtl/>
        </w:rPr>
        <w:t xml:space="preserve">בשם הנאשם </w:t>
      </w:r>
      <w:r w:rsidRPr="00FC37BD">
        <w:rPr>
          <w:rFonts w:ascii="Arial" w:hAnsi="Arial" w:hint="cs"/>
          <w:rtl/>
        </w:rPr>
        <w:t>1</w:t>
      </w:r>
      <w:r w:rsidRPr="00FC37BD">
        <w:rPr>
          <w:rFonts w:ascii="Arial" w:hAnsi="Arial"/>
          <w:rtl/>
        </w:rPr>
        <w:t xml:space="preserve">: עו"ד </w:t>
      </w:r>
      <w:r w:rsidRPr="00FC37BD">
        <w:rPr>
          <w:rFonts w:ascii="Arial" w:hAnsi="Arial" w:hint="cs"/>
          <w:rtl/>
        </w:rPr>
        <w:t xml:space="preserve">סאהר פאר </w:t>
      </w:r>
      <w:r w:rsidRPr="00FC37BD">
        <w:rPr>
          <w:rFonts w:ascii="Arial" w:hAnsi="Arial"/>
          <w:rtl/>
        </w:rPr>
        <w:t>–</w:t>
      </w:r>
      <w:r w:rsidRPr="00FC37BD">
        <w:rPr>
          <w:rFonts w:ascii="Arial" w:hAnsi="Arial" w:hint="cs"/>
          <w:rtl/>
        </w:rPr>
        <w:t xml:space="preserve"> סנגוריה ציבורית </w:t>
      </w:r>
    </w:p>
    <w:p w14:paraId="17D5CF9D" w14:textId="77777777" w:rsidR="00C874CD" w:rsidRPr="00FC37BD" w:rsidRDefault="00C874CD" w:rsidP="00C874CD">
      <w:pPr>
        <w:rPr>
          <w:rtl/>
        </w:rPr>
      </w:pPr>
    </w:p>
    <w:p w14:paraId="008A6F9D" w14:textId="77777777" w:rsidR="00CA18BD" w:rsidRDefault="00CA18BD" w:rsidP="00CA18BD">
      <w:pPr>
        <w:jc w:val="center"/>
        <w:rPr>
          <w:rFonts w:ascii="David" w:hAnsi="David"/>
          <w:sz w:val="32"/>
          <w:szCs w:val="32"/>
          <w:rtl/>
        </w:rPr>
      </w:pPr>
      <w:bookmarkStart w:id="3" w:name="LawTable"/>
      <w:bookmarkEnd w:id="3"/>
    </w:p>
    <w:p w14:paraId="59E888A4" w14:textId="77777777" w:rsidR="00CA18BD" w:rsidRPr="00CA18BD" w:rsidRDefault="00CA18BD" w:rsidP="00CA18BD">
      <w:pPr>
        <w:spacing w:before="120" w:after="120" w:line="240" w:lineRule="exact"/>
        <w:ind w:left="283" w:hanging="283"/>
        <w:jc w:val="both"/>
        <w:rPr>
          <w:rFonts w:ascii="FrankRuehl" w:hAnsi="FrankRuehl" w:cs="FrankRuehl"/>
          <w:rtl/>
        </w:rPr>
      </w:pPr>
    </w:p>
    <w:p w14:paraId="48CED4AB" w14:textId="77777777" w:rsidR="00CA18BD" w:rsidRPr="00CA18BD" w:rsidRDefault="00CA18BD" w:rsidP="00CA18BD">
      <w:pPr>
        <w:spacing w:before="120" w:after="120" w:line="240" w:lineRule="exact"/>
        <w:ind w:left="283" w:hanging="283"/>
        <w:jc w:val="both"/>
        <w:rPr>
          <w:rFonts w:ascii="FrankRuehl" w:hAnsi="FrankRuehl" w:cs="FrankRuehl"/>
          <w:rtl/>
        </w:rPr>
      </w:pPr>
    </w:p>
    <w:p w14:paraId="41C1884D" w14:textId="77777777" w:rsidR="00CA18BD" w:rsidRPr="00CA18BD" w:rsidRDefault="00CA18BD" w:rsidP="00CA18BD">
      <w:pPr>
        <w:spacing w:before="120" w:after="120" w:line="240" w:lineRule="exact"/>
        <w:ind w:left="283" w:hanging="283"/>
        <w:jc w:val="both"/>
        <w:rPr>
          <w:rFonts w:ascii="FrankRuehl" w:hAnsi="FrankRuehl" w:cs="FrankRuehl"/>
          <w:rtl/>
        </w:rPr>
      </w:pPr>
      <w:r w:rsidRPr="00CA18BD">
        <w:rPr>
          <w:rFonts w:ascii="FrankRuehl" w:hAnsi="FrankRuehl" w:cs="FrankRuehl"/>
          <w:rtl/>
        </w:rPr>
        <w:t xml:space="preserve">חקיקה שאוזכרה: </w:t>
      </w:r>
    </w:p>
    <w:p w14:paraId="3896C631" w14:textId="77777777" w:rsidR="00CA18BD" w:rsidRPr="00CA18BD" w:rsidRDefault="00CA18BD" w:rsidP="00CA18BD">
      <w:pPr>
        <w:spacing w:before="120" w:after="120" w:line="240" w:lineRule="exact"/>
        <w:ind w:left="283" w:hanging="283"/>
        <w:jc w:val="both"/>
        <w:rPr>
          <w:rFonts w:ascii="FrankRuehl" w:hAnsi="FrankRuehl" w:cs="FrankRuehl"/>
          <w:rtl/>
        </w:rPr>
      </w:pPr>
      <w:hyperlink r:id="rId7" w:history="1">
        <w:r w:rsidRPr="00CA18BD">
          <w:rPr>
            <w:rFonts w:ascii="FrankRuehl" w:hAnsi="FrankRuehl" w:cs="FrankRuehl"/>
            <w:color w:val="0000FF"/>
            <w:rtl/>
          </w:rPr>
          <w:t>חוק העונשין, תשל"ז-1977</w:t>
        </w:r>
      </w:hyperlink>
      <w:r w:rsidRPr="00CA18BD">
        <w:rPr>
          <w:rFonts w:ascii="FrankRuehl" w:hAnsi="FrankRuehl" w:cs="FrankRuehl"/>
          <w:rtl/>
        </w:rPr>
        <w:t xml:space="preserve">: סע'  </w:t>
      </w:r>
      <w:hyperlink r:id="rId8" w:history="1">
        <w:r w:rsidRPr="00CA18BD">
          <w:rPr>
            <w:rFonts w:ascii="FrankRuehl" w:hAnsi="FrankRuehl" w:cs="FrankRuehl"/>
            <w:color w:val="0000FF"/>
            <w:rtl/>
          </w:rPr>
          <w:t>29</w:t>
        </w:r>
      </w:hyperlink>
      <w:r w:rsidRPr="00CA18BD">
        <w:rPr>
          <w:rFonts w:ascii="FrankRuehl" w:hAnsi="FrankRuehl" w:cs="FrankRuehl"/>
          <w:rtl/>
        </w:rPr>
        <w:t xml:space="preserve">, </w:t>
      </w:r>
      <w:hyperlink r:id="rId9" w:history="1">
        <w:r w:rsidRPr="00CA18BD">
          <w:rPr>
            <w:rFonts w:ascii="FrankRuehl" w:hAnsi="FrankRuehl" w:cs="FrankRuehl"/>
            <w:color w:val="0000FF"/>
            <w:rtl/>
          </w:rPr>
          <w:t>144(ב)</w:t>
        </w:r>
      </w:hyperlink>
      <w:r w:rsidRPr="00CA18BD">
        <w:rPr>
          <w:rFonts w:ascii="FrankRuehl" w:hAnsi="FrankRuehl" w:cs="FrankRuehl"/>
          <w:rtl/>
        </w:rPr>
        <w:t xml:space="preserve">, </w:t>
      </w:r>
      <w:hyperlink r:id="rId10" w:history="1">
        <w:r w:rsidRPr="00CA18BD">
          <w:rPr>
            <w:rFonts w:ascii="FrankRuehl" w:hAnsi="FrankRuehl" w:cs="FrankRuehl"/>
            <w:color w:val="0000FF"/>
            <w:rtl/>
          </w:rPr>
          <w:t>244</w:t>
        </w:r>
      </w:hyperlink>
    </w:p>
    <w:p w14:paraId="0B3E25F0" w14:textId="77777777" w:rsidR="00CA18BD" w:rsidRPr="00CA18BD" w:rsidRDefault="00CA18BD" w:rsidP="00CA18BD">
      <w:pPr>
        <w:jc w:val="center"/>
        <w:rPr>
          <w:rFonts w:ascii="David" w:hAnsi="David"/>
          <w:sz w:val="32"/>
          <w:szCs w:val="32"/>
          <w:rtl/>
        </w:rPr>
      </w:pPr>
      <w:bookmarkStart w:id="4" w:name="LawTable_End"/>
      <w:bookmarkEnd w:id="4"/>
    </w:p>
    <w:p w14:paraId="6A421D62" w14:textId="77777777" w:rsidR="00DC233A" w:rsidRPr="00DC233A" w:rsidRDefault="00DC233A" w:rsidP="00DC233A">
      <w:pPr>
        <w:jc w:val="center"/>
        <w:rPr>
          <w:rFonts w:ascii="David" w:hAnsi="David"/>
          <w:sz w:val="32"/>
          <w:szCs w:val="32"/>
          <w:rtl/>
        </w:rPr>
      </w:pPr>
    </w:p>
    <w:p w14:paraId="056E3776" w14:textId="77777777" w:rsidR="00DC233A" w:rsidRPr="00FC37BD" w:rsidRDefault="00DC233A" w:rsidP="00FC37BD">
      <w:pPr>
        <w:jc w:val="center"/>
        <w:rPr>
          <w:rFonts w:ascii="David" w:hAnsi="David"/>
          <w:b/>
          <w:bCs/>
          <w:sz w:val="32"/>
          <w:szCs w:val="32"/>
          <w:u w:val="single"/>
          <w:rtl/>
        </w:rPr>
      </w:pPr>
      <w:bookmarkStart w:id="5" w:name="PsakDin"/>
      <w:r w:rsidRPr="00FC37BD">
        <w:rPr>
          <w:rFonts w:ascii="David" w:hAnsi="David"/>
          <w:b/>
          <w:bCs/>
          <w:sz w:val="32"/>
          <w:szCs w:val="32"/>
          <w:u w:val="single"/>
          <w:rtl/>
        </w:rPr>
        <w:t>גזר דין</w:t>
      </w:r>
    </w:p>
    <w:bookmarkEnd w:id="5"/>
    <w:p w14:paraId="70524AD5" w14:textId="77777777" w:rsidR="00DC233A" w:rsidRPr="00C874CD" w:rsidRDefault="00DC233A" w:rsidP="00C874CD">
      <w:pPr>
        <w:jc w:val="center"/>
        <w:rPr>
          <w:rFonts w:ascii="Arial" w:hAnsi="Arial" w:cs="FrankRuehl"/>
          <w:sz w:val="32"/>
          <w:szCs w:val="32"/>
          <w:u w:val="single"/>
          <w:rtl/>
        </w:rPr>
      </w:pPr>
      <w:r w:rsidRPr="00C874CD">
        <w:rPr>
          <w:rFonts w:ascii="David" w:hAnsi="David"/>
          <w:sz w:val="26"/>
          <w:szCs w:val="26"/>
          <w:u w:val="single"/>
          <w:rtl/>
        </w:rPr>
        <w:t>בעניין נאשם 1</w:t>
      </w:r>
    </w:p>
    <w:bookmarkEnd w:id="0"/>
    <w:p w14:paraId="200DCA96" w14:textId="77777777" w:rsidR="00C874CD" w:rsidRPr="00B05847" w:rsidRDefault="00C874CD" w:rsidP="00C874CD">
      <w:pPr>
        <w:rPr>
          <w:rFonts w:ascii="Arial" w:hAnsi="Arial"/>
          <w:rtl/>
        </w:rPr>
      </w:pPr>
    </w:p>
    <w:p w14:paraId="4C21A40C" w14:textId="77777777" w:rsidR="00C874CD" w:rsidRPr="00B05847" w:rsidRDefault="00C874CD" w:rsidP="00C874CD">
      <w:pPr>
        <w:rPr>
          <w:rFonts w:ascii="Arial" w:hAnsi="Arial"/>
          <w:rtl/>
        </w:rPr>
      </w:pPr>
    </w:p>
    <w:p w14:paraId="419F4C1B" w14:textId="77777777" w:rsidR="00C874CD" w:rsidRPr="00B05847" w:rsidRDefault="00C874CD" w:rsidP="00C874CD">
      <w:pPr>
        <w:spacing w:line="360" w:lineRule="auto"/>
        <w:rPr>
          <w:rtl/>
        </w:rPr>
      </w:pPr>
    </w:p>
    <w:p w14:paraId="1737894B" w14:textId="77777777" w:rsidR="00C874CD" w:rsidRDefault="00C874CD" w:rsidP="00C874CD">
      <w:pPr>
        <w:pStyle w:val="a9"/>
        <w:numPr>
          <w:ilvl w:val="0"/>
          <w:numId w:val="1"/>
        </w:numPr>
        <w:spacing w:line="360" w:lineRule="auto"/>
        <w:jc w:val="both"/>
      </w:pPr>
      <w:bookmarkStart w:id="6" w:name="ABSTRACT_START"/>
      <w:bookmarkEnd w:id="6"/>
      <w:r>
        <w:rPr>
          <w:rtl/>
        </w:rPr>
        <w:t xml:space="preserve">הנאשם </w:t>
      </w:r>
      <w:r>
        <w:rPr>
          <w:rFonts w:hint="cs"/>
          <w:rtl/>
        </w:rPr>
        <w:t xml:space="preserve">1 </w:t>
      </w:r>
      <w:r>
        <w:rPr>
          <w:rtl/>
        </w:rPr>
        <w:t>הורשע על פי הודאתו יחד עם נאשם</w:t>
      </w:r>
      <w:r>
        <w:rPr>
          <w:rFonts w:hint="cs"/>
          <w:rtl/>
        </w:rPr>
        <w:t xml:space="preserve"> 2, שגזר דינו ניתן ביום 5.8.20,</w:t>
      </w:r>
      <w:r>
        <w:rPr>
          <w:rtl/>
        </w:rPr>
        <w:t xml:space="preserve"> בעבירות נשק (נשיאה והובלת נשק אביזר ותחמושת) לפי </w:t>
      </w:r>
      <w:hyperlink r:id="rId11" w:history="1">
        <w:r w:rsidR="00DC233A" w:rsidRPr="00DC233A">
          <w:rPr>
            <w:rStyle w:val="Hyperlink"/>
            <w:rtl/>
          </w:rPr>
          <w:t>סעיף 144(ב)</w:t>
        </w:r>
      </w:hyperlink>
      <w:r>
        <w:rPr>
          <w:rtl/>
        </w:rPr>
        <w:t xml:space="preserve"> רישא וסיפא ל</w:t>
      </w:r>
      <w:hyperlink r:id="rId12" w:history="1">
        <w:r w:rsidR="00FC37BD" w:rsidRPr="00FC37BD">
          <w:rPr>
            <w:color w:val="0000FF"/>
            <w:u w:val="single"/>
            <w:rtl/>
          </w:rPr>
          <w:t>חוק העונשין</w:t>
        </w:r>
      </w:hyperlink>
      <w:r>
        <w:rPr>
          <w:rtl/>
        </w:rPr>
        <w:t xml:space="preserve"> ושיבוש מהלכי משפט לפי </w:t>
      </w:r>
      <w:hyperlink r:id="rId13" w:history="1">
        <w:r w:rsidR="00DC233A" w:rsidRPr="00DC233A">
          <w:rPr>
            <w:rStyle w:val="Hyperlink"/>
            <w:rtl/>
          </w:rPr>
          <w:t>סעיף 244</w:t>
        </w:r>
      </w:hyperlink>
      <w:r>
        <w:rPr>
          <w:rtl/>
        </w:rPr>
        <w:t xml:space="preserve"> + </w:t>
      </w:r>
      <w:hyperlink r:id="rId14" w:history="1">
        <w:r w:rsidR="00DC233A" w:rsidRPr="00DC233A">
          <w:rPr>
            <w:rStyle w:val="Hyperlink"/>
            <w:rtl/>
          </w:rPr>
          <w:t>29</w:t>
        </w:r>
      </w:hyperlink>
      <w:r>
        <w:rPr>
          <w:rtl/>
        </w:rPr>
        <w:t xml:space="preserve"> לחוק.</w:t>
      </w:r>
    </w:p>
    <w:p w14:paraId="489AC1C9" w14:textId="77777777" w:rsidR="00C874CD" w:rsidRDefault="00C874CD" w:rsidP="00C874CD">
      <w:pPr>
        <w:pStyle w:val="a9"/>
        <w:spacing w:line="360" w:lineRule="auto"/>
        <w:jc w:val="both"/>
      </w:pPr>
      <w:bookmarkStart w:id="7" w:name="ABSTRACT_END"/>
      <w:bookmarkEnd w:id="7"/>
    </w:p>
    <w:p w14:paraId="7409170E" w14:textId="77777777" w:rsidR="00C874CD" w:rsidRDefault="00C874CD" w:rsidP="00C874CD">
      <w:pPr>
        <w:pStyle w:val="a9"/>
        <w:numPr>
          <w:ilvl w:val="0"/>
          <w:numId w:val="1"/>
        </w:numPr>
        <w:spacing w:line="360" w:lineRule="auto"/>
        <w:jc w:val="both"/>
      </w:pPr>
      <w:r>
        <w:rPr>
          <w:rtl/>
        </w:rPr>
        <w:t xml:space="preserve">על פי האמור בכתב האישום המתוקן, ביום 21.2.20 </w:t>
      </w:r>
      <w:r>
        <w:rPr>
          <w:rFonts w:hint="cs"/>
          <w:rtl/>
        </w:rPr>
        <w:t xml:space="preserve">בשעה 13:30, כאשר נאשם </w:t>
      </w:r>
      <w:r>
        <w:rPr>
          <w:rtl/>
        </w:rPr>
        <w:t>2</w:t>
      </w:r>
      <w:r>
        <w:rPr>
          <w:rFonts w:hint="cs"/>
          <w:rtl/>
        </w:rPr>
        <w:t xml:space="preserve"> נהג</w:t>
      </w:r>
      <w:r>
        <w:rPr>
          <w:rtl/>
        </w:rPr>
        <w:t xml:space="preserve"> ברכבו מסוג מאזדה </w:t>
      </w:r>
      <w:r>
        <w:rPr>
          <w:rFonts w:hint="cs"/>
          <w:rtl/>
        </w:rPr>
        <w:t>כש</w:t>
      </w:r>
      <w:r>
        <w:rPr>
          <w:rtl/>
        </w:rPr>
        <w:t xml:space="preserve">נאשם 1 לידו </w:t>
      </w:r>
      <w:r>
        <w:rPr>
          <w:rFonts w:hint="cs"/>
          <w:rtl/>
        </w:rPr>
        <w:t xml:space="preserve">הנאשם 2 הוביל </w:t>
      </w:r>
      <w:r>
        <w:rPr>
          <w:rtl/>
        </w:rPr>
        <w:t xml:space="preserve">ברכב רובה מאולתר מסוג קרלו ובתוכו מחסנית ותחמושת. </w:t>
      </w:r>
      <w:r>
        <w:rPr>
          <w:rFonts w:hint="cs"/>
          <w:rtl/>
        </w:rPr>
        <w:t xml:space="preserve">הנאשמים נסעו מדיר חנא לסכנין </w:t>
      </w:r>
      <w:r>
        <w:rPr>
          <w:rtl/>
        </w:rPr>
        <w:t>והגיעו לביתו של פואד אבו ריא, חברו של נאשם 2, שם שה</w:t>
      </w:r>
      <w:r>
        <w:rPr>
          <w:rFonts w:hint="cs"/>
          <w:rtl/>
        </w:rPr>
        <w:t xml:space="preserve">ה </w:t>
      </w:r>
      <w:r>
        <w:rPr>
          <w:rtl/>
        </w:rPr>
        <w:t xml:space="preserve">פואד </w:t>
      </w:r>
      <w:r>
        <w:rPr>
          <w:rFonts w:hint="cs"/>
          <w:rtl/>
        </w:rPr>
        <w:t>ו</w:t>
      </w:r>
      <w:r>
        <w:rPr>
          <w:rtl/>
        </w:rPr>
        <w:t>אדם נוסף בשם אמיר זבידה.</w:t>
      </w:r>
    </w:p>
    <w:p w14:paraId="1BC66887" w14:textId="77777777" w:rsidR="00C874CD" w:rsidRDefault="00C874CD" w:rsidP="00C874CD">
      <w:pPr>
        <w:pStyle w:val="a9"/>
        <w:spacing w:line="360" w:lineRule="auto"/>
      </w:pPr>
    </w:p>
    <w:p w14:paraId="25A4C103" w14:textId="77777777" w:rsidR="00C874CD" w:rsidRDefault="00C874CD" w:rsidP="00C874CD">
      <w:pPr>
        <w:pStyle w:val="a9"/>
        <w:numPr>
          <w:ilvl w:val="0"/>
          <w:numId w:val="1"/>
        </w:numPr>
        <w:spacing w:line="360" w:lineRule="auto"/>
        <w:jc w:val="both"/>
        <w:rPr>
          <w:rtl/>
        </w:rPr>
      </w:pPr>
      <w:r>
        <w:rPr>
          <w:rFonts w:hint="cs"/>
          <w:rtl/>
        </w:rPr>
        <w:lastRenderedPageBreak/>
        <w:t>ב</w:t>
      </w:r>
      <w:r>
        <w:rPr>
          <w:rtl/>
        </w:rPr>
        <w:t>הגיעו לבית</w:t>
      </w:r>
      <w:r>
        <w:rPr>
          <w:rFonts w:hint="cs"/>
          <w:rtl/>
        </w:rPr>
        <w:t xml:space="preserve">ו של פואד </w:t>
      </w:r>
      <w:r>
        <w:rPr>
          <w:rtl/>
        </w:rPr>
        <w:t>הבחין הנאשם 2 באמיר יוצא מ</w:t>
      </w:r>
      <w:r>
        <w:rPr>
          <w:rFonts w:hint="cs"/>
          <w:rtl/>
        </w:rPr>
        <w:t>הב</w:t>
      </w:r>
      <w:r>
        <w:rPr>
          <w:rtl/>
        </w:rPr>
        <w:t>ית</w:t>
      </w:r>
      <w:r>
        <w:rPr>
          <w:rFonts w:hint="cs"/>
          <w:rtl/>
        </w:rPr>
        <w:t xml:space="preserve"> </w:t>
      </w:r>
      <w:r>
        <w:rPr>
          <w:rtl/>
        </w:rPr>
        <w:t xml:space="preserve">ונכנס לרכבו במטרה לעזוב את המקום, על רקע סכסוך </w:t>
      </w:r>
      <w:r>
        <w:rPr>
          <w:rFonts w:hint="cs"/>
          <w:rtl/>
        </w:rPr>
        <w:t>קודם בינו ל</w:t>
      </w:r>
      <w:r>
        <w:rPr>
          <w:rtl/>
        </w:rPr>
        <w:t>בין</w:t>
      </w:r>
      <w:r>
        <w:rPr>
          <w:rFonts w:hint="cs"/>
          <w:rtl/>
        </w:rPr>
        <w:t xml:space="preserve"> אמיר חסם נאשם 2 </w:t>
      </w:r>
      <w:r>
        <w:rPr>
          <w:rtl/>
        </w:rPr>
        <w:t xml:space="preserve">את אמיר ברכבו וירד מהרכב כשהוא נושא את הנשק והורה לאמיר לרדת מהרכב ולהיכנס לביתו של פואד. אמיר עשה כן מתוך פחד מהנאשם 2 ובין השניים התגלע ויכוח, כאשר פואד ואחרים ששהו בבית הפרידו ביניהם. בשלב זה נכנס נאשם 1 לבית וכעבור זמן קצר אחד הנוכחים נטל את הנשק, יצא מהבית וירה באמצעותו 3 כדורים ומיד לאחר מכן חזר לבית עם הנשק. </w:t>
      </w:r>
    </w:p>
    <w:p w14:paraId="3C8D4BE2" w14:textId="77777777" w:rsidR="00C874CD" w:rsidRDefault="00C874CD" w:rsidP="00C874CD">
      <w:pPr>
        <w:pStyle w:val="a9"/>
        <w:spacing w:line="360" w:lineRule="auto"/>
        <w:jc w:val="both"/>
      </w:pPr>
    </w:p>
    <w:p w14:paraId="13A4F4FF" w14:textId="77777777" w:rsidR="00C874CD" w:rsidRDefault="00C874CD" w:rsidP="00C874CD">
      <w:pPr>
        <w:pStyle w:val="a9"/>
        <w:spacing w:line="360" w:lineRule="auto"/>
        <w:jc w:val="both"/>
      </w:pPr>
      <w:r>
        <w:rPr>
          <w:rtl/>
        </w:rPr>
        <w:t xml:space="preserve">בהמשך, </w:t>
      </w:r>
      <w:r>
        <w:rPr>
          <w:rFonts w:hint="cs"/>
          <w:rtl/>
        </w:rPr>
        <w:t xml:space="preserve">כאשר </w:t>
      </w:r>
      <w:r>
        <w:rPr>
          <w:rtl/>
        </w:rPr>
        <w:t xml:space="preserve">הוזעקו כוחות משטרה למקום </w:t>
      </w:r>
      <w:r>
        <w:rPr>
          <w:rFonts w:hint="cs"/>
          <w:rtl/>
        </w:rPr>
        <w:t>והב</w:t>
      </w:r>
      <w:r>
        <w:rPr>
          <w:rtl/>
        </w:rPr>
        <w:t xml:space="preserve">חין בכך נאשם 2 </w:t>
      </w:r>
      <w:r>
        <w:rPr>
          <w:rFonts w:hint="cs"/>
          <w:rtl/>
        </w:rPr>
        <w:t xml:space="preserve">הוא </w:t>
      </w:r>
      <w:r>
        <w:rPr>
          <w:rtl/>
        </w:rPr>
        <w:t xml:space="preserve">הורה לנאשם 1 לברוח עם הנשק ולהעלים אותו. </w:t>
      </w:r>
      <w:r>
        <w:rPr>
          <w:rFonts w:hint="cs"/>
          <w:rtl/>
        </w:rPr>
        <w:t>הנאשם 1</w:t>
      </w:r>
      <w:r>
        <w:rPr>
          <w:rtl/>
        </w:rPr>
        <w:t xml:space="preserve"> נטל את ה</w:t>
      </w:r>
      <w:r>
        <w:rPr>
          <w:rFonts w:hint="cs"/>
          <w:rtl/>
        </w:rPr>
        <w:t xml:space="preserve">רובה </w:t>
      </w:r>
      <w:r>
        <w:rPr>
          <w:rtl/>
        </w:rPr>
        <w:t xml:space="preserve">יצא דרך החלון וזרק אותו מעל גדר לתוך שדה פתוח מאחורי הבית, וזאת בכוונה להעלים ראיות. </w:t>
      </w:r>
    </w:p>
    <w:p w14:paraId="3A579096" w14:textId="77777777" w:rsidR="00C874CD" w:rsidRPr="00B05847" w:rsidRDefault="00C874CD" w:rsidP="00C874CD">
      <w:pPr>
        <w:spacing w:line="360" w:lineRule="auto"/>
        <w:rPr>
          <w:rtl/>
        </w:rPr>
      </w:pPr>
    </w:p>
    <w:p w14:paraId="4C529BF0" w14:textId="77777777" w:rsidR="00C874CD" w:rsidRDefault="00C874CD" w:rsidP="00C874CD">
      <w:pPr>
        <w:spacing w:line="360" w:lineRule="auto"/>
        <w:rPr>
          <w:rtl/>
        </w:rPr>
      </w:pPr>
      <w:r>
        <w:rPr>
          <w:b/>
          <w:bCs/>
          <w:u w:val="single"/>
          <w:rtl/>
        </w:rPr>
        <w:t>טיעוני המדינה</w:t>
      </w:r>
      <w:r>
        <w:rPr>
          <w:rtl/>
        </w:rPr>
        <w:t>:</w:t>
      </w:r>
    </w:p>
    <w:p w14:paraId="1835310A" w14:textId="77777777" w:rsidR="00C874CD" w:rsidRDefault="00C874CD" w:rsidP="00C874CD">
      <w:pPr>
        <w:spacing w:line="360" w:lineRule="auto"/>
        <w:rPr>
          <w:rtl/>
        </w:rPr>
      </w:pPr>
    </w:p>
    <w:p w14:paraId="4BA700DC" w14:textId="77777777" w:rsidR="00C874CD" w:rsidRDefault="00C874CD" w:rsidP="00C874CD">
      <w:pPr>
        <w:pStyle w:val="a9"/>
        <w:numPr>
          <w:ilvl w:val="0"/>
          <w:numId w:val="1"/>
        </w:numPr>
        <w:spacing w:line="360" w:lineRule="auto"/>
        <w:jc w:val="both"/>
      </w:pPr>
      <w:r>
        <w:rPr>
          <w:rFonts w:hint="cs"/>
          <w:rtl/>
        </w:rPr>
        <w:t xml:space="preserve">צוין שהנאשם היה עצור בין 23.2.20 ל-7.4.20 ואז הוחלט על מעצרו בפיקוח אלקטרוני עד תום ההליכים. </w:t>
      </w:r>
    </w:p>
    <w:p w14:paraId="60D8C28C" w14:textId="77777777" w:rsidR="00C874CD" w:rsidRDefault="00C874CD" w:rsidP="00C874CD">
      <w:pPr>
        <w:pStyle w:val="a9"/>
        <w:spacing w:line="360" w:lineRule="auto"/>
        <w:jc w:val="both"/>
      </w:pPr>
    </w:p>
    <w:p w14:paraId="76AC71C3" w14:textId="77777777" w:rsidR="00C874CD" w:rsidRDefault="00C874CD" w:rsidP="00C874CD">
      <w:pPr>
        <w:pStyle w:val="a9"/>
        <w:numPr>
          <w:ilvl w:val="0"/>
          <w:numId w:val="1"/>
        </w:numPr>
        <w:spacing w:line="360" w:lineRule="auto"/>
        <w:jc w:val="both"/>
      </w:pPr>
      <w:r>
        <w:rPr>
          <w:rtl/>
        </w:rPr>
        <w:t xml:space="preserve">המדינה טענה </w:t>
      </w:r>
      <w:r>
        <w:rPr>
          <w:rFonts w:hint="cs"/>
          <w:rtl/>
        </w:rPr>
        <w:t>שעבירות אלימות רבות מתבצעות באמצעות נשק ואלמלא תופעת ההחזקה הבלתי חוקית בנשק לא היו העבירות האמורות מתבצעות.</w:t>
      </w:r>
    </w:p>
    <w:p w14:paraId="50953E2D" w14:textId="77777777" w:rsidR="00C874CD" w:rsidRDefault="00C874CD" w:rsidP="00C874CD">
      <w:pPr>
        <w:pStyle w:val="a9"/>
        <w:spacing w:line="360" w:lineRule="auto"/>
        <w:rPr>
          <w:rtl/>
        </w:rPr>
      </w:pPr>
    </w:p>
    <w:p w14:paraId="087F1367" w14:textId="77777777" w:rsidR="00C874CD" w:rsidRDefault="00C874CD" w:rsidP="00C874CD">
      <w:pPr>
        <w:pStyle w:val="a9"/>
        <w:numPr>
          <w:ilvl w:val="0"/>
          <w:numId w:val="1"/>
        </w:numPr>
        <w:spacing w:line="360" w:lineRule="auto"/>
        <w:jc w:val="both"/>
      </w:pPr>
      <w:r>
        <w:rPr>
          <w:rFonts w:hint="cs"/>
          <w:rtl/>
        </w:rPr>
        <w:t xml:space="preserve">אוזכרה פסיקה שהדגישה את </w:t>
      </w:r>
      <w:r>
        <w:rPr>
          <w:rtl/>
        </w:rPr>
        <w:t xml:space="preserve">פוטנציאל </w:t>
      </w:r>
      <w:r>
        <w:rPr>
          <w:rFonts w:hint="cs"/>
          <w:rtl/>
        </w:rPr>
        <w:t xml:space="preserve">הסיכון ההרסני </w:t>
      </w:r>
      <w:r>
        <w:rPr>
          <w:rtl/>
        </w:rPr>
        <w:t>הטמון ב</w:t>
      </w:r>
      <w:r>
        <w:rPr>
          <w:rFonts w:hint="cs"/>
          <w:rtl/>
        </w:rPr>
        <w:t xml:space="preserve">עבירות </w:t>
      </w:r>
      <w:r>
        <w:rPr>
          <w:rtl/>
        </w:rPr>
        <w:t xml:space="preserve">נשק </w:t>
      </w:r>
      <w:r>
        <w:rPr>
          <w:rFonts w:hint="cs"/>
          <w:rtl/>
        </w:rPr>
        <w:t>לא חוקי, לרבות החזקה נשיאה והובלה (</w:t>
      </w:r>
      <w:hyperlink r:id="rId15" w:history="1">
        <w:r w:rsidR="00FC37BD" w:rsidRPr="00FC37BD">
          <w:rPr>
            <w:color w:val="0000FF"/>
            <w:u w:val="single"/>
            <w:rtl/>
          </w:rPr>
          <w:t>ע"פ 4945/13</w:t>
        </w:r>
      </w:hyperlink>
      <w:r>
        <w:rPr>
          <w:rFonts w:hint="cs"/>
          <w:rtl/>
        </w:rPr>
        <w:t xml:space="preserve"> </w:t>
      </w:r>
      <w:r>
        <w:rPr>
          <w:rFonts w:hint="cs"/>
          <w:b/>
          <w:bCs/>
          <w:rtl/>
        </w:rPr>
        <w:t>מדינת ישראל נ' סלימאן</w:t>
      </w:r>
      <w:r>
        <w:rPr>
          <w:rFonts w:hint="cs"/>
          <w:rtl/>
        </w:rPr>
        <w:t xml:space="preserve"> (19.1.14)), ונטען שהחזקת הנשק הבלתי חוקי הפכה למכת מדינה של ממש (</w:t>
      </w:r>
      <w:hyperlink r:id="rId16" w:history="1">
        <w:r w:rsidR="00152767" w:rsidRPr="00152767">
          <w:rPr>
            <w:color w:val="0000FF"/>
            <w:u w:val="single"/>
            <w:rtl/>
          </w:rPr>
          <w:t xml:space="preserve">מ"ט (חי') 311-05-10 </w:t>
        </w:r>
      </w:hyperlink>
      <w:r>
        <w:rPr>
          <w:rFonts w:hint="cs"/>
          <w:rtl/>
        </w:rPr>
        <w:t xml:space="preserve"> </w:t>
      </w:r>
      <w:r>
        <w:rPr>
          <w:rFonts w:hint="cs"/>
          <w:b/>
          <w:bCs/>
          <w:rtl/>
        </w:rPr>
        <w:t>מדינת ישראל נ' קאזם היבי</w:t>
      </w:r>
      <w:r>
        <w:rPr>
          <w:rFonts w:hint="cs"/>
          <w:rtl/>
        </w:rPr>
        <w:t xml:space="preserve"> (27.5.10).</w:t>
      </w:r>
    </w:p>
    <w:p w14:paraId="0E17FBBC" w14:textId="77777777" w:rsidR="00C874CD" w:rsidRPr="00955F23" w:rsidRDefault="00C874CD" w:rsidP="00C874CD">
      <w:pPr>
        <w:pStyle w:val="a9"/>
        <w:spacing w:line="360" w:lineRule="auto"/>
        <w:rPr>
          <w:rtl/>
        </w:rPr>
      </w:pPr>
    </w:p>
    <w:p w14:paraId="4921204E" w14:textId="77777777" w:rsidR="00C874CD" w:rsidRDefault="00C874CD" w:rsidP="00C874CD">
      <w:pPr>
        <w:pStyle w:val="a9"/>
        <w:numPr>
          <w:ilvl w:val="0"/>
          <w:numId w:val="1"/>
        </w:numPr>
        <w:spacing w:line="360" w:lineRule="auto"/>
        <w:jc w:val="both"/>
      </w:pPr>
      <w:r>
        <w:rPr>
          <w:rFonts w:hint="cs"/>
          <w:rtl/>
        </w:rPr>
        <w:t xml:space="preserve">נטען שקשה לגלות עבירות של החזקת נשק בלתי חוקי ובעקבות כך הצורך להטיל ענישה מרתיעה כשאלה מתגלות. </w:t>
      </w:r>
    </w:p>
    <w:p w14:paraId="16E13558" w14:textId="77777777" w:rsidR="00C874CD" w:rsidRDefault="00C874CD" w:rsidP="00C874CD">
      <w:pPr>
        <w:pStyle w:val="a9"/>
        <w:spacing w:line="360" w:lineRule="auto"/>
        <w:rPr>
          <w:rtl/>
        </w:rPr>
      </w:pPr>
    </w:p>
    <w:p w14:paraId="58C81EC0" w14:textId="77777777" w:rsidR="00C874CD" w:rsidRDefault="00C874CD" w:rsidP="00C874CD">
      <w:pPr>
        <w:pStyle w:val="a9"/>
        <w:numPr>
          <w:ilvl w:val="0"/>
          <w:numId w:val="1"/>
        </w:numPr>
        <w:spacing w:line="360" w:lineRule="auto"/>
        <w:jc w:val="both"/>
      </w:pPr>
      <w:r>
        <w:rPr>
          <w:rFonts w:hint="cs"/>
          <w:rtl/>
        </w:rPr>
        <w:t xml:space="preserve">באשר לנסיבות הקשורות בביצוע העבירות נטען לתכנון מוקדם בכך שהנאשם נשא את הנשק והתחמושת על מנת לסייע לנאשם 2, ופעל בין היתר להעלימם. </w:t>
      </w:r>
    </w:p>
    <w:p w14:paraId="105084EB" w14:textId="77777777" w:rsidR="00C874CD" w:rsidRDefault="00C874CD" w:rsidP="00C874CD">
      <w:pPr>
        <w:pStyle w:val="a9"/>
        <w:spacing w:line="360" w:lineRule="auto"/>
        <w:rPr>
          <w:rtl/>
        </w:rPr>
      </w:pPr>
    </w:p>
    <w:p w14:paraId="7C07E4B0" w14:textId="77777777" w:rsidR="00C874CD" w:rsidRDefault="00C874CD" w:rsidP="00C874CD">
      <w:pPr>
        <w:pStyle w:val="a9"/>
        <w:numPr>
          <w:ilvl w:val="0"/>
          <w:numId w:val="1"/>
        </w:numPr>
        <w:spacing w:line="360" w:lineRule="auto"/>
        <w:jc w:val="both"/>
      </w:pPr>
      <w:r>
        <w:rPr>
          <w:rFonts w:hint="cs"/>
          <w:rtl/>
        </w:rPr>
        <w:t xml:space="preserve">ביחס לחלקו של נאשם 1 נטען שהוא נשמע להוראותיו של נאשם 2 בכל שלבי ביצוע העבירות. נטען שאומנם לא נעשה שימוש בנשק, אך צפוי היה להיגרם נזק אילו היה הנאשם עושה בנשק שימוש וצוין שמדובר בנשק התקפי. </w:t>
      </w:r>
    </w:p>
    <w:p w14:paraId="55DD326A" w14:textId="77777777" w:rsidR="00C874CD" w:rsidRDefault="00C874CD" w:rsidP="00C874CD">
      <w:pPr>
        <w:pStyle w:val="a9"/>
        <w:spacing w:line="360" w:lineRule="auto"/>
        <w:rPr>
          <w:rtl/>
        </w:rPr>
      </w:pPr>
    </w:p>
    <w:p w14:paraId="21E3FDBA" w14:textId="77777777" w:rsidR="00C874CD" w:rsidRDefault="00C874CD" w:rsidP="00C874CD">
      <w:pPr>
        <w:pStyle w:val="a9"/>
        <w:numPr>
          <w:ilvl w:val="0"/>
          <w:numId w:val="1"/>
        </w:numPr>
        <w:spacing w:line="360" w:lineRule="auto"/>
        <w:jc w:val="both"/>
      </w:pPr>
      <w:r>
        <w:rPr>
          <w:rFonts w:hint="cs"/>
          <w:rtl/>
        </w:rPr>
        <w:lastRenderedPageBreak/>
        <w:t xml:space="preserve">נטען שהסיבות להחזקת הנשק אינן ידועות, אך נטען שבין אם מדובר בשימוש או ברצון לסחור בו, בשני המקרים מדובר באפשרות חמורה שמהווה סיכון משמעותי לציבור. </w:t>
      </w:r>
    </w:p>
    <w:p w14:paraId="42898DA8" w14:textId="77777777" w:rsidR="00C874CD" w:rsidRDefault="00C874CD" w:rsidP="00C874CD">
      <w:pPr>
        <w:bidi w:val="0"/>
      </w:pPr>
      <w:r>
        <w:rPr>
          <w:rtl/>
        </w:rPr>
        <w:br w:type="page"/>
      </w:r>
    </w:p>
    <w:p w14:paraId="320C2BA4" w14:textId="77777777" w:rsidR="00C874CD" w:rsidRDefault="00C874CD" w:rsidP="00C874CD">
      <w:pPr>
        <w:spacing w:line="360" w:lineRule="auto"/>
        <w:rPr>
          <w:rtl/>
        </w:rPr>
      </w:pPr>
    </w:p>
    <w:p w14:paraId="17F3029B" w14:textId="77777777" w:rsidR="00C874CD" w:rsidRDefault="00C874CD" w:rsidP="00C874CD">
      <w:pPr>
        <w:pStyle w:val="a9"/>
        <w:numPr>
          <w:ilvl w:val="0"/>
          <w:numId w:val="1"/>
        </w:numPr>
        <w:spacing w:line="360" w:lineRule="auto"/>
        <w:rPr>
          <w:rtl/>
        </w:rPr>
      </w:pPr>
      <w:r>
        <w:rPr>
          <w:rtl/>
        </w:rPr>
        <w:t xml:space="preserve">מבחינת מדיניות הענישה </w:t>
      </w:r>
      <w:r>
        <w:rPr>
          <w:rFonts w:hint="cs"/>
          <w:rtl/>
        </w:rPr>
        <w:t>א</w:t>
      </w:r>
      <w:r>
        <w:rPr>
          <w:rtl/>
        </w:rPr>
        <w:t>וזכרו המקרים הבאים:</w:t>
      </w:r>
    </w:p>
    <w:p w14:paraId="60B7A77C" w14:textId="77777777" w:rsidR="00C874CD" w:rsidRDefault="00C874CD" w:rsidP="00C874CD">
      <w:pPr>
        <w:spacing w:line="360" w:lineRule="auto"/>
      </w:pPr>
    </w:p>
    <w:p w14:paraId="00A11C36" w14:textId="77777777" w:rsidR="00C874CD" w:rsidRDefault="00FC37BD" w:rsidP="00C874CD">
      <w:pPr>
        <w:pStyle w:val="a9"/>
        <w:numPr>
          <w:ilvl w:val="0"/>
          <w:numId w:val="2"/>
        </w:numPr>
        <w:spacing w:line="360" w:lineRule="auto"/>
        <w:jc w:val="both"/>
        <w:rPr>
          <w:rtl/>
        </w:rPr>
      </w:pPr>
      <w:hyperlink r:id="rId17" w:history="1">
        <w:r w:rsidRPr="00FC37BD">
          <w:rPr>
            <w:color w:val="0000FF"/>
            <w:u w:val="single"/>
            <w:rtl/>
          </w:rPr>
          <w:t>ע"פ 3877/16</w:t>
        </w:r>
      </w:hyperlink>
      <w:r w:rsidR="00C874CD">
        <w:rPr>
          <w:rtl/>
        </w:rPr>
        <w:t xml:space="preserve"> </w:t>
      </w:r>
      <w:r w:rsidR="00C874CD" w:rsidRPr="008E2358">
        <w:rPr>
          <w:b/>
          <w:bCs/>
          <w:rtl/>
        </w:rPr>
        <w:t>ג'באלי נ' מדינת ישראל</w:t>
      </w:r>
      <w:r w:rsidR="00C874CD">
        <w:rPr>
          <w:rFonts w:hint="cs"/>
          <w:rtl/>
        </w:rPr>
        <w:t xml:space="preserve"> (17.11.16)</w:t>
      </w:r>
      <w:r w:rsidR="00C874CD">
        <w:rPr>
          <w:rtl/>
        </w:rPr>
        <w:t>, שם הורשע הנאשם בביצוע עבירה של נשיאת נשק, כאשר נסע ברכב כשהוא נושא אקדח טעון על מנת להיפגש עם אחר ונתפס ע"י שוטרים. נקבע מתחם שבין 24 – 48 חודשי מאסר והוטלו 34 חודשי מאסר בפועל. ערעורו לבית המשפט העליון, נדחה.</w:t>
      </w:r>
    </w:p>
    <w:p w14:paraId="3FC40721" w14:textId="77777777" w:rsidR="00C874CD" w:rsidRDefault="00C874CD" w:rsidP="00C874CD">
      <w:pPr>
        <w:spacing w:line="360" w:lineRule="auto"/>
        <w:ind w:left="360"/>
        <w:jc w:val="both"/>
        <w:rPr>
          <w:rtl/>
        </w:rPr>
      </w:pPr>
    </w:p>
    <w:p w14:paraId="5E5249B7" w14:textId="77777777" w:rsidR="00C874CD" w:rsidRPr="008E2358" w:rsidRDefault="00FC37BD" w:rsidP="00C874CD">
      <w:pPr>
        <w:pStyle w:val="a9"/>
        <w:numPr>
          <w:ilvl w:val="0"/>
          <w:numId w:val="2"/>
        </w:numPr>
        <w:spacing w:line="360" w:lineRule="auto"/>
        <w:jc w:val="both"/>
        <w:rPr>
          <w:rFonts w:ascii="David" w:hAnsi="David"/>
          <w:rtl/>
        </w:rPr>
      </w:pPr>
      <w:hyperlink r:id="rId18" w:history="1">
        <w:r w:rsidRPr="00FC37BD">
          <w:rPr>
            <w:rFonts w:ascii="David" w:hAnsi="David"/>
            <w:color w:val="0000FF"/>
            <w:u w:val="single"/>
            <w:rtl/>
          </w:rPr>
          <w:t>ע"פ 9373/10</w:t>
        </w:r>
      </w:hyperlink>
      <w:r w:rsidR="00C874CD" w:rsidRPr="008E2358">
        <w:rPr>
          <w:rFonts w:ascii="David" w:hAnsi="David"/>
          <w:rtl/>
        </w:rPr>
        <w:t xml:space="preserve"> </w:t>
      </w:r>
      <w:r w:rsidR="00C874CD" w:rsidRPr="008E2358">
        <w:rPr>
          <w:rFonts w:ascii="David" w:hAnsi="David"/>
          <w:b/>
          <w:bCs/>
          <w:rtl/>
        </w:rPr>
        <w:t>חמד ותד נ' מדינת ישראל</w:t>
      </w:r>
      <w:r w:rsidR="00C874CD" w:rsidRPr="008E2358">
        <w:rPr>
          <w:rFonts w:ascii="David" w:hAnsi="David"/>
          <w:rtl/>
        </w:rPr>
        <w:t xml:space="preserve"> (14.9.11) הורשע  הנאשם על פי הודאתו בעבירות של החזקת ונשיאת נשק שהוא החזיק אקדח </w:t>
      </w:r>
      <w:r w:rsidR="00C874CD" w:rsidRPr="008E2358">
        <w:rPr>
          <w:rFonts w:ascii="David" w:hAnsi="David"/>
        </w:rPr>
        <w:t>FN</w:t>
      </w:r>
      <w:r w:rsidR="00C874CD" w:rsidRPr="008E2358">
        <w:rPr>
          <w:rFonts w:ascii="David" w:hAnsi="David"/>
          <w:rtl/>
        </w:rPr>
        <w:t xml:space="preserve"> בביתו מתחת למזרון יחד עם 63 כדורים שהוטמנו בחצר ביתו והוא אף נשא  את הנשק לפרקים. היה מדובר בנאשם בעל הרשעות קודמות. הוא נידון ל-50 חודשי מאסר בפועל שבערעור הופחתו ל-30 חודשי מאסר בפועל.</w:t>
      </w:r>
    </w:p>
    <w:p w14:paraId="15E2D6C9" w14:textId="77777777" w:rsidR="00C874CD" w:rsidRPr="008E2358" w:rsidRDefault="00C874CD" w:rsidP="00C874CD">
      <w:pPr>
        <w:spacing w:line="360" w:lineRule="auto"/>
        <w:ind w:left="720"/>
        <w:jc w:val="both"/>
        <w:rPr>
          <w:rFonts w:ascii="David" w:hAnsi="David"/>
          <w:rtl/>
        </w:rPr>
      </w:pPr>
    </w:p>
    <w:p w14:paraId="3A56A6AD" w14:textId="77777777" w:rsidR="00C874CD" w:rsidRPr="008E2358" w:rsidRDefault="00FC37BD" w:rsidP="00C874CD">
      <w:pPr>
        <w:pStyle w:val="a9"/>
        <w:numPr>
          <w:ilvl w:val="0"/>
          <w:numId w:val="2"/>
        </w:numPr>
        <w:spacing w:line="360" w:lineRule="auto"/>
        <w:jc w:val="both"/>
        <w:rPr>
          <w:rFonts w:ascii="David" w:hAnsi="David"/>
          <w:rtl/>
        </w:rPr>
      </w:pPr>
      <w:hyperlink r:id="rId19" w:history="1">
        <w:r w:rsidRPr="00FC37BD">
          <w:rPr>
            <w:rFonts w:ascii="David" w:hAnsi="David"/>
            <w:color w:val="0000FF"/>
            <w:u w:val="single"/>
            <w:rtl/>
          </w:rPr>
          <w:t>ע"פ 761/07</w:t>
        </w:r>
      </w:hyperlink>
      <w:r w:rsidR="00C874CD" w:rsidRPr="008E2358">
        <w:rPr>
          <w:rFonts w:ascii="David" w:hAnsi="David"/>
          <w:rtl/>
        </w:rPr>
        <w:t xml:space="preserve"> </w:t>
      </w:r>
      <w:r w:rsidR="00C874CD" w:rsidRPr="008E2358">
        <w:rPr>
          <w:rFonts w:ascii="David" w:hAnsi="David"/>
          <w:b/>
          <w:bCs/>
          <w:rtl/>
        </w:rPr>
        <w:t>מדינת ישראל נ' מיכאל אדרי</w:t>
      </w:r>
      <w:r w:rsidR="00C874CD" w:rsidRPr="008E2358">
        <w:rPr>
          <w:rFonts w:ascii="David" w:hAnsi="David"/>
          <w:rtl/>
        </w:rPr>
        <w:t xml:space="preserve"> (22.2.07); התקבל ערעור על קולת העונש שהושת על המשיב שהורשע בעבירה של החזקת נשק. הוטל עונש של שנתיים מאסר בפועל במקום שנת מאסר. </w:t>
      </w:r>
    </w:p>
    <w:p w14:paraId="29450388" w14:textId="77777777" w:rsidR="00C874CD" w:rsidRDefault="00C874CD" w:rsidP="00C874CD">
      <w:pPr>
        <w:spacing w:line="360" w:lineRule="auto"/>
        <w:ind w:left="360"/>
        <w:jc w:val="both"/>
        <w:rPr>
          <w:rtl/>
        </w:rPr>
      </w:pPr>
    </w:p>
    <w:p w14:paraId="57A53339" w14:textId="77777777" w:rsidR="00C874CD" w:rsidRDefault="00FC37BD" w:rsidP="00C874CD">
      <w:pPr>
        <w:pStyle w:val="a9"/>
        <w:numPr>
          <w:ilvl w:val="0"/>
          <w:numId w:val="2"/>
        </w:numPr>
        <w:spacing w:line="360" w:lineRule="auto"/>
        <w:jc w:val="both"/>
        <w:rPr>
          <w:rtl/>
        </w:rPr>
      </w:pPr>
      <w:hyperlink r:id="rId20" w:history="1">
        <w:r w:rsidRPr="00FC37BD">
          <w:rPr>
            <w:color w:val="0000FF"/>
            <w:u w:val="single"/>
            <w:rtl/>
          </w:rPr>
          <w:t>ע"פ 135/17</w:t>
        </w:r>
      </w:hyperlink>
      <w:r w:rsidR="00C874CD">
        <w:rPr>
          <w:rFonts w:hint="cs"/>
          <w:rtl/>
        </w:rPr>
        <w:t xml:space="preserve"> </w:t>
      </w:r>
      <w:r w:rsidR="00C874CD" w:rsidRPr="008E2358">
        <w:rPr>
          <w:rFonts w:hint="cs"/>
          <w:b/>
          <w:bCs/>
          <w:rtl/>
        </w:rPr>
        <w:t xml:space="preserve">מדינת ישראל נ' סמיר בסל </w:t>
      </w:r>
      <w:r w:rsidR="00C874CD">
        <w:rPr>
          <w:rFonts w:hint="cs"/>
          <w:rtl/>
        </w:rPr>
        <w:t>(8.3.17); התקבל ערעור על קולת העונש לגבי משיב שהורשע בעבירה של החזקת ונשיאת נשק והוטלו 18 חודשי מאסר בפועל במקום שנת מאסר.</w:t>
      </w:r>
    </w:p>
    <w:p w14:paraId="77AB0219" w14:textId="77777777" w:rsidR="00C874CD" w:rsidRDefault="00C874CD" w:rsidP="00C874CD">
      <w:pPr>
        <w:spacing w:line="360" w:lineRule="auto"/>
        <w:jc w:val="both"/>
        <w:rPr>
          <w:rtl/>
        </w:rPr>
      </w:pPr>
    </w:p>
    <w:p w14:paraId="767C649A" w14:textId="77777777" w:rsidR="00C874CD" w:rsidRPr="008E2358" w:rsidRDefault="00FC37BD" w:rsidP="00C874CD">
      <w:pPr>
        <w:pStyle w:val="a9"/>
        <w:numPr>
          <w:ilvl w:val="0"/>
          <w:numId w:val="2"/>
        </w:numPr>
        <w:spacing w:line="360" w:lineRule="auto"/>
        <w:jc w:val="both"/>
        <w:rPr>
          <w:rtl/>
        </w:rPr>
      </w:pPr>
      <w:hyperlink r:id="rId21" w:history="1">
        <w:r w:rsidRPr="00FC37BD">
          <w:rPr>
            <w:color w:val="0000FF"/>
            <w:u w:val="single"/>
            <w:rtl/>
          </w:rPr>
          <w:t>ת"פ 49416-04-18</w:t>
        </w:r>
      </w:hyperlink>
      <w:r w:rsidR="00C874CD">
        <w:rPr>
          <w:rFonts w:hint="cs"/>
          <w:rtl/>
        </w:rPr>
        <w:t xml:space="preserve"> </w:t>
      </w:r>
      <w:r w:rsidR="00C874CD" w:rsidRPr="008E2358">
        <w:rPr>
          <w:rFonts w:hint="cs"/>
          <w:b/>
          <w:bCs/>
          <w:rtl/>
        </w:rPr>
        <w:t xml:space="preserve">מדינת ישראל נ' אלקרינאוי </w:t>
      </w:r>
      <w:r w:rsidR="00C874CD">
        <w:rPr>
          <w:rFonts w:hint="cs"/>
          <w:rtl/>
        </w:rPr>
        <w:t xml:space="preserve">(22.11.18); שם הנאשם הורשע על פי הודאתו בעבירה של נשיאת נשק כאשר הוא נהג ברכב בשטחי הרשות הפלסטינית לכיוון ישראל והחזיק ברכבו תת מקלע מאולתר ומחסנית ריקה (וגם ידיעת נשיאה לנשק). נקבע מתחום ענישה שבין 18 ל-42 חודשי מאסר בפועל והוטלו 21 חודשי מאסר בפועל. </w:t>
      </w:r>
    </w:p>
    <w:p w14:paraId="1D2C5AF6" w14:textId="77777777" w:rsidR="00C874CD" w:rsidRDefault="00C874CD" w:rsidP="00C874CD">
      <w:pPr>
        <w:spacing w:line="360" w:lineRule="auto"/>
        <w:ind w:firstLine="360"/>
        <w:jc w:val="both"/>
        <w:rPr>
          <w:rtl/>
        </w:rPr>
      </w:pPr>
    </w:p>
    <w:p w14:paraId="49AA6250" w14:textId="77777777" w:rsidR="00C874CD" w:rsidRDefault="00C874CD" w:rsidP="00C874CD">
      <w:pPr>
        <w:pStyle w:val="a9"/>
        <w:numPr>
          <w:ilvl w:val="0"/>
          <w:numId w:val="1"/>
        </w:numPr>
        <w:spacing w:line="360" w:lineRule="auto"/>
        <w:jc w:val="both"/>
      </w:pPr>
      <w:r>
        <w:rPr>
          <w:rFonts w:hint="cs"/>
          <w:rtl/>
        </w:rPr>
        <w:t>באשר לנסיבות שאינן קשורות בביצוע העבירה צוין שהנאשם הודה בעובדות כתב האישום המתוקן לפני שנשמעו ראיות וחסך זמן שיפוטי רב, מצד שני נטען שהוא הבין את מעשיו והשלכותיהם, אינו קטין ואינו קרוב לשום סייג לאחריות פלילית ולא היה במצוקה נפשית.</w:t>
      </w:r>
    </w:p>
    <w:p w14:paraId="288A73D3" w14:textId="77777777" w:rsidR="00C874CD" w:rsidRPr="00955F23" w:rsidRDefault="00C874CD" w:rsidP="00C874CD">
      <w:pPr>
        <w:pStyle w:val="a9"/>
        <w:spacing w:line="360" w:lineRule="auto"/>
        <w:ind w:hanging="360"/>
        <w:jc w:val="both"/>
      </w:pPr>
    </w:p>
    <w:p w14:paraId="628A3A8B" w14:textId="77777777" w:rsidR="00C874CD" w:rsidRDefault="00C874CD" w:rsidP="00C874CD">
      <w:pPr>
        <w:pStyle w:val="a9"/>
        <w:numPr>
          <w:ilvl w:val="0"/>
          <w:numId w:val="1"/>
        </w:numPr>
        <w:spacing w:line="360" w:lineRule="auto"/>
        <w:jc w:val="both"/>
      </w:pPr>
      <w:r>
        <w:rPr>
          <w:rFonts w:hint="cs"/>
          <w:rtl/>
        </w:rPr>
        <w:t>נטען שאין לסטות ממתחם הענישה בשל שיקולי שיקום, כאשר אין הם חזות הכל (</w:t>
      </w:r>
      <w:hyperlink r:id="rId22" w:history="1">
        <w:r w:rsidR="00FC37BD" w:rsidRPr="00FC37BD">
          <w:rPr>
            <w:color w:val="0000FF"/>
            <w:u w:val="single"/>
            <w:rtl/>
          </w:rPr>
          <w:t>ע"פ 6720/16</w:t>
        </w:r>
      </w:hyperlink>
      <w:r>
        <w:rPr>
          <w:rFonts w:hint="cs"/>
          <w:rtl/>
        </w:rPr>
        <w:t xml:space="preserve"> </w:t>
      </w:r>
      <w:r>
        <w:rPr>
          <w:rFonts w:hint="cs"/>
          <w:b/>
          <w:bCs/>
          <w:rtl/>
        </w:rPr>
        <w:t>מדינת ישראל נ' פלוני</w:t>
      </w:r>
      <w:r>
        <w:rPr>
          <w:rFonts w:hint="cs"/>
          <w:rtl/>
        </w:rPr>
        <w:t xml:space="preserve"> (7.3.17)). </w:t>
      </w:r>
    </w:p>
    <w:p w14:paraId="6BF4DEFA" w14:textId="77777777" w:rsidR="00C874CD" w:rsidRDefault="00C874CD" w:rsidP="00C874CD">
      <w:pPr>
        <w:pStyle w:val="a9"/>
        <w:spacing w:line="360" w:lineRule="auto"/>
        <w:ind w:hanging="360"/>
        <w:rPr>
          <w:rtl/>
        </w:rPr>
      </w:pPr>
    </w:p>
    <w:p w14:paraId="2C1B2005" w14:textId="77777777" w:rsidR="00C874CD" w:rsidRDefault="00C874CD" w:rsidP="00C874CD">
      <w:pPr>
        <w:pStyle w:val="a9"/>
        <w:numPr>
          <w:ilvl w:val="0"/>
          <w:numId w:val="1"/>
        </w:numPr>
        <w:spacing w:line="360" w:lineRule="auto"/>
        <w:jc w:val="both"/>
      </w:pPr>
      <w:r>
        <w:rPr>
          <w:rFonts w:hint="cs"/>
          <w:rtl/>
        </w:rPr>
        <w:t>באשר לתסקיר נטען שאומנם הנאשם ביטא חרטה אך צוין שהוא נוקט עמדה קורבנית ומשליך את האחריות לביצוע העבירה על נאשם 2, שזרק לעברו את הנשק. נטען שמהתסקיר עולה שקיימת רמת סיכון להישנות התנהגות עוברת חוק וכי לא ניתנה ההמלצה טיפולית.</w:t>
      </w:r>
    </w:p>
    <w:p w14:paraId="27A83BC1" w14:textId="77777777" w:rsidR="00C874CD" w:rsidRDefault="00C874CD" w:rsidP="00C874CD">
      <w:pPr>
        <w:pStyle w:val="a9"/>
        <w:spacing w:line="360" w:lineRule="auto"/>
        <w:rPr>
          <w:rtl/>
        </w:rPr>
      </w:pPr>
    </w:p>
    <w:p w14:paraId="7C093014" w14:textId="77777777" w:rsidR="00C874CD" w:rsidRDefault="00C874CD" w:rsidP="00C874CD">
      <w:pPr>
        <w:pStyle w:val="a9"/>
        <w:numPr>
          <w:ilvl w:val="0"/>
          <w:numId w:val="1"/>
        </w:numPr>
        <w:spacing w:line="360" w:lineRule="auto"/>
        <w:jc w:val="both"/>
      </w:pPr>
      <w:r>
        <w:rPr>
          <w:rFonts w:hint="cs"/>
          <w:rtl/>
        </w:rPr>
        <w:t xml:space="preserve">המדינה טענה בסיכומו של עניין למתחם ענישה שבין 2 ל-5 שנות מאסר בפועל ובתוך המתחם נוכח האמור בתסקיר ובשל העדר עבר פלילי נטען שיש למקם את העונש בחלקו התחתון-בינוני של המתחם. בנוסף, עתרה המאשימה למאסר מותנה ארוך ולקנס כספי. </w:t>
      </w:r>
    </w:p>
    <w:p w14:paraId="07866EB9" w14:textId="77777777" w:rsidR="00C874CD" w:rsidRDefault="00C874CD" w:rsidP="00C874CD">
      <w:pPr>
        <w:pStyle w:val="a9"/>
        <w:spacing w:line="360" w:lineRule="auto"/>
        <w:rPr>
          <w:rtl/>
        </w:rPr>
      </w:pPr>
    </w:p>
    <w:p w14:paraId="4B5261A2" w14:textId="77777777" w:rsidR="00C874CD" w:rsidRDefault="00C874CD" w:rsidP="00C874CD">
      <w:pPr>
        <w:spacing w:line="360" w:lineRule="auto"/>
        <w:jc w:val="both"/>
        <w:rPr>
          <w:rtl/>
        </w:rPr>
      </w:pPr>
      <w:r>
        <w:rPr>
          <w:rFonts w:hint="cs"/>
          <w:b/>
          <w:bCs/>
          <w:u w:val="single"/>
          <w:rtl/>
        </w:rPr>
        <w:t>טיעוני הנאשם</w:t>
      </w:r>
      <w:r>
        <w:rPr>
          <w:rFonts w:hint="cs"/>
          <w:rtl/>
        </w:rPr>
        <w:t>:</w:t>
      </w:r>
    </w:p>
    <w:p w14:paraId="3278670F" w14:textId="77777777" w:rsidR="00C874CD" w:rsidRPr="00571A34" w:rsidRDefault="00C874CD" w:rsidP="00C874CD">
      <w:pPr>
        <w:spacing w:line="360" w:lineRule="auto"/>
        <w:jc w:val="both"/>
        <w:rPr>
          <w:rtl/>
        </w:rPr>
      </w:pPr>
    </w:p>
    <w:p w14:paraId="501670CE" w14:textId="77777777" w:rsidR="00C874CD" w:rsidRDefault="00C874CD" w:rsidP="00C874CD">
      <w:pPr>
        <w:pStyle w:val="a9"/>
        <w:numPr>
          <w:ilvl w:val="0"/>
          <w:numId w:val="1"/>
        </w:numPr>
        <w:spacing w:line="360" w:lineRule="auto"/>
        <w:jc w:val="both"/>
      </w:pPr>
      <w:r>
        <w:rPr>
          <w:rFonts w:hint="cs"/>
          <w:rtl/>
        </w:rPr>
        <w:t xml:space="preserve">הסנגור טען שהמדינה מקצינה את חלקו של הנאשם 1. נטען שבכתב האישום המקורי יוחסה לנאשם שותפות מלאה ביחס לכל חלקיו של האירוע ונטען שמדובר בעיקר בסכסוך בין נאשם 2 לבין אמיר כאשר הנאשם 2 נהג ברכב, אסף את הנאשם 1 ובאמצע הדרך הנאשם 2 הלך והביא תיק שיש בו נשק. אז הגיעו לבית, שם היה אמיר, התפתח עימות בין הנאשם 2 לאמיר ומישהו מבין הנוכחים ירה בנשק. נטען שעל פי כתב האישום המתוקן הנאשם 1 לא היה פעיל עד לשלב שהגיעה המשטרה ואז נאשם 2 זרק את הנשק לנאשם 1 והורה לו להחביאו. </w:t>
      </w:r>
    </w:p>
    <w:p w14:paraId="07F27E2F" w14:textId="77777777" w:rsidR="00C874CD" w:rsidRDefault="00C874CD" w:rsidP="00C874CD">
      <w:pPr>
        <w:spacing w:line="360" w:lineRule="auto"/>
        <w:jc w:val="both"/>
        <w:rPr>
          <w:rtl/>
        </w:rPr>
      </w:pPr>
    </w:p>
    <w:p w14:paraId="7CDF8166" w14:textId="77777777" w:rsidR="00C874CD" w:rsidRPr="00B05847" w:rsidRDefault="00C874CD" w:rsidP="00C874CD">
      <w:pPr>
        <w:pStyle w:val="a9"/>
        <w:numPr>
          <w:ilvl w:val="0"/>
          <w:numId w:val="1"/>
        </w:numPr>
        <w:spacing w:line="360" w:lineRule="auto"/>
        <w:jc w:val="both"/>
        <w:rPr>
          <w:rtl/>
        </w:rPr>
      </w:pPr>
      <w:r>
        <w:rPr>
          <w:rFonts w:hint="cs"/>
          <w:rtl/>
        </w:rPr>
        <w:t>נטען שכתב האישום המתוקן מייחס לנאשם 1 פעולות מעשיות מעטות.</w:t>
      </w:r>
      <w:r>
        <w:rPr>
          <w:rFonts w:hint="cs"/>
        </w:rPr>
        <w:t xml:space="preserve"> </w:t>
      </w:r>
      <w:r>
        <w:rPr>
          <w:rFonts w:hint="cs"/>
          <w:rtl/>
        </w:rPr>
        <w:t xml:space="preserve">למעשה רק בקשר לניסיון העלמת הנשק. </w:t>
      </w:r>
    </w:p>
    <w:p w14:paraId="25742C54" w14:textId="77777777" w:rsidR="00C874CD" w:rsidRPr="00B05847" w:rsidRDefault="00C874CD" w:rsidP="00C874CD">
      <w:pPr>
        <w:spacing w:line="360" w:lineRule="auto"/>
        <w:rPr>
          <w:rtl/>
        </w:rPr>
      </w:pPr>
    </w:p>
    <w:p w14:paraId="74D5592C" w14:textId="77777777" w:rsidR="00C874CD" w:rsidRDefault="00C874CD" w:rsidP="00C874CD">
      <w:pPr>
        <w:pStyle w:val="a9"/>
        <w:numPr>
          <w:ilvl w:val="0"/>
          <w:numId w:val="1"/>
        </w:numPr>
        <w:spacing w:line="360" w:lineRule="auto"/>
        <w:jc w:val="both"/>
      </w:pPr>
      <w:r>
        <w:rPr>
          <w:rFonts w:hint="cs"/>
          <w:rtl/>
        </w:rPr>
        <w:t>נטען שבהליכי המעצר נקבע שקיימת בעיה ראייתית ביחס למודעות לנאשם 1 להימצאות הנשק, ועל כן שוחרר למעצר באיזוק, בשונה מנאשם 2 שנותר עצור עד תום ההליכים.</w:t>
      </w:r>
    </w:p>
    <w:p w14:paraId="37CAD1D7" w14:textId="77777777" w:rsidR="00C874CD" w:rsidRDefault="00C874CD" w:rsidP="00C874CD">
      <w:pPr>
        <w:pStyle w:val="a9"/>
        <w:spacing w:line="360" w:lineRule="auto"/>
        <w:rPr>
          <w:rtl/>
        </w:rPr>
      </w:pPr>
    </w:p>
    <w:p w14:paraId="7AE0EB76" w14:textId="77777777" w:rsidR="00C874CD" w:rsidRDefault="00C874CD" w:rsidP="00C874CD">
      <w:pPr>
        <w:pStyle w:val="a9"/>
        <w:numPr>
          <w:ilvl w:val="0"/>
          <w:numId w:val="1"/>
        </w:numPr>
        <w:spacing w:line="360" w:lineRule="auto"/>
        <w:jc w:val="both"/>
      </w:pPr>
      <w:r>
        <w:rPr>
          <w:rFonts w:hint="cs"/>
          <w:rtl/>
        </w:rPr>
        <w:t xml:space="preserve">נטען שעוד בהליך המעצר הובעה דעה שחלקו של המשיב 1 נחות משמעותית מחלקו של נאשם 2 שהיה דומיננטי והוא המסוכסך עם צד ג'. </w:t>
      </w:r>
    </w:p>
    <w:p w14:paraId="21B5FD36" w14:textId="77777777" w:rsidR="00C874CD" w:rsidRDefault="00C874CD" w:rsidP="00C874CD">
      <w:pPr>
        <w:pStyle w:val="a9"/>
        <w:spacing w:line="360" w:lineRule="auto"/>
        <w:rPr>
          <w:rtl/>
        </w:rPr>
      </w:pPr>
    </w:p>
    <w:p w14:paraId="5DBFD775" w14:textId="77777777" w:rsidR="00C874CD" w:rsidRDefault="00C874CD" w:rsidP="00C874CD">
      <w:pPr>
        <w:pStyle w:val="a9"/>
        <w:numPr>
          <w:ilvl w:val="0"/>
          <w:numId w:val="1"/>
        </w:numPr>
        <w:spacing w:line="360" w:lineRule="auto"/>
        <w:jc w:val="both"/>
      </w:pPr>
      <w:r>
        <w:rPr>
          <w:rFonts w:hint="cs"/>
          <w:rtl/>
        </w:rPr>
        <w:t>נטען שאין להמעיט בחלקו של הנאשם 1 באירוע אך אין ספק שחלקו פחות מהרבה מחלקו של נאשם 2, ונטען שדברים אלה משתקפים מתוך כתב האישום המתוקן, כאשר צוין בסעיף 8 שהנאשם 2 נשא והוביל נשק ותחמושת בעוד שהנאשם 1 רק נשא נשק ותחמושת. נטען עוד שהנשיאה של הנאשם 1 הינה ברף הנמוך ומדובר בנשיאה רגעית, שעל גבול ההחזקה בלבד.</w:t>
      </w:r>
    </w:p>
    <w:p w14:paraId="23B9915A" w14:textId="77777777" w:rsidR="00C874CD" w:rsidRDefault="00C874CD" w:rsidP="00C874CD">
      <w:pPr>
        <w:pStyle w:val="a9"/>
        <w:spacing w:line="360" w:lineRule="auto"/>
        <w:rPr>
          <w:rtl/>
        </w:rPr>
      </w:pPr>
    </w:p>
    <w:p w14:paraId="2109E81D" w14:textId="77777777" w:rsidR="00C874CD" w:rsidRDefault="00C874CD" w:rsidP="00C874CD">
      <w:pPr>
        <w:pStyle w:val="a9"/>
        <w:numPr>
          <w:ilvl w:val="0"/>
          <w:numId w:val="1"/>
        </w:numPr>
        <w:spacing w:line="360" w:lineRule="auto"/>
        <w:jc w:val="both"/>
      </w:pPr>
      <w:r>
        <w:rPr>
          <w:rFonts w:hint="cs"/>
          <w:rtl/>
        </w:rPr>
        <w:t>נטען שהנאשם 1 הודה מתחילת הדרך ושיתף פעולה, ונטען שהסכמת המדינה לשינוי כתב האישום משקפת את הסכמתה שחלקו של נאשם 1 בביצוע העבירות תהיה פחות מחלקו של נאשם 1.</w:t>
      </w:r>
    </w:p>
    <w:p w14:paraId="141A5FC7" w14:textId="77777777" w:rsidR="00C874CD" w:rsidRDefault="00C874CD" w:rsidP="00C874CD">
      <w:pPr>
        <w:pStyle w:val="a9"/>
        <w:spacing w:line="360" w:lineRule="auto"/>
        <w:rPr>
          <w:rtl/>
        </w:rPr>
      </w:pPr>
    </w:p>
    <w:p w14:paraId="52D91475" w14:textId="77777777" w:rsidR="00C874CD" w:rsidRDefault="00C874CD" w:rsidP="00C874CD">
      <w:pPr>
        <w:pStyle w:val="a9"/>
        <w:numPr>
          <w:ilvl w:val="0"/>
          <w:numId w:val="1"/>
        </w:numPr>
        <w:spacing w:line="360" w:lineRule="auto"/>
        <w:jc w:val="both"/>
      </w:pPr>
      <w:r>
        <w:rPr>
          <w:rFonts w:hint="cs"/>
          <w:rtl/>
        </w:rPr>
        <w:t xml:space="preserve">נטען כמו כן שבגזר הדין של נאשם 2 נקבע שחלקו דומיננטי. </w:t>
      </w:r>
    </w:p>
    <w:p w14:paraId="6CF2AB10" w14:textId="77777777" w:rsidR="00C874CD" w:rsidRDefault="00C874CD" w:rsidP="00C874CD">
      <w:pPr>
        <w:pStyle w:val="a9"/>
        <w:spacing w:line="360" w:lineRule="auto"/>
        <w:rPr>
          <w:rtl/>
        </w:rPr>
      </w:pPr>
    </w:p>
    <w:p w14:paraId="3499677E" w14:textId="77777777" w:rsidR="00C874CD" w:rsidRDefault="00C874CD" w:rsidP="00C874CD">
      <w:pPr>
        <w:pStyle w:val="a9"/>
        <w:numPr>
          <w:ilvl w:val="0"/>
          <w:numId w:val="1"/>
        </w:numPr>
        <w:spacing w:line="360" w:lineRule="auto"/>
        <w:jc w:val="both"/>
      </w:pPr>
      <w:r>
        <w:rPr>
          <w:rFonts w:hint="cs"/>
          <w:rtl/>
        </w:rPr>
        <w:t xml:space="preserve"> ביחס לענישה בגין עבירות נשק, נטען שקיים מנעד רחב של ענישה ממאסרים לתקופות ארוכות ועד למאסרים קצרים. בעניין זה הזכיר הסנגור </w:t>
      </w:r>
      <w:hyperlink r:id="rId23" w:history="1">
        <w:r w:rsidR="00FC37BD" w:rsidRPr="00FC37BD">
          <w:rPr>
            <w:color w:val="0000FF"/>
            <w:u w:val="single"/>
            <w:rtl/>
          </w:rPr>
          <w:t>ת"פ 1211-10-19</w:t>
        </w:r>
      </w:hyperlink>
      <w:r>
        <w:rPr>
          <w:rFonts w:hint="cs"/>
          <w:rtl/>
        </w:rPr>
        <w:t xml:space="preserve"> </w:t>
      </w:r>
      <w:r>
        <w:rPr>
          <w:rFonts w:hint="cs"/>
          <w:b/>
          <w:bCs/>
          <w:rtl/>
        </w:rPr>
        <w:t>מדינת ישראל נ' חשאש</w:t>
      </w:r>
      <w:r>
        <w:rPr>
          <w:rFonts w:hint="cs"/>
          <w:rtl/>
        </w:rPr>
        <w:t xml:space="preserve"> (10.8.20), שם הוטלו על השותף הלא דומיננטי 14 חודשי מאסר בפועל ונטען שבמקרה דנן העונש צריך להיות עוד פחות מכך. </w:t>
      </w:r>
    </w:p>
    <w:p w14:paraId="7C242F27" w14:textId="77777777" w:rsidR="00C874CD" w:rsidRDefault="00C874CD" w:rsidP="00C874CD">
      <w:pPr>
        <w:pStyle w:val="a9"/>
        <w:spacing w:line="360" w:lineRule="auto"/>
        <w:rPr>
          <w:rtl/>
        </w:rPr>
      </w:pPr>
    </w:p>
    <w:p w14:paraId="1331D7F8" w14:textId="77777777" w:rsidR="00C874CD" w:rsidRDefault="00C874CD" w:rsidP="00C874CD">
      <w:pPr>
        <w:pStyle w:val="a9"/>
        <w:numPr>
          <w:ilvl w:val="0"/>
          <w:numId w:val="1"/>
        </w:numPr>
        <w:spacing w:line="360" w:lineRule="auto"/>
        <w:jc w:val="both"/>
      </w:pPr>
      <w:r>
        <w:rPr>
          <w:rFonts w:hint="cs"/>
          <w:rtl/>
        </w:rPr>
        <w:t xml:space="preserve">נטען למתחם ענישה שבין 12 ל-15 חודשי מאסר בפועל, כאשר  העונש המתאים צריך להיות ברף הנמוך. </w:t>
      </w:r>
    </w:p>
    <w:p w14:paraId="7A36EEAD" w14:textId="77777777" w:rsidR="00C874CD" w:rsidRDefault="00C874CD" w:rsidP="00C874CD">
      <w:pPr>
        <w:pStyle w:val="a9"/>
        <w:spacing w:line="360" w:lineRule="auto"/>
        <w:rPr>
          <w:rtl/>
        </w:rPr>
      </w:pPr>
    </w:p>
    <w:p w14:paraId="286F5BC9" w14:textId="77777777" w:rsidR="00C874CD" w:rsidRDefault="00C874CD" w:rsidP="00C874CD">
      <w:pPr>
        <w:pStyle w:val="a9"/>
        <w:numPr>
          <w:ilvl w:val="0"/>
          <w:numId w:val="1"/>
        </w:numPr>
        <w:spacing w:line="360" w:lineRule="auto"/>
        <w:jc w:val="both"/>
      </w:pPr>
      <w:r>
        <w:rPr>
          <w:rFonts w:hint="cs"/>
          <w:rtl/>
        </w:rPr>
        <w:t>הסנגור הסתמך על התסקיר שפירט את נסיבותיו האישיות של הנאשם שנאלץ לעזוב את לימודיו על מנת לעזור למשפחתו, והוא ללא הרשעות קודמות, ושירות המבחן התרשם באופן חיובי ממנו על אף שלא ניתנה המלצה טיפולית בסופו של דבר.</w:t>
      </w:r>
    </w:p>
    <w:p w14:paraId="5320E817" w14:textId="77777777" w:rsidR="00C874CD" w:rsidRDefault="00C874CD" w:rsidP="00C874CD">
      <w:pPr>
        <w:pStyle w:val="a9"/>
        <w:spacing w:line="360" w:lineRule="auto"/>
        <w:rPr>
          <w:rtl/>
        </w:rPr>
      </w:pPr>
    </w:p>
    <w:p w14:paraId="30748B6E" w14:textId="77777777" w:rsidR="00C874CD" w:rsidRDefault="00C874CD" w:rsidP="00C874CD">
      <w:pPr>
        <w:pStyle w:val="a9"/>
        <w:numPr>
          <w:ilvl w:val="0"/>
          <w:numId w:val="1"/>
        </w:numPr>
        <w:spacing w:line="360" w:lineRule="auto"/>
        <w:jc w:val="both"/>
      </w:pPr>
      <w:r>
        <w:rPr>
          <w:rFonts w:hint="cs"/>
          <w:rtl/>
        </w:rPr>
        <w:t xml:space="preserve">נטען שהשלכת האחריות במסגרת התסקיר מובנת בנסיבות המקרה ואף מתבקשת. </w:t>
      </w:r>
    </w:p>
    <w:p w14:paraId="0215C2F9" w14:textId="77777777" w:rsidR="00C874CD" w:rsidRDefault="00C874CD" w:rsidP="00C874CD">
      <w:pPr>
        <w:spacing w:line="360" w:lineRule="auto"/>
        <w:ind w:left="360"/>
        <w:jc w:val="both"/>
        <w:rPr>
          <w:rtl/>
        </w:rPr>
      </w:pPr>
    </w:p>
    <w:p w14:paraId="17E56CED" w14:textId="77777777" w:rsidR="00C874CD" w:rsidRDefault="00C874CD" w:rsidP="00C874CD">
      <w:pPr>
        <w:spacing w:line="360" w:lineRule="auto"/>
        <w:ind w:left="360" w:hanging="360"/>
        <w:jc w:val="both"/>
        <w:rPr>
          <w:rtl/>
        </w:rPr>
      </w:pPr>
      <w:r>
        <w:rPr>
          <w:rFonts w:hint="cs"/>
          <w:b/>
          <w:bCs/>
          <w:u w:val="single"/>
          <w:rtl/>
        </w:rPr>
        <w:t>הנאשם</w:t>
      </w:r>
      <w:r>
        <w:rPr>
          <w:rFonts w:hint="cs"/>
          <w:rtl/>
        </w:rPr>
        <w:t>:</w:t>
      </w:r>
    </w:p>
    <w:p w14:paraId="579088DB" w14:textId="77777777" w:rsidR="00C874CD" w:rsidRDefault="00C874CD" w:rsidP="00C874CD">
      <w:pPr>
        <w:spacing w:line="360" w:lineRule="auto"/>
        <w:ind w:left="360"/>
        <w:jc w:val="both"/>
        <w:rPr>
          <w:rtl/>
        </w:rPr>
      </w:pPr>
    </w:p>
    <w:p w14:paraId="5EDF1259" w14:textId="77777777" w:rsidR="00C874CD" w:rsidRDefault="00C874CD" w:rsidP="00C874CD">
      <w:pPr>
        <w:pStyle w:val="a9"/>
        <w:numPr>
          <w:ilvl w:val="0"/>
          <w:numId w:val="1"/>
        </w:numPr>
        <w:spacing w:line="360" w:lineRule="auto"/>
        <w:jc w:val="both"/>
      </w:pPr>
      <w:r>
        <w:rPr>
          <w:rFonts w:hint="cs"/>
          <w:rtl/>
        </w:rPr>
        <w:t xml:space="preserve">הנאשם אמר שטעה ושהוא מתחרט, ושלא יחזור בשנית על ביצוע העבירות ולא יתלווה לחברים שיסבכו אותו. </w:t>
      </w:r>
    </w:p>
    <w:p w14:paraId="2ECFC38A" w14:textId="77777777" w:rsidR="00C874CD" w:rsidRDefault="00C874CD" w:rsidP="00C874CD">
      <w:pPr>
        <w:spacing w:line="360" w:lineRule="auto"/>
        <w:jc w:val="both"/>
        <w:rPr>
          <w:rtl/>
        </w:rPr>
      </w:pPr>
    </w:p>
    <w:p w14:paraId="738D4B7D" w14:textId="77777777" w:rsidR="00C874CD" w:rsidRDefault="00C874CD" w:rsidP="00C874CD">
      <w:pPr>
        <w:spacing w:line="360" w:lineRule="auto"/>
        <w:jc w:val="both"/>
        <w:rPr>
          <w:rtl/>
        </w:rPr>
      </w:pPr>
      <w:r>
        <w:rPr>
          <w:rFonts w:hint="cs"/>
          <w:b/>
          <w:bCs/>
          <w:u w:val="single"/>
          <w:rtl/>
        </w:rPr>
        <w:t>תסקיר שירות המבחן</w:t>
      </w:r>
      <w:r>
        <w:rPr>
          <w:rFonts w:hint="cs"/>
          <w:rtl/>
        </w:rPr>
        <w:t>:</w:t>
      </w:r>
    </w:p>
    <w:p w14:paraId="0E95E9C2" w14:textId="77777777" w:rsidR="00C874CD" w:rsidRPr="00397B2C" w:rsidRDefault="00C874CD" w:rsidP="00C874CD">
      <w:pPr>
        <w:spacing w:line="360" w:lineRule="auto"/>
        <w:jc w:val="both"/>
        <w:rPr>
          <w:rtl/>
        </w:rPr>
      </w:pPr>
    </w:p>
    <w:p w14:paraId="283567F5" w14:textId="77777777" w:rsidR="00C874CD" w:rsidRDefault="00C874CD" w:rsidP="00C874CD">
      <w:pPr>
        <w:pStyle w:val="a9"/>
        <w:numPr>
          <w:ilvl w:val="0"/>
          <w:numId w:val="1"/>
        </w:numPr>
        <w:spacing w:line="360" w:lineRule="auto"/>
        <w:jc w:val="both"/>
      </w:pPr>
      <w:r>
        <w:rPr>
          <w:rFonts w:hint="cs"/>
          <w:rtl/>
        </w:rPr>
        <w:t xml:space="preserve">בתסקיר המבחן פורט שמדובר בנאשם בן 26, רווק נמצא במעצר באיזוק בבית הוריו. הוא עזב את לימודיו לאחר שנה בתיכון בעקבות מצב כלכלי קשה במשפחתו, ובהמשך עבד בעבודות כפיים. </w:t>
      </w:r>
    </w:p>
    <w:p w14:paraId="23E1E97D" w14:textId="77777777" w:rsidR="00C874CD" w:rsidRDefault="00C874CD" w:rsidP="00C874CD">
      <w:pPr>
        <w:spacing w:line="360" w:lineRule="auto"/>
        <w:jc w:val="both"/>
        <w:rPr>
          <w:rtl/>
        </w:rPr>
      </w:pPr>
    </w:p>
    <w:p w14:paraId="2CC71ED4" w14:textId="77777777" w:rsidR="00C874CD" w:rsidRDefault="00C874CD" w:rsidP="00C874CD">
      <w:pPr>
        <w:pStyle w:val="a9"/>
        <w:numPr>
          <w:ilvl w:val="0"/>
          <w:numId w:val="1"/>
        </w:numPr>
        <w:spacing w:line="360" w:lineRule="auto"/>
        <w:jc w:val="both"/>
      </w:pPr>
      <w:r>
        <w:rPr>
          <w:rFonts w:hint="cs"/>
          <w:rtl/>
        </w:rPr>
        <w:t>תואר שהוא ללא עבירות קודמות. שירות המבחן התרשם שמדובר בגבר צעיר בעל כוחות ויכולות תקינים לניהול אורח חיים ללא דפוסים אנטי סוציאליים מושרשים. כיוון שהנאשם לא גילה יכולת להתגונן בכשליו ולא לקח אחריות מלאה (לתפישת שירות המבחן) הוערך סיכון גבוה להישנות התנהגות עוברת חוק ולא ניתנה המלצה טיפולית.</w:t>
      </w:r>
    </w:p>
    <w:p w14:paraId="6DF66A41" w14:textId="77777777" w:rsidR="00C874CD" w:rsidRDefault="00C874CD" w:rsidP="00C874CD">
      <w:pPr>
        <w:pStyle w:val="a9"/>
        <w:rPr>
          <w:rtl/>
        </w:rPr>
      </w:pPr>
    </w:p>
    <w:p w14:paraId="21572525" w14:textId="77777777" w:rsidR="00C874CD" w:rsidRDefault="00C874CD" w:rsidP="00C874CD">
      <w:pPr>
        <w:spacing w:line="360" w:lineRule="auto"/>
        <w:jc w:val="both"/>
        <w:rPr>
          <w:rtl/>
        </w:rPr>
      </w:pPr>
      <w:r>
        <w:rPr>
          <w:rFonts w:hint="cs"/>
          <w:b/>
          <w:bCs/>
          <w:u w:val="single"/>
          <w:rtl/>
        </w:rPr>
        <w:t>דיון</w:t>
      </w:r>
      <w:r>
        <w:rPr>
          <w:rFonts w:hint="cs"/>
          <w:rtl/>
        </w:rPr>
        <w:t>:</w:t>
      </w:r>
    </w:p>
    <w:p w14:paraId="2738B4B7" w14:textId="77777777" w:rsidR="00C874CD" w:rsidRDefault="00C874CD" w:rsidP="00C874CD">
      <w:pPr>
        <w:spacing w:line="360" w:lineRule="auto"/>
        <w:jc w:val="both"/>
        <w:rPr>
          <w:rtl/>
        </w:rPr>
      </w:pPr>
    </w:p>
    <w:p w14:paraId="457993C4" w14:textId="77777777" w:rsidR="00C874CD" w:rsidRDefault="00C874CD" w:rsidP="00C874CD">
      <w:pPr>
        <w:pStyle w:val="a9"/>
        <w:numPr>
          <w:ilvl w:val="0"/>
          <w:numId w:val="1"/>
        </w:numPr>
        <w:spacing w:line="360" w:lineRule="auto"/>
        <w:jc w:val="both"/>
      </w:pPr>
      <w:r>
        <w:rPr>
          <w:rFonts w:hint="cs"/>
          <w:rtl/>
        </w:rPr>
        <w:t>הערכים המוגנים שנפגעו היו ההגנה על שלום הציבור ושלמות גופו. מידת הפגיעה הייתה יחסית משמעותית, כיוון שמדובר בעבירות נשק.</w:t>
      </w:r>
    </w:p>
    <w:p w14:paraId="6426A463" w14:textId="77777777" w:rsidR="00C874CD" w:rsidRDefault="00C874CD" w:rsidP="00C874CD">
      <w:pPr>
        <w:pStyle w:val="a9"/>
        <w:spacing w:line="360" w:lineRule="auto"/>
        <w:jc w:val="both"/>
      </w:pPr>
    </w:p>
    <w:p w14:paraId="397D502B" w14:textId="77777777" w:rsidR="00C874CD" w:rsidRDefault="00C874CD" w:rsidP="00C874CD">
      <w:pPr>
        <w:pStyle w:val="a9"/>
        <w:numPr>
          <w:ilvl w:val="0"/>
          <w:numId w:val="1"/>
        </w:numPr>
        <w:spacing w:line="360" w:lineRule="auto"/>
        <w:jc w:val="both"/>
      </w:pPr>
      <w:r>
        <w:rPr>
          <w:rFonts w:hint="cs"/>
          <w:rtl/>
        </w:rPr>
        <w:t>אין זה ברור שנאשם 1 היה שותף לתכנון מוקדם, כאשר נאשם 2 היה זה שהוביל את המהלכים, כפי שצוין בגזר דינו של נאשם 2, תפקידו של נאשם 1 היה פחות באופן משמעותי מזה של נאשם 2, כפי שהדברים גם עולים מכתב האישום המתוקן. עם זאת הנאשם היה צריך לדעת מבעוד מועד את הפסול במעשיו ולהימנע מהם.</w:t>
      </w:r>
    </w:p>
    <w:p w14:paraId="1779522C" w14:textId="77777777" w:rsidR="00C874CD" w:rsidRPr="00955F23" w:rsidRDefault="00C874CD" w:rsidP="00C874CD">
      <w:pPr>
        <w:spacing w:line="360" w:lineRule="auto"/>
        <w:jc w:val="both"/>
        <w:rPr>
          <w:rtl/>
        </w:rPr>
      </w:pPr>
    </w:p>
    <w:p w14:paraId="24521F94" w14:textId="77777777" w:rsidR="00C874CD" w:rsidRDefault="00C874CD" w:rsidP="00C874CD">
      <w:pPr>
        <w:pStyle w:val="a9"/>
        <w:numPr>
          <w:ilvl w:val="0"/>
          <w:numId w:val="1"/>
        </w:numPr>
        <w:spacing w:line="360" w:lineRule="auto"/>
        <w:jc w:val="both"/>
      </w:pPr>
      <w:r>
        <w:rPr>
          <w:rFonts w:hint="cs"/>
          <w:rtl/>
        </w:rPr>
        <w:t xml:space="preserve">כפי שנקבע בעניינו של נאשם 2 מתחם הענישה הוא בין 2- עד 5 שנות מאסר. במקרה דנן יש מקום לקבוע מתחם ענישה שבין 12 חודשים עד 36 חודשי מאסר בפועל. באשר לעונש בתוך המתחם, יצוין לזכותו של הנאשם שהוא הודה בביצוע העבירות לאחר תיקון כתב האישום והוא ללא עבר פלילי קודם. כמו כן בכל הקשור להערות השליליות בנוגע לקבלת אחריות מלאה שצוינו בתסקיר, הנני מקבל את עמדת הסנגור ונראה שהמסקנה נובעת מהנסיבות הספציפיות של פעילותו של נאשם 1 במסגרת כתב האישום ולא מתוך ניסיון להתחמק מהאחריות ואין מקום להחמיר איתו. </w:t>
      </w:r>
    </w:p>
    <w:p w14:paraId="7D923014" w14:textId="77777777" w:rsidR="00C874CD" w:rsidRPr="00955F23" w:rsidRDefault="00C874CD" w:rsidP="00C874CD">
      <w:pPr>
        <w:pStyle w:val="a9"/>
        <w:rPr>
          <w:rtl/>
        </w:rPr>
      </w:pPr>
    </w:p>
    <w:p w14:paraId="6C4B5BC2" w14:textId="77777777" w:rsidR="00C874CD" w:rsidRDefault="00C874CD" w:rsidP="00C874CD">
      <w:pPr>
        <w:pStyle w:val="a9"/>
        <w:numPr>
          <w:ilvl w:val="0"/>
          <w:numId w:val="1"/>
        </w:numPr>
        <w:spacing w:line="360" w:lineRule="auto"/>
        <w:jc w:val="both"/>
      </w:pPr>
      <w:r>
        <w:rPr>
          <w:rFonts w:hint="cs"/>
          <w:rtl/>
        </w:rPr>
        <w:t>אשר על כן, אני מטיל ענישה כדלקמן:</w:t>
      </w:r>
    </w:p>
    <w:p w14:paraId="220C2248" w14:textId="77777777" w:rsidR="00C874CD" w:rsidRDefault="00C874CD" w:rsidP="00C874CD">
      <w:pPr>
        <w:pStyle w:val="a9"/>
        <w:rPr>
          <w:rtl/>
        </w:rPr>
      </w:pPr>
    </w:p>
    <w:p w14:paraId="468BE0EC" w14:textId="77777777" w:rsidR="00C874CD" w:rsidRDefault="00C874CD" w:rsidP="00C874CD">
      <w:pPr>
        <w:pStyle w:val="a9"/>
        <w:numPr>
          <w:ilvl w:val="0"/>
          <w:numId w:val="2"/>
        </w:numPr>
        <w:spacing w:line="360" w:lineRule="auto"/>
        <w:jc w:val="both"/>
      </w:pPr>
      <w:r>
        <w:rPr>
          <w:rFonts w:hint="cs"/>
          <w:rtl/>
        </w:rPr>
        <w:t>14 חודשי מאסר בפועל, כאשר תנוכה תקופת המעצר שבין 23.2.20 ל-4.7.20. יצוין עוד שבפסיקת העונש התחשבתי בתקופת המאסר באיזוק אלקטרוני. הנאשם יתחיל לרצות את עונשו ביום 3.12.20 עד השעה 12:00.</w:t>
      </w:r>
    </w:p>
    <w:p w14:paraId="7F40A37C" w14:textId="77777777" w:rsidR="00C874CD" w:rsidRDefault="00C874CD" w:rsidP="00C874CD">
      <w:pPr>
        <w:pStyle w:val="a9"/>
        <w:numPr>
          <w:ilvl w:val="0"/>
          <w:numId w:val="2"/>
        </w:numPr>
        <w:spacing w:line="360" w:lineRule="auto"/>
        <w:jc w:val="both"/>
      </w:pPr>
      <w:r>
        <w:rPr>
          <w:rFonts w:hint="cs"/>
          <w:rtl/>
        </w:rPr>
        <w:t xml:space="preserve">9 חודשי מאסר על תנאי למשך 3 שנים ממועד שחרורו שיופעלו במידה והנאשם יבצע עבירות אלימות מסוג פשע. </w:t>
      </w:r>
    </w:p>
    <w:p w14:paraId="6DCCBF82" w14:textId="77777777" w:rsidR="00C874CD" w:rsidRDefault="00C874CD" w:rsidP="00C874CD">
      <w:pPr>
        <w:pStyle w:val="a9"/>
        <w:numPr>
          <w:ilvl w:val="0"/>
          <w:numId w:val="2"/>
        </w:numPr>
        <w:spacing w:line="360" w:lineRule="auto"/>
        <w:jc w:val="both"/>
      </w:pPr>
      <w:r>
        <w:rPr>
          <w:rFonts w:hint="cs"/>
          <w:rtl/>
        </w:rPr>
        <w:t xml:space="preserve">בעקבות תיאור מצב משפחתו של הנאשם, החלטתי שלא להטיל קנס. </w:t>
      </w:r>
    </w:p>
    <w:p w14:paraId="62DBDAFB" w14:textId="77777777" w:rsidR="00C874CD" w:rsidRDefault="00C874CD" w:rsidP="00C874CD">
      <w:pPr>
        <w:pStyle w:val="a9"/>
        <w:spacing w:line="360" w:lineRule="auto"/>
        <w:ind w:left="1080"/>
        <w:jc w:val="both"/>
        <w:rPr>
          <w:rtl/>
        </w:rPr>
      </w:pPr>
    </w:p>
    <w:p w14:paraId="276CB9A9" w14:textId="77777777" w:rsidR="00C874CD" w:rsidRPr="00EF31C5" w:rsidRDefault="00C874CD" w:rsidP="00C874CD">
      <w:pPr>
        <w:pStyle w:val="a9"/>
        <w:spacing w:line="360" w:lineRule="auto"/>
        <w:ind w:left="1080"/>
        <w:jc w:val="both"/>
        <w:rPr>
          <w:rtl/>
        </w:rPr>
      </w:pPr>
      <w:r>
        <w:rPr>
          <w:rFonts w:hint="cs"/>
          <w:b/>
          <w:bCs/>
          <w:u w:val="single"/>
          <w:rtl/>
        </w:rPr>
        <w:t>זכות ערעור תוך 45 יום הודעה לנאשם</w:t>
      </w:r>
    </w:p>
    <w:p w14:paraId="111B4025" w14:textId="77777777" w:rsidR="00C874CD" w:rsidRDefault="00C874CD" w:rsidP="00C874CD">
      <w:pPr>
        <w:spacing w:line="360" w:lineRule="auto"/>
        <w:jc w:val="both"/>
        <w:rPr>
          <w:rtl/>
        </w:rPr>
      </w:pPr>
    </w:p>
    <w:p w14:paraId="5D78844F" w14:textId="77777777" w:rsidR="00C874CD" w:rsidRPr="00D64771" w:rsidRDefault="00C874CD" w:rsidP="00C874CD">
      <w:pPr>
        <w:spacing w:line="360" w:lineRule="auto"/>
        <w:jc w:val="both"/>
        <w:rPr>
          <w:rtl/>
        </w:rPr>
      </w:pPr>
    </w:p>
    <w:p w14:paraId="7378C5BB" w14:textId="77777777" w:rsidR="00C874CD" w:rsidRPr="00FC37BD" w:rsidRDefault="00FC37BD" w:rsidP="00C874CD">
      <w:pPr>
        <w:spacing w:line="360" w:lineRule="auto"/>
        <w:rPr>
          <w:color w:val="FFFFFF"/>
          <w:sz w:val="2"/>
          <w:szCs w:val="2"/>
          <w:rtl/>
        </w:rPr>
      </w:pPr>
      <w:r w:rsidRPr="00FC37BD">
        <w:rPr>
          <w:color w:val="FFFFFF"/>
          <w:sz w:val="2"/>
          <w:szCs w:val="2"/>
          <w:rtl/>
        </w:rPr>
        <w:t>5129371</w:t>
      </w:r>
    </w:p>
    <w:p w14:paraId="7B467A83" w14:textId="77777777" w:rsidR="00C874CD" w:rsidRDefault="00FC37BD" w:rsidP="00C874CD">
      <w:pPr>
        <w:rPr>
          <w:rFonts w:cs="FrankRuehl"/>
          <w:sz w:val="28"/>
          <w:szCs w:val="28"/>
          <w:rtl/>
        </w:rPr>
      </w:pPr>
      <w:bookmarkStart w:id="8" w:name="Nitan"/>
      <w:r w:rsidRPr="00FC37BD">
        <w:rPr>
          <w:rFonts w:ascii="Arial" w:hAnsi="Arial"/>
          <w:color w:val="FFFFFF"/>
          <w:sz w:val="2"/>
          <w:szCs w:val="2"/>
          <w:rtl/>
        </w:rPr>
        <w:t>54678313</w:t>
      </w:r>
      <w:r>
        <w:rPr>
          <w:rFonts w:ascii="Arial" w:hAnsi="Arial"/>
          <w:rtl/>
        </w:rPr>
        <w:t xml:space="preserve">ניתן היום,  י' כסלו תשפ"א, 26 נובמבר 2020, במעמד הצדדים. </w:t>
      </w:r>
      <w:bookmarkEnd w:id="8"/>
    </w:p>
    <w:p w14:paraId="59D6DCDD" w14:textId="77777777" w:rsidR="00C874CD" w:rsidRDefault="00C874CD" w:rsidP="00FC37B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2E3EC12" w14:textId="77777777" w:rsidR="00C874CD" w:rsidRDefault="00C874CD" w:rsidP="00C874CD">
      <w:pPr>
        <w:jc w:val="center"/>
        <w:rPr>
          <w:rFonts w:ascii="Arial" w:hAnsi="Arial" w:cs="FrankRuehl"/>
          <w:sz w:val="28"/>
          <w:szCs w:val="28"/>
          <w:rtl/>
        </w:rPr>
      </w:pPr>
    </w:p>
    <w:p w14:paraId="1CE42397" w14:textId="77777777" w:rsidR="00FC37BD" w:rsidRDefault="00FC37BD" w:rsidP="00FC37BD">
      <w:pPr>
        <w:rPr>
          <w:rtl/>
        </w:rPr>
      </w:pPr>
    </w:p>
    <w:p w14:paraId="77362268" w14:textId="77777777" w:rsidR="00FC37BD" w:rsidRDefault="00FC37BD" w:rsidP="00FC37BD">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72D2E5B7" w14:textId="77777777" w:rsidR="00DC233A" w:rsidRPr="00DC233A" w:rsidRDefault="00DC233A" w:rsidP="00DC233A">
      <w:pPr>
        <w:keepNext/>
        <w:rPr>
          <w:rFonts w:ascii="David" w:hAnsi="David"/>
          <w:color w:val="000000"/>
          <w:sz w:val="22"/>
          <w:szCs w:val="22"/>
          <w:rtl/>
        </w:rPr>
      </w:pPr>
    </w:p>
    <w:p w14:paraId="1FC39A17" w14:textId="77777777" w:rsidR="00DC233A" w:rsidRPr="00DC233A" w:rsidRDefault="00DC233A" w:rsidP="00DC233A">
      <w:pPr>
        <w:keepNext/>
        <w:rPr>
          <w:rFonts w:ascii="David" w:hAnsi="David"/>
          <w:color w:val="000000"/>
          <w:sz w:val="22"/>
          <w:szCs w:val="22"/>
          <w:rtl/>
        </w:rPr>
      </w:pPr>
      <w:r w:rsidRPr="00DC233A">
        <w:rPr>
          <w:rFonts w:ascii="David" w:hAnsi="David"/>
          <w:color w:val="000000"/>
          <w:sz w:val="22"/>
          <w:szCs w:val="22"/>
          <w:rtl/>
        </w:rPr>
        <w:t>דניאל פיש 54678313-/</w:t>
      </w:r>
    </w:p>
    <w:p w14:paraId="2DFB1A88" w14:textId="77777777" w:rsidR="00FC37BD" w:rsidRPr="00FC37BD" w:rsidRDefault="00DC233A" w:rsidP="00DC233A">
      <w:pPr>
        <w:rPr>
          <w:rFonts w:hint="cs"/>
          <w:color w:val="0000FF"/>
          <w:u w:val="single"/>
        </w:rPr>
      </w:pPr>
      <w:r w:rsidRPr="00DC233A">
        <w:rPr>
          <w:color w:val="000000"/>
          <w:u w:val="single"/>
          <w:rtl/>
        </w:rPr>
        <w:t>נוסח מסמך זה כפוף לשינויי ניסוח ועריכה</w:t>
      </w:r>
      <w:r w:rsidR="00152767">
        <w:rPr>
          <w:rFonts w:hint="cs"/>
          <w:color w:val="0000FF"/>
          <w:u w:val="single"/>
          <w:rtl/>
        </w:rPr>
        <w:t xml:space="preserve"> </w:t>
      </w:r>
    </w:p>
    <w:sectPr w:rsidR="00FC37BD" w:rsidRPr="00FC37BD" w:rsidSect="00DC233A">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C518E" w14:textId="77777777" w:rsidR="004B3962" w:rsidRDefault="004B3962" w:rsidP="004868A8">
      <w:r>
        <w:separator/>
      </w:r>
    </w:p>
  </w:endnote>
  <w:endnote w:type="continuationSeparator" w:id="0">
    <w:p w14:paraId="27C08433" w14:textId="77777777" w:rsidR="004B3962" w:rsidRDefault="004B3962" w:rsidP="0048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62D7D" w14:textId="77777777" w:rsidR="00DC233A" w:rsidRDefault="00DC233A" w:rsidP="00DC233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CBC1DD4" w14:textId="77777777" w:rsidR="001268EE" w:rsidRPr="00DC233A" w:rsidRDefault="00DC233A" w:rsidP="00DC233A">
    <w:pPr>
      <w:pStyle w:val="a5"/>
      <w:pBdr>
        <w:top w:val="single" w:sz="4" w:space="1" w:color="auto"/>
        <w:between w:val="single" w:sz="4" w:space="0" w:color="auto"/>
      </w:pBdr>
      <w:spacing w:after="60"/>
      <w:jc w:val="center"/>
      <w:rPr>
        <w:rFonts w:ascii="FrankRuehl" w:hAnsi="FrankRuehl" w:cs="FrankRuehl"/>
        <w:color w:val="000000"/>
      </w:rPr>
    </w:pPr>
    <w:r w:rsidRPr="00DC23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6456F" w14:textId="77777777" w:rsidR="00DC233A" w:rsidRDefault="00DC233A" w:rsidP="00DC233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7B13">
      <w:rPr>
        <w:rFonts w:ascii="FrankRuehl" w:hAnsi="FrankRuehl" w:cs="FrankRuehl"/>
        <w:noProof/>
        <w:rtl/>
      </w:rPr>
      <w:t>1</w:t>
    </w:r>
    <w:r>
      <w:rPr>
        <w:rFonts w:ascii="FrankRuehl" w:hAnsi="FrankRuehl" w:cs="FrankRuehl"/>
        <w:rtl/>
      </w:rPr>
      <w:fldChar w:fldCharType="end"/>
    </w:r>
  </w:p>
  <w:p w14:paraId="6192A763" w14:textId="77777777" w:rsidR="001268EE" w:rsidRPr="00DC233A" w:rsidRDefault="00DC233A" w:rsidP="00DC233A">
    <w:pPr>
      <w:pStyle w:val="a5"/>
      <w:pBdr>
        <w:top w:val="single" w:sz="4" w:space="1" w:color="auto"/>
        <w:between w:val="single" w:sz="4" w:space="0" w:color="auto"/>
      </w:pBdr>
      <w:spacing w:after="60"/>
      <w:jc w:val="center"/>
      <w:rPr>
        <w:rFonts w:ascii="FrankRuehl" w:hAnsi="FrankRuehl" w:cs="FrankRuehl"/>
        <w:color w:val="000000"/>
      </w:rPr>
    </w:pPr>
    <w:r w:rsidRPr="00DC233A">
      <w:rPr>
        <w:rFonts w:ascii="FrankRuehl" w:hAnsi="FrankRuehl" w:cs="FrankRuehl"/>
        <w:color w:val="000000"/>
      </w:rPr>
      <w:pict w14:anchorId="7E8CDE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4682D" w14:textId="77777777" w:rsidR="004B3962" w:rsidRDefault="004B3962" w:rsidP="004868A8">
      <w:r>
        <w:separator/>
      </w:r>
    </w:p>
  </w:footnote>
  <w:footnote w:type="continuationSeparator" w:id="0">
    <w:p w14:paraId="7CA7BFDF" w14:textId="77777777" w:rsidR="004B3962" w:rsidRDefault="004B3962" w:rsidP="00486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6DEB2" w14:textId="77777777" w:rsidR="00FC37BD" w:rsidRPr="00DC233A" w:rsidRDefault="00DC233A" w:rsidP="00DC23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30575-03-20</w:t>
    </w:r>
    <w:r>
      <w:rPr>
        <w:rFonts w:ascii="David" w:hAnsi="David"/>
        <w:color w:val="000000"/>
        <w:sz w:val="22"/>
        <w:szCs w:val="22"/>
        <w:rtl/>
      </w:rPr>
      <w:tab/>
      <w:t xml:space="preserve"> מדינת ישראל נ' נדאל עאיד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E3113" w14:textId="77777777" w:rsidR="00FC37BD" w:rsidRPr="00DC233A" w:rsidRDefault="00DC233A" w:rsidP="00DC23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30575-03-20</w:t>
    </w:r>
    <w:r>
      <w:rPr>
        <w:rFonts w:ascii="David" w:hAnsi="David"/>
        <w:color w:val="000000"/>
        <w:sz w:val="22"/>
        <w:szCs w:val="22"/>
        <w:rtl/>
      </w:rPr>
      <w:tab/>
      <w:t xml:space="preserve"> מדינת ישראל נ' נדאל עאיד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A50D8"/>
    <w:multiLevelType w:val="hybridMultilevel"/>
    <w:tmpl w:val="F52E89D4"/>
    <w:lvl w:ilvl="0" w:tplc="44F258FA">
      <w:start w:val="4"/>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54551A"/>
    <w:multiLevelType w:val="hybridMultilevel"/>
    <w:tmpl w:val="33188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720857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925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874CD"/>
    <w:rsid w:val="00053DF7"/>
    <w:rsid w:val="001268EE"/>
    <w:rsid w:val="00152767"/>
    <w:rsid w:val="003A33AF"/>
    <w:rsid w:val="003F6D5D"/>
    <w:rsid w:val="004868A8"/>
    <w:rsid w:val="004B3962"/>
    <w:rsid w:val="004B65C1"/>
    <w:rsid w:val="005031AF"/>
    <w:rsid w:val="007B5EBE"/>
    <w:rsid w:val="008D21BA"/>
    <w:rsid w:val="00C874CD"/>
    <w:rsid w:val="00C87B13"/>
    <w:rsid w:val="00CA18BD"/>
    <w:rsid w:val="00DC233A"/>
    <w:rsid w:val="00F13B14"/>
    <w:rsid w:val="00FC37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AFCDA8"/>
  <w15:chartTrackingRefBased/>
  <w15:docId w15:val="{04877FFF-F7E7-4266-9E02-1F5D12D4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4C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874CD"/>
    <w:pPr>
      <w:tabs>
        <w:tab w:val="center" w:pos="4153"/>
        <w:tab w:val="right" w:pos="8306"/>
      </w:tabs>
    </w:pPr>
  </w:style>
  <w:style w:type="character" w:customStyle="1" w:styleId="a4">
    <w:name w:val="כותרת עליונה תו"/>
    <w:link w:val="a3"/>
    <w:rsid w:val="00C874CD"/>
    <w:rPr>
      <w:rFonts w:ascii="Times New Roman" w:eastAsia="Times New Roman" w:hAnsi="Times New Roman" w:cs="David"/>
      <w:sz w:val="24"/>
      <w:szCs w:val="24"/>
    </w:rPr>
  </w:style>
  <w:style w:type="paragraph" w:styleId="a5">
    <w:name w:val="footer"/>
    <w:basedOn w:val="a"/>
    <w:link w:val="a6"/>
    <w:rsid w:val="00C874CD"/>
    <w:pPr>
      <w:tabs>
        <w:tab w:val="center" w:pos="4153"/>
        <w:tab w:val="right" w:pos="8306"/>
      </w:tabs>
    </w:pPr>
  </w:style>
  <w:style w:type="character" w:customStyle="1" w:styleId="a6">
    <w:name w:val="כותרת תחתונה תו"/>
    <w:link w:val="a5"/>
    <w:rsid w:val="00C874CD"/>
    <w:rPr>
      <w:rFonts w:ascii="Times New Roman" w:eastAsia="Times New Roman" w:hAnsi="Times New Roman" w:cs="David"/>
      <w:sz w:val="24"/>
      <w:szCs w:val="24"/>
    </w:rPr>
  </w:style>
  <w:style w:type="table" w:styleId="a7">
    <w:name w:val="Table Grid"/>
    <w:basedOn w:val="a1"/>
    <w:rsid w:val="00C874C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874CD"/>
  </w:style>
  <w:style w:type="paragraph" w:styleId="a9">
    <w:name w:val="List Paragraph"/>
    <w:basedOn w:val="a"/>
    <w:qFormat/>
    <w:rsid w:val="00C874CD"/>
    <w:pPr>
      <w:ind w:left="720"/>
      <w:contextualSpacing/>
    </w:pPr>
  </w:style>
  <w:style w:type="character" w:styleId="Hyperlink">
    <w:name w:val="Hyperlink"/>
    <w:rsid w:val="00FC3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9" TargetMode="External"/><Relationship Id="rId13" Type="http://schemas.openxmlformats.org/officeDocument/2006/relationships/hyperlink" Target="http://www.nevo.co.il/law/70301/244" TargetMode="External"/><Relationship Id="rId18" Type="http://schemas.openxmlformats.org/officeDocument/2006/relationships/hyperlink" Target="http://www.nevo.co.il/case/6151556"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3892410"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1474168"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4903855" TargetMode="External"/><Relationship Id="rId20" Type="http://schemas.openxmlformats.org/officeDocument/2006/relationships/hyperlink" Target="http://www.nevo.co.il/case/2200650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7791493" TargetMode="External"/><Relationship Id="rId23" Type="http://schemas.openxmlformats.org/officeDocument/2006/relationships/hyperlink" Target="http://www.nevo.co.il/case/26079544" TargetMode="External"/><Relationship Id="rId28" Type="http://schemas.openxmlformats.org/officeDocument/2006/relationships/footer" Target="footer2.xml"/><Relationship Id="rId10" Type="http://schemas.openxmlformats.org/officeDocument/2006/relationships/hyperlink" Target="http://www.nevo.co.il/law/70301/244" TargetMode="External"/><Relationship Id="rId19" Type="http://schemas.openxmlformats.org/officeDocument/2006/relationships/hyperlink" Target="http://www.nevo.co.il/case/5724364"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29" TargetMode="External"/><Relationship Id="rId22" Type="http://schemas.openxmlformats.org/officeDocument/2006/relationships/hyperlink" Target="http://www.nevo.co.il/case/21478675"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1618</Words>
  <Characters>8090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9689</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4128880</vt:i4>
      </vt:variant>
      <vt:variant>
        <vt:i4>48</vt:i4>
      </vt:variant>
      <vt:variant>
        <vt:i4>0</vt:i4>
      </vt:variant>
      <vt:variant>
        <vt:i4>5</vt:i4>
      </vt:variant>
      <vt:variant>
        <vt:lpwstr>http://www.nevo.co.il/case/26079544</vt:lpwstr>
      </vt:variant>
      <vt:variant>
        <vt:lpwstr/>
      </vt:variant>
      <vt:variant>
        <vt:i4>3735668</vt:i4>
      </vt:variant>
      <vt:variant>
        <vt:i4>45</vt:i4>
      </vt:variant>
      <vt:variant>
        <vt:i4>0</vt:i4>
      </vt:variant>
      <vt:variant>
        <vt:i4>5</vt:i4>
      </vt:variant>
      <vt:variant>
        <vt:lpwstr>http://www.nevo.co.il/case/21478675</vt:lpwstr>
      </vt:variant>
      <vt:variant>
        <vt:lpwstr/>
      </vt:variant>
      <vt:variant>
        <vt:i4>3735674</vt:i4>
      </vt:variant>
      <vt:variant>
        <vt:i4>42</vt:i4>
      </vt:variant>
      <vt:variant>
        <vt:i4>0</vt:i4>
      </vt:variant>
      <vt:variant>
        <vt:i4>5</vt:i4>
      </vt:variant>
      <vt:variant>
        <vt:lpwstr>http://www.nevo.co.il/case/23892410</vt:lpwstr>
      </vt:variant>
      <vt:variant>
        <vt:lpwstr/>
      </vt:variant>
      <vt:variant>
        <vt:i4>3407987</vt:i4>
      </vt:variant>
      <vt:variant>
        <vt:i4>39</vt:i4>
      </vt:variant>
      <vt:variant>
        <vt:i4>0</vt:i4>
      </vt:variant>
      <vt:variant>
        <vt:i4>5</vt:i4>
      </vt:variant>
      <vt:variant>
        <vt:lpwstr>http://www.nevo.co.il/case/22006503</vt:lpwstr>
      </vt:variant>
      <vt:variant>
        <vt:lpwstr/>
      </vt:variant>
      <vt:variant>
        <vt:i4>3145841</vt:i4>
      </vt:variant>
      <vt:variant>
        <vt:i4>36</vt:i4>
      </vt:variant>
      <vt:variant>
        <vt:i4>0</vt:i4>
      </vt:variant>
      <vt:variant>
        <vt:i4>5</vt:i4>
      </vt:variant>
      <vt:variant>
        <vt:lpwstr>http://www.nevo.co.il/case/5724364</vt:lpwstr>
      </vt:variant>
      <vt:variant>
        <vt:lpwstr/>
      </vt:variant>
      <vt:variant>
        <vt:i4>3145841</vt:i4>
      </vt:variant>
      <vt:variant>
        <vt:i4>33</vt:i4>
      </vt:variant>
      <vt:variant>
        <vt:i4>0</vt:i4>
      </vt:variant>
      <vt:variant>
        <vt:i4>5</vt:i4>
      </vt:variant>
      <vt:variant>
        <vt:lpwstr>http://www.nevo.co.il/case/6151556</vt:lpwstr>
      </vt:variant>
      <vt:variant>
        <vt:lpwstr/>
      </vt:variant>
      <vt:variant>
        <vt:i4>3407987</vt:i4>
      </vt:variant>
      <vt:variant>
        <vt:i4>30</vt:i4>
      </vt:variant>
      <vt:variant>
        <vt:i4>0</vt:i4>
      </vt:variant>
      <vt:variant>
        <vt:i4>5</vt:i4>
      </vt:variant>
      <vt:variant>
        <vt:lpwstr>http://www.nevo.co.il/case/21474168</vt:lpwstr>
      </vt:variant>
      <vt:variant>
        <vt:lpwstr/>
      </vt:variant>
      <vt:variant>
        <vt:i4>3735675</vt:i4>
      </vt:variant>
      <vt:variant>
        <vt:i4>27</vt:i4>
      </vt:variant>
      <vt:variant>
        <vt:i4>0</vt:i4>
      </vt:variant>
      <vt:variant>
        <vt:i4>5</vt:i4>
      </vt:variant>
      <vt:variant>
        <vt:lpwstr>http://www.nevo.co.il/case/4903855</vt:lpwstr>
      </vt:variant>
      <vt:variant>
        <vt:lpwstr/>
      </vt:variant>
      <vt:variant>
        <vt:i4>3735675</vt:i4>
      </vt:variant>
      <vt:variant>
        <vt:i4>24</vt:i4>
      </vt:variant>
      <vt:variant>
        <vt:i4>0</vt:i4>
      </vt:variant>
      <vt:variant>
        <vt:i4>5</vt:i4>
      </vt:variant>
      <vt:variant>
        <vt:lpwstr>http://www.nevo.co.il/case/7791493</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2025-04-25T10:46:00Z</dcterms:created>
  <dcterms:modified xsi:type="dcterms:W3CDTF">2025-04-25T10:46:00Z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30575</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נדאל עאיד;עמאד אלדין חוסיין</vt:lpwstr>
  </property>
  <property fmtid="{D5CDD505-2E9C-101B-9397-08002B2CF9AE}" pid="10" name="LAWYER">
    <vt:lpwstr>נג'וא סלימאן;סאהר פאר</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20201126</vt:lpwstr>
  </property>
  <property fmtid="{D5CDD505-2E9C-101B-9397-08002B2CF9AE}" pid="14" name="TYPE_N_DATE">
    <vt:lpwstr>39020201126</vt:lpwstr>
  </property>
  <property fmtid="{D5CDD505-2E9C-101B-9397-08002B2CF9AE}" pid="15" name="WORDNUMPAGES">
    <vt:lpwstr>7</vt:lpwstr>
  </property>
  <property fmtid="{D5CDD505-2E9C-101B-9397-08002B2CF9AE}" pid="16" name="TYPE_ABS_DATE">
    <vt:lpwstr>390020201126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7791493;4903855;21474168;6151556;5724364;22006503;23892410;21478675;26079544</vt:lpwstr>
  </property>
  <property fmtid="{D5CDD505-2E9C-101B-9397-08002B2CF9AE}" pid="36" name="LAWLISTTMP1">
    <vt:lpwstr>70301/144.b;244;029</vt:lpwstr>
  </property>
</Properties>
</file>