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4DD92" w14:textId="77777777" w:rsidR="00757ACC" w:rsidRPr="001B5521" w:rsidRDefault="00757ACC" w:rsidP="00757ACC">
      <w:pPr>
        <w:pStyle w:val="a3"/>
        <w:rPr>
          <w:rFonts w:ascii="Tahoma" w:hAnsi="Tahoma" w:cs="Tahoma"/>
          <w:color w:val="000080"/>
          <w:rtl/>
        </w:rPr>
      </w:pPr>
      <w:r w:rsidRPr="001B5521">
        <w:rPr>
          <w:rFonts w:ascii="Tahoma" w:hAnsi="Tahoma" w:cs="Tahoma"/>
          <w:b/>
          <w:bCs/>
          <w:color w:val="000080"/>
          <w:rtl/>
        </w:rPr>
        <w:t>בית המשפט המחוזי בבאר שבע</w:t>
      </w:r>
    </w:p>
    <w:p w14:paraId="7C94E71A" w14:textId="77777777" w:rsidR="00757ACC" w:rsidRPr="001B5521" w:rsidRDefault="00757ACC" w:rsidP="00757ACC">
      <w:pPr>
        <w:pStyle w:val="a3"/>
        <w:tabs>
          <w:tab w:val="clear" w:pos="4153"/>
        </w:tabs>
        <w:jc w:val="right"/>
        <w:rPr>
          <w:rtl/>
        </w:rPr>
      </w:pPr>
      <w:r w:rsidRPr="001B5521">
        <w:rPr>
          <w:rFonts w:hint="cs"/>
          <w:b/>
          <w:bCs/>
          <w:rtl/>
        </w:rPr>
        <w:t xml:space="preserve">לפני כבוד סגן הנשיאה, השופט </w:t>
      </w:r>
      <w:bookmarkStart w:id="0" w:name="LastJudge"/>
      <w:r w:rsidRPr="001B5521">
        <w:rPr>
          <w:rFonts w:hint="cs"/>
          <w:b/>
          <w:bCs/>
          <w:rtl/>
        </w:rPr>
        <w:t>אליהו ביתן</w:t>
      </w:r>
      <w:r w:rsidRPr="001B5521">
        <w:rPr>
          <w:b/>
          <w:bCs/>
        </w:rPr>
        <w:t>-</w:t>
      </w:r>
      <w:r w:rsidRPr="001B5521">
        <w:rPr>
          <w:b/>
          <w:bCs/>
          <w:rtl/>
        </w:rPr>
        <w:t>-</w:t>
      </w:r>
      <w:r w:rsidRPr="001B5521">
        <w:rPr>
          <w:rFonts w:hint="cs"/>
          <w:b/>
          <w:bCs/>
          <w:rtl/>
        </w:rPr>
        <w:t>09</w:t>
      </w:r>
      <w:bookmarkEnd w:id="0"/>
      <w:r w:rsidRPr="001B5521">
        <w:rPr>
          <w:rFonts w:hint="cs"/>
          <w:b/>
          <w:bCs/>
          <w:rtl/>
        </w:rPr>
        <w:t xml:space="preserve"> יולי 2020</w:t>
      </w:r>
    </w:p>
    <w:p w14:paraId="7772D211" w14:textId="77777777" w:rsidR="00757ACC" w:rsidRPr="001B5521" w:rsidRDefault="00757ACC" w:rsidP="00757ACC">
      <w:pPr>
        <w:pStyle w:val="a3"/>
        <w:tabs>
          <w:tab w:val="clear" w:pos="4153"/>
        </w:tabs>
        <w:rPr>
          <w:b/>
          <w:bCs/>
          <w:rtl/>
        </w:rPr>
      </w:pPr>
    </w:p>
    <w:p w14:paraId="0AF1DFAC" w14:textId="77777777" w:rsidR="00757ACC" w:rsidRPr="001B5521" w:rsidRDefault="00757ACC" w:rsidP="00757ACC">
      <w:pPr>
        <w:rPr>
          <w:rtl/>
        </w:rPr>
      </w:pPr>
      <w:r w:rsidRPr="001B5521">
        <w:rPr>
          <w:rFonts w:hint="cs"/>
          <w:b/>
          <w:bCs/>
          <w:rtl/>
        </w:rPr>
        <w:t>ת"פ 33920-03-20 מדינת ישראל נ' אבו עמאר(עציר) ואח'</w:t>
      </w:r>
    </w:p>
    <w:p w14:paraId="7C1E88F2" w14:textId="77777777" w:rsidR="00757ACC" w:rsidRPr="001B5521" w:rsidRDefault="00757ACC" w:rsidP="00757ACC">
      <w:pPr>
        <w:pStyle w:val="a3"/>
        <w:rPr>
          <w:rFonts w:cs="FrankRuehl"/>
          <w:sz w:val="28"/>
          <w:szCs w:val="28"/>
          <w:rtl/>
        </w:rPr>
      </w:pPr>
      <w:r w:rsidRPr="001B5521">
        <w:rPr>
          <w:rFonts w:cs="FrankRuehl"/>
          <w:sz w:val="28"/>
          <w:szCs w:val="28"/>
          <w:rtl/>
        </w:rPr>
        <w:t>-</w:t>
      </w:r>
    </w:p>
    <w:p w14:paraId="3A78A659" w14:textId="77777777" w:rsidR="00757ACC" w:rsidRPr="001B5521" w:rsidRDefault="00757ACC" w:rsidP="00757ACC">
      <w:pPr>
        <w:pStyle w:val="a3"/>
        <w:rPr>
          <w:rtl/>
        </w:rPr>
      </w:pPr>
      <w:r w:rsidRPr="001B5521">
        <w:rPr>
          <w:rFonts w:hint="cs"/>
          <w:rtl/>
        </w:rPr>
        <w:t xml:space="preserve"> </w:t>
      </w:r>
    </w:p>
    <w:p w14:paraId="419276AE" w14:textId="77777777" w:rsidR="00757ACC" w:rsidRPr="001B5521" w:rsidRDefault="00757ACC" w:rsidP="00757ACC">
      <w:pPr>
        <w:pStyle w:val="a3"/>
        <w:spacing w:line="360" w:lineRule="auto"/>
        <w:jc w:val="both"/>
        <w:rPr>
          <w:rFonts w:ascii="David" w:hAnsi="David"/>
          <w:rtl/>
        </w:rPr>
      </w:pPr>
    </w:p>
    <w:p w14:paraId="2ADFBC97" w14:textId="77777777" w:rsidR="00757ACC" w:rsidRPr="001B5521" w:rsidRDefault="00757ACC" w:rsidP="00757ACC">
      <w:pPr>
        <w:pStyle w:val="a3"/>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3590"/>
      </w:tblGrid>
      <w:tr w:rsidR="00757ACC" w:rsidRPr="001B5521" w14:paraId="4C98F118" w14:textId="77777777" w:rsidTr="00757ACC">
        <w:trPr>
          <w:trHeight w:val="355"/>
          <w:jc w:val="center"/>
        </w:trPr>
        <w:tc>
          <w:tcPr>
            <w:tcW w:w="1332" w:type="dxa"/>
            <w:tcBorders>
              <w:top w:val="nil"/>
              <w:left w:val="nil"/>
              <w:bottom w:val="nil"/>
              <w:right w:val="nil"/>
            </w:tcBorders>
            <w:shd w:val="clear" w:color="auto" w:fill="auto"/>
          </w:tcPr>
          <w:p w14:paraId="6452BC5A" w14:textId="77777777" w:rsidR="00757ACC" w:rsidRPr="001B5521" w:rsidRDefault="00757ACC" w:rsidP="00757ACC">
            <w:pPr>
              <w:spacing w:line="360" w:lineRule="auto"/>
              <w:jc w:val="both"/>
              <w:rPr>
                <w:rFonts w:ascii="David" w:hAnsi="David"/>
                <w:b/>
                <w:bCs/>
              </w:rPr>
            </w:pPr>
            <w:r w:rsidRPr="001B5521">
              <w:rPr>
                <w:rFonts w:ascii="David" w:hAnsi="David"/>
                <w:b/>
                <w:bCs/>
                <w:rtl/>
              </w:rPr>
              <w:t>בעניין:</w:t>
            </w:r>
          </w:p>
        </w:tc>
        <w:tc>
          <w:tcPr>
            <w:tcW w:w="3898" w:type="dxa"/>
            <w:tcBorders>
              <w:top w:val="nil"/>
              <w:left w:val="nil"/>
              <w:bottom w:val="nil"/>
              <w:right w:val="nil"/>
            </w:tcBorders>
            <w:shd w:val="clear" w:color="auto" w:fill="auto"/>
          </w:tcPr>
          <w:p w14:paraId="5510BE2F" w14:textId="77777777" w:rsidR="00757ACC" w:rsidRPr="001B5521" w:rsidRDefault="00757ACC" w:rsidP="00757ACC">
            <w:pPr>
              <w:spacing w:line="360" w:lineRule="auto"/>
              <w:jc w:val="both"/>
              <w:rPr>
                <w:rFonts w:ascii="David" w:hAnsi="David"/>
                <w:b/>
                <w:bCs/>
              </w:rPr>
            </w:pPr>
            <w:r w:rsidRPr="001B5521">
              <w:rPr>
                <w:rFonts w:ascii="David" w:hAnsi="David"/>
                <w:b/>
                <w:bCs/>
                <w:rtl/>
              </w:rPr>
              <w:t xml:space="preserve">     </w:t>
            </w:r>
          </w:p>
        </w:tc>
        <w:tc>
          <w:tcPr>
            <w:tcW w:w="3590" w:type="dxa"/>
            <w:tcBorders>
              <w:top w:val="nil"/>
              <w:left w:val="nil"/>
              <w:bottom w:val="nil"/>
              <w:right w:val="nil"/>
            </w:tcBorders>
            <w:shd w:val="clear" w:color="auto" w:fill="auto"/>
          </w:tcPr>
          <w:p w14:paraId="7E5CE3B7" w14:textId="77777777" w:rsidR="00757ACC" w:rsidRPr="001B5521" w:rsidRDefault="00757ACC" w:rsidP="00757ACC">
            <w:pPr>
              <w:spacing w:line="360" w:lineRule="auto"/>
              <w:jc w:val="both"/>
              <w:rPr>
                <w:rFonts w:ascii="David" w:hAnsi="David"/>
                <w:b/>
                <w:bCs/>
              </w:rPr>
            </w:pPr>
          </w:p>
        </w:tc>
      </w:tr>
      <w:tr w:rsidR="00757ACC" w:rsidRPr="001B5521" w14:paraId="0B30D107" w14:textId="77777777" w:rsidTr="00757ACC">
        <w:trPr>
          <w:trHeight w:val="355"/>
          <w:jc w:val="center"/>
        </w:trPr>
        <w:tc>
          <w:tcPr>
            <w:tcW w:w="1332" w:type="dxa"/>
            <w:tcBorders>
              <w:top w:val="nil"/>
              <w:left w:val="nil"/>
              <w:bottom w:val="nil"/>
              <w:right w:val="nil"/>
            </w:tcBorders>
            <w:shd w:val="clear" w:color="auto" w:fill="auto"/>
          </w:tcPr>
          <w:p w14:paraId="22660B40" w14:textId="77777777" w:rsidR="00757ACC" w:rsidRPr="001B5521" w:rsidRDefault="00757ACC" w:rsidP="00757ACC">
            <w:pPr>
              <w:spacing w:line="360" w:lineRule="auto"/>
              <w:jc w:val="both"/>
              <w:rPr>
                <w:rFonts w:ascii="David" w:hAnsi="David"/>
                <w:b/>
                <w:bCs/>
                <w:rtl/>
              </w:rPr>
            </w:pPr>
            <w:bookmarkStart w:id="1" w:name="FirstAppellant"/>
            <w:r w:rsidRPr="001B5521">
              <w:rPr>
                <w:rFonts w:ascii="David" w:hAnsi="David"/>
                <w:b/>
                <w:bCs/>
                <w:rtl/>
              </w:rPr>
              <w:t>המאשימה:</w:t>
            </w:r>
          </w:p>
        </w:tc>
        <w:tc>
          <w:tcPr>
            <w:tcW w:w="3898" w:type="dxa"/>
            <w:tcBorders>
              <w:top w:val="nil"/>
              <w:left w:val="nil"/>
              <w:bottom w:val="nil"/>
              <w:right w:val="nil"/>
            </w:tcBorders>
            <w:shd w:val="clear" w:color="auto" w:fill="auto"/>
          </w:tcPr>
          <w:p w14:paraId="3FCA4E72" w14:textId="77777777" w:rsidR="00757ACC" w:rsidRPr="001B5521" w:rsidRDefault="00757ACC" w:rsidP="00757ACC">
            <w:pPr>
              <w:spacing w:line="360" w:lineRule="auto"/>
              <w:jc w:val="both"/>
              <w:rPr>
                <w:rFonts w:ascii="David" w:hAnsi="David"/>
                <w:b/>
                <w:bCs/>
                <w:rtl/>
              </w:rPr>
            </w:pPr>
            <w:r w:rsidRPr="001B5521">
              <w:rPr>
                <w:rFonts w:ascii="David" w:hAnsi="David"/>
                <w:b/>
                <w:bCs/>
                <w:rtl/>
              </w:rPr>
              <w:t>מדינת ישראל</w:t>
            </w:r>
          </w:p>
        </w:tc>
        <w:tc>
          <w:tcPr>
            <w:tcW w:w="3590" w:type="dxa"/>
            <w:tcBorders>
              <w:top w:val="nil"/>
              <w:left w:val="nil"/>
              <w:bottom w:val="nil"/>
              <w:right w:val="nil"/>
            </w:tcBorders>
            <w:shd w:val="clear" w:color="auto" w:fill="auto"/>
          </w:tcPr>
          <w:p w14:paraId="4F304E18" w14:textId="77777777" w:rsidR="00757ACC" w:rsidRPr="001B5521" w:rsidRDefault="00757ACC" w:rsidP="00757ACC">
            <w:pPr>
              <w:spacing w:line="360" w:lineRule="auto"/>
              <w:jc w:val="both"/>
              <w:rPr>
                <w:rFonts w:ascii="David" w:hAnsi="David"/>
                <w:b/>
                <w:bCs/>
                <w:rtl/>
              </w:rPr>
            </w:pPr>
          </w:p>
        </w:tc>
      </w:tr>
      <w:bookmarkEnd w:id="1"/>
      <w:tr w:rsidR="00757ACC" w:rsidRPr="001B5521" w14:paraId="215D4575" w14:textId="77777777" w:rsidTr="00757ACC">
        <w:trPr>
          <w:trHeight w:val="355"/>
          <w:jc w:val="center"/>
        </w:trPr>
        <w:tc>
          <w:tcPr>
            <w:tcW w:w="1332" w:type="dxa"/>
            <w:tcBorders>
              <w:top w:val="nil"/>
              <w:left w:val="nil"/>
              <w:bottom w:val="nil"/>
              <w:right w:val="nil"/>
            </w:tcBorders>
            <w:shd w:val="clear" w:color="auto" w:fill="auto"/>
          </w:tcPr>
          <w:p w14:paraId="6ACFB901" w14:textId="77777777" w:rsidR="00757ACC" w:rsidRPr="001B5521" w:rsidRDefault="00757ACC" w:rsidP="00757ACC">
            <w:pPr>
              <w:spacing w:line="360" w:lineRule="auto"/>
              <w:jc w:val="both"/>
              <w:rPr>
                <w:rFonts w:ascii="David" w:hAnsi="David"/>
                <w:b/>
                <w:bCs/>
                <w:rtl/>
              </w:rPr>
            </w:pPr>
          </w:p>
        </w:tc>
        <w:tc>
          <w:tcPr>
            <w:tcW w:w="7488" w:type="dxa"/>
            <w:gridSpan w:val="2"/>
            <w:tcBorders>
              <w:top w:val="nil"/>
              <w:left w:val="nil"/>
              <w:bottom w:val="nil"/>
              <w:right w:val="nil"/>
            </w:tcBorders>
            <w:shd w:val="clear" w:color="auto" w:fill="auto"/>
          </w:tcPr>
          <w:p w14:paraId="3DF955CC" w14:textId="77777777" w:rsidR="00757ACC" w:rsidRPr="001B5521" w:rsidRDefault="00757ACC" w:rsidP="00757ACC">
            <w:pPr>
              <w:spacing w:line="360" w:lineRule="auto"/>
              <w:jc w:val="center"/>
              <w:rPr>
                <w:rFonts w:ascii="David" w:hAnsi="David"/>
                <w:b/>
                <w:bCs/>
              </w:rPr>
            </w:pPr>
            <w:r w:rsidRPr="001B5521">
              <w:rPr>
                <w:rFonts w:ascii="David" w:hAnsi="David"/>
                <w:b/>
                <w:bCs/>
                <w:sz w:val="28"/>
                <w:szCs w:val="28"/>
                <w:rtl/>
              </w:rPr>
              <w:t>נגד</w:t>
            </w:r>
          </w:p>
        </w:tc>
      </w:tr>
      <w:tr w:rsidR="00757ACC" w:rsidRPr="001B5521" w14:paraId="7D768352" w14:textId="77777777" w:rsidTr="00757ACC">
        <w:trPr>
          <w:trHeight w:val="355"/>
          <w:jc w:val="center"/>
        </w:trPr>
        <w:tc>
          <w:tcPr>
            <w:tcW w:w="1332" w:type="dxa"/>
            <w:tcBorders>
              <w:top w:val="nil"/>
              <w:left w:val="nil"/>
              <w:bottom w:val="nil"/>
              <w:right w:val="nil"/>
            </w:tcBorders>
            <w:shd w:val="clear" w:color="auto" w:fill="auto"/>
          </w:tcPr>
          <w:p w14:paraId="123E64E3" w14:textId="77777777" w:rsidR="00757ACC" w:rsidRPr="001B5521" w:rsidRDefault="00757ACC" w:rsidP="00757ACC">
            <w:pPr>
              <w:spacing w:line="360" w:lineRule="auto"/>
              <w:jc w:val="both"/>
              <w:rPr>
                <w:rFonts w:ascii="David" w:hAnsi="David"/>
                <w:b/>
                <w:bCs/>
                <w:rtl/>
              </w:rPr>
            </w:pPr>
            <w:r w:rsidRPr="001B5521">
              <w:rPr>
                <w:rFonts w:ascii="David" w:hAnsi="David"/>
                <w:b/>
                <w:bCs/>
                <w:rtl/>
              </w:rPr>
              <w:t>הנאשם:</w:t>
            </w:r>
          </w:p>
        </w:tc>
        <w:tc>
          <w:tcPr>
            <w:tcW w:w="3898" w:type="dxa"/>
            <w:tcBorders>
              <w:top w:val="nil"/>
              <w:left w:val="nil"/>
              <w:bottom w:val="nil"/>
              <w:right w:val="nil"/>
            </w:tcBorders>
            <w:shd w:val="clear" w:color="auto" w:fill="auto"/>
          </w:tcPr>
          <w:p w14:paraId="7EB10199" w14:textId="77777777" w:rsidR="00757ACC" w:rsidRPr="001B5521" w:rsidRDefault="00757ACC" w:rsidP="00757ACC">
            <w:pPr>
              <w:spacing w:line="360" w:lineRule="auto"/>
              <w:jc w:val="both"/>
              <w:rPr>
                <w:rFonts w:ascii="David" w:hAnsi="David"/>
                <w:b/>
                <w:bCs/>
                <w:rtl/>
              </w:rPr>
            </w:pPr>
            <w:r w:rsidRPr="001B5521">
              <w:rPr>
                <w:rFonts w:ascii="David" w:hAnsi="David"/>
                <w:b/>
                <w:bCs/>
                <w:rtl/>
              </w:rPr>
              <w:t>עקב אבו עמאר (עציר)</w:t>
            </w:r>
          </w:p>
          <w:p w14:paraId="67974011" w14:textId="77777777" w:rsidR="00757ACC" w:rsidRPr="001B5521" w:rsidRDefault="00757ACC" w:rsidP="00757ACC">
            <w:pPr>
              <w:spacing w:line="360" w:lineRule="auto"/>
              <w:jc w:val="both"/>
              <w:rPr>
                <w:rFonts w:ascii="David" w:hAnsi="David"/>
                <w:b/>
                <w:bCs/>
                <w:rtl/>
              </w:rPr>
            </w:pPr>
            <w:r w:rsidRPr="001B5521">
              <w:rPr>
                <w:rFonts w:ascii="David" w:hAnsi="David"/>
                <w:b/>
                <w:bCs/>
                <w:rtl/>
              </w:rPr>
              <w:t xml:space="preserve">     </w:t>
            </w:r>
          </w:p>
        </w:tc>
        <w:tc>
          <w:tcPr>
            <w:tcW w:w="3590" w:type="dxa"/>
            <w:tcBorders>
              <w:top w:val="nil"/>
              <w:left w:val="nil"/>
              <w:bottom w:val="nil"/>
              <w:right w:val="nil"/>
            </w:tcBorders>
            <w:shd w:val="clear" w:color="auto" w:fill="auto"/>
          </w:tcPr>
          <w:p w14:paraId="3081C530" w14:textId="77777777" w:rsidR="00757ACC" w:rsidRPr="001B5521" w:rsidRDefault="00757ACC" w:rsidP="00757ACC">
            <w:pPr>
              <w:spacing w:line="360" w:lineRule="auto"/>
              <w:jc w:val="both"/>
              <w:rPr>
                <w:rFonts w:ascii="David" w:hAnsi="David"/>
                <w:b/>
                <w:bCs/>
              </w:rPr>
            </w:pPr>
          </w:p>
        </w:tc>
      </w:tr>
    </w:tbl>
    <w:p w14:paraId="4698EC88" w14:textId="77777777" w:rsidR="00830693" w:rsidRPr="00830693" w:rsidRDefault="00830693" w:rsidP="00830693">
      <w:pPr>
        <w:spacing w:before="120" w:after="120" w:line="240" w:lineRule="exact"/>
        <w:ind w:left="283" w:hanging="283"/>
        <w:jc w:val="both"/>
        <w:rPr>
          <w:rFonts w:ascii="FrankRuehl" w:hAnsi="FrankRuehl" w:cs="FrankRuehl"/>
          <w:rtl/>
        </w:rPr>
      </w:pPr>
      <w:bookmarkStart w:id="2" w:name="LawTable"/>
      <w:bookmarkEnd w:id="2"/>
      <w:r w:rsidRPr="00830693">
        <w:rPr>
          <w:rFonts w:ascii="FrankRuehl" w:hAnsi="FrankRuehl" w:cs="FrankRuehl"/>
          <w:rtl/>
        </w:rPr>
        <w:t xml:space="preserve">חקיקה שאוזכרה: </w:t>
      </w:r>
    </w:p>
    <w:p w14:paraId="73B6EE1A" w14:textId="77777777" w:rsidR="00830693" w:rsidRPr="00830693" w:rsidRDefault="00830693" w:rsidP="00830693">
      <w:pPr>
        <w:spacing w:before="120" w:after="120" w:line="240" w:lineRule="exact"/>
        <w:ind w:left="283" w:hanging="283"/>
        <w:jc w:val="both"/>
        <w:rPr>
          <w:rFonts w:ascii="FrankRuehl" w:hAnsi="FrankRuehl" w:cs="FrankRuehl"/>
          <w:color w:val="0000FF"/>
          <w:rtl/>
        </w:rPr>
      </w:pPr>
      <w:hyperlink r:id="rId6" w:history="1">
        <w:r w:rsidRPr="00830693">
          <w:rPr>
            <w:rStyle w:val="Hyperlink"/>
            <w:rFonts w:ascii="FrankRuehl" w:hAnsi="FrankRuehl" w:cs="FrankRuehl"/>
            <w:rtl/>
          </w:rPr>
          <w:t>חוק העונשין, תשל"ז-1977</w:t>
        </w:r>
      </w:hyperlink>
      <w:r w:rsidRPr="00830693">
        <w:rPr>
          <w:rFonts w:ascii="FrankRuehl" w:hAnsi="FrankRuehl" w:cs="FrankRuehl"/>
          <w:color w:val="0000FF"/>
          <w:u w:val="single"/>
          <w:rtl/>
        </w:rPr>
        <w:t xml:space="preserve">: סע'  </w:t>
      </w:r>
      <w:hyperlink r:id="rId7" w:history="1">
        <w:r w:rsidRPr="00830693">
          <w:rPr>
            <w:rStyle w:val="Hyperlink"/>
            <w:rFonts w:ascii="FrankRuehl" w:hAnsi="FrankRuehl" w:cs="FrankRuehl"/>
          </w:rPr>
          <w:t>144</w:t>
        </w:r>
      </w:hyperlink>
      <w:r w:rsidRPr="00830693">
        <w:rPr>
          <w:rFonts w:ascii="FrankRuehl" w:hAnsi="FrankRuehl" w:cs="FrankRuehl"/>
          <w:color w:val="0000FF"/>
          <w:rtl/>
        </w:rPr>
        <w:t xml:space="preserve">(ב), </w:t>
      </w:r>
      <w:hyperlink r:id="rId8" w:history="1">
        <w:r w:rsidRPr="00830693">
          <w:rPr>
            <w:rStyle w:val="Hyperlink"/>
            <w:rFonts w:ascii="FrankRuehl" w:hAnsi="FrankRuehl" w:cs="FrankRuehl"/>
          </w:rPr>
          <w:t>144</w:t>
        </w:r>
      </w:hyperlink>
      <w:r w:rsidRPr="00830693">
        <w:rPr>
          <w:rFonts w:ascii="FrankRuehl" w:hAnsi="FrankRuehl" w:cs="FrankRuehl"/>
          <w:color w:val="0000FF"/>
          <w:rtl/>
        </w:rPr>
        <w:t xml:space="preserve">(ב2), </w:t>
      </w:r>
      <w:hyperlink r:id="rId9" w:history="1">
        <w:r w:rsidRPr="00830693">
          <w:rPr>
            <w:rStyle w:val="Hyperlink"/>
            <w:rFonts w:ascii="FrankRuehl" w:hAnsi="FrankRuehl" w:cs="FrankRuehl"/>
          </w:rPr>
          <w:t>499</w:t>
        </w:r>
      </w:hyperlink>
      <w:r w:rsidRPr="00830693">
        <w:rPr>
          <w:rFonts w:ascii="FrankRuehl" w:hAnsi="FrankRuehl" w:cs="FrankRuehl"/>
          <w:color w:val="0000FF"/>
          <w:rtl/>
        </w:rPr>
        <w:t>(א)(1)</w:t>
      </w:r>
    </w:p>
    <w:p w14:paraId="4BD94D56" w14:textId="77777777" w:rsidR="001B5521" w:rsidRPr="00830693" w:rsidRDefault="001B5521" w:rsidP="00830693">
      <w:pPr>
        <w:spacing w:line="360" w:lineRule="auto"/>
        <w:jc w:val="center"/>
        <w:rPr>
          <w:rFonts w:ascii="David" w:hAnsi="David"/>
          <w:sz w:val="28"/>
          <w:szCs w:val="28"/>
          <w:rtl/>
        </w:rPr>
      </w:pPr>
      <w:bookmarkStart w:id="3" w:name="LawTable_End"/>
      <w:bookmarkEnd w:id="3"/>
    </w:p>
    <w:p w14:paraId="6A78B9AD" w14:textId="77777777" w:rsidR="001B5521" w:rsidRPr="001B5521" w:rsidRDefault="001B5521" w:rsidP="001B5521">
      <w:pPr>
        <w:spacing w:line="360" w:lineRule="auto"/>
        <w:jc w:val="center"/>
        <w:rPr>
          <w:rFonts w:ascii="David" w:hAnsi="David"/>
          <w:b/>
          <w:bCs/>
          <w:sz w:val="28"/>
          <w:szCs w:val="28"/>
          <w:u w:val="single"/>
          <w:rtl/>
        </w:rPr>
      </w:pPr>
      <w:bookmarkStart w:id="4" w:name="PsakDin"/>
      <w:r w:rsidRPr="001B5521">
        <w:rPr>
          <w:rFonts w:ascii="David" w:hAnsi="David"/>
          <w:b/>
          <w:bCs/>
          <w:sz w:val="28"/>
          <w:szCs w:val="28"/>
          <w:u w:val="single"/>
          <w:rtl/>
        </w:rPr>
        <w:t>גזר דין</w:t>
      </w:r>
    </w:p>
    <w:bookmarkEnd w:id="4"/>
    <w:p w14:paraId="34780F18" w14:textId="77777777" w:rsidR="00757ACC" w:rsidRPr="009435D9" w:rsidRDefault="00757ACC" w:rsidP="00757ACC">
      <w:pPr>
        <w:spacing w:line="360" w:lineRule="auto"/>
        <w:jc w:val="both"/>
        <w:rPr>
          <w:rFonts w:ascii="David" w:hAnsi="David"/>
          <w:rtl/>
        </w:rPr>
      </w:pPr>
    </w:p>
    <w:p w14:paraId="7CE7DF1C"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1.</w:t>
      </w:r>
      <w:r w:rsidRPr="009435D9">
        <w:rPr>
          <w:rFonts w:ascii="David" w:hAnsi="David"/>
          <w:rtl/>
        </w:rPr>
        <w:tab/>
      </w:r>
      <w:bookmarkStart w:id="5" w:name="ABSTRACT_START"/>
      <w:bookmarkEnd w:id="5"/>
      <w:r w:rsidRPr="009435D9">
        <w:rPr>
          <w:rFonts w:ascii="David" w:hAnsi="David"/>
          <w:rtl/>
        </w:rPr>
        <w:t>בטרם שמיעת הראיות בתיק הגיעו הצדדים להסדר טיעון במסגרתו הוגש נגד הנאשם כתב אישום מתוקן והנאשם הודה בעובדותיו, שאלה הם עיקריהן-</w:t>
      </w:r>
    </w:p>
    <w:p w14:paraId="66673BBE"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ab/>
        <w:t xml:space="preserve">הנאשם הינו דודו של אברהים אבו עמאר, תושב לקיה, אשר במועדים הרלוונטיים לכתב האישום היה חייל בצה"ל (להלן: "איברהים"). פאהד אבו עמאר וזאהר אבו אעמאר היו  במועדים הרלוונטיים חיילים בצה"ל (להלן: "פאהד" ו"זאהר"). מחמוד פריג'את הינו תושב לקיה (להלן: "פריג'את"), ומחמוד אבו עישה וסיף אבו עשיה הינם תושבי חברון (להלן: "אבו עישה" ו"סייף"). הנאשם ידע כי אברהים, פאהד וזאהר הם חיילים בשירות סדיר בצה"ל. </w:t>
      </w:r>
    </w:p>
    <w:p w14:paraId="216BCA8E" w14:textId="77777777" w:rsidR="00757ACC" w:rsidRPr="009435D9" w:rsidRDefault="00757ACC" w:rsidP="00757ACC">
      <w:pPr>
        <w:spacing w:line="360" w:lineRule="auto"/>
        <w:ind w:left="720" w:hanging="720"/>
        <w:jc w:val="both"/>
        <w:rPr>
          <w:rFonts w:ascii="David" w:hAnsi="David"/>
          <w:rtl/>
        </w:rPr>
      </w:pPr>
      <w:bookmarkStart w:id="6" w:name="ABSTRACT_END"/>
      <w:bookmarkEnd w:id="6"/>
      <w:r w:rsidRPr="009435D9">
        <w:rPr>
          <w:rFonts w:ascii="David" w:hAnsi="David"/>
          <w:rtl/>
        </w:rPr>
        <w:tab/>
      </w:r>
    </w:p>
    <w:p w14:paraId="3F467DF5" w14:textId="77777777" w:rsidR="00757ACC" w:rsidRPr="009435D9" w:rsidRDefault="00757ACC" w:rsidP="00757ACC">
      <w:pPr>
        <w:spacing w:line="360" w:lineRule="auto"/>
        <w:ind w:left="720"/>
        <w:jc w:val="both"/>
        <w:rPr>
          <w:rFonts w:ascii="David" w:hAnsi="David"/>
          <w:u w:val="single"/>
          <w:rtl/>
        </w:rPr>
      </w:pPr>
      <w:r w:rsidRPr="009435D9">
        <w:rPr>
          <w:rFonts w:ascii="David" w:hAnsi="David"/>
          <w:u w:val="single"/>
          <w:rtl/>
        </w:rPr>
        <w:t>אישום ראשון-</w:t>
      </w:r>
    </w:p>
    <w:p w14:paraId="0E5AE7B7"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ab/>
        <w:t xml:space="preserve">עובר לתאריך 18.11.19 הנאשם נידבר עם אברהים וזאהר שימכרו לאדם בשם לואי אבו עמר (להלן: "לואי") חלקי נשק מסוג </w:t>
      </w:r>
      <w:r w:rsidRPr="009435D9">
        <w:rPr>
          <w:rFonts w:ascii="David" w:hAnsi="David"/>
        </w:rPr>
        <w:t>M-16</w:t>
      </w:r>
      <w:r w:rsidRPr="009435D9">
        <w:rPr>
          <w:rFonts w:ascii="David" w:hAnsi="David"/>
          <w:rtl/>
        </w:rPr>
        <w:t xml:space="preserve"> אותם הם יביאו מצה"ל. בתאריך 18.11.19 בשעות הערב, באזור בית קמה, הנאשם ולואי פגשו את זאהר שהגיע למקום במשאית צבאית. זאהר מסר לידי הנאשם ולואי את נשקו האישי הצבאי מסוג </w:t>
      </w:r>
      <w:r w:rsidRPr="009435D9">
        <w:rPr>
          <w:rFonts w:ascii="David" w:hAnsi="David"/>
        </w:rPr>
        <w:t>M-16</w:t>
      </w:r>
      <w:r w:rsidRPr="009435D9">
        <w:rPr>
          <w:rFonts w:ascii="David" w:hAnsi="David"/>
          <w:rtl/>
        </w:rPr>
        <w:t xml:space="preserve">. הנאשם ולואי לקחו את הנשק למספר דקות, הוציאו מתוכו את חלקי הנשק המקוריים והתקינים והכניסו חזרה לנשק חלקים שאינם תקינים. ולאחר מכן הנאשם נתן לזאהר סך של 2,000ש"ח מתוך סכום של 5,000 ₪ שנקבע. </w:t>
      </w:r>
    </w:p>
    <w:p w14:paraId="50780470" w14:textId="77777777" w:rsidR="00757ACC" w:rsidRPr="009435D9" w:rsidRDefault="00757ACC" w:rsidP="00757ACC">
      <w:pPr>
        <w:spacing w:line="360" w:lineRule="auto"/>
        <w:ind w:left="720" w:hanging="720"/>
        <w:jc w:val="both"/>
        <w:rPr>
          <w:rFonts w:ascii="David" w:hAnsi="David"/>
          <w:rtl/>
        </w:rPr>
      </w:pPr>
    </w:p>
    <w:p w14:paraId="274F15EE" w14:textId="77777777" w:rsidR="00757ACC" w:rsidRPr="009435D9" w:rsidRDefault="00757ACC" w:rsidP="00757ACC">
      <w:pPr>
        <w:spacing w:line="360" w:lineRule="auto"/>
        <w:ind w:left="720" w:hanging="720"/>
        <w:jc w:val="both"/>
        <w:rPr>
          <w:rFonts w:ascii="David" w:hAnsi="David"/>
          <w:u w:val="single"/>
          <w:rtl/>
        </w:rPr>
      </w:pPr>
      <w:r w:rsidRPr="009435D9">
        <w:rPr>
          <w:rFonts w:ascii="David" w:hAnsi="David"/>
          <w:rtl/>
        </w:rPr>
        <w:lastRenderedPageBreak/>
        <w:tab/>
      </w:r>
      <w:r w:rsidRPr="009435D9">
        <w:rPr>
          <w:rFonts w:ascii="David" w:hAnsi="David"/>
          <w:u w:val="single"/>
          <w:rtl/>
        </w:rPr>
        <w:t>אישום שני</w:t>
      </w:r>
    </w:p>
    <w:p w14:paraId="20090BC0"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ab/>
        <w:t xml:space="preserve">בתחילת חודש דצמבר 2019, לואי פנה לאברהים וביקש ממנו שיספק לו קנה של רובה </w:t>
      </w:r>
      <w:r w:rsidRPr="009435D9">
        <w:rPr>
          <w:rFonts w:ascii="David" w:hAnsi="David"/>
        </w:rPr>
        <w:t>M-16</w:t>
      </w:r>
      <w:r w:rsidRPr="009435D9">
        <w:rPr>
          <w:rFonts w:ascii="David" w:hAnsi="David"/>
          <w:rtl/>
        </w:rPr>
        <w:t xml:space="preserve"> צה"לי ואברהים אמר לו שיהיה לו קשה לספק את מבוקשו. בהמשך, הנאשם פנה לאברהים וביקש ממנו להיעתר לבקשתו של לואי ועקב כך, כשלושה שבועות מאוחר יותר,  אברהים מסר ללואי נשק צה"לי ותקני מסוג </w:t>
      </w:r>
      <w:r w:rsidRPr="009435D9">
        <w:rPr>
          <w:rFonts w:ascii="David" w:hAnsi="David"/>
        </w:rPr>
        <w:t>M-16</w:t>
      </w:r>
      <w:r w:rsidRPr="009435D9">
        <w:rPr>
          <w:rFonts w:ascii="David" w:hAnsi="David"/>
          <w:rtl/>
        </w:rPr>
        <w:t xml:space="preserve"> ולואי פירק את הקנה המקורי והתקין מהנשק, הרכיב במקומו קנה אחר שאינו תקין ושילם לאברהים 500 ₪. </w:t>
      </w:r>
    </w:p>
    <w:p w14:paraId="161498BF" w14:textId="77777777" w:rsidR="00757ACC" w:rsidRDefault="00757ACC" w:rsidP="00757ACC">
      <w:pPr>
        <w:spacing w:line="360" w:lineRule="auto"/>
        <w:ind w:left="720" w:hanging="720"/>
        <w:jc w:val="both"/>
        <w:rPr>
          <w:rFonts w:ascii="David" w:hAnsi="David"/>
          <w:rtl/>
        </w:rPr>
      </w:pPr>
    </w:p>
    <w:p w14:paraId="2F34A29E" w14:textId="77777777" w:rsidR="00757ACC" w:rsidRPr="009435D9" w:rsidRDefault="00757ACC" w:rsidP="00757ACC">
      <w:pPr>
        <w:spacing w:line="360" w:lineRule="auto"/>
        <w:ind w:left="720" w:hanging="720"/>
        <w:jc w:val="both"/>
        <w:rPr>
          <w:rFonts w:ascii="David" w:hAnsi="David"/>
          <w:rtl/>
        </w:rPr>
      </w:pPr>
    </w:p>
    <w:p w14:paraId="114F48F7" w14:textId="77777777" w:rsidR="00757ACC" w:rsidRPr="009435D9" w:rsidRDefault="00757ACC" w:rsidP="00757ACC">
      <w:pPr>
        <w:spacing w:line="360" w:lineRule="auto"/>
        <w:ind w:left="720" w:hanging="720"/>
        <w:jc w:val="both"/>
        <w:rPr>
          <w:rFonts w:ascii="David" w:hAnsi="David"/>
          <w:u w:val="single"/>
          <w:rtl/>
        </w:rPr>
      </w:pPr>
      <w:r w:rsidRPr="009435D9">
        <w:rPr>
          <w:rFonts w:ascii="David" w:hAnsi="David"/>
          <w:rtl/>
        </w:rPr>
        <w:tab/>
      </w:r>
      <w:r w:rsidRPr="009435D9">
        <w:rPr>
          <w:rFonts w:ascii="David" w:hAnsi="David"/>
          <w:u w:val="single"/>
          <w:rtl/>
        </w:rPr>
        <w:t>אישום שלישי</w:t>
      </w:r>
    </w:p>
    <w:p w14:paraId="29AEDCBC"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ab/>
        <w:t xml:space="preserve">במהלך שנת 2019, הנאשם ביקש מפאהד לספק לו תחמושת מסוג 5.56 מ"מ, מחסניות של רובה </w:t>
      </w:r>
      <w:r w:rsidRPr="009435D9">
        <w:rPr>
          <w:rFonts w:ascii="David" w:hAnsi="David"/>
        </w:rPr>
        <w:t>M-16</w:t>
      </w:r>
      <w:r w:rsidRPr="009435D9">
        <w:rPr>
          <w:rFonts w:ascii="David" w:hAnsi="David"/>
          <w:rtl/>
        </w:rPr>
        <w:t xml:space="preserve"> ומכלול ל- </w:t>
      </w:r>
      <w:r w:rsidRPr="009435D9">
        <w:rPr>
          <w:rFonts w:ascii="David" w:hAnsi="David"/>
        </w:rPr>
        <w:t>M-16</w:t>
      </w:r>
      <w:r w:rsidRPr="009435D9">
        <w:rPr>
          <w:rFonts w:ascii="David" w:hAnsi="David"/>
          <w:rtl/>
        </w:rPr>
        <w:t xml:space="preserve">. ופאהד סיפק לנאשם 120 כדורי נשק מסוג 5.56 מ"מ </w:t>
      </w:r>
    </w:p>
    <w:p w14:paraId="3456EA32" w14:textId="77777777" w:rsidR="00757ACC" w:rsidRPr="009435D9" w:rsidRDefault="00757ACC" w:rsidP="00757ACC">
      <w:pPr>
        <w:spacing w:line="360" w:lineRule="auto"/>
        <w:ind w:left="720"/>
        <w:jc w:val="both"/>
        <w:rPr>
          <w:rFonts w:ascii="David" w:hAnsi="David"/>
          <w:rtl/>
        </w:rPr>
      </w:pPr>
      <w:r w:rsidRPr="009435D9">
        <w:rPr>
          <w:rFonts w:ascii="David" w:hAnsi="David"/>
          <w:rtl/>
        </w:rPr>
        <w:t xml:space="preserve">ו- 8 מחסניות של רובה </w:t>
      </w:r>
      <w:r w:rsidRPr="009435D9">
        <w:rPr>
          <w:rFonts w:ascii="David" w:hAnsi="David"/>
        </w:rPr>
        <w:t>M-16</w:t>
      </w:r>
      <w:r w:rsidRPr="009435D9">
        <w:rPr>
          <w:rFonts w:ascii="David" w:hAnsi="David"/>
          <w:rtl/>
        </w:rPr>
        <w:t xml:space="preserve">. </w:t>
      </w:r>
    </w:p>
    <w:p w14:paraId="05634819" w14:textId="77777777" w:rsidR="00757ACC" w:rsidRPr="009435D9" w:rsidRDefault="00757ACC" w:rsidP="00757ACC">
      <w:pPr>
        <w:spacing w:line="360" w:lineRule="auto"/>
        <w:ind w:left="720" w:hanging="720"/>
        <w:jc w:val="both"/>
        <w:rPr>
          <w:rFonts w:ascii="David" w:hAnsi="David"/>
          <w:rtl/>
        </w:rPr>
      </w:pPr>
    </w:p>
    <w:p w14:paraId="4CD1A8F2" w14:textId="77777777" w:rsidR="00757ACC" w:rsidRPr="009435D9" w:rsidRDefault="00757ACC" w:rsidP="00757ACC">
      <w:pPr>
        <w:spacing w:line="360" w:lineRule="auto"/>
        <w:ind w:left="720" w:hanging="720"/>
        <w:jc w:val="both"/>
        <w:rPr>
          <w:rFonts w:ascii="David" w:hAnsi="David"/>
          <w:u w:val="single"/>
          <w:rtl/>
        </w:rPr>
      </w:pPr>
      <w:r w:rsidRPr="009435D9">
        <w:rPr>
          <w:rFonts w:ascii="David" w:hAnsi="David"/>
          <w:rtl/>
        </w:rPr>
        <w:tab/>
      </w:r>
      <w:r w:rsidRPr="009435D9">
        <w:rPr>
          <w:rFonts w:ascii="David" w:hAnsi="David"/>
          <w:u w:val="single"/>
          <w:rtl/>
        </w:rPr>
        <w:t>אישום רביעי</w:t>
      </w:r>
    </w:p>
    <w:p w14:paraId="224B18CB"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ab/>
        <w:t xml:space="preserve">בחודש דצמבר 2019, הנאשם ביקש מפריג'את לנסוע עמו לחברון כדי לפגוש את סייף ולהביא ממנו חלקי נשק מסוג </w:t>
      </w:r>
      <w:r w:rsidRPr="009435D9">
        <w:rPr>
          <w:rFonts w:ascii="David" w:hAnsi="David"/>
        </w:rPr>
        <w:t>M-16</w:t>
      </w:r>
      <w:r w:rsidRPr="009435D9">
        <w:rPr>
          <w:rFonts w:ascii="David" w:hAnsi="David"/>
          <w:rtl/>
        </w:rPr>
        <w:t xml:space="preserve"> ולהובילם לארץ. ומיד בסמוך לכך נסעו השניים ברכבו של הנאשם לחברון, פגשו את סייף, ופריג'את קיבל ממנו שקית ובה חלק של רובה  </w:t>
      </w:r>
      <w:r w:rsidRPr="009435D9">
        <w:rPr>
          <w:rFonts w:ascii="David" w:hAnsi="David"/>
        </w:rPr>
        <w:t>M-16</w:t>
      </w:r>
      <w:r w:rsidRPr="009435D9">
        <w:rPr>
          <w:rFonts w:ascii="David" w:hAnsi="David"/>
          <w:rtl/>
        </w:rPr>
        <w:t xml:space="preserve"> ומסרה לנאשם. לאחר מכן הנאשם ופריג'את חזרו לישראל עם חלק הנשק הנ"ל.</w:t>
      </w:r>
    </w:p>
    <w:p w14:paraId="3602E529"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 xml:space="preserve"> </w:t>
      </w:r>
    </w:p>
    <w:p w14:paraId="281E1F53"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2.</w:t>
      </w:r>
      <w:r w:rsidRPr="009435D9">
        <w:rPr>
          <w:rFonts w:ascii="David" w:hAnsi="David"/>
          <w:rtl/>
        </w:rPr>
        <w:tab/>
        <w:t xml:space="preserve">על יסוד הודאת הנאשם בעובדות כאמור, הוא הורשע בשתי עבירות בנשק, לפי </w:t>
      </w:r>
      <w:hyperlink r:id="rId10" w:history="1">
        <w:r w:rsidR="00830693" w:rsidRPr="00830693">
          <w:rPr>
            <w:rStyle w:val="Hyperlink"/>
            <w:rFonts w:ascii="David" w:hAnsi="David"/>
            <w:color w:val="0000FF"/>
            <w:rtl/>
          </w:rPr>
          <w:t>סעיף 144(ב2)</w:t>
        </w:r>
      </w:hyperlink>
      <w:r w:rsidRPr="009435D9">
        <w:rPr>
          <w:rFonts w:ascii="David" w:hAnsi="David"/>
          <w:rtl/>
        </w:rPr>
        <w:t xml:space="preserve"> ב</w:t>
      </w:r>
      <w:hyperlink r:id="rId11" w:history="1">
        <w:r w:rsidR="001B5521" w:rsidRPr="001B5521">
          <w:rPr>
            <w:rFonts w:ascii="David" w:hAnsi="David"/>
            <w:color w:val="0000FF"/>
            <w:u w:val="single"/>
            <w:rtl/>
          </w:rPr>
          <w:t>חוק העונשין</w:t>
        </w:r>
      </w:hyperlink>
      <w:r w:rsidRPr="009435D9">
        <w:rPr>
          <w:rFonts w:ascii="David" w:hAnsi="David"/>
          <w:rtl/>
        </w:rPr>
        <w:t xml:space="preserve"> תשל"ז-1977 (להלן: "חוק העונשין"); בעבירת נשק לפי </w:t>
      </w:r>
      <w:hyperlink r:id="rId12" w:history="1">
        <w:r w:rsidR="00830693" w:rsidRPr="00830693">
          <w:rPr>
            <w:rStyle w:val="Hyperlink"/>
            <w:rFonts w:ascii="David" w:hAnsi="David"/>
            <w:color w:val="0000FF"/>
            <w:rtl/>
          </w:rPr>
          <w:t>סעיף 144(ב)</w:t>
        </w:r>
      </w:hyperlink>
      <w:r w:rsidRPr="009435D9">
        <w:rPr>
          <w:rFonts w:ascii="David" w:hAnsi="David"/>
          <w:rtl/>
        </w:rPr>
        <w:t xml:space="preserve"> סיפא בחוק העונשין; ובקשירת קשר לפשע, לפי </w:t>
      </w:r>
      <w:hyperlink r:id="rId13" w:history="1">
        <w:r w:rsidR="00830693" w:rsidRPr="00830693">
          <w:rPr>
            <w:rStyle w:val="Hyperlink"/>
            <w:rFonts w:ascii="David" w:hAnsi="David"/>
            <w:color w:val="0000FF"/>
            <w:rtl/>
          </w:rPr>
          <w:t>סעיף 499(א)(1)</w:t>
        </w:r>
      </w:hyperlink>
      <w:r w:rsidRPr="009435D9">
        <w:rPr>
          <w:rFonts w:ascii="David" w:hAnsi="David"/>
          <w:rtl/>
        </w:rPr>
        <w:t xml:space="preserve"> בחוק העונשין. </w:t>
      </w:r>
    </w:p>
    <w:p w14:paraId="26A48D4B" w14:textId="77777777" w:rsidR="00757ACC" w:rsidRPr="009435D9" w:rsidRDefault="00757ACC" w:rsidP="00757ACC">
      <w:pPr>
        <w:spacing w:line="360" w:lineRule="auto"/>
        <w:ind w:left="720" w:hanging="720"/>
        <w:jc w:val="both"/>
        <w:rPr>
          <w:rFonts w:ascii="David" w:hAnsi="David"/>
          <w:rtl/>
        </w:rPr>
      </w:pPr>
    </w:p>
    <w:p w14:paraId="11CD3D6E"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3.</w:t>
      </w:r>
      <w:r w:rsidRPr="009435D9">
        <w:rPr>
          <w:rFonts w:ascii="David" w:hAnsi="David"/>
          <w:rtl/>
        </w:rPr>
        <w:tab/>
        <w:t xml:space="preserve">במסגרת הסדר הטיעון הסכימו הצדדים להמליץ לבית המשפט להטיל  על הנאשם 42 חודשי מאסר בפועל מיום מעצרו, מאסר על תנאי וקנס בסך 100,000 ₪ שישולם ב- 40 תשלומים. </w:t>
      </w:r>
    </w:p>
    <w:p w14:paraId="09BA6DDF" w14:textId="77777777" w:rsidR="00757ACC" w:rsidRPr="009435D9" w:rsidRDefault="00757ACC" w:rsidP="00757ACC">
      <w:pPr>
        <w:spacing w:line="360" w:lineRule="auto"/>
        <w:ind w:left="720" w:hanging="720"/>
        <w:jc w:val="both"/>
        <w:rPr>
          <w:rFonts w:ascii="David" w:hAnsi="David"/>
          <w:rtl/>
        </w:rPr>
      </w:pPr>
    </w:p>
    <w:p w14:paraId="5015AD5F"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4.</w:t>
      </w:r>
      <w:r w:rsidRPr="009435D9">
        <w:rPr>
          <w:rFonts w:ascii="David" w:hAnsi="David"/>
          <w:rtl/>
        </w:rPr>
        <w:tab/>
        <w:t xml:space="preserve">התביעה ציינה שעניינו של הנאשם הוא חלק מפרשה במסגרתה הוגשו כתבי אישום נוספים, וכל הנאשמים בפרשה הודו במעשיהם, למעט הנאשם האחר בתיק זה שעניינו הופרד, ונאשם נוסף שבעניינו יוצג הסדר טיעון. עוד ציינה, שהסדר הטיעון מתחשב בהודאת הנאשם, בחסכון בזמן השיפוטי ובכך שהנאשם נעדר עבר פלילי. והדגישה שהעונש המוצע כולל קנס גבוה ועונש מאסר משמעותי. ועתרה לקבל את הסדר הטיעון. </w:t>
      </w:r>
    </w:p>
    <w:p w14:paraId="6AA8F98A" w14:textId="77777777" w:rsidR="00757ACC" w:rsidRPr="009435D9" w:rsidRDefault="00757ACC" w:rsidP="00757ACC">
      <w:pPr>
        <w:spacing w:line="360" w:lineRule="auto"/>
        <w:jc w:val="both"/>
        <w:rPr>
          <w:rFonts w:ascii="David" w:hAnsi="David"/>
          <w:rtl/>
        </w:rPr>
      </w:pPr>
    </w:p>
    <w:p w14:paraId="6F7A0FC7"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lastRenderedPageBreak/>
        <w:t>5.</w:t>
      </w:r>
      <w:r w:rsidRPr="009435D9">
        <w:rPr>
          <w:rFonts w:ascii="David" w:hAnsi="David"/>
          <w:rtl/>
        </w:rPr>
        <w:tab/>
        <w:t xml:space="preserve">ב"כ הנאשם הצטרף לדברי התביעה. טען כי העונש המוסכם נגזר מהעונשים שהוטלו על המעורבים האחרים בפרשה. הדגיש את החיסכון בזמן שיפוטי וציין שההסדר מנע את הצורך של התביעה להעיד בני משפחה אלה נגד אלה. וביקש לכבד את המלצת הצדדים. </w:t>
      </w:r>
    </w:p>
    <w:p w14:paraId="38BC2DAB" w14:textId="77777777" w:rsidR="00757ACC" w:rsidRPr="009435D9" w:rsidRDefault="00757ACC" w:rsidP="00757ACC">
      <w:pPr>
        <w:spacing w:line="360" w:lineRule="auto"/>
        <w:ind w:left="720" w:hanging="720"/>
        <w:jc w:val="both"/>
        <w:rPr>
          <w:rFonts w:ascii="David" w:hAnsi="David"/>
          <w:rtl/>
        </w:rPr>
      </w:pPr>
    </w:p>
    <w:p w14:paraId="2630D403"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6.</w:t>
      </w:r>
      <w:r w:rsidRPr="009435D9">
        <w:rPr>
          <w:rFonts w:ascii="David" w:hAnsi="David"/>
          <w:rtl/>
        </w:rPr>
        <w:tab/>
        <w:t xml:space="preserve">הנאשם הביע צער על מעשיו. </w:t>
      </w:r>
    </w:p>
    <w:p w14:paraId="3A42373B" w14:textId="77777777" w:rsidR="00757ACC" w:rsidRDefault="00757ACC" w:rsidP="00757ACC">
      <w:pPr>
        <w:spacing w:line="360" w:lineRule="auto"/>
        <w:ind w:left="720" w:hanging="720"/>
        <w:jc w:val="both"/>
        <w:rPr>
          <w:rFonts w:ascii="David" w:hAnsi="David"/>
          <w:rtl/>
        </w:rPr>
      </w:pPr>
    </w:p>
    <w:p w14:paraId="194D987F" w14:textId="77777777" w:rsidR="00757ACC" w:rsidRDefault="00757ACC" w:rsidP="00757ACC">
      <w:pPr>
        <w:spacing w:line="360" w:lineRule="auto"/>
        <w:ind w:left="720" w:hanging="720"/>
        <w:jc w:val="both"/>
        <w:rPr>
          <w:rFonts w:ascii="David" w:hAnsi="David"/>
          <w:rtl/>
        </w:rPr>
      </w:pPr>
    </w:p>
    <w:p w14:paraId="50DFED3E" w14:textId="77777777" w:rsidR="00757ACC" w:rsidRPr="009435D9" w:rsidRDefault="00757ACC" w:rsidP="00757ACC">
      <w:pPr>
        <w:spacing w:line="360" w:lineRule="auto"/>
        <w:ind w:left="720" w:hanging="720"/>
        <w:jc w:val="both"/>
        <w:rPr>
          <w:rFonts w:ascii="David" w:hAnsi="David"/>
          <w:rtl/>
        </w:rPr>
      </w:pPr>
    </w:p>
    <w:p w14:paraId="399D4AB3"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7.</w:t>
      </w:r>
      <w:r w:rsidRPr="009435D9">
        <w:rPr>
          <w:rFonts w:ascii="David" w:hAnsi="David"/>
          <w:rtl/>
        </w:rPr>
        <w:tab/>
        <w:t xml:space="preserve">כתב האישום מגולל פרשה חמורה מאוד, במסגרתה חברו יחד חיילי צה"ל ואזרחים, אשר סחרו בחלקי נשק תמורת בצע כסף. חומרה מיוחדת נעוצה בעובדה שבאירועים שונים, המעורבים פירקו מכלי נשק צהליים מכלולים מקוריים תקינים והכניסו במקומם מכלולים בלתי תקינים. כל בר דעת מבין את ההשלכות העלולות להיגרם ממעשים כאלה. </w:t>
      </w:r>
    </w:p>
    <w:p w14:paraId="6247936F" w14:textId="77777777" w:rsidR="00757ACC" w:rsidRPr="009435D9" w:rsidRDefault="00757ACC" w:rsidP="00757ACC">
      <w:pPr>
        <w:spacing w:line="360" w:lineRule="auto"/>
        <w:ind w:left="720" w:hanging="720"/>
        <w:jc w:val="both"/>
        <w:rPr>
          <w:rFonts w:ascii="David" w:hAnsi="David"/>
          <w:rtl/>
        </w:rPr>
      </w:pPr>
    </w:p>
    <w:p w14:paraId="6EF0046E" w14:textId="77777777" w:rsidR="00757ACC" w:rsidRPr="009435D9" w:rsidRDefault="00757ACC" w:rsidP="00757ACC">
      <w:pPr>
        <w:spacing w:line="360" w:lineRule="auto"/>
        <w:ind w:left="720"/>
        <w:jc w:val="both"/>
        <w:rPr>
          <w:rFonts w:ascii="David" w:hAnsi="David"/>
          <w:rtl/>
        </w:rPr>
      </w:pPr>
      <w:r w:rsidRPr="009435D9">
        <w:rPr>
          <w:rFonts w:ascii="David" w:hAnsi="David"/>
          <w:rtl/>
        </w:rPr>
        <w:t xml:space="preserve">באחד האירועים הנאשם יצא עם אחר לחברון ושם הם קיבלו מתושב המקום חלק של נשק והביאו אותו לשטחי ישראל. </w:t>
      </w:r>
    </w:p>
    <w:p w14:paraId="08E6DA83" w14:textId="77777777" w:rsidR="00757ACC" w:rsidRPr="009435D9" w:rsidRDefault="00757ACC" w:rsidP="00757ACC">
      <w:pPr>
        <w:spacing w:line="360" w:lineRule="auto"/>
        <w:jc w:val="both"/>
        <w:rPr>
          <w:rFonts w:ascii="David" w:hAnsi="David"/>
          <w:rtl/>
        </w:rPr>
      </w:pPr>
    </w:p>
    <w:p w14:paraId="1B599275"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8.</w:t>
      </w:r>
      <w:r w:rsidRPr="009435D9">
        <w:rPr>
          <w:rFonts w:ascii="David" w:hAnsi="David"/>
          <w:rtl/>
        </w:rPr>
        <w:tab/>
        <w:t xml:space="preserve">כלי נשק המוחזקים בידיים בלתי מורשות משמשים לביצוע עבירות ואף לפיגועי טרור, והסכנה הגלומה בתופעה חמורה ורבה. מצב דברים בו אזרחים מפתים חיילים למכור להם חלקי נשק המוחזקים בידם במסגרת שירותם הצבאי, מעורר דאגה רבה, שכן פוטנציאל הנזק שלו – במישורים שונים – גדול ביותר. </w:t>
      </w:r>
    </w:p>
    <w:p w14:paraId="56545530" w14:textId="77777777" w:rsidR="00757ACC" w:rsidRPr="009435D9" w:rsidRDefault="00757ACC" w:rsidP="00757ACC">
      <w:pPr>
        <w:spacing w:line="360" w:lineRule="auto"/>
        <w:jc w:val="both"/>
        <w:rPr>
          <w:rFonts w:ascii="David" w:hAnsi="David"/>
          <w:rtl/>
        </w:rPr>
      </w:pPr>
    </w:p>
    <w:p w14:paraId="7C550599"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9.</w:t>
      </w:r>
      <w:r w:rsidRPr="009435D9">
        <w:rPr>
          <w:rFonts w:ascii="David" w:hAnsi="David"/>
          <w:rtl/>
        </w:rPr>
        <w:tab/>
        <w:t xml:space="preserve">נוכח מרכיבי חומרה אלה, מוצדק להטיל על הנאשם ענישה הכוללת מאסר לתקופה משמעותית. </w:t>
      </w:r>
    </w:p>
    <w:p w14:paraId="64C4C5C0" w14:textId="77777777" w:rsidR="00757ACC" w:rsidRPr="009435D9" w:rsidRDefault="00757ACC" w:rsidP="00757ACC">
      <w:pPr>
        <w:spacing w:line="360" w:lineRule="auto"/>
        <w:ind w:left="720" w:hanging="720"/>
        <w:jc w:val="both"/>
        <w:rPr>
          <w:rFonts w:ascii="David" w:hAnsi="David"/>
          <w:rtl/>
        </w:rPr>
      </w:pPr>
    </w:p>
    <w:p w14:paraId="6BE34AA9" w14:textId="77777777" w:rsidR="00757ACC" w:rsidRPr="009435D9" w:rsidRDefault="00757ACC" w:rsidP="00757ACC">
      <w:pPr>
        <w:spacing w:line="360" w:lineRule="auto"/>
        <w:ind w:left="720" w:hanging="720"/>
        <w:jc w:val="both"/>
        <w:rPr>
          <w:rFonts w:ascii="David" w:hAnsi="David"/>
          <w:rtl/>
        </w:rPr>
      </w:pPr>
      <w:r w:rsidRPr="009435D9">
        <w:rPr>
          <w:rFonts w:ascii="David" w:hAnsi="David"/>
          <w:rtl/>
        </w:rPr>
        <w:t xml:space="preserve">10. </w:t>
      </w:r>
      <w:r w:rsidRPr="009435D9">
        <w:rPr>
          <w:rFonts w:ascii="David" w:hAnsi="David"/>
          <w:rtl/>
        </w:rPr>
        <w:tab/>
        <w:t>לאחר ששקלתי בדבר, באתי למסקנה כי יש לכבד את הסדר הטיעון:</w:t>
      </w:r>
    </w:p>
    <w:p w14:paraId="09B43587" w14:textId="77777777" w:rsidR="00757ACC" w:rsidRPr="009435D9" w:rsidRDefault="00757ACC" w:rsidP="00757ACC">
      <w:pPr>
        <w:spacing w:line="360" w:lineRule="auto"/>
        <w:ind w:left="1440" w:hanging="720"/>
        <w:jc w:val="both"/>
        <w:rPr>
          <w:rFonts w:ascii="David" w:hAnsi="David"/>
          <w:rtl/>
        </w:rPr>
      </w:pPr>
      <w:r w:rsidRPr="009435D9">
        <w:rPr>
          <w:rFonts w:ascii="David" w:hAnsi="David"/>
          <w:b/>
          <w:rtl/>
        </w:rPr>
        <w:t>א.</w:t>
      </w:r>
      <w:r w:rsidRPr="009435D9">
        <w:rPr>
          <w:rFonts w:ascii="David" w:hAnsi="David"/>
          <w:b/>
          <w:rtl/>
        </w:rPr>
        <w:tab/>
        <w:t xml:space="preserve">"הסדר טיעון </w:t>
      </w:r>
      <w:r w:rsidRPr="009435D9">
        <w:rPr>
          <w:rFonts w:ascii="David" w:hAnsi="David"/>
          <w:rtl/>
        </w:rPr>
        <w:t>– באשר הוא – אינו רק שיקול אחד ככל יתר השיקולים העומדים בפני בית</w:t>
      </w:r>
      <w:r w:rsidRPr="009435D9">
        <w:rPr>
          <w:rFonts w:ascii="David" w:hAnsi="David"/>
          <w:vertAlign w:val="superscript"/>
          <w:rtl/>
        </w:rPr>
        <w:t>-</w:t>
      </w:r>
      <w:r w:rsidRPr="009435D9">
        <w:rPr>
          <w:rFonts w:ascii="David" w:hAnsi="David"/>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9435D9">
        <w:rPr>
          <w:rFonts w:ascii="David" w:hAnsi="David"/>
          <w:vertAlign w:val="superscript"/>
          <w:rtl/>
        </w:rPr>
        <w:t>-</w:t>
      </w:r>
      <w:r w:rsidRPr="009435D9">
        <w:rPr>
          <w:rFonts w:ascii="David" w:hAnsi="David"/>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9435D9">
        <w:rPr>
          <w:rFonts w:ascii="David" w:hAnsi="David"/>
          <w:vertAlign w:val="superscript"/>
          <w:rtl/>
        </w:rPr>
        <w:t>-</w:t>
      </w:r>
      <w:r w:rsidRPr="009435D9">
        <w:rPr>
          <w:rFonts w:ascii="David" w:hAnsi="David"/>
          <w:rtl/>
        </w:rPr>
        <w:t>המשפט יראה לקיים את הסדר הטיעון בשל הטעמים הקשורים בחשיבותם ובמעמדם של הסדרי הטיעון". - ע"פ 1958/98‏ פלוני נ' מדינת ישראל, פ''ד נז(1) 577</w:t>
      </w:r>
    </w:p>
    <w:p w14:paraId="61762088" w14:textId="77777777" w:rsidR="00757ACC" w:rsidRPr="009435D9" w:rsidRDefault="00757ACC" w:rsidP="00757ACC">
      <w:pPr>
        <w:spacing w:line="360" w:lineRule="auto"/>
        <w:ind w:firstLine="720"/>
        <w:jc w:val="both"/>
        <w:rPr>
          <w:rFonts w:ascii="David" w:hAnsi="David"/>
        </w:rPr>
      </w:pPr>
      <w:r w:rsidRPr="009435D9">
        <w:rPr>
          <w:rFonts w:ascii="David" w:hAnsi="David"/>
          <w:rtl/>
        </w:rPr>
        <w:t>ב.</w:t>
      </w:r>
      <w:r w:rsidRPr="009435D9">
        <w:rPr>
          <w:rFonts w:ascii="David" w:hAnsi="David"/>
          <w:rtl/>
        </w:rPr>
        <w:tab/>
        <w:t>הרקע להסדר הטיעון, ענייני וסביר.</w:t>
      </w:r>
    </w:p>
    <w:p w14:paraId="0BCAECDB" w14:textId="77777777" w:rsidR="00757ACC" w:rsidRPr="009435D9" w:rsidRDefault="00757ACC" w:rsidP="00757ACC">
      <w:pPr>
        <w:spacing w:line="360" w:lineRule="auto"/>
        <w:ind w:left="1440" w:hanging="720"/>
        <w:jc w:val="both"/>
        <w:rPr>
          <w:rFonts w:ascii="David" w:hAnsi="David"/>
        </w:rPr>
      </w:pPr>
      <w:r w:rsidRPr="009435D9">
        <w:rPr>
          <w:rFonts w:ascii="David" w:hAnsi="David"/>
          <w:rtl/>
        </w:rPr>
        <w:lastRenderedPageBreak/>
        <w:t>ג.</w:t>
      </w:r>
      <w:r w:rsidRPr="009435D9">
        <w:rPr>
          <w:rFonts w:ascii="David" w:hAnsi="David"/>
          <w:rtl/>
        </w:rPr>
        <w:tab/>
        <w:t>העונש המוצע כולל מאסר ממשי וקנס משמעותי. יש בו לתרום להרתעת הנאשם והציבור. והוא מושפע מהעונשים שנגזרו על מעורבים אחרים בפרשה.</w:t>
      </w:r>
    </w:p>
    <w:p w14:paraId="02ED532C" w14:textId="77777777" w:rsidR="00757ACC" w:rsidRPr="009435D9" w:rsidRDefault="00757ACC" w:rsidP="00757ACC">
      <w:pPr>
        <w:spacing w:line="360" w:lineRule="auto"/>
        <w:ind w:left="1440" w:hanging="720"/>
        <w:jc w:val="both"/>
        <w:rPr>
          <w:rFonts w:ascii="David" w:hAnsi="David"/>
        </w:rPr>
      </w:pPr>
      <w:r w:rsidRPr="009435D9">
        <w:rPr>
          <w:rFonts w:ascii="David" w:hAnsi="David"/>
          <w:rtl/>
        </w:rPr>
        <w:t>ד.</w:t>
      </w:r>
      <w:r w:rsidRPr="009435D9">
        <w:rPr>
          <w:rFonts w:ascii="David" w:hAnsi="David"/>
          <w:rtl/>
        </w:rPr>
        <w:tab/>
        <w:t xml:space="preserve">הנאשם נעדר עבר פלילי. זהו מאסרו הראשון. הוא הודה במיוחס לו וחסך זמן את הצורך בהעדת עדי התביעה ובהם בני משפחתו. </w:t>
      </w:r>
    </w:p>
    <w:p w14:paraId="659C68A4" w14:textId="77777777" w:rsidR="00757ACC" w:rsidRDefault="00757ACC" w:rsidP="00757ACC">
      <w:pPr>
        <w:spacing w:line="360" w:lineRule="auto"/>
        <w:ind w:left="720" w:hanging="720"/>
        <w:jc w:val="both"/>
        <w:rPr>
          <w:rFonts w:ascii="David" w:hAnsi="David"/>
          <w:rtl/>
        </w:rPr>
      </w:pPr>
    </w:p>
    <w:p w14:paraId="3C675B7C" w14:textId="77777777" w:rsidR="00757ACC" w:rsidRPr="009435D9" w:rsidRDefault="00757ACC" w:rsidP="00757ACC">
      <w:pPr>
        <w:spacing w:line="360" w:lineRule="auto"/>
        <w:ind w:left="720" w:hanging="720"/>
        <w:jc w:val="both"/>
        <w:rPr>
          <w:rFonts w:ascii="David" w:hAnsi="David"/>
          <w:rtl/>
        </w:rPr>
      </w:pPr>
    </w:p>
    <w:p w14:paraId="642D70D9" w14:textId="77777777" w:rsidR="00757ACC" w:rsidRDefault="00757ACC" w:rsidP="00757ACC">
      <w:pPr>
        <w:spacing w:line="360" w:lineRule="auto"/>
        <w:jc w:val="both"/>
        <w:rPr>
          <w:rFonts w:ascii="David" w:hAnsi="David"/>
          <w:color w:val="000000"/>
          <w:rtl/>
        </w:rPr>
      </w:pPr>
      <w:r w:rsidRPr="009435D9">
        <w:rPr>
          <w:rFonts w:ascii="David" w:hAnsi="David"/>
          <w:color w:val="000000"/>
          <w:rtl/>
        </w:rPr>
        <w:t>11.</w:t>
      </w:r>
      <w:r w:rsidRPr="009435D9">
        <w:rPr>
          <w:rFonts w:ascii="David" w:hAnsi="David"/>
          <w:color w:val="000000"/>
          <w:rtl/>
        </w:rPr>
        <w:tab/>
        <w:t>נוכח כל האמור, אני מטיל על הנאשם את העונשים הבאים:</w:t>
      </w:r>
    </w:p>
    <w:p w14:paraId="3E4F15A4" w14:textId="77777777" w:rsidR="00757ACC" w:rsidRPr="009435D9" w:rsidRDefault="00757ACC" w:rsidP="00757ACC">
      <w:pPr>
        <w:spacing w:line="360" w:lineRule="auto"/>
        <w:jc w:val="both"/>
        <w:rPr>
          <w:rFonts w:ascii="David" w:hAnsi="David"/>
          <w:color w:val="000000"/>
          <w:rtl/>
        </w:rPr>
      </w:pPr>
    </w:p>
    <w:p w14:paraId="7AFE0220" w14:textId="77777777" w:rsidR="00757ACC" w:rsidRPr="009435D9" w:rsidRDefault="00757ACC" w:rsidP="00757ACC">
      <w:pPr>
        <w:spacing w:line="360" w:lineRule="auto"/>
        <w:ind w:left="1440" w:hanging="720"/>
        <w:jc w:val="both"/>
        <w:rPr>
          <w:rFonts w:ascii="David" w:hAnsi="David"/>
          <w:color w:val="000000"/>
          <w:rtl/>
        </w:rPr>
      </w:pPr>
      <w:r w:rsidRPr="009435D9">
        <w:rPr>
          <w:rFonts w:ascii="David" w:hAnsi="David"/>
          <w:color w:val="000000"/>
          <w:rtl/>
        </w:rPr>
        <w:t>א.</w:t>
      </w:r>
      <w:r w:rsidRPr="009435D9">
        <w:rPr>
          <w:rFonts w:ascii="David" w:hAnsi="David"/>
          <w:color w:val="000000"/>
          <w:rtl/>
        </w:rPr>
        <w:tab/>
        <w:t xml:space="preserve">42 חודשי מאסר בפועל, מיום מעצרו. </w:t>
      </w:r>
    </w:p>
    <w:p w14:paraId="7DA485C0" w14:textId="77777777" w:rsidR="00757ACC" w:rsidRPr="009435D9" w:rsidRDefault="00757ACC" w:rsidP="00757ACC">
      <w:pPr>
        <w:spacing w:line="360" w:lineRule="auto"/>
        <w:ind w:left="1440" w:hanging="720"/>
        <w:jc w:val="both"/>
        <w:rPr>
          <w:rFonts w:ascii="David" w:hAnsi="David"/>
          <w:color w:val="000000"/>
          <w:rtl/>
        </w:rPr>
      </w:pPr>
      <w:r w:rsidRPr="009435D9">
        <w:rPr>
          <w:rFonts w:ascii="David" w:hAnsi="David"/>
          <w:color w:val="000000"/>
          <w:rtl/>
        </w:rPr>
        <w:t xml:space="preserve">ב. </w:t>
      </w:r>
      <w:r w:rsidRPr="009435D9">
        <w:rPr>
          <w:rFonts w:ascii="David" w:hAnsi="David"/>
          <w:color w:val="000000"/>
          <w:rtl/>
        </w:rPr>
        <w:tab/>
        <w:t xml:space="preserve">12 חודשי מאסר על תנאי למשך 3 שנים מיום שחרורו מהמאסר, שלא יעבור עבירת נשק שהיא פשע. </w:t>
      </w:r>
    </w:p>
    <w:p w14:paraId="2BAC07F8" w14:textId="77777777" w:rsidR="00757ACC" w:rsidRPr="009435D9" w:rsidRDefault="00757ACC" w:rsidP="00757ACC">
      <w:pPr>
        <w:spacing w:line="360" w:lineRule="auto"/>
        <w:ind w:left="1440" w:hanging="720"/>
        <w:jc w:val="both"/>
        <w:rPr>
          <w:rFonts w:ascii="David" w:hAnsi="David"/>
          <w:color w:val="000000"/>
          <w:rtl/>
        </w:rPr>
      </w:pPr>
      <w:r w:rsidRPr="009435D9">
        <w:rPr>
          <w:rFonts w:ascii="David" w:hAnsi="David"/>
          <w:color w:val="000000"/>
          <w:rtl/>
        </w:rPr>
        <w:t xml:space="preserve">ג. </w:t>
      </w:r>
      <w:r w:rsidRPr="009435D9">
        <w:rPr>
          <w:rFonts w:ascii="David" w:hAnsi="David"/>
          <w:color w:val="000000"/>
          <w:rtl/>
        </w:rPr>
        <w:tab/>
        <w:t xml:space="preserve">קנס בסך 100,000 ₪ או 10 חודשי מאסר תחתיו. הקנס ישולם ב- 40 תשלומים חודשיים שווים ורצופים החל מיום 1.8.20 . תשלום שלא ישולם במועדו יעמיד את כל יתרת הסכום לפרעון מיידי. </w:t>
      </w:r>
    </w:p>
    <w:p w14:paraId="01BA7A42" w14:textId="77777777" w:rsidR="00757ACC" w:rsidRPr="009435D9" w:rsidRDefault="00757ACC" w:rsidP="00757ACC">
      <w:pPr>
        <w:spacing w:line="360" w:lineRule="auto"/>
        <w:ind w:left="1440" w:hanging="720"/>
        <w:jc w:val="both"/>
        <w:rPr>
          <w:rFonts w:ascii="David" w:hAnsi="David"/>
          <w:color w:val="000000"/>
          <w:rtl/>
        </w:rPr>
      </w:pPr>
    </w:p>
    <w:p w14:paraId="69F0DC30" w14:textId="77777777" w:rsidR="00757ACC" w:rsidRPr="009435D9" w:rsidRDefault="00757ACC" w:rsidP="00757ACC">
      <w:pPr>
        <w:spacing w:line="360" w:lineRule="auto"/>
        <w:ind w:left="1440" w:hanging="720"/>
        <w:jc w:val="both"/>
        <w:rPr>
          <w:rFonts w:ascii="David" w:hAnsi="David"/>
          <w:color w:val="000000"/>
          <w:rtl/>
        </w:rPr>
      </w:pPr>
      <w:r w:rsidRPr="009435D9">
        <w:rPr>
          <w:rFonts w:ascii="David" w:hAnsi="David"/>
          <w:color w:val="000000"/>
          <w:rtl/>
        </w:rPr>
        <w:t xml:space="preserve">מזכירות בית המשפט מתבקשת למסור לידי ב"כ הנאשם כבר כעת, את שוברי תשלום </w:t>
      </w:r>
    </w:p>
    <w:p w14:paraId="583C0FB4" w14:textId="77777777" w:rsidR="00757ACC" w:rsidRPr="009435D9" w:rsidRDefault="00757ACC" w:rsidP="00757ACC">
      <w:pPr>
        <w:spacing w:line="360" w:lineRule="auto"/>
        <w:ind w:left="1440" w:hanging="720"/>
        <w:jc w:val="both"/>
        <w:rPr>
          <w:rFonts w:ascii="David" w:hAnsi="David"/>
          <w:color w:val="000000"/>
          <w:rtl/>
        </w:rPr>
      </w:pPr>
      <w:r w:rsidRPr="009435D9">
        <w:rPr>
          <w:rFonts w:ascii="David" w:hAnsi="David"/>
          <w:color w:val="000000"/>
          <w:rtl/>
        </w:rPr>
        <w:t xml:space="preserve">הקנס. </w:t>
      </w:r>
    </w:p>
    <w:p w14:paraId="13335D50" w14:textId="77777777" w:rsidR="00757ACC" w:rsidRPr="009435D9" w:rsidRDefault="00757ACC" w:rsidP="00757ACC">
      <w:pPr>
        <w:spacing w:line="360" w:lineRule="auto"/>
        <w:ind w:left="1440" w:hanging="720"/>
        <w:jc w:val="both"/>
        <w:rPr>
          <w:rFonts w:ascii="David" w:hAnsi="David"/>
          <w:color w:val="000000"/>
          <w:rtl/>
        </w:rPr>
      </w:pPr>
    </w:p>
    <w:p w14:paraId="348F6F46" w14:textId="77777777" w:rsidR="00757ACC" w:rsidRDefault="00757ACC" w:rsidP="00757ACC">
      <w:pPr>
        <w:spacing w:line="360" w:lineRule="auto"/>
        <w:ind w:left="1440" w:hanging="720"/>
        <w:jc w:val="both"/>
        <w:rPr>
          <w:rFonts w:ascii="David" w:hAnsi="David"/>
          <w:color w:val="000000"/>
          <w:rtl/>
        </w:rPr>
      </w:pPr>
    </w:p>
    <w:p w14:paraId="7DACA685" w14:textId="77777777" w:rsidR="00757ACC" w:rsidRDefault="00757ACC" w:rsidP="00757ACC">
      <w:pPr>
        <w:spacing w:line="360" w:lineRule="auto"/>
        <w:ind w:left="1440" w:hanging="720"/>
        <w:jc w:val="both"/>
        <w:rPr>
          <w:rFonts w:ascii="David" w:hAnsi="David"/>
          <w:color w:val="000000"/>
          <w:rtl/>
        </w:rPr>
      </w:pPr>
    </w:p>
    <w:p w14:paraId="637D3134" w14:textId="77777777" w:rsidR="00757ACC" w:rsidRDefault="00757ACC" w:rsidP="00757ACC">
      <w:pPr>
        <w:spacing w:line="360" w:lineRule="auto"/>
        <w:ind w:left="1440" w:hanging="720"/>
        <w:jc w:val="both"/>
        <w:rPr>
          <w:rFonts w:ascii="David" w:hAnsi="David"/>
          <w:b/>
          <w:bCs/>
          <w:color w:val="000000"/>
          <w:rtl/>
        </w:rPr>
      </w:pPr>
      <w:r w:rsidRPr="009435D9">
        <w:rPr>
          <w:rFonts w:ascii="David" w:hAnsi="David"/>
          <w:b/>
          <w:bCs/>
          <w:color w:val="000000"/>
          <w:rtl/>
        </w:rPr>
        <w:t>זכות ערעור תוך 45 יום.</w:t>
      </w:r>
    </w:p>
    <w:p w14:paraId="54D57F84" w14:textId="77777777" w:rsidR="00757ACC" w:rsidRDefault="00757ACC" w:rsidP="00757ACC">
      <w:pPr>
        <w:spacing w:line="360" w:lineRule="auto"/>
        <w:ind w:left="1440" w:hanging="720"/>
        <w:jc w:val="both"/>
        <w:rPr>
          <w:rFonts w:ascii="David" w:hAnsi="David"/>
          <w:b/>
          <w:bCs/>
          <w:color w:val="000000"/>
          <w:rtl/>
        </w:rPr>
      </w:pPr>
    </w:p>
    <w:p w14:paraId="1D89CCD0" w14:textId="77777777" w:rsidR="00757ACC" w:rsidRDefault="00757ACC" w:rsidP="00757ACC">
      <w:pPr>
        <w:rPr>
          <w:rtl/>
        </w:rPr>
      </w:pPr>
    </w:p>
    <w:p w14:paraId="4A830394" w14:textId="77777777" w:rsidR="00757ACC" w:rsidRPr="001B5521" w:rsidRDefault="001B5521" w:rsidP="00757ACC">
      <w:pPr>
        <w:spacing w:line="360" w:lineRule="auto"/>
        <w:ind w:left="1440" w:hanging="720"/>
        <w:jc w:val="both"/>
        <w:rPr>
          <w:rFonts w:ascii="David" w:hAnsi="David"/>
          <w:b/>
          <w:bCs/>
          <w:color w:val="FFFFFF"/>
          <w:sz w:val="2"/>
          <w:szCs w:val="2"/>
          <w:rtl/>
        </w:rPr>
      </w:pPr>
      <w:r w:rsidRPr="001B5521">
        <w:rPr>
          <w:rFonts w:ascii="David" w:hAnsi="David"/>
          <w:b/>
          <w:bCs/>
          <w:color w:val="FFFFFF"/>
          <w:sz w:val="2"/>
          <w:szCs w:val="2"/>
          <w:rtl/>
        </w:rPr>
        <w:t>5129371</w:t>
      </w:r>
    </w:p>
    <w:tbl>
      <w:tblPr>
        <w:bidiVisual/>
        <w:tblW w:w="0" w:type="auto"/>
        <w:tblInd w:w="5830" w:type="dxa"/>
        <w:tblLook w:val="01E0" w:firstRow="1" w:lastRow="1" w:firstColumn="1" w:lastColumn="1" w:noHBand="0" w:noVBand="0"/>
      </w:tblPr>
      <w:tblGrid>
        <w:gridCol w:w="2496"/>
      </w:tblGrid>
      <w:tr w:rsidR="00757ACC" w14:paraId="23D33143" w14:textId="77777777" w:rsidTr="00757ACC">
        <w:trPr>
          <w:trHeight w:val="1352"/>
        </w:trPr>
        <w:tc>
          <w:tcPr>
            <w:tcW w:w="2496" w:type="dxa"/>
            <w:tcBorders>
              <w:top w:val="nil"/>
              <w:left w:val="nil"/>
              <w:bottom w:val="single" w:sz="4" w:space="0" w:color="auto"/>
              <w:right w:val="nil"/>
            </w:tcBorders>
            <w:shd w:val="clear" w:color="auto" w:fill="auto"/>
            <w:vAlign w:val="center"/>
          </w:tcPr>
          <w:p w14:paraId="1F2D3190" w14:textId="77777777" w:rsidR="00757ACC" w:rsidRPr="001B5521" w:rsidRDefault="001B5521" w:rsidP="00757ACC">
            <w:pPr>
              <w:jc w:val="center"/>
              <w:rPr>
                <w:rFonts w:ascii="Courier New" w:hAnsi="Courier New"/>
                <w:b/>
                <w:bCs/>
                <w:color w:val="FFFFFF"/>
                <w:sz w:val="2"/>
                <w:szCs w:val="2"/>
              </w:rPr>
            </w:pPr>
            <w:r w:rsidRPr="001B5521">
              <w:rPr>
                <w:rFonts w:ascii="Courier New" w:hAnsi="Courier New"/>
                <w:b/>
                <w:bCs/>
                <w:color w:val="FFFFFF"/>
                <w:sz w:val="2"/>
                <w:szCs w:val="2"/>
                <w:rtl/>
              </w:rPr>
              <w:t>54678313</w:t>
            </w:r>
          </w:p>
        </w:tc>
      </w:tr>
      <w:tr w:rsidR="00757ACC" w14:paraId="714F80AB" w14:textId="77777777" w:rsidTr="00757ACC">
        <w:trPr>
          <w:trHeight w:val="511"/>
        </w:trPr>
        <w:tc>
          <w:tcPr>
            <w:tcW w:w="2496" w:type="dxa"/>
            <w:tcBorders>
              <w:top w:val="single" w:sz="4" w:space="0" w:color="auto"/>
              <w:left w:val="nil"/>
              <w:bottom w:val="nil"/>
              <w:right w:val="nil"/>
            </w:tcBorders>
            <w:shd w:val="clear" w:color="auto" w:fill="auto"/>
          </w:tcPr>
          <w:p w14:paraId="7815A9E8" w14:textId="77777777" w:rsidR="00757ACC" w:rsidRPr="00757ACC" w:rsidRDefault="00757ACC" w:rsidP="00757ACC">
            <w:pPr>
              <w:jc w:val="center"/>
              <w:rPr>
                <w:rFonts w:ascii="Courier New" w:hAnsi="Courier New"/>
                <w:b/>
                <w:bCs/>
              </w:rPr>
            </w:pPr>
            <w:r w:rsidRPr="00757ACC">
              <w:rPr>
                <w:rFonts w:ascii="Courier New" w:hAnsi="Courier New" w:hint="cs"/>
                <w:b/>
                <w:bCs/>
                <w:rtl/>
              </w:rPr>
              <w:t>אליהו ביתן, שופט</w:t>
            </w:r>
          </w:p>
          <w:p w14:paraId="72242FED" w14:textId="77777777" w:rsidR="00757ACC" w:rsidRPr="00757ACC" w:rsidRDefault="00757ACC" w:rsidP="00757ACC">
            <w:pPr>
              <w:jc w:val="center"/>
              <w:rPr>
                <w:rFonts w:ascii="Courier New" w:hAnsi="Courier New"/>
                <w:b/>
                <w:bCs/>
              </w:rPr>
            </w:pPr>
            <w:r w:rsidRPr="00757ACC">
              <w:rPr>
                <w:rFonts w:ascii="Courier New" w:hAnsi="Courier New" w:hint="cs"/>
                <w:b/>
                <w:bCs/>
                <w:rtl/>
              </w:rPr>
              <w:t>סגן הנשיאה</w:t>
            </w:r>
          </w:p>
        </w:tc>
      </w:tr>
    </w:tbl>
    <w:p w14:paraId="12081DC7" w14:textId="77777777" w:rsidR="00757ACC" w:rsidRPr="00830693" w:rsidRDefault="00830693" w:rsidP="00757ACC">
      <w:pPr>
        <w:spacing w:line="360" w:lineRule="auto"/>
        <w:ind w:left="1440" w:hanging="720"/>
        <w:jc w:val="both"/>
        <w:rPr>
          <w:rFonts w:ascii="David" w:hAnsi="David"/>
          <w:b/>
          <w:bCs/>
          <w:color w:val="FFFFFF"/>
          <w:sz w:val="2"/>
          <w:szCs w:val="2"/>
          <w:rtl/>
        </w:rPr>
      </w:pPr>
      <w:r w:rsidRPr="00830693">
        <w:rPr>
          <w:rFonts w:ascii="David" w:hAnsi="David"/>
          <w:b/>
          <w:bCs/>
          <w:color w:val="FFFFFF"/>
          <w:sz w:val="2"/>
          <w:szCs w:val="2"/>
          <w:rtl/>
        </w:rPr>
        <w:t>5129371</w:t>
      </w:r>
    </w:p>
    <w:p w14:paraId="5C6B264B" w14:textId="77777777" w:rsidR="00887D32" w:rsidRPr="00830693" w:rsidRDefault="00830693" w:rsidP="001B5521">
      <w:pPr>
        <w:keepNext/>
        <w:rPr>
          <w:rFonts w:ascii="David" w:hAnsi="David"/>
          <w:color w:val="FFFFFF"/>
          <w:sz w:val="2"/>
          <w:szCs w:val="2"/>
          <w:rtl/>
        </w:rPr>
      </w:pPr>
      <w:r w:rsidRPr="00830693">
        <w:rPr>
          <w:rFonts w:ascii="David" w:hAnsi="David"/>
          <w:color w:val="FFFFFF"/>
          <w:sz w:val="2"/>
          <w:szCs w:val="2"/>
          <w:rtl/>
        </w:rPr>
        <w:t>54678313</w:t>
      </w:r>
    </w:p>
    <w:p w14:paraId="15A904A2" w14:textId="77777777" w:rsidR="001B5521" w:rsidRDefault="001B5521" w:rsidP="001B5521">
      <w:pPr>
        <w:rPr>
          <w:rtl/>
        </w:rPr>
      </w:pPr>
    </w:p>
    <w:p w14:paraId="10237839" w14:textId="77777777" w:rsidR="001B5521" w:rsidRDefault="001B5521" w:rsidP="001B5521">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3BC7CD1E" w14:textId="77777777" w:rsidR="00830693" w:rsidRPr="00830693" w:rsidRDefault="00830693" w:rsidP="00830693">
      <w:pPr>
        <w:keepNext/>
        <w:rPr>
          <w:rFonts w:ascii="David" w:hAnsi="David"/>
          <w:color w:val="000000"/>
          <w:sz w:val="22"/>
          <w:szCs w:val="22"/>
          <w:rtl/>
        </w:rPr>
      </w:pPr>
    </w:p>
    <w:p w14:paraId="7B14CA64" w14:textId="77777777" w:rsidR="00830693" w:rsidRPr="00830693" w:rsidRDefault="00830693" w:rsidP="00830693">
      <w:pPr>
        <w:keepNext/>
        <w:rPr>
          <w:rFonts w:ascii="David" w:hAnsi="David"/>
          <w:color w:val="000000"/>
          <w:sz w:val="22"/>
          <w:szCs w:val="22"/>
          <w:rtl/>
        </w:rPr>
      </w:pPr>
      <w:r w:rsidRPr="00830693">
        <w:rPr>
          <w:rFonts w:ascii="David" w:hAnsi="David"/>
          <w:color w:val="000000"/>
          <w:sz w:val="22"/>
          <w:szCs w:val="22"/>
          <w:rtl/>
        </w:rPr>
        <w:t>אליהו ביתן  54678313-/</w:t>
      </w:r>
    </w:p>
    <w:p w14:paraId="67A55E01" w14:textId="77777777" w:rsidR="001B5521" w:rsidRPr="001B5521" w:rsidRDefault="00830693" w:rsidP="00830693">
      <w:pPr>
        <w:rPr>
          <w:color w:val="0000FF"/>
          <w:u w:val="single"/>
        </w:rPr>
      </w:pPr>
      <w:r w:rsidRPr="00830693">
        <w:rPr>
          <w:color w:val="000000"/>
          <w:u w:val="single"/>
          <w:rtl/>
        </w:rPr>
        <w:t>נוסח מסמך זה כפוף לשינויי ניסוח ועריכה</w:t>
      </w:r>
    </w:p>
    <w:sectPr w:rsidR="001B5521" w:rsidRPr="001B5521" w:rsidSect="00830693">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4EC56" w14:textId="77777777" w:rsidR="000F5762" w:rsidRDefault="000F5762" w:rsidP="00471990">
      <w:r>
        <w:separator/>
      </w:r>
    </w:p>
  </w:endnote>
  <w:endnote w:type="continuationSeparator" w:id="0">
    <w:p w14:paraId="562C86BD" w14:textId="77777777" w:rsidR="000F5762" w:rsidRDefault="000F5762" w:rsidP="0047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0A2D3" w14:textId="77777777" w:rsidR="00830693" w:rsidRDefault="00830693" w:rsidP="008306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D33BF1" w14:textId="77777777" w:rsidR="00F16F7B" w:rsidRPr="00830693" w:rsidRDefault="00830693" w:rsidP="00830693">
    <w:pPr>
      <w:pStyle w:val="a5"/>
      <w:pBdr>
        <w:top w:val="single" w:sz="4" w:space="1" w:color="auto"/>
        <w:between w:val="single" w:sz="4" w:space="0" w:color="auto"/>
      </w:pBdr>
      <w:spacing w:after="60"/>
      <w:jc w:val="center"/>
      <w:rPr>
        <w:rFonts w:ascii="FrankRuehl" w:hAnsi="FrankRuehl" w:cs="FrankRuehl"/>
        <w:color w:val="000000"/>
      </w:rPr>
    </w:pPr>
    <w:r w:rsidRPr="008306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ED6B6" w14:textId="77777777" w:rsidR="00830693" w:rsidRDefault="00830693" w:rsidP="008306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40B6">
      <w:rPr>
        <w:rFonts w:ascii="FrankRuehl" w:hAnsi="FrankRuehl" w:cs="FrankRuehl"/>
        <w:noProof/>
        <w:rtl/>
      </w:rPr>
      <w:t>1</w:t>
    </w:r>
    <w:r>
      <w:rPr>
        <w:rFonts w:ascii="FrankRuehl" w:hAnsi="FrankRuehl" w:cs="FrankRuehl"/>
        <w:rtl/>
      </w:rPr>
      <w:fldChar w:fldCharType="end"/>
    </w:r>
  </w:p>
  <w:p w14:paraId="51DFFB07" w14:textId="77777777" w:rsidR="00F16F7B" w:rsidRPr="00830693" w:rsidRDefault="00830693" w:rsidP="00830693">
    <w:pPr>
      <w:pStyle w:val="a5"/>
      <w:pBdr>
        <w:top w:val="single" w:sz="4" w:space="1" w:color="auto"/>
        <w:between w:val="single" w:sz="4" w:space="0" w:color="auto"/>
      </w:pBdr>
      <w:spacing w:after="60"/>
      <w:jc w:val="center"/>
      <w:rPr>
        <w:rFonts w:ascii="FrankRuehl" w:hAnsi="FrankRuehl" w:cs="FrankRuehl"/>
        <w:color w:val="000000"/>
      </w:rPr>
    </w:pPr>
    <w:r w:rsidRPr="00830693">
      <w:rPr>
        <w:rFonts w:ascii="FrankRuehl" w:hAnsi="FrankRuehl" w:cs="FrankRuehl"/>
        <w:color w:val="000000"/>
      </w:rPr>
      <w:pict w14:anchorId="2FD2F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1486B" w14:textId="77777777" w:rsidR="000F5762" w:rsidRDefault="000F5762" w:rsidP="00471990">
      <w:r>
        <w:separator/>
      </w:r>
    </w:p>
  </w:footnote>
  <w:footnote w:type="continuationSeparator" w:id="0">
    <w:p w14:paraId="6DF95038" w14:textId="77777777" w:rsidR="000F5762" w:rsidRDefault="000F5762" w:rsidP="0047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F79BB" w14:textId="77777777" w:rsidR="001B5521" w:rsidRPr="00830693" w:rsidRDefault="00830693" w:rsidP="008306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33920-03-20</w:t>
    </w:r>
    <w:r>
      <w:rPr>
        <w:rFonts w:ascii="David" w:hAnsi="David"/>
        <w:color w:val="000000"/>
        <w:sz w:val="22"/>
        <w:szCs w:val="22"/>
        <w:rtl/>
      </w:rPr>
      <w:tab/>
      <w:t xml:space="preserve"> מדינת ישראל נ' עקב אבו עמאר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9B66D" w14:textId="77777777" w:rsidR="001B5521" w:rsidRPr="00830693" w:rsidRDefault="00830693" w:rsidP="008306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33920-03-20</w:t>
    </w:r>
    <w:r>
      <w:rPr>
        <w:rFonts w:ascii="David" w:hAnsi="David"/>
        <w:color w:val="000000"/>
        <w:sz w:val="22"/>
        <w:szCs w:val="22"/>
        <w:rtl/>
      </w:rPr>
      <w:tab/>
      <w:t xml:space="preserve"> מדינת ישראל נ' עקב אבו עמאר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7ACC"/>
    <w:rsid w:val="000F5762"/>
    <w:rsid w:val="001B40B6"/>
    <w:rsid w:val="001B5521"/>
    <w:rsid w:val="00471990"/>
    <w:rsid w:val="00582AD9"/>
    <w:rsid w:val="00757ACC"/>
    <w:rsid w:val="00830693"/>
    <w:rsid w:val="00887D32"/>
    <w:rsid w:val="00AB6777"/>
    <w:rsid w:val="00C501AB"/>
    <w:rsid w:val="00F1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C37BC2"/>
  <w15:chartTrackingRefBased/>
  <w15:docId w15:val="{8BE2A6B5-759A-48DB-964C-FD73992A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7A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57ACC"/>
    <w:pPr>
      <w:tabs>
        <w:tab w:val="center" w:pos="4153"/>
        <w:tab w:val="right" w:pos="8306"/>
      </w:tabs>
    </w:pPr>
  </w:style>
  <w:style w:type="character" w:customStyle="1" w:styleId="a4">
    <w:name w:val="כותרת עליונה תו"/>
    <w:link w:val="a3"/>
    <w:rsid w:val="00757ACC"/>
    <w:rPr>
      <w:rFonts w:ascii="Times New Roman" w:eastAsia="Times New Roman" w:hAnsi="Times New Roman" w:cs="David"/>
      <w:sz w:val="24"/>
      <w:szCs w:val="24"/>
    </w:rPr>
  </w:style>
  <w:style w:type="paragraph" w:styleId="a5">
    <w:name w:val="footer"/>
    <w:basedOn w:val="a"/>
    <w:link w:val="a6"/>
    <w:rsid w:val="00757ACC"/>
    <w:pPr>
      <w:tabs>
        <w:tab w:val="center" w:pos="4153"/>
        <w:tab w:val="right" w:pos="8306"/>
      </w:tabs>
    </w:pPr>
  </w:style>
  <w:style w:type="character" w:customStyle="1" w:styleId="a6">
    <w:name w:val="כותרת תחתונה תו"/>
    <w:link w:val="a5"/>
    <w:rsid w:val="00757ACC"/>
    <w:rPr>
      <w:rFonts w:ascii="Times New Roman" w:eastAsia="Times New Roman" w:hAnsi="Times New Roman" w:cs="David"/>
      <w:sz w:val="24"/>
      <w:szCs w:val="24"/>
    </w:rPr>
  </w:style>
  <w:style w:type="table" w:styleId="a7">
    <w:name w:val="Table Grid"/>
    <w:basedOn w:val="a1"/>
    <w:rsid w:val="00757A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7ACC"/>
  </w:style>
  <w:style w:type="character" w:styleId="Hyperlink">
    <w:name w:val="Hyperlink"/>
    <w:rsid w:val="001B55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law/70301/499.a.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5053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6051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2025-02-24T13:26:00Z</dcterms:created>
  <dcterms:modified xsi:type="dcterms:W3CDTF">2025-02-24T13:26:00Z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33920</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עקב אבו עמאר</vt:lpwstr>
  </property>
  <property fmtid="{D5CDD505-2E9C-101B-9397-08002B2CF9AE}" pid="10" name="JUDGE">
    <vt:lpwstr>אליהו ביתן </vt:lpwstr>
  </property>
  <property fmtid="{D5CDD505-2E9C-101B-9397-08002B2CF9AE}" pid="11" name="CITY">
    <vt:lpwstr>ב"ש</vt:lpwstr>
  </property>
  <property fmtid="{D5CDD505-2E9C-101B-9397-08002B2CF9AE}" pid="12" name="TYPE_N_DATE">
    <vt:lpwstr>3901900001</vt:lpwstr>
  </property>
  <property fmtid="{D5CDD505-2E9C-101B-9397-08002B2CF9AE}" pid="13" name="WORDNUMPAGES">
    <vt:lpwstr>4</vt:lpwstr>
  </property>
  <property fmtid="{D5CDD505-2E9C-101B-9397-08002B2CF9AE}" pid="14" name="ISABSTRACT">
    <vt:lpwstr>Y</vt:lpwstr>
  </property>
  <property fmtid="{D5CDD505-2E9C-101B-9397-08002B2CF9AE}" pid="15" name="LAWYER">
    <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LAWLISTTMP1">
    <vt:lpwstr>70301/144.b2;144.b;499.a.1</vt:lpwstr>
  </property>
</Properties>
</file>