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517"/>
        <w:gridCol w:w="988"/>
      </w:tblGrid>
      <w:tr w:rsidR="004C07B1" w:rsidRPr="006537B3" w14:paraId="4B72850D" w14:textId="77777777" w:rsidTr="006A58B6">
        <w:trPr>
          <w:trHeight w:hRule="exact" w:val="418"/>
          <w:jc w:val="center"/>
        </w:trPr>
        <w:tc>
          <w:tcPr>
            <w:tcW w:w="8505" w:type="dxa"/>
            <w:gridSpan w:val="2"/>
          </w:tcPr>
          <w:p w14:paraId="2D23A4B5" w14:textId="77777777" w:rsidR="004C07B1" w:rsidRPr="006537B3" w:rsidRDefault="004C07B1" w:rsidP="006A58B6">
            <w:pPr>
              <w:pStyle w:val="a3"/>
              <w:jc w:val="center"/>
              <w:rPr>
                <w:rFonts w:ascii="Tahoma" w:hAnsi="Tahoma" w:cs="Tahoma"/>
                <w:color w:val="000080"/>
                <w:rtl/>
              </w:rPr>
            </w:pPr>
            <w:bookmarkStart w:id="0" w:name="FirstLawyer"/>
            <w:bookmarkStart w:id="1" w:name="LastJudge"/>
            <w:r w:rsidRPr="006537B3">
              <w:rPr>
                <w:rFonts w:ascii="Tahoma" w:hAnsi="Tahoma" w:cs="Tahoma"/>
                <w:b/>
                <w:bCs/>
                <w:color w:val="000080"/>
                <w:rtl/>
              </w:rPr>
              <w:t>בית המשפט המחוזי בירושלים</w:t>
            </w:r>
          </w:p>
        </w:tc>
      </w:tr>
      <w:tr w:rsidR="004C07B1" w:rsidRPr="006537B3" w14:paraId="2A550875" w14:textId="77777777" w:rsidTr="006A58B6">
        <w:trPr>
          <w:trHeight w:val="337"/>
          <w:jc w:val="center"/>
        </w:trPr>
        <w:tc>
          <w:tcPr>
            <w:tcW w:w="7517" w:type="dxa"/>
          </w:tcPr>
          <w:p w14:paraId="036720A3" w14:textId="77777777" w:rsidR="004C07B1" w:rsidRPr="006537B3" w:rsidRDefault="004C07B1" w:rsidP="006A58B6">
            <w:pPr>
              <w:rPr>
                <w:rFonts w:cs="FrankRuehl"/>
                <w:sz w:val="28"/>
                <w:szCs w:val="28"/>
                <w:rtl/>
              </w:rPr>
            </w:pPr>
            <w:r w:rsidRPr="006537B3">
              <w:rPr>
                <w:rFonts w:cs="FrankRuehl"/>
                <w:sz w:val="28"/>
                <w:szCs w:val="28"/>
                <w:rtl/>
              </w:rPr>
              <w:t>ת"פ</w:t>
            </w:r>
            <w:r w:rsidRPr="006537B3">
              <w:rPr>
                <w:rFonts w:cs="FrankRuehl" w:hint="cs"/>
                <w:sz w:val="28"/>
                <w:szCs w:val="28"/>
                <w:rtl/>
              </w:rPr>
              <w:t xml:space="preserve"> </w:t>
            </w:r>
            <w:r w:rsidRPr="006537B3">
              <w:rPr>
                <w:rFonts w:cs="FrankRuehl"/>
                <w:sz w:val="28"/>
                <w:szCs w:val="28"/>
                <w:rtl/>
              </w:rPr>
              <w:t>52515-03-20</w:t>
            </w:r>
            <w:r w:rsidRPr="006537B3">
              <w:rPr>
                <w:rFonts w:cs="FrankRuehl" w:hint="cs"/>
                <w:sz w:val="28"/>
                <w:szCs w:val="28"/>
                <w:rtl/>
              </w:rPr>
              <w:t xml:space="preserve"> </w:t>
            </w:r>
            <w:r w:rsidRPr="006537B3">
              <w:rPr>
                <w:rFonts w:cs="FrankRuehl"/>
                <w:sz w:val="28"/>
                <w:szCs w:val="28"/>
                <w:rtl/>
              </w:rPr>
              <w:t>מדינת ישראל נ' סנדוקה ואח'</w:t>
            </w:r>
          </w:p>
        </w:tc>
        <w:tc>
          <w:tcPr>
            <w:tcW w:w="988" w:type="dxa"/>
          </w:tcPr>
          <w:p w14:paraId="265BC9AF" w14:textId="77777777" w:rsidR="004C07B1" w:rsidRPr="006537B3" w:rsidRDefault="004C07B1" w:rsidP="006A58B6">
            <w:pPr>
              <w:pStyle w:val="a3"/>
              <w:jc w:val="right"/>
              <w:rPr>
                <w:rFonts w:cs="FrankRuehl"/>
                <w:sz w:val="28"/>
                <w:szCs w:val="28"/>
                <w:rtl/>
              </w:rPr>
            </w:pPr>
          </w:p>
        </w:tc>
      </w:tr>
    </w:tbl>
    <w:p w14:paraId="1B3227BB" w14:textId="77777777" w:rsidR="004C07B1" w:rsidRPr="006537B3" w:rsidRDefault="004C07B1" w:rsidP="004C07B1">
      <w:pPr>
        <w:pStyle w:val="a3"/>
        <w:rPr>
          <w:sz w:val="12"/>
          <w:szCs w:val="12"/>
          <w:rtl/>
        </w:rPr>
      </w:pPr>
      <w:r w:rsidRPr="006537B3">
        <w:rPr>
          <w:rFonts w:hint="cs"/>
          <w:rtl/>
        </w:rPr>
        <w:t xml:space="preserve"> </w:t>
      </w:r>
    </w:p>
    <w:p w14:paraId="6E2ADF63" w14:textId="77777777" w:rsidR="004C07B1" w:rsidRPr="006537B3" w:rsidRDefault="004C07B1" w:rsidP="004C07B1">
      <w:pPr>
        <w:rPr>
          <w:rtl/>
        </w:rPr>
      </w:pPr>
    </w:p>
    <w:p w14:paraId="7DC8CA7A" w14:textId="77777777" w:rsidR="004C07B1" w:rsidRPr="006537B3" w:rsidRDefault="004C07B1" w:rsidP="004C07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C07B1" w:rsidRPr="006537B3" w14:paraId="71A483B8" w14:textId="77777777" w:rsidTr="004C07B1">
        <w:trPr>
          <w:trHeight w:val="295"/>
          <w:jc w:val="center"/>
        </w:trPr>
        <w:tc>
          <w:tcPr>
            <w:tcW w:w="923" w:type="dxa"/>
            <w:tcBorders>
              <w:top w:val="nil"/>
              <w:left w:val="nil"/>
              <w:bottom w:val="nil"/>
              <w:right w:val="nil"/>
            </w:tcBorders>
            <w:shd w:val="clear" w:color="auto" w:fill="auto"/>
          </w:tcPr>
          <w:p w14:paraId="1B0CB1B8" w14:textId="77777777" w:rsidR="004C07B1" w:rsidRPr="006537B3" w:rsidRDefault="004C07B1" w:rsidP="004C07B1">
            <w:pPr>
              <w:jc w:val="both"/>
              <w:rPr>
                <w:rFonts w:ascii="David" w:hAnsi="David"/>
                <w:b/>
                <w:bCs/>
                <w:sz w:val="26"/>
                <w:szCs w:val="26"/>
              </w:rPr>
            </w:pPr>
            <w:r w:rsidRPr="006537B3">
              <w:rPr>
                <w:rFonts w:ascii="David" w:hAnsi="David" w:hint="cs"/>
                <w:b/>
                <w:bCs/>
                <w:sz w:val="26"/>
                <w:szCs w:val="26"/>
                <w:rtl/>
              </w:rPr>
              <w:t>ל</w:t>
            </w:r>
            <w:r w:rsidRPr="006537B3">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510A9C03" w14:textId="77777777" w:rsidR="004C07B1" w:rsidRPr="006537B3" w:rsidRDefault="004C07B1" w:rsidP="006A58B6">
            <w:pPr>
              <w:rPr>
                <w:rFonts w:ascii="David" w:hAnsi="David"/>
                <w:b/>
                <w:bCs/>
                <w:sz w:val="26"/>
                <w:szCs w:val="26"/>
                <w:rtl/>
              </w:rPr>
            </w:pPr>
            <w:r w:rsidRPr="006537B3">
              <w:rPr>
                <w:rFonts w:ascii="David" w:hAnsi="David"/>
                <w:b/>
                <w:bCs/>
                <w:sz w:val="26"/>
                <w:szCs w:val="26"/>
                <w:rtl/>
              </w:rPr>
              <w:t>כבוד השופטת  חנה מרים לומפ</w:t>
            </w:r>
          </w:p>
          <w:p w14:paraId="1F0FF376" w14:textId="77777777" w:rsidR="004C07B1" w:rsidRPr="006537B3" w:rsidRDefault="004C07B1" w:rsidP="006A58B6">
            <w:pPr>
              <w:rPr>
                <w:rFonts w:ascii="David" w:hAnsi="David"/>
                <w:b/>
                <w:bCs/>
                <w:sz w:val="26"/>
                <w:szCs w:val="26"/>
                <w:rtl/>
              </w:rPr>
            </w:pPr>
          </w:p>
          <w:p w14:paraId="41FBBD93" w14:textId="77777777" w:rsidR="004C07B1" w:rsidRPr="006537B3" w:rsidRDefault="004C07B1" w:rsidP="004C07B1">
            <w:pPr>
              <w:jc w:val="both"/>
              <w:rPr>
                <w:rFonts w:ascii="David" w:hAnsi="David"/>
                <w:b/>
                <w:bCs/>
                <w:sz w:val="26"/>
                <w:szCs w:val="26"/>
              </w:rPr>
            </w:pPr>
          </w:p>
        </w:tc>
      </w:tr>
      <w:tr w:rsidR="004C07B1" w:rsidRPr="006537B3" w14:paraId="04E50BC0" w14:textId="77777777" w:rsidTr="004C07B1">
        <w:trPr>
          <w:trHeight w:val="355"/>
          <w:jc w:val="center"/>
        </w:trPr>
        <w:tc>
          <w:tcPr>
            <w:tcW w:w="923" w:type="dxa"/>
            <w:tcBorders>
              <w:top w:val="nil"/>
              <w:left w:val="nil"/>
              <w:bottom w:val="nil"/>
              <w:right w:val="nil"/>
            </w:tcBorders>
            <w:shd w:val="clear" w:color="auto" w:fill="auto"/>
          </w:tcPr>
          <w:p w14:paraId="4F5E2972" w14:textId="77777777" w:rsidR="004C07B1" w:rsidRPr="006537B3" w:rsidRDefault="004C07B1" w:rsidP="004C07B1">
            <w:pPr>
              <w:jc w:val="both"/>
              <w:rPr>
                <w:rFonts w:ascii="David" w:hAnsi="David"/>
                <w:b/>
                <w:bCs/>
                <w:sz w:val="26"/>
                <w:szCs w:val="26"/>
              </w:rPr>
            </w:pPr>
            <w:bookmarkStart w:id="2" w:name="FirstAppellant"/>
            <w:r w:rsidRPr="006537B3">
              <w:rPr>
                <w:rFonts w:ascii="David" w:hAnsi="David"/>
                <w:b/>
                <w:bCs/>
                <w:sz w:val="26"/>
                <w:szCs w:val="26"/>
                <w:rtl/>
              </w:rPr>
              <w:t>בעניין:</w:t>
            </w:r>
          </w:p>
        </w:tc>
        <w:tc>
          <w:tcPr>
            <w:tcW w:w="4126" w:type="dxa"/>
            <w:tcBorders>
              <w:top w:val="nil"/>
              <w:left w:val="nil"/>
              <w:bottom w:val="nil"/>
              <w:right w:val="nil"/>
            </w:tcBorders>
            <w:shd w:val="clear" w:color="auto" w:fill="auto"/>
          </w:tcPr>
          <w:p w14:paraId="6A68E123" w14:textId="77777777" w:rsidR="004C07B1" w:rsidRPr="006537B3" w:rsidRDefault="004C07B1" w:rsidP="006A58B6">
            <w:pPr>
              <w:rPr>
                <w:rFonts w:ascii="David" w:hAnsi="David"/>
                <w:b/>
                <w:bCs/>
                <w:sz w:val="26"/>
                <w:szCs w:val="26"/>
                <w:rtl/>
              </w:rPr>
            </w:pPr>
            <w:r w:rsidRPr="006537B3">
              <w:rPr>
                <w:rFonts w:ascii="David" w:hAnsi="David"/>
                <w:b/>
                <w:bCs/>
                <w:sz w:val="26"/>
                <w:szCs w:val="26"/>
                <w:rtl/>
              </w:rPr>
              <w:t>מדינת ישראל</w:t>
            </w:r>
          </w:p>
          <w:p w14:paraId="5491FD0A" w14:textId="77777777" w:rsidR="004C07B1" w:rsidRPr="006537B3" w:rsidRDefault="004C07B1" w:rsidP="006A58B6">
            <w:pPr>
              <w:rPr>
                <w:rFonts w:ascii="David" w:hAnsi="David"/>
                <w:sz w:val="26"/>
                <w:szCs w:val="26"/>
              </w:rPr>
            </w:pPr>
            <w:r w:rsidRPr="006537B3">
              <w:rPr>
                <w:rFonts w:ascii="David" w:hAnsi="David"/>
                <w:sz w:val="26"/>
                <w:szCs w:val="26"/>
                <w:rtl/>
              </w:rPr>
              <w:t xml:space="preserve">על ידי </w:t>
            </w:r>
            <w:r w:rsidRPr="006537B3">
              <w:rPr>
                <w:rFonts w:ascii="David" w:hAnsi="David" w:hint="cs"/>
                <w:sz w:val="26"/>
                <w:szCs w:val="26"/>
                <w:rtl/>
              </w:rPr>
              <w:t xml:space="preserve">פרקליטות מחוז ירושלים (פלילי) באמצעות ב"כ </w:t>
            </w:r>
            <w:r w:rsidRPr="006537B3">
              <w:rPr>
                <w:rFonts w:ascii="David" w:hAnsi="David"/>
                <w:sz w:val="26"/>
                <w:szCs w:val="26"/>
                <w:rtl/>
              </w:rPr>
              <w:t xml:space="preserve">עו"ד </w:t>
            </w:r>
            <w:r w:rsidRPr="006537B3">
              <w:rPr>
                <w:rFonts w:ascii="David" w:hAnsi="David" w:hint="cs"/>
                <w:sz w:val="26"/>
                <w:szCs w:val="26"/>
                <w:rtl/>
              </w:rPr>
              <w:t>נתי בן חמו</w:t>
            </w:r>
          </w:p>
        </w:tc>
        <w:tc>
          <w:tcPr>
            <w:tcW w:w="3771" w:type="dxa"/>
            <w:tcBorders>
              <w:top w:val="nil"/>
              <w:left w:val="nil"/>
              <w:bottom w:val="nil"/>
              <w:right w:val="nil"/>
            </w:tcBorders>
            <w:shd w:val="clear" w:color="auto" w:fill="auto"/>
          </w:tcPr>
          <w:p w14:paraId="7FA55619" w14:textId="77777777" w:rsidR="004C07B1" w:rsidRPr="006537B3" w:rsidRDefault="004C07B1" w:rsidP="004C07B1">
            <w:pPr>
              <w:jc w:val="both"/>
              <w:rPr>
                <w:rFonts w:ascii="David" w:hAnsi="David"/>
                <w:b/>
                <w:bCs/>
                <w:sz w:val="26"/>
                <w:szCs w:val="26"/>
              </w:rPr>
            </w:pPr>
          </w:p>
        </w:tc>
      </w:tr>
      <w:bookmarkEnd w:id="2"/>
      <w:tr w:rsidR="004C07B1" w:rsidRPr="006537B3" w14:paraId="6611D482" w14:textId="77777777" w:rsidTr="004C07B1">
        <w:trPr>
          <w:trHeight w:val="355"/>
          <w:jc w:val="center"/>
        </w:trPr>
        <w:tc>
          <w:tcPr>
            <w:tcW w:w="923" w:type="dxa"/>
            <w:tcBorders>
              <w:top w:val="nil"/>
              <w:left w:val="nil"/>
              <w:bottom w:val="nil"/>
              <w:right w:val="nil"/>
            </w:tcBorders>
            <w:shd w:val="clear" w:color="auto" w:fill="auto"/>
          </w:tcPr>
          <w:p w14:paraId="6200723B" w14:textId="77777777" w:rsidR="004C07B1" w:rsidRPr="006537B3" w:rsidRDefault="004C07B1" w:rsidP="004C07B1">
            <w:pPr>
              <w:jc w:val="both"/>
              <w:rPr>
                <w:rFonts w:ascii="David" w:hAnsi="David"/>
                <w:b/>
                <w:bCs/>
                <w:sz w:val="26"/>
                <w:szCs w:val="26"/>
                <w:rtl/>
              </w:rPr>
            </w:pPr>
          </w:p>
        </w:tc>
        <w:tc>
          <w:tcPr>
            <w:tcW w:w="4126" w:type="dxa"/>
            <w:tcBorders>
              <w:top w:val="nil"/>
              <w:left w:val="nil"/>
              <w:bottom w:val="nil"/>
              <w:right w:val="nil"/>
            </w:tcBorders>
            <w:shd w:val="clear" w:color="auto" w:fill="auto"/>
          </w:tcPr>
          <w:p w14:paraId="462B2517" w14:textId="77777777" w:rsidR="004C07B1" w:rsidRPr="006537B3" w:rsidRDefault="004C07B1" w:rsidP="004C07B1">
            <w:pPr>
              <w:jc w:val="both"/>
              <w:rPr>
                <w:rFonts w:ascii="David" w:hAnsi="David"/>
                <w:b/>
                <w:bCs/>
                <w:sz w:val="26"/>
                <w:szCs w:val="26"/>
                <w:rtl/>
              </w:rPr>
            </w:pPr>
          </w:p>
        </w:tc>
        <w:tc>
          <w:tcPr>
            <w:tcW w:w="3771" w:type="dxa"/>
            <w:tcBorders>
              <w:top w:val="nil"/>
              <w:left w:val="nil"/>
              <w:bottom w:val="nil"/>
              <w:right w:val="nil"/>
            </w:tcBorders>
            <w:shd w:val="clear" w:color="auto" w:fill="auto"/>
          </w:tcPr>
          <w:p w14:paraId="003AAD2A" w14:textId="77777777" w:rsidR="004C07B1" w:rsidRPr="006537B3" w:rsidRDefault="004C07B1" w:rsidP="004C07B1">
            <w:pPr>
              <w:jc w:val="right"/>
              <w:rPr>
                <w:rFonts w:ascii="David" w:hAnsi="David"/>
                <w:b/>
                <w:bCs/>
                <w:sz w:val="26"/>
                <w:szCs w:val="26"/>
                <w:rtl/>
              </w:rPr>
            </w:pPr>
            <w:r w:rsidRPr="006537B3">
              <w:rPr>
                <w:rFonts w:ascii="David" w:hAnsi="David"/>
                <w:b/>
                <w:bCs/>
                <w:sz w:val="26"/>
                <w:szCs w:val="26"/>
                <w:rtl/>
              </w:rPr>
              <w:t>המאשימה</w:t>
            </w:r>
          </w:p>
        </w:tc>
      </w:tr>
      <w:tr w:rsidR="004C07B1" w:rsidRPr="006537B3" w14:paraId="2425A802" w14:textId="77777777" w:rsidTr="004C07B1">
        <w:trPr>
          <w:trHeight w:val="355"/>
          <w:jc w:val="center"/>
        </w:trPr>
        <w:tc>
          <w:tcPr>
            <w:tcW w:w="923" w:type="dxa"/>
            <w:tcBorders>
              <w:top w:val="nil"/>
              <w:left w:val="nil"/>
              <w:bottom w:val="nil"/>
              <w:right w:val="nil"/>
            </w:tcBorders>
            <w:shd w:val="clear" w:color="auto" w:fill="auto"/>
          </w:tcPr>
          <w:p w14:paraId="55127E88" w14:textId="77777777" w:rsidR="004C07B1" w:rsidRPr="006537B3" w:rsidRDefault="004C07B1" w:rsidP="004C07B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18D0092" w14:textId="77777777" w:rsidR="004C07B1" w:rsidRPr="006537B3" w:rsidRDefault="004C07B1" w:rsidP="004C07B1">
            <w:pPr>
              <w:jc w:val="center"/>
              <w:rPr>
                <w:rFonts w:ascii="David" w:hAnsi="David"/>
                <w:b/>
                <w:bCs/>
                <w:sz w:val="26"/>
                <w:szCs w:val="26"/>
                <w:rtl/>
              </w:rPr>
            </w:pPr>
          </w:p>
          <w:p w14:paraId="595BC0B9" w14:textId="77777777" w:rsidR="004C07B1" w:rsidRPr="006537B3" w:rsidRDefault="004C07B1" w:rsidP="004C07B1">
            <w:pPr>
              <w:jc w:val="center"/>
              <w:rPr>
                <w:rFonts w:ascii="David" w:hAnsi="David"/>
                <w:b/>
                <w:bCs/>
                <w:sz w:val="26"/>
                <w:szCs w:val="26"/>
                <w:rtl/>
              </w:rPr>
            </w:pPr>
            <w:r w:rsidRPr="006537B3">
              <w:rPr>
                <w:rFonts w:ascii="David" w:hAnsi="David"/>
                <w:b/>
                <w:bCs/>
                <w:sz w:val="26"/>
                <w:szCs w:val="26"/>
                <w:rtl/>
              </w:rPr>
              <w:t>נגד</w:t>
            </w:r>
          </w:p>
          <w:p w14:paraId="2FFD5153" w14:textId="77777777" w:rsidR="004C07B1" w:rsidRPr="006537B3" w:rsidRDefault="004C07B1" w:rsidP="004C07B1">
            <w:pPr>
              <w:jc w:val="both"/>
              <w:rPr>
                <w:rFonts w:ascii="David" w:hAnsi="David"/>
                <w:b/>
                <w:bCs/>
                <w:sz w:val="26"/>
                <w:szCs w:val="26"/>
              </w:rPr>
            </w:pPr>
          </w:p>
        </w:tc>
      </w:tr>
      <w:tr w:rsidR="004C07B1" w:rsidRPr="006537B3" w14:paraId="5EE1BFB1" w14:textId="77777777" w:rsidTr="004C07B1">
        <w:trPr>
          <w:trHeight w:val="355"/>
          <w:jc w:val="center"/>
        </w:trPr>
        <w:tc>
          <w:tcPr>
            <w:tcW w:w="923" w:type="dxa"/>
            <w:tcBorders>
              <w:top w:val="nil"/>
              <w:left w:val="nil"/>
              <w:bottom w:val="nil"/>
              <w:right w:val="nil"/>
            </w:tcBorders>
            <w:shd w:val="clear" w:color="auto" w:fill="auto"/>
          </w:tcPr>
          <w:p w14:paraId="53AB19CF" w14:textId="77777777" w:rsidR="004C07B1" w:rsidRPr="006537B3" w:rsidRDefault="004C07B1" w:rsidP="006A58B6">
            <w:pPr>
              <w:rPr>
                <w:rFonts w:ascii="David" w:hAnsi="David"/>
                <w:b/>
                <w:bCs/>
                <w:sz w:val="26"/>
                <w:szCs w:val="26"/>
                <w:rtl/>
              </w:rPr>
            </w:pPr>
          </w:p>
        </w:tc>
        <w:tc>
          <w:tcPr>
            <w:tcW w:w="4126" w:type="dxa"/>
            <w:tcBorders>
              <w:top w:val="nil"/>
              <w:left w:val="nil"/>
              <w:bottom w:val="nil"/>
              <w:right w:val="nil"/>
            </w:tcBorders>
            <w:shd w:val="clear" w:color="auto" w:fill="auto"/>
          </w:tcPr>
          <w:p w14:paraId="660A062B" w14:textId="77777777" w:rsidR="004C07B1" w:rsidRPr="006537B3" w:rsidRDefault="004C07B1" w:rsidP="006A58B6">
            <w:pPr>
              <w:rPr>
                <w:rFonts w:ascii="David" w:hAnsi="David"/>
                <w:b/>
                <w:bCs/>
                <w:sz w:val="26"/>
                <w:szCs w:val="26"/>
                <w:rtl/>
              </w:rPr>
            </w:pPr>
            <w:r w:rsidRPr="006537B3">
              <w:rPr>
                <w:rFonts w:ascii="David" w:hAnsi="David"/>
                <w:b/>
                <w:bCs/>
                <w:sz w:val="26"/>
                <w:szCs w:val="26"/>
                <w:rtl/>
              </w:rPr>
              <w:t>1.</w:t>
            </w:r>
            <w:r w:rsidRPr="006537B3">
              <w:rPr>
                <w:rFonts w:ascii="David" w:hAnsi="David"/>
                <w:sz w:val="26"/>
                <w:szCs w:val="26"/>
                <w:rtl/>
              </w:rPr>
              <w:t>מורשד סנדוקה  (עניינו הסתיים)</w:t>
            </w:r>
          </w:p>
          <w:p w14:paraId="299B9602" w14:textId="77777777" w:rsidR="004C07B1" w:rsidRPr="006537B3" w:rsidRDefault="004C07B1" w:rsidP="006A58B6">
            <w:pPr>
              <w:rPr>
                <w:rFonts w:ascii="David" w:hAnsi="David"/>
                <w:b/>
                <w:bCs/>
                <w:sz w:val="26"/>
                <w:szCs w:val="26"/>
                <w:rtl/>
              </w:rPr>
            </w:pPr>
          </w:p>
          <w:p w14:paraId="50D6A444" w14:textId="77777777" w:rsidR="004C07B1" w:rsidRPr="006537B3" w:rsidRDefault="004C07B1" w:rsidP="006A58B6">
            <w:pPr>
              <w:rPr>
                <w:rFonts w:ascii="David" w:hAnsi="David"/>
                <w:b/>
                <w:bCs/>
                <w:sz w:val="26"/>
                <w:szCs w:val="26"/>
                <w:rtl/>
              </w:rPr>
            </w:pPr>
            <w:r w:rsidRPr="006537B3">
              <w:rPr>
                <w:rFonts w:ascii="David" w:hAnsi="David"/>
                <w:b/>
                <w:bCs/>
                <w:sz w:val="26"/>
                <w:szCs w:val="26"/>
                <w:rtl/>
              </w:rPr>
              <w:t xml:space="preserve">2.עומר שויש </w:t>
            </w:r>
          </w:p>
          <w:p w14:paraId="5568A0DD" w14:textId="77777777" w:rsidR="004C07B1" w:rsidRPr="006537B3" w:rsidRDefault="004C07B1" w:rsidP="006A58B6">
            <w:pPr>
              <w:rPr>
                <w:rFonts w:ascii="David" w:hAnsi="David"/>
                <w:b/>
                <w:bCs/>
                <w:sz w:val="26"/>
                <w:szCs w:val="26"/>
                <w:rtl/>
              </w:rPr>
            </w:pPr>
            <w:r w:rsidRPr="006537B3">
              <w:rPr>
                <w:rFonts w:ascii="David" w:hAnsi="David"/>
                <w:b/>
                <w:bCs/>
                <w:sz w:val="26"/>
                <w:szCs w:val="26"/>
                <w:rtl/>
              </w:rPr>
              <w:t>ע</w:t>
            </w:r>
            <w:r w:rsidRPr="006537B3">
              <w:rPr>
                <w:rFonts w:ascii="David" w:hAnsi="David"/>
                <w:sz w:val="26"/>
                <w:szCs w:val="26"/>
                <w:rtl/>
              </w:rPr>
              <w:t xml:space="preserve">ל ידי </w:t>
            </w:r>
            <w:r w:rsidRPr="006537B3">
              <w:rPr>
                <w:rFonts w:ascii="David" w:hAnsi="David" w:hint="cs"/>
                <w:sz w:val="26"/>
                <w:szCs w:val="26"/>
                <w:rtl/>
              </w:rPr>
              <w:t xml:space="preserve">ב"כ </w:t>
            </w:r>
            <w:r w:rsidRPr="006537B3">
              <w:rPr>
                <w:rFonts w:ascii="David" w:hAnsi="David"/>
                <w:sz w:val="26"/>
                <w:szCs w:val="26"/>
                <w:rtl/>
              </w:rPr>
              <w:t>עו"ד ווסים דכוואר</w:t>
            </w:r>
          </w:p>
          <w:p w14:paraId="29F02829" w14:textId="77777777" w:rsidR="004C07B1" w:rsidRPr="006537B3" w:rsidRDefault="004C07B1" w:rsidP="006A58B6">
            <w:pPr>
              <w:rPr>
                <w:rFonts w:ascii="David" w:hAnsi="David"/>
                <w:b/>
                <w:bCs/>
                <w:sz w:val="26"/>
                <w:szCs w:val="26"/>
                <w:rtl/>
              </w:rPr>
            </w:pPr>
          </w:p>
          <w:p w14:paraId="7D41799E" w14:textId="77777777" w:rsidR="004C07B1" w:rsidRPr="006537B3" w:rsidRDefault="004C07B1" w:rsidP="006A58B6">
            <w:pPr>
              <w:rPr>
                <w:rFonts w:ascii="David" w:hAnsi="David"/>
                <w:b/>
                <w:bCs/>
                <w:sz w:val="26"/>
                <w:szCs w:val="26"/>
                <w:rtl/>
              </w:rPr>
            </w:pPr>
            <w:r w:rsidRPr="006537B3">
              <w:rPr>
                <w:rFonts w:ascii="David" w:hAnsi="David"/>
                <w:b/>
                <w:bCs/>
                <w:sz w:val="26"/>
                <w:szCs w:val="26"/>
                <w:rtl/>
              </w:rPr>
              <w:t>3</w:t>
            </w:r>
            <w:r w:rsidRPr="006537B3">
              <w:rPr>
                <w:rFonts w:ascii="David" w:hAnsi="David"/>
                <w:sz w:val="26"/>
                <w:szCs w:val="26"/>
                <w:rtl/>
              </w:rPr>
              <w:t>.אנס מוגרבי (עניינו הסתיים)</w:t>
            </w:r>
          </w:p>
        </w:tc>
        <w:tc>
          <w:tcPr>
            <w:tcW w:w="3771" w:type="dxa"/>
            <w:tcBorders>
              <w:top w:val="nil"/>
              <w:left w:val="nil"/>
              <w:bottom w:val="nil"/>
              <w:right w:val="nil"/>
            </w:tcBorders>
            <w:shd w:val="clear" w:color="auto" w:fill="auto"/>
          </w:tcPr>
          <w:p w14:paraId="53E3A29A" w14:textId="77777777" w:rsidR="004C07B1" w:rsidRPr="006537B3" w:rsidRDefault="004C07B1" w:rsidP="004C07B1">
            <w:pPr>
              <w:jc w:val="right"/>
              <w:rPr>
                <w:rFonts w:ascii="David" w:hAnsi="David"/>
                <w:b/>
                <w:bCs/>
                <w:sz w:val="26"/>
                <w:szCs w:val="26"/>
              </w:rPr>
            </w:pPr>
          </w:p>
        </w:tc>
      </w:tr>
      <w:tr w:rsidR="004C07B1" w:rsidRPr="006537B3" w14:paraId="57CF6CF1" w14:textId="77777777" w:rsidTr="004C07B1">
        <w:trPr>
          <w:trHeight w:val="355"/>
          <w:jc w:val="center"/>
        </w:trPr>
        <w:tc>
          <w:tcPr>
            <w:tcW w:w="923" w:type="dxa"/>
            <w:tcBorders>
              <w:top w:val="nil"/>
              <w:left w:val="nil"/>
              <w:bottom w:val="nil"/>
              <w:right w:val="nil"/>
            </w:tcBorders>
            <w:shd w:val="clear" w:color="auto" w:fill="auto"/>
          </w:tcPr>
          <w:p w14:paraId="1583C9A9" w14:textId="77777777" w:rsidR="004C07B1" w:rsidRPr="006537B3" w:rsidRDefault="004C07B1" w:rsidP="004C07B1">
            <w:pPr>
              <w:jc w:val="both"/>
              <w:rPr>
                <w:rFonts w:ascii="David" w:hAnsi="David"/>
                <w:b/>
                <w:bCs/>
                <w:sz w:val="26"/>
                <w:szCs w:val="26"/>
                <w:rtl/>
              </w:rPr>
            </w:pPr>
          </w:p>
        </w:tc>
        <w:tc>
          <w:tcPr>
            <w:tcW w:w="4126" w:type="dxa"/>
            <w:tcBorders>
              <w:top w:val="nil"/>
              <w:left w:val="nil"/>
              <w:bottom w:val="nil"/>
              <w:right w:val="nil"/>
            </w:tcBorders>
            <w:shd w:val="clear" w:color="auto" w:fill="auto"/>
          </w:tcPr>
          <w:p w14:paraId="7BDC227F" w14:textId="77777777" w:rsidR="004C07B1" w:rsidRPr="006537B3" w:rsidRDefault="004C07B1" w:rsidP="004C07B1">
            <w:pPr>
              <w:jc w:val="both"/>
              <w:rPr>
                <w:rFonts w:ascii="David" w:hAnsi="David"/>
                <w:b/>
                <w:bCs/>
                <w:sz w:val="26"/>
                <w:szCs w:val="26"/>
                <w:rtl/>
              </w:rPr>
            </w:pPr>
          </w:p>
        </w:tc>
        <w:tc>
          <w:tcPr>
            <w:tcW w:w="3771" w:type="dxa"/>
            <w:tcBorders>
              <w:top w:val="nil"/>
              <w:left w:val="nil"/>
              <w:bottom w:val="nil"/>
              <w:right w:val="nil"/>
            </w:tcBorders>
            <w:shd w:val="clear" w:color="auto" w:fill="auto"/>
          </w:tcPr>
          <w:p w14:paraId="472454A1" w14:textId="77777777" w:rsidR="004C07B1" w:rsidRPr="006537B3" w:rsidRDefault="004C07B1" w:rsidP="004C07B1">
            <w:pPr>
              <w:jc w:val="right"/>
              <w:rPr>
                <w:rFonts w:ascii="David" w:hAnsi="David"/>
                <w:b/>
                <w:bCs/>
                <w:sz w:val="26"/>
                <w:szCs w:val="26"/>
              </w:rPr>
            </w:pPr>
            <w:r w:rsidRPr="006537B3">
              <w:rPr>
                <w:rFonts w:ascii="David" w:hAnsi="David"/>
                <w:b/>
                <w:bCs/>
                <w:sz w:val="26"/>
                <w:szCs w:val="26"/>
                <w:rtl/>
              </w:rPr>
              <w:t>הנאשמים</w:t>
            </w:r>
          </w:p>
        </w:tc>
      </w:tr>
    </w:tbl>
    <w:p w14:paraId="4B934C31" w14:textId="77777777" w:rsidR="00B514DC" w:rsidRDefault="00B514DC" w:rsidP="006537B3">
      <w:pPr>
        <w:rPr>
          <w:rFonts w:ascii="David" w:hAnsi="David"/>
          <w:sz w:val="26"/>
          <w:szCs w:val="26"/>
          <w:rtl/>
        </w:rPr>
      </w:pPr>
    </w:p>
    <w:p w14:paraId="6CDECA31" w14:textId="77777777" w:rsidR="00B514DC" w:rsidRPr="00B514DC" w:rsidRDefault="00B514DC" w:rsidP="00B514DC">
      <w:pPr>
        <w:spacing w:after="120" w:line="240" w:lineRule="exact"/>
        <w:ind w:left="283" w:hanging="283"/>
        <w:jc w:val="both"/>
        <w:rPr>
          <w:rFonts w:ascii="FrankRuehl" w:hAnsi="FrankRuehl" w:cs="FrankRuehl"/>
          <w:rtl/>
        </w:rPr>
      </w:pPr>
    </w:p>
    <w:p w14:paraId="39FFA433" w14:textId="77777777" w:rsidR="00CB079B" w:rsidRDefault="00CB079B" w:rsidP="00CB079B">
      <w:pPr>
        <w:rPr>
          <w:rFonts w:ascii="David" w:hAnsi="David"/>
          <w:sz w:val="26"/>
          <w:szCs w:val="26"/>
          <w:rtl/>
        </w:rPr>
      </w:pPr>
      <w:bookmarkStart w:id="3" w:name="LawTable"/>
      <w:bookmarkEnd w:id="3"/>
    </w:p>
    <w:p w14:paraId="1F4B0FAC" w14:textId="77777777" w:rsidR="00CB079B" w:rsidRPr="00CB079B" w:rsidRDefault="00CB079B" w:rsidP="00CB079B">
      <w:pPr>
        <w:spacing w:before="120" w:after="120" w:line="240" w:lineRule="exact"/>
        <w:ind w:left="283" w:hanging="283"/>
        <w:jc w:val="both"/>
        <w:rPr>
          <w:rFonts w:ascii="FrankRuehl" w:hAnsi="FrankRuehl" w:cs="FrankRuehl"/>
          <w:rtl/>
        </w:rPr>
      </w:pPr>
    </w:p>
    <w:p w14:paraId="1DA4F67A" w14:textId="77777777" w:rsidR="00CB079B" w:rsidRPr="00CB079B" w:rsidRDefault="00CB079B" w:rsidP="00CB079B">
      <w:pPr>
        <w:spacing w:before="120" w:after="120" w:line="240" w:lineRule="exact"/>
        <w:ind w:left="283" w:hanging="283"/>
        <w:jc w:val="both"/>
        <w:rPr>
          <w:rFonts w:ascii="FrankRuehl" w:hAnsi="FrankRuehl" w:cs="FrankRuehl"/>
          <w:rtl/>
        </w:rPr>
      </w:pPr>
    </w:p>
    <w:p w14:paraId="5C907A9D" w14:textId="77777777" w:rsidR="00CB079B" w:rsidRPr="00CB079B" w:rsidRDefault="00CB079B" w:rsidP="00CB079B">
      <w:pPr>
        <w:spacing w:before="120" w:after="120" w:line="240" w:lineRule="exact"/>
        <w:ind w:left="283" w:hanging="283"/>
        <w:jc w:val="both"/>
        <w:rPr>
          <w:rFonts w:ascii="FrankRuehl" w:hAnsi="FrankRuehl" w:cs="FrankRuehl"/>
          <w:rtl/>
        </w:rPr>
      </w:pPr>
      <w:r w:rsidRPr="00CB079B">
        <w:rPr>
          <w:rFonts w:ascii="FrankRuehl" w:hAnsi="FrankRuehl" w:cs="FrankRuehl"/>
          <w:rtl/>
        </w:rPr>
        <w:t xml:space="preserve">חקיקה שאוזכרה: </w:t>
      </w:r>
    </w:p>
    <w:p w14:paraId="2DBCC023" w14:textId="77777777" w:rsidR="00CB079B" w:rsidRPr="00CB079B" w:rsidRDefault="00CB079B" w:rsidP="00CB079B">
      <w:pPr>
        <w:spacing w:before="120" w:after="120" w:line="240" w:lineRule="exact"/>
        <w:ind w:left="283" w:hanging="283"/>
        <w:jc w:val="both"/>
        <w:rPr>
          <w:rFonts w:ascii="FrankRuehl" w:hAnsi="FrankRuehl" w:cs="FrankRuehl"/>
          <w:rtl/>
        </w:rPr>
      </w:pPr>
      <w:hyperlink r:id="rId7" w:history="1">
        <w:r w:rsidRPr="00CB079B">
          <w:rPr>
            <w:rFonts w:ascii="FrankRuehl" w:hAnsi="FrankRuehl" w:cs="FrankRuehl"/>
            <w:color w:val="0000FF"/>
            <w:rtl/>
          </w:rPr>
          <w:t>חוק העונשין, תשל"ז-1977</w:t>
        </w:r>
      </w:hyperlink>
      <w:r w:rsidRPr="00CB079B">
        <w:rPr>
          <w:rFonts w:ascii="FrankRuehl" w:hAnsi="FrankRuehl" w:cs="FrankRuehl"/>
          <w:rtl/>
        </w:rPr>
        <w:t xml:space="preserve">: סע'  </w:t>
      </w:r>
      <w:hyperlink r:id="rId8" w:history="1">
        <w:r w:rsidRPr="00CB079B">
          <w:rPr>
            <w:rFonts w:ascii="FrankRuehl" w:hAnsi="FrankRuehl" w:cs="FrankRuehl"/>
            <w:color w:val="0000FF"/>
            <w:rtl/>
          </w:rPr>
          <w:t>40 ט'</w:t>
        </w:r>
      </w:hyperlink>
      <w:r w:rsidRPr="00CB079B">
        <w:rPr>
          <w:rFonts w:ascii="FrankRuehl" w:hAnsi="FrankRuehl" w:cs="FrankRuehl"/>
          <w:rtl/>
        </w:rPr>
        <w:t xml:space="preserve">, </w:t>
      </w:r>
      <w:hyperlink r:id="rId9" w:history="1">
        <w:r w:rsidRPr="00CB079B">
          <w:rPr>
            <w:rFonts w:ascii="FrankRuehl" w:hAnsi="FrankRuehl" w:cs="FrankRuehl"/>
            <w:color w:val="0000FF"/>
            <w:rtl/>
          </w:rPr>
          <w:t>144(א)</w:t>
        </w:r>
      </w:hyperlink>
      <w:r w:rsidRPr="00CB079B">
        <w:rPr>
          <w:rFonts w:ascii="FrankRuehl" w:hAnsi="FrankRuehl" w:cs="FrankRuehl"/>
          <w:rtl/>
        </w:rPr>
        <w:t xml:space="preserve">, </w:t>
      </w:r>
      <w:hyperlink r:id="rId10" w:history="1">
        <w:r w:rsidRPr="00CB079B">
          <w:rPr>
            <w:rFonts w:ascii="FrankRuehl" w:hAnsi="FrankRuehl" w:cs="FrankRuehl"/>
            <w:color w:val="0000FF"/>
            <w:rtl/>
          </w:rPr>
          <w:t>144(ב)</w:t>
        </w:r>
      </w:hyperlink>
      <w:r w:rsidRPr="00CB079B">
        <w:rPr>
          <w:rFonts w:ascii="FrankRuehl" w:hAnsi="FrankRuehl" w:cs="FrankRuehl"/>
          <w:rtl/>
        </w:rPr>
        <w:t xml:space="preserve">, </w:t>
      </w:r>
      <w:hyperlink r:id="rId11" w:history="1">
        <w:r w:rsidRPr="00CB079B">
          <w:rPr>
            <w:rFonts w:ascii="FrankRuehl" w:hAnsi="FrankRuehl" w:cs="FrankRuehl"/>
            <w:color w:val="0000FF"/>
            <w:rtl/>
          </w:rPr>
          <w:t>40 יא'</w:t>
        </w:r>
      </w:hyperlink>
    </w:p>
    <w:p w14:paraId="3D23D628" w14:textId="77777777" w:rsidR="00CB079B" w:rsidRPr="00CB079B" w:rsidRDefault="00CB079B" w:rsidP="00CB079B">
      <w:pPr>
        <w:rPr>
          <w:rFonts w:ascii="David" w:hAnsi="David"/>
          <w:sz w:val="26"/>
          <w:szCs w:val="26"/>
          <w:rtl/>
        </w:rPr>
      </w:pPr>
      <w:bookmarkStart w:id="4" w:name="LawTable_End"/>
      <w:bookmarkEnd w:id="4"/>
    </w:p>
    <w:p w14:paraId="22DB9566" w14:textId="77777777" w:rsidR="004C07B1" w:rsidRPr="006537B3" w:rsidRDefault="004C07B1" w:rsidP="004C07B1">
      <w:pP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07B1" w:rsidRPr="00DE7DEC" w14:paraId="4B5E50D2" w14:textId="77777777" w:rsidTr="004C07B1">
        <w:trPr>
          <w:trHeight w:val="355"/>
          <w:jc w:val="center"/>
        </w:trPr>
        <w:tc>
          <w:tcPr>
            <w:tcW w:w="8820" w:type="dxa"/>
            <w:tcBorders>
              <w:top w:val="nil"/>
              <w:left w:val="nil"/>
              <w:bottom w:val="nil"/>
              <w:right w:val="nil"/>
            </w:tcBorders>
            <w:shd w:val="clear" w:color="auto" w:fill="auto"/>
          </w:tcPr>
          <w:p w14:paraId="5CFF2DDD" w14:textId="77777777" w:rsidR="006537B3" w:rsidRPr="006537B3" w:rsidRDefault="006537B3" w:rsidP="006537B3">
            <w:pPr>
              <w:jc w:val="center"/>
              <w:rPr>
                <w:rFonts w:ascii="David" w:hAnsi="David"/>
                <w:b/>
                <w:bCs/>
                <w:sz w:val="32"/>
                <w:szCs w:val="32"/>
                <w:u w:val="single"/>
                <w:rtl/>
              </w:rPr>
            </w:pPr>
            <w:bookmarkStart w:id="5" w:name="PsakDin" w:colFirst="0" w:colLast="0"/>
            <w:bookmarkEnd w:id="0"/>
            <w:bookmarkEnd w:id="1"/>
            <w:r w:rsidRPr="006537B3">
              <w:rPr>
                <w:rFonts w:ascii="David" w:hAnsi="David"/>
                <w:b/>
                <w:bCs/>
                <w:sz w:val="32"/>
                <w:szCs w:val="32"/>
                <w:u w:val="single"/>
                <w:rtl/>
              </w:rPr>
              <w:t>גזר דין בעניינו של נאשם 2</w:t>
            </w:r>
          </w:p>
          <w:p w14:paraId="448F5FE3" w14:textId="77777777" w:rsidR="004C07B1" w:rsidRPr="006537B3" w:rsidRDefault="004C07B1" w:rsidP="006537B3">
            <w:pPr>
              <w:jc w:val="center"/>
              <w:rPr>
                <w:rFonts w:ascii="David" w:hAnsi="David"/>
                <w:b/>
                <w:bCs/>
                <w:sz w:val="32"/>
                <w:szCs w:val="32"/>
                <w:u w:val="single"/>
                <w:rtl/>
              </w:rPr>
            </w:pPr>
          </w:p>
        </w:tc>
      </w:tr>
      <w:bookmarkEnd w:id="5"/>
    </w:tbl>
    <w:p w14:paraId="7C4F5B75" w14:textId="77777777" w:rsidR="004C07B1" w:rsidRPr="00DE7DEC" w:rsidRDefault="004C07B1" w:rsidP="004C07B1">
      <w:pPr>
        <w:rPr>
          <w:rFonts w:ascii="Arial" w:hAnsi="Arial"/>
          <w:b/>
          <w:bCs/>
          <w:rtl/>
        </w:rPr>
      </w:pPr>
    </w:p>
    <w:p w14:paraId="0B74892C" w14:textId="77777777" w:rsidR="004C07B1" w:rsidRDefault="004C07B1" w:rsidP="004C07B1">
      <w:pPr>
        <w:spacing w:line="360" w:lineRule="auto"/>
        <w:jc w:val="both"/>
        <w:rPr>
          <w:sz w:val="12"/>
          <w:szCs w:val="12"/>
          <w:rtl/>
        </w:rPr>
      </w:pPr>
    </w:p>
    <w:p w14:paraId="10BF2598" w14:textId="77777777" w:rsidR="004C07B1" w:rsidRDefault="004C07B1" w:rsidP="004C07B1">
      <w:pPr>
        <w:rPr>
          <w:b/>
          <w:bCs/>
          <w:u w:val="single"/>
          <w:rtl/>
        </w:rPr>
      </w:pPr>
      <w:r>
        <w:rPr>
          <w:rFonts w:hint="cs"/>
          <w:b/>
          <w:bCs/>
          <w:u w:val="single"/>
          <w:rtl/>
        </w:rPr>
        <w:t>רקע</w:t>
      </w:r>
    </w:p>
    <w:p w14:paraId="1011EC13" w14:textId="77777777" w:rsidR="004C07B1" w:rsidRDefault="004C07B1" w:rsidP="004C07B1">
      <w:pPr>
        <w:rPr>
          <w:b/>
          <w:bCs/>
          <w:u w:val="single"/>
          <w:rtl/>
        </w:rPr>
      </w:pPr>
    </w:p>
    <w:p w14:paraId="1A9A3CB1" w14:textId="77777777" w:rsidR="004C07B1" w:rsidRDefault="004C07B1" w:rsidP="004C07B1">
      <w:pPr>
        <w:numPr>
          <w:ilvl w:val="0"/>
          <w:numId w:val="1"/>
        </w:numPr>
        <w:spacing w:before="120" w:after="120" w:line="360" w:lineRule="auto"/>
        <w:ind w:left="357" w:hanging="357"/>
        <w:contextualSpacing/>
        <w:jc w:val="both"/>
      </w:pPr>
      <w:bookmarkStart w:id="6" w:name="ABSTRACT_START"/>
      <w:bookmarkEnd w:id="6"/>
      <w:r>
        <w:rPr>
          <w:rFonts w:hint="cs"/>
          <w:rtl/>
        </w:rPr>
        <w:t xml:space="preserve">נאשם 2 </w:t>
      </w:r>
      <w:r w:rsidRPr="00DA0DBE">
        <w:rPr>
          <w:rtl/>
        </w:rPr>
        <w:t xml:space="preserve">עומר שויש </w:t>
      </w:r>
      <w:r>
        <w:rPr>
          <w:rFonts w:hint="cs"/>
          <w:rtl/>
        </w:rPr>
        <w:t xml:space="preserve"> (להלן : </w:t>
      </w:r>
      <w:r w:rsidRPr="00EA7AF5">
        <w:rPr>
          <w:rFonts w:hint="cs"/>
          <w:b/>
          <w:bCs/>
          <w:rtl/>
        </w:rPr>
        <w:t>"הנאשם"</w:t>
      </w:r>
      <w:r>
        <w:rPr>
          <w:rFonts w:hint="cs"/>
          <w:rtl/>
        </w:rPr>
        <w:t xml:space="preserve">) הורשע, על-פי הודאתו בעקבות הסדר טיעון בכתב אישום מתוקן בעבירה של החזקת נשק, עבירה לפי </w:t>
      </w:r>
      <w:hyperlink r:id="rId12" w:history="1">
        <w:r w:rsidR="00B514DC" w:rsidRPr="00B514DC">
          <w:rPr>
            <w:rStyle w:val="Hyperlink"/>
            <w:rFonts w:hint="eastAsia"/>
            <w:rtl/>
          </w:rPr>
          <w:t>סעיף</w:t>
        </w:r>
        <w:r w:rsidR="00B514DC" w:rsidRPr="00B514DC">
          <w:rPr>
            <w:rStyle w:val="Hyperlink"/>
            <w:rtl/>
          </w:rPr>
          <w:t xml:space="preserve"> 144(א)</w:t>
        </w:r>
      </w:hyperlink>
      <w:r>
        <w:rPr>
          <w:rFonts w:hint="cs"/>
          <w:rtl/>
        </w:rPr>
        <w:t xml:space="preserve"> ל</w:t>
      </w:r>
      <w:hyperlink r:id="rId13" w:history="1">
        <w:r w:rsidR="006537B3" w:rsidRPr="006537B3">
          <w:rPr>
            <w:color w:val="0000FF"/>
            <w:u w:val="single"/>
            <w:rtl/>
          </w:rPr>
          <w:t>חוק העונשין</w:t>
        </w:r>
      </w:hyperlink>
      <w:r>
        <w:rPr>
          <w:rFonts w:hint="cs"/>
          <w:rtl/>
        </w:rPr>
        <w:t xml:space="preserve"> התשל"ז – 1977, (להלן: </w:t>
      </w:r>
      <w:r w:rsidRPr="00DA0DBE">
        <w:rPr>
          <w:rFonts w:hint="cs"/>
          <w:b/>
          <w:bCs/>
          <w:rtl/>
        </w:rPr>
        <w:t>"החוק"</w:t>
      </w:r>
      <w:r>
        <w:rPr>
          <w:rFonts w:hint="cs"/>
          <w:rtl/>
        </w:rPr>
        <w:t>). בגדרי הסדר הטיעון הצדדים לא הגיעו להסכמה לעניין העונש. הטיעונים לעונש נדחו עד לאחר קבלת תסקיר שירות מבחן בעניינו של הנאשם.</w:t>
      </w:r>
    </w:p>
    <w:p w14:paraId="2A171716" w14:textId="77777777" w:rsidR="004C07B1" w:rsidRPr="00A836CC" w:rsidRDefault="004C07B1" w:rsidP="004C07B1">
      <w:pPr>
        <w:spacing w:before="120" w:after="120" w:line="360" w:lineRule="auto"/>
        <w:ind w:left="357"/>
        <w:contextualSpacing/>
        <w:jc w:val="both"/>
        <w:rPr>
          <w:sz w:val="12"/>
          <w:szCs w:val="12"/>
          <w:rtl/>
        </w:rPr>
      </w:pPr>
      <w:bookmarkStart w:id="7" w:name="ABSTRACT_END"/>
      <w:bookmarkEnd w:id="7"/>
    </w:p>
    <w:p w14:paraId="52DD7717" w14:textId="77777777" w:rsidR="004C07B1" w:rsidRDefault="004C07B1" w:rsidP="004C07B1">
      <w:pPr>
        <w:numPr>
          <w:ilvl w:val="0"/>
          <w:numId w:val="1"/>
        </w:numPr>
        <w:spacing w:before="120" w:after="120" w:line="360" w:lineRule="auto"/>
        <w:ind w:left="357" w:hanging="357"/>
        <w:contextualSpacing/>
        <w:jc w:val="both"/>
      </w:pPr>
      <w:r>
        <w:rPr>
          <w:rFonts w:hint="cs"/>
          <w:rtl/>
        </w:rPr>
        <w:lastRenderedPageBreak/>
        <w:t xml:space="preserve">נאשם 3 הורשע בעבירה של החזקת נשק לפי </w:t>
      </w:r>
      <w:hyperlink r:id="rId14" w:history="1">
        <w:r w:rsidR="00B514DC" w:rsidRPr="00B514DC">
          <w:rPr>
            <w:rStyle w:val="Hyperlink"/>
            <w:rFonts w:hint="eastAsia"/>
            <w:rtl/>
          </w:rPr>
          <w:t>סעיף</w:t>
        </w:r>
        <w:r w:rsidR="00B514DC" w:rsidRPr="00B514DC">
          <w:rPr>
            <w:rStyle w:val="Hyperlink"/>
            <w:rtl/>
          </w:rPr>
          <w:t xml:space="preserve"> 144(א)</w:t>
        </w:r>
      </w:hyperlink>
      <w:r>
        <w:rPr>
          <w:rFonts w:hint="cs"/>
          <w:rtl/>
        </w:rPr>
        <w:t xml:space="preserve"> לחוק והושת עליו</w:t>
      </w:r>
      <w:r w:rsidRPr="00DA0DBE">
        <w:rPr>
          <w:rFonts w:hint="cs"/>
          <w:rtl/>
        </w:rPr>
        <w:t xml:space="preserve"> </w:t>
      </w:r>
      <w:r>
        <w:rPr>
          <w:rFonts w:hint="cs"/>
          <w:rtl/>
        </w:rPr>
        <w:t xml:space="preserve">ביום 24.6.20 עונש של 7 חודשי מאסר בפועל ומאסר מותנה. נאשם 1 הורשע בעבירה של נשיאת נשק לפי </w:t>
      </w:r>
      <w:hyperlink r:id="rId15" w:history="1">
        <w:r w:rsidR="00B514DC" w:rsidRPr="00B514DC">
          <w:rPr>
            <w:rStyle w:val="Hyperlink"/>
            <w:rFonts w:hint="eastAsia"/>
            <w:rtl/>
          </w:rPr>
          <w:t>סעיף</w:t>
        </w:r>
        <w:r w:rsidR="00B514DC" w:rsidRPr="00B514DC">
          <w:rPr>
            <w:rStyle w:val="Hyperlink"/>
            <w:rtl/>
          </w:rPr>
          <w:t xml:space="preserve"> 144(ב)</w:t>
        </w:r>
      </w:hyperlink>
      <w:r>
        <w:rPr>
          <w:rFonts w:hint="cs"/>
          <w:rtl/>
        </w:rPr>
        <w:t xml:space="preserve"> לחוק והושת עליו ביום 10.8.20 עונש של 12 חודשי מאסר ומאסר מותנה.</w:t>
      </w:r>
    </w:p>
    <w:p w14:paraId="152E8DDE" w14:textId="77777777" w:rsidR="004C07B1" w:rsidRPr="00A836CC" w:rsidRDefault="004C07B1" w:rsidP="004C07B1">
      <w:pPr>
        <w:spacing w:before="120" w:after="120" w:line="360" w:lineRule="auto"/>
        <w:ind w:left="357"/>
        <w:contextualSpacing/>
        <w:jc w:val="both"/>
        <w:rPr>
          <w:sz w:val="12"/>
          <w:szCs w:val="12"/>
        </w:rPr>
      </w:pPr>
    </w:p>
    <w:p w14:paraId="36052F54"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על פי עובדות כתב האישום המתוקן, החל ממועד שאינו ידוע למאשימה ועד לתאריך 18.3.20, החזיקו הנאשמים נשק מסוג תת מקלע מאולתר (להלן: </w:t>
      </w:r>
      <w:r w:rsidRPr="00A836CC">
        <w:rPr>
          <w:rFonts w:hint="cs"/>
          <w:b/>
          <w:bCs/>
          <w:rtl/>
        </w:rPr>
        <w:t>"תת מקלע"</w:t>
      </w:r>
      <w:r>
        <w:rPr>
          <w:rFonts w:hint="cs"/>
          <w:rtl/>
        </w:rPr>
        <w:t xml:space="preserve">). ביום 18.3.20, בשעה 20:25 או בסמוך לכך, נסעו הנאשמים ברכב מסוג פורד פוקס ל"ז 9425929 (להלן: </w:t>
      </w:r>
      <w:r w:rsidRPr="00A836CC">
        <w:rPr>
          <w:rFonts w:hint="cs"/>
          <w:b/>
          <w:bCs/>
          <w:rtl/>
        </w:rPr>
        <w:t>"הרכב"</w:t>
      </w:r>
      <w:r>
        <w:rPr>
          <w:rFonts w:hint="cs"/>
          <w:rtl/>
        </w:rPr>
        <w:t xml:space="preserve">) השייך לנאשם 1, כשהנאשם 1 נושא עמו ברכב את תת המקלע בתוך תיק. נאשם 1 אשר נהג ברכב נסע מכיוון רחוב יצחק הנדיב פינת דרך הר הזיתים, בכיוון כללי של הפסל הלבן, והרכב נעצר ברמזור אדום, במסלול נסיעה ישר. כשהרמזור התחלף לירוק, פנה נאשם 1 שמאלה, תוך ביצוע עבירת תנועה. השוטר טקלה אסייהין (להלן: </w:t>
      </w:r>
      <w:r w:rsidRPr="000E2CE2">
        <w:rPr>
          <w:rFonts w:hint="cs"/>
          <w:b/>
          <w:bCs/>
          <w:rtl/>
        </w:rPr>
        <w:t>"השוטר טקלה"</w:t>
      </w:r>
      <w:r>
        <w:rPr>
          <w:rFonts w:hint="cs"/>
          <w:rtl/>
        </w:rPr>
        <w:t xml:space="preserve">) אשר רכב על אופנוע משטרתי באותו רמזור, הדליק אורות כחולים וצפר לרכב לעצור, אך הרכב המשיך לנסוע לכיכר דרך הר הזיתים פינת קלרמון ושם פנה לכיוון כללי למטה ארצי. בשלב זה הגביר השוטר טקלה את מהירות נסיעתו, ונסע במקביל לרכב, תוך שהוא מסמן בידו הימנית לעצור. לאחר עצירת הרכב, הורה השוטר לנאשמים לצאת מן הרכב ואז אותר תת המקלע מוטמן בתיק לרגלי המושב הקדמי של הנהג. </w:t>
      </w:r>
    </w:p>
    <w:p w14:paraId="7FF56D66" w14:textId="77777777" w:rsidR="004C07B1" w:rsidRDefault="004C07B1" w:rsidP="004C07B1">
      <w:pPr>
        <w:spacing w:before="120" w:after="120" w:line="360" w:lineRule="auto"/>
        <w:contextualSpacing/>
        <w:jc w:val="both"/>
        <w:rPr>
          <w:b/>
          <w:bCs/>
          <w:u w:val="single"/>
        </w:rPr>
      </w:pPr>
    </w:p>
    <w:p w14:paraId="0572D1A0" w14:textId="77777777" w:rsidR="004C07B1" w:rsidRDefault="004C07B1" w:rsidP="004C07B1">
      <w:pPr>
        <w:spacing w:before="120" w:after="120" w:line="360" w:lineRule="auto"/>
        <w:contextualSpacing/>
        <w:jc w:val="both"/>
        <w:rPr>
          <w:b/>
          <w:bCs/>
          <w:u w:val="single"/>
          <w:rtl/>
        </w:rPr>
      </w:pPr>
      <w:r>
        <w:rPr>
          <w:rFonts w:hint="cs"/>
          <w:b/>
          <w:bCs/>
          <w:u w:val="single"/>
          <w:rtl/>
        </w:rPr>
        <w:t>תסקיר שירות מבחן</w:t>
      </w:r>
    </w:p>
    <w:p w14:paraId="20E0AC70" w14:textId="77777777" w:rsidR="004C07B1" w:rsidRDefault="004C07B1" w:rsidP="004C07B1">
      <w:pPr>
        <w:numPr>
          <w:ilvl w:val="0"/>
          <w:numId w:val="1"/>
        </w:numPr>
        <w:spacing w:before="120" w:after="120" w:line="360" w:lineRule="auto"/>
        <w:ind w:left="357" w:hanging="357"/>
        <w:contextualSpacing/>
        <w:jc w:val="both"/>
        <w:rPr>
          <w:rFonts w:eastAsia="David"/>
        </w:rPr>
      </w:pPr>
      <w:r>
        <w:rPr>
          <w:rFonts w:hint="cs"/>
          <w:rtl/>
        </w:rPr>
        <w:t xml:space="preserve">הנאשם בן 23, רווק. טרם מעצרו עבד תקופה קצרה בתחום האלומיניום בעיר בת ים. משפחת מוצאו מונה זוג הורים וארבעה ילדים משותפים בגילאים 24-17. הנאשם הוא השני בסדר הלידה. אביו כבן 64 נשוי בשנית. מזה כשבע שנים מתמודד עם בעיות רפואיות ולא עובד. אמו, כבת 59, עקרת בית ומתמודדת עם מחלת אסטמה. הנאשם תיאר, כי גדל במחסור כלכלי ומאז שאביו הפסיק לעבוד נאלץ לקבל על עצמו אחריות לפרנסת המשפחה, כאשר מגיל 17 הוא מפרנס יחידי. הנאשם תיאר את ילדותו כמורכבת, בשל מצב משפחתו, אשר התקשו לספק לו מענה לצרכיו החומריים והרגשיים. </w:t>
      </w:r>
    </w:p>
    <w:p w14:paraId="6643F8D6" w14:textId="77777777" w:rsidR="004C07B1" w:rsidRPr="00B46DC1" w:rsidRDefault="004C07B1" w:rsidP="004C07B1">
      <w:pPr>
        <w:spacing w:before="120" w:after="120" w:line="360" w:lineRule="auto"/>
        <w:ind w:left="357"/>
        <w:contextualSpacing/>
        <w:jc w:val="both"/>
        <w:rPr>
          <w:rFonts w:eastAsia="David"/>
          <w:sz w:val="12"/>
          <w:szCs w:val="12"/>
        </w:rPr>
      </w:pPr>
    </w:p>
    <w:p w14:paraId="58AE13C4"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הנאשם סיים 11 שנות לימוד, לדבריו בשל מצוקה כלכלית בבית לא היה פנוי ללמוד, על כן התקשה בלימודיו והישגיו היו נמוכים. הוא עזב את הלימודים בגיל 17 והחל לעבוד לצורך פרנסת המשפחה. לאור גילו הצעיר ובהיעדר מקצוע עבד בעבודות מזדמנות, בין היתר, בתחום המלונאות. הוא סיפר כי התקשה להתמיד במקום עבודה קבוע, וכאמור, טרם מעצרו עבד בתחום האלומיניום בעיר בת ים. </w:t>
      </w:r>
    </w:p>
    <w:p w14:paraId="293920DE" w14:textId="77777777" w:rsidR="004C07B1" w:rsidRPr="00B46DC1" w:rsidRDefault="004C07B1" w:rsidP="004C07B1">
      <w:pPr>
        <w:spacing w:before="120" w:after="120" w:line="360" w:lineRule="auto"/>
        <w:ind w:left="357"/>
        <w:contextualSpacing/>
        <w:jc w:val="both"/>
        <w:rPr>
          <w:sz w:val="12"/>
          <w:szCs w:val="12"/>
        </w:rPr>
      </w:pPr>
    </w:p>
    <w:p w14:paraId="0FAEB640"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אשר לביצוע העבירה- לצד הודאתו כי אכן היה ברכב בו נמצא הנשק, שלל הנאשם כי ידע על כך שהנשק ברכב. מסר, כי ראה תיק ברכב אולם הוא לא ידע על תכולתו וגם לא שאל מתוך תחושה לחדירה לפרטיות של חבריו. לדבריו, אם היה מודע לכך שמדובר בנשק היה נמנע מלהיכנס לרכב. בחווייתו, מעורבותו במיוחס לו נובעת מחוסר ידיעה ותום לב, ועל כן הוא לא תופס עצמו </w:t>
      </w:r>
      <w:r>
        <w:rPr>
          <w:rFonts w:hint="cs"/>
          <w:rtl/>
        </w:rPr>
        <w:lastRenderedPageBreak/>
        <w:t>כאדם עובר חוק. לאור עמדתו השוללת כל ידיעה ושותפות לביצוע העבירה, שירות המבחן התקשה להבין את הרקע לביצועה. עוד התרשם שירות המבחן, כי ברקע לקשריו עם השותפים לעבירה עמד צורך של שייכות וקבלה, אשר גרמו לנאשם קשיים בהתנהלותו ובהפעלת שיקול דעת עצמאי ובוגר. לצד זאת התרשם שירות המבחן, כי העמדתו לדין ומעצרו לראשונה בחייו היוו גורם מזעזע ומחדד גבולות המותר והאסור עבור הנאשם, וכי הפיק לקח מכך.</w:t>
      </w:r>
    </w:p>
    <w:p w14:paraId="3C92614F" w14:textId="77777777" w:rsidR="004C07B1" w:rsidRPr="00135C8F" w:rsidRDefault="004C07B1" w:rsidP="004C07B1">
      <w:pPr>
        <w:spacing w:before="120" w:after="120" w:line="360" w:lineRule="auto"/>
        <w:ind w:left="357"/>
        <w:contextualSpacing/>
        <w:jc w:val="both"/>
        <w:rPr>
          <w:sz w:val="12"/>
          <w:szCs w:val="12"/>
        </w:rPr>
      </w:pPr>
    </w:p>
    <w:p w14:paraId="56ABE60B"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אשר להערכת הסיכון לעבריינות והסיכוי לשיקום- מחד גיסא ציין שירות המבחן, כי מדובר בנאשם צעיר אשר גדל בתנאי מחסור קיומי ומצוקה כלכלית הישרדותית. על רקע הנסיבות המשפחתיות, הוא נאלץ לקחת על עצמו אחריות מילוי תפקיד של המפרנס העיקרי בבית, תפקיד שלא היה מותאם ליכולותיו הרגשיות והתפקודיות בהתאם לגילו באותה העת. שירות המבחן התרשם עוד, כי במצבים בהם חש תסכול ולחץ, הנאשם נוטה לפעול מתוך היעדר חשיבה מעמיקה על השלכות מעשיו ועל המחירים אשר הוא עשוי לשלם עליהם, ואינו פונה לסביבתו לקבלת עזרה. עוד התרשם שירות המבחן ממאפייני אישיות עם מוקדי שליטה חיצוניים וקושי לקחת אחריות על מהלך חייו ובחירותיו. בנוסף, שירות המבחן התרשם מקשייו להתנהל באופן עצמאי תוך צורך בדמויות שיכולות לתת מענה לתחושת חוסר המוגנות שחש מתוך תחושה של חוסר ביטחון ודימוי עצמי נמוך. ניכר, כי עדיין מצוי בהליך גיבוש זהותו הבוגרת ובניית דרכו בחיים. כיום הוא מבטא לחץ ומצוקה רגשית לאור החמרה במצב הכלכלי הירוד של משפחתו בעקבות מעצרו, שכן הוא נעדר אפשרות לפרנס ולעבוד במצב דברים זה. שירות המבחן התרשם, כי למצב זה השלכות על מצבו הנפשי. כל אלה עשויים להוות גורמי סיכון להישנות התנהגות עוברת חוק. מאידך גיסא, שירות מבחן ציין, כי הנאשם נעדר עבר פלילי, מעיון בדו"ח התנהגות למפוקח במסגרת פיקוח מעצרים עלה שלנאשם לא נרשמו הפרות. למעצרו והעמדתו לדין לראשונה בחייו היה אפקט מרתיע ומחדד גבולות המותר והאסור. כל אלה, לצד ההבנה שגילה בדבר השלכות המחירים שעלול לשלם על המשך חייו, מהווים גורמי סיכוי להימנעות ממעורבות פלילית חוזרת. </w:t>
      </w:r>
    </w:p>
    <w:p w14:paraId="1BA525BD" w14:textId="77777777" w:rsidR="004C07B1" w:rsidRPr="00191F59" w:rsidRDefault="004C07B1" w:rsidP="004C07B1">
      <w:pPr>
        <w:spacing w:before="120" w:after="120" w:line="360" w:lineRule="auto"/>
        <w:ind w:left="357"/>
        <w:contextualSpacing/>
        <w:jc w:val="both"/>
        <w:rPr>
          <w:sz w:val="12"/>
          <w:szCs w:val="12"/>
        </w:rPr>
      </w:pPr>
    </w:p>
    <w:p w14:paraId="29A59329"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שירות מבחן הדגיש, כי מדובר בנאשם צעיר אשר הביע שאיפתו להמשך ניהול אורח חיים תקין. לצד זה, תיאר את קשייו בהשתלבות במקומות תעסוקה וכי זקוק להבחנה בתחום זה, ובנוסף,  הביע את רצונו להשתלב בלימודים. עוד הדגיש שירות המבחן, כי הנאשם תיאר קשיים נפשיים בשל שהייתו הממושכת במעצר באיזוק אלקטרוני, והוא ביטא מצוקה אשר חווה סביב חווית המעצר וחרדה שחש מפני אפשרות הטלת מאסר בפועל והתמודדות עם חשיפה לאוכלוסיית האסירים בין כותלי בית הסוהר. על כן, שירות המבחן התרשם שהנאשם עשוי להפיק תועלת מהליך טיפולי. </w:t>
      </w:r>
    </w:p>
    <w:p w14:paraId="500B5B05" w14:textId="77777777" w:rsidR="004C07B1" w:rsidRPr="003F1F43" w:rsidRDefault="004C07B1" w:rsidP="004C07B1">
      <w:pPr>
        <w:spacing w:before="120" w:after="120" w:line="360" w:lineRule="auto"/>
        <w:ind w:left="357"/>
        <w:contextualSpacing/>
        <w:jc w:val="both"/>
        <w:rPr>
          <w:sz w:val="12"/>
          <w:szCs w:val="12"/>
        </w:rPr>
      </w:pPr>
    </w:p>
    <w:p w14:paraId="5EAFA176" w14:textId="77777777" w:rsidR="004C07B1" w:rsidRDefault="004C07B1" w:rsidP="004C07B1">
      <w:pPr>
        <w:numPr>
          <w:ilvl w:val="0"/>
          <w:numId w:val="1"/>
        </w:numPr>
        <w:spacing w:before="120" w:after="120" w:line="360" w:lineRule="auto"/>
        <w:ind w:left="357" w:hanging="357"/>
        <w:contextualSpacing/>
        <w:jc w:val="both"/>
      </w:pPr>
      <w:r>
        <w:rPr>
          <w:rFonts w:hint="cs"/>
          <w:rtl/>
        </w:rPr>
        <w:t xml:space="preserve">בסופו של דבר, בהתחשב בגילו הצעיר של הנאשם המצוי בתחילת בניית דרכו בחיים, זו לו מעידת הראשונה בפלילים, והוא נעצר לראשונה בחייו, שהה בתנאים מגבילים למשך תקופה ממושכת, ונעדר קווים עבריינים מושרשים באישיותו, שירות המבחן ראה חשיבות במקרה זה לנקוט בגישה שיקומית ומצמצמת נזקים עתידיים. על כן הומלץ להימנע מהטלת מאסר בפועל במטרה למנוע חשיפתו לאוכלוסיית האסירים בין כותלי בית הסוהר ולהטיל עונש מציב גבולות של מאסר שירוצה בעבודות שירות לצד הטלת ענישה הרתעתית של מאסר מותנה. כמו כן הומלץ על העמדתו בצו מבחן למשך שנה. לחילופין, במידה ויוחלט על הטלת עונש של מאסר בפועל, קצינת המבחן המליצה, כי יש להתחשב בנתונים כאמור לקביעת אורכו של המאסר. </w:t>
      </w:r>
    </w:p>
    <w:p w14:paraId="12D2131F" w14:textId="77777777" w:rsidR="004C07B1" w:rsidRDefault="004C07B1" w:rsidP="004C07B1">
      <w:pPr>
        <w:spacing w:before="120" w:after="120" w:line="360" w:lineRule="auto"/>
        <w:jc w:val="both"/>
        <w:rPr>
          <w:b/>
          <w:bCs/>
          <w:u w:val="single"/>
          <w:rtl/>
        </w:rPr>
      </w:pPr>
    </w:p>
    <w:p w14:paraId="20344B47" w14:textId="77777777" w:rsidR="004C07B1" w:rsidRPr="00F279B2" w:rsidRDefault="004C07B1" w:rsidP="004C07B1">
      <w:pPr>
        <w:spacing w:before="120" w:after="120" w:line="360" w:lineRule="auto"/>
        <w:jc w:val="both"/>
        <w:rPr>
          <w:b/>
          <w:bCs/>
          <w:u w:val="single"/>
        </w:rPr>
      </w:pPr>
      <w:r w:rsidRPr="00F279B2">
        <w:rPr>
          <w:rFonts w:hint="cs"/>
          <w:b/>
          <w:bCs/>
          <w:u w:val="single"/>
          <w:rtl/>
        </w:rPr>
        <w:t>טיעוני הצדדים לעונש</w:t>
      </w:r>
    </w:p>
    <w:p w14:paraId="1138B36B" w14:textId="77777777" w:rsidR="004C07B1" w:rsidRDefault="004C07B1" w:rsidP="004C07B1">
      <w:pPr>
        <w:numPr>
          <w:ilvl w:val="0"/>
          <w:numId w:val="1"/>
        </w:numPr>
        <w:spacing w:before="120" w:after="120" w:line="360" w:lineRule="auto"/>
        <w:ind w:left="357" w:hanging="357"/>
        <w:contextualSpacing/>
        <w:jc w:val="both"/>
      </w:pPr>
      <w:r>
        <w:rPr>
          <w:rtl/>
        </w:rPr>
        <w:t xml:space="preserve">ב"כ המאשימה </w:t>
      </w:r>
      <w:r>
        <w:rPr>
          <w:rFonts w:hint="cs"/>
          <w:rtl/>
        </w:rPr>
        <w:t>טען</w:t>
      </w:r>
      <w:r>
        <w:rPr>
          <w:rtl/>
        </w:rPr>
        <w:t xml:space="preserve"> </w:t>
      </w:r>
      <w:r>
        <w:rPr>
          <w:rFonts w:hint="cs"/>
          <w:rtl/>
        </w:rPr>
        <w:t>כי לשיטת המאשימה מתחם העונש ההולם צריך להיות גבוה יותר מזה שקבע בית המשפט בעניינו של נאשם 3 (20-7), וצריך לנוע</w:t>
      </w:r>
      <w:r>
        <w:rPr>
          <w:rtl/>
        </w:rPr>
        <w:t xml:space="preserve"> בין 12 ל-24 חודשי מאסר</w:t>
      </w:r>
      <w:r>
        <w:rPr>
          <w:rFonts w:hint="cs"/>
          <w:rtl/>
        </w:rPr>
        <w:t xml:space="preserve">. עם זאת, לאור העונש שהוטל בעניינו של נאשם 3 ומטעמי שוויון בענישה, עתר </w:t>
      </w:r>
      <w:r>
        <w:rPr>
          <w:rtl/>
        </w:rPr>
        <w:t xml:space="preserve">להטלת מאסר בפועל של </w:t>
      </w:r>
      <w:r>
        <w:rPr>
          <w:rFonts w:hint="cs"/>
          <w:rtl/>
        </w:rPr>
        <w:t>7 ח</w:t>
      </w:r>
      <w:r>
        <w:rPr>
          <w:rtl/>
        </w:rPr>
        <w:t>ודשי מאסר</w:t>
      </w:r>
      <w:r>
        <w:rPr>
          <w:rFonts w:hint="cs"/>
          <w:rtl/>
        </w:rPr>
        <w:t>, מאסר</w:t>
      </w:r>
      <w:r>
        <w:rPr>
          <w:rtl/>
        </w:rPr>
        <w:t xml:space="preserve"> מותנה</w:t>
      </w:r>
      <w:r>
        <w:rPr>
          <w:rFonts w:hint="cs"/>
          <w:rtl/>
        </w:rPr>
        <w:t xml:space="preserve"> וקנס</w:t>
      </w:r>
      <w:r>
        <w:rPr>
          <w:rtl/>
        </w:rPr>
        <w:t>. ב"כ המאשימה הדגיש את חומרת העבירה, את הערכים המוגנים העומדים בבסיסה</w:t>
      </w:r>
      <w:r>
        <w:rPr>
          <w:rFonts w:hint="cs"/>
          <w:rtl/>
        </w:rPr>
        <w:t>, ומגמת ההחמרה בגזרי הדין המוטלים בשל עבירות אלה,</w:t>
      </w:r>
      <w:r>
        <w:rPr>
          <w:rtl/>
        </w:rPr>
        <w:t xml:space="preserve"> והפנה לפסיקה לתמיכה בטענותי</w:t>
      </w:r>
      <w:r>
        <w:rPr>
          <w:rFonts w:hint="cs"/>
          <w:rtl/>
        </w:rPr>
        <w:t>ו</w:t>
      </w:r>
      <w:r>
        <w:rPr>
          <w:rtl/>
        </w:rPr>
        <w:t xml:space="preserve">. </w:t>
      </w:r>
      <w:r>
        <w:rPr>
          <w:rFonts w:hint="cs"/>
          <w:rtl/>
        </w:rPr>
        <w:t>ב"כ המאשימה ביקש לדחות את המלצת שירות המבחן, שאינה עולה, לדידו, בקנה אחד עם חומרת העבירה.</w:t>
      </w:r>
    </w:p>
    <w:p w14:paraId="4747D46E" w14:textId="77777777" w:rsidR="004C07B1" w:rsidRDefault="004C07B1" w:rsidP="004C07B1">
      <w:pPr>
        <w:spacing w:line="360" w:lineRule="auto"/>
        <w:jc w:val="both"/>
        <w:rPr>
          <w:sz w:val="12"/>
          <w:szCs w:val="12"/>
          <w:rtl/>
        </w:rPr>
      </w:pPr>
    </w:p>
    <w:p w14:paraId="29AD6185" w14:textId="77777777" w:rsidR="004C07B1" w:rsidRDefault="004C07B1" w:rsidP="004C07B1">
      <w:pPr>
        <w:numPr>
          <w:ilvl w:val="0"/>
          <w:numId w:val="1"/>
        </w:numPr>
        <w:spacing w:before="120" w:after="120" w:line="360" w:lineRule="auto"/>
        <w:ind w:left="357" w:hanging="357"/>
        <w:contextualSpacing/>
        <w:jc w:val="both"/>
        <w:rPr>
          <w:sz w:val="12"/>
          <w:szCs w:val="12"/>
        </w:rPr>
      </w:pPr>
      <w:r>
        <w:rPr>
          <w:rtl/>
        </w:rPr>
        <w:t>ב"כ הנאשם הסכים עם ב"כ המאשימה, כי הנאשם מצוי ברף התחתון של המתחם, וזאת לאור גילו הצעיר</w:t>
      </w:r>
      <w:r>
        <w:rPr>
          <w:rFonts w:hint="cs"/>
          <w:rtl/>
        </w:rPr>
        <w:t xml:space="preserve">, </w:t>
      </w:r>
      <w:r>
        <w:rPr>
          <w:rtl/>
        </w:rPr>
        <w:t xml:space="preserve">העדר עבר </w:t>
      </w:r>
      <w:r>
        <w:rPr>
          <w:rFonts w:hint="cs"/>
          <w:rtl/>
        </w:rPr>
        <w:t>פלילי וההמלצה החיובית של שירות המבחן. עוד טען, כי גם בעבירות נשק מוטלים עונשי מאסר בעבודות שירות והפנה לפסיקה לתמיכה בטענותיו. ב"כ הנאשם הוסיף, כי הנאשם</w:t>
      </w:r>
      <w:r>
        <w:rPr>
          <w:rtl/>
        </w:rPr>
        <w:t xml:space="preserve"> לקח אחריות למעשיו </w:t>
      </w:r>
      <w:r>
        <w:rPr>
          <w:rFonts w:hint="cs"/>
          <w:rtl/>
        </w:rPr>
        <w:t>וחסך זמן שיפוטי</w:t>
      </w:r>
      <w:r>
        <w:rPr>
          <w:rtl/>
        </w:rPr>
        <w:t xml:space="preserve"> לאחר שכתב האישום תוקן. </w:t>
      </w:r>
      <w:r>
        <w:rPr>
          <w:rFonts w:hint="cs"/>
          <w:rtl/>
        </w:rPr>
        <w:t>הפנה לנסיבות הלא פשוטות המפורטות בתסקיר שירות המבחן. כל אלה מצדיקים, לדידו, אימוץ המלצת שירות המבחן, בעיקר לנוכח תקופת המעצר באיזוק הארוכה בה שהה. לשיטתו, בשל נסיבה זו יש לקבוע מתחם עונש הולם נמוך יותר בעניינו, או לחרוג ממתחם העונש ההולם, שכן קביעה אחרת תגרום לחוסר שוויון בינו לבין חבריו, ולא יינתן משקל מתאים לתקופה ארוכה זו.</w:t>
      </w:r>
    </w:p>
    <w:p w14:paraId="7B82F1D2" w14:textId="77777777" w:rsidR="004C07B1" w:rsidRPr="00FE7481" w:rsidRDefault="004C07B1" w:rsidP="004C07B1">
      <w:pPr>
        <w:spacing w:before="120" w:after="120" w:line="360" w:lineRule="auto"/>
        <w:ind w:left="357"/>
        <w:contextualSpacing/>
        <w:jc w:val="both"/>
        <w:rPr>
          <w:sz w:val="12"/>
          <w:szCs w:val="12"/>
          <w:rtl/>
        </w:rPr>
      </w:pPr>
    </w:p>
    <w:p w14:paraId="69840291" w14:textId="77777777" w:rsidR="004C07B1" w:rsidRPr="00F279B2" w:rsidRDefault="004C07B1" w:rsidP="004C07B1">
      <w:pPr>
        <w:numPr>
          <w:ilvl w:val="0"/>
          <w:numId w:val="1"/>
        </w:numPr>
        <w:spacing w:before="120" w:after="120" w:line="360" w:lineRule="auto"/>
        <w:ind w:left="357" w:hanging="357"/>
        <w:contextualSpacing/>
        <w:jc w:val="both"/>
        <w:rPr>
          <w:b/>
          <w:bCs/>
          <w:u w:val="single"/>
          <w:rtl/>
        </w:rPr>
      </w:pPr>
      <w:r>
        <w:rPr>
          <w:rtl/>
        </w:rPr>
        <w:t xml:space="preserve">הנאשם </w:t>
      </w:r>
      <w:r>
        <w:rPr>
          <w:rFonts w:hint="cs"/>
          <w:rtl/>
        </w:rPr>
        <w:t>בחר שלא הוסיף דבר על דברי ב"כ</w:t>
      </w:r>
      <w:r>
        <w:rPr>
          <w:rtl/>
        </w:rPr>
        <w:t xml:space="preserve">. </w:t>
      </w:r>
    </w:p>
    <w:p w14:paraId="0863697E" w14:textId="77777777" w:rsidR="004C07B1" w:rsidRDefault="004C07B1" w:rsidP="004C07B1">
      <w:pPr>
        <w:spacing w:line="360" w:lineRule="auto"/>
        <w:jc w:val="both"/>
        <w:rPr>
          <w:b/>
          <w:bCs/>
          <w:u w:val="single"/>
          <w:rtl/>
        </w:rPr>
      </w:pPr>
    </w:p>
    <w:p w14:paraId="68D2C111" w14:textId="77777777" w:rsidR="004C07B1" w:rsidRDefault="004C07B1" w:rsidP="004C07B1">
      <w:pPr>
        <w:spacing w:line="360" w:lineRule="auto"/>
        <w:jc w:val="both"/>
        <w:rPr>
          <w:b/>
          <w:bCs/>
          <w:u w:val="single"/>
          <w:rtl/>
        </w:rPr>
      </w:pPr>
      <w:r>
        <w:rPr>
          <w:rFonts w:hint="cs"/>
          <w:b/>
          <w:bCs/>
          <w:u w:val="single"/>
          <w:rtl/>
        </w:rPr>
        <w:t>דיון והכרעה</w:t>
      </w:r>
    </w:p>
    <w:p w14:paraId="78458F26" w14:textId="77777777" w:rsidR="004C07B1" w:rsidRDefault="004C07B1" w:rsidP="004C07B1">
      <w:pPr>
        <w:spacing w:line="360" w:lineRule="auto"/>
        <w:jc w:val="both"/>
        <w:rPr>
          <w:rtl/>
        </w:rPr>
      </w:pPr>
      <w:r>
        <w:rPr>
          <w:rFonts w:hint="cs"/>
          <w:b/>
          <w:bCs/>
          <w:u w:val="single"/>
          <w:rtl/>
        </w:rPr>
        <w:t>מתחם העונש ההולם</w:t>
      </w:r>
    </w:p>
    <w:p w14:paraId="1F91AD2D" w14:textId="77777777" w:rsidR="004C07B1" w:rsidRDefault="004C07B1" w:rsidP="004C07B1">
      <w:pPr>
        <w:numPr>
          <w:ilvl w:val="0"/>
          <w:numId w:val="1"/>
        </w:numPr>
        <w:spacing w:before="120" w:after="120" w:line="360" w:lineRule="auto"/>
        <w:ind w:left="357" w:hanging="357"/>
        <w:contextualSpacing/>
        <w:jc w:val="both"/>
        <w:rPr>
          <w:rFonts w:ascii="Arial" w:hAnsi="Arial"/>
        </w:rPr>
      </w:pPr>
      <w:r>
        <w:rPr>
          <w:rFonts w:ascii="Arial" w:hAnsi="Arial" w:hint="cs"/>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w:t>
      </w:r>
    </w:p>
    <w:p w14:paraId="32AD614E" w14:textId="77777777" w:rsidR="004C07B1" w:rsidRPr="00834060" w:rsidRDefault="004C07B1" w:rsidP="004C07B1">
      <w:pPr>
        <w:spacing w:before="120" w:after="120" w:line="360" w:lineRule="auto"/>
        <w:ind w:left="357"/>
        <w:contextualSpacing/>
        <w:jc w:val="both"/>
        <w:rPr>
          <w:rFonts w:ascii="Arial" w:hAnsi="Arial"/>
          <w:sz w:val="12"/>
          <w:szCs w:val="12"/>
        </w:rPr>
      </w:pPr>
    </w:p>
    <w:p w14:paraId="407AAB87" w14:textId="77777777" w:rsidR="004C07B1" w:rsidRPr="00834060" w:rsidRDefault="004C07B1" w:rsidP="004C07B1">
      <w:pPr>
        <w:numPr>
          <w:ilvl w:val="0"/>
          <w:numId w:val="1"/>
        </w:numPr>
        <w:spacing w:before="120" w:after="120" w:line="360" w:lineRule="auto"/>
        <w:ind w:left="357" w:hanging="357"/>
        <w:contextualSpacing/>
        <w:jc w:val="both"/>
      </w:pPr>
      <w:r>
        <w:rPr>
          <w:rFonts w:hint="cs"/>
          <w:rtl/>
        </w:rPr>
        <w:t>החזקת ונשיאת נשק ללא היתר טומנת בחובה סכנה ממשית שמא אותו הנשק יגיע לידיים לא זהירות או שיעשה שימוש פלילי בנשק ובכך ייגרם נזק ממשי חמור, החל בנזק לרכוש וכלה בנזק לגוף, עד כדי גרימת מוות. זאת ועוד, עצם החזקת נשק באופן שאינו מפוקח על ידי הרשויות טומן בחובו סיכון פן המחזיק בו יתפתה לעשות בו שימוש</w:t>
      </w:r>
      <w:r w:rsidRPr="00834060">
        <w:rPr>
          <w:rFonts w:hint="cs"/>
          <w:rtl/>
        </w:rPr>
        <w:t xml:space="preserve">, ולו ברגעי לחץ ופחד (ר' </w:t>
      </w:r>
      <w:hyperlink r:id="rId16" w:history="1">
        <w:r w:rsidR="006537B3" w:rsidRPr="006537B3">
          <w:rPr>
            <w:color w:val="0000FF"/>
            <w:u w:val="single"/>
            <w:rtl/>
          </w:rPr>
          <w:t>ע"פ 4945/13</w:t>
        </w:r>
      </w:hyperlink>
      <w:r w:rsidRPr="00834060">
        <w:rPr>
          <w:rFonts w:hint="cs"/>
          <w:rtl/>
        </w:rPr>
        <w:t xml:space="preserve"> </w:t>
      </w:r>
      <w:r w:rsidRPr="00834060">
        <w:rPr>
          <w:rFonts w:hint="cs"/>
          <w:b/>
          <w:bCs/>
          <w:rtl/>
        </w:rPr>
        <w:t>מדינת ישראל נ' סלימאן</w:t>
      </w:r>
      <w:r w:rsidRPr="00834060">
        <w:rPr>
          <w:rFonts w:hint="cs"/>
          <w:rtl/>
        </w:rPr>
        <w:t xml:space="preserve"> </w:t>
      </w:r>
      <w:r w:rsidRPr="00834060">
        <w:rPr>
          <w:rFonts w:hint="cs"/>
          <w:sz w:val="22"/>
          <w:rtl/>
        </w:rPr>
        <w:t xml:space="preserve">[פורסם בנבו] </w:t>
      </w:r>
      <w:r w:rsidRPr="00834060">
        <w:rPr>
          <w:rFonts w:hint="cs"/>
          <w:rtl/>
        </w:rPr>
        <w:t xml:space="preserve">(19.1.14); </w:t>
      </w:r>
      <w:hyperlink r:id="rId17" w:history="1">
        <w:r w:rsidR="006537B3" w:rsidRPr="006537B3">
          <w:rPr>
            <w:color w:val="0000FF"/>
            <w:u w:val="single"/>
            <w:rtl/>
          </w:rPr>
          <w:t>ע"פ 3300/06</w:t>
        </w:r>
      </w:hyperlink>
      <w:r w:rsidRPr="00834060">
        <w:rPr>
          <w:rFonts w:hint="cs"/>
          <w:rtl/>
        </w:rPr>
        <w:t xml:space="preserve"> </w:t>
      </w:r>
      <w:r w:rsidRPr="00834060">
        <w:rPr>
          <w:rFonts w:hint="cs"/>
          <w:b/>
          <w:bCs/>
          <w:rtl/>
        </w:rPr>
        <w:t>אבו סנינה נ' מדינת ישראל</w:t>
      </w:r>
      <w:r w:rsidRPr="00834060">
        <w:rPr>
          <w:rFonts w:hint="cs"/>
          <w:rtl/>
        </w:rPr>
        <w:t xml:space="preserve"> </w:t>
      </w:r>
      <w:r w:rsidRPr="00834060">
        <w:rPr>
          <w:rFonts w:hint="cs"/>
          <w:sz w:val="22"/>
          <w:rtl/>
        </w:rPr>
        <w:t xml:space="preserve">[פורסם בנבו] </w:t>
      </w:r>
      <w:r w:rsidRPr="00834060">
        <w:rPr>
          <w:rFonts w:hint="cs"/>
          <w:rtl/>
        </w:rPr>
        <w:t xml:space="preserve">(10.8.06)). </w:t>
      </w:r>
      <w:r w:rsidRPr="00834060">
        <w:rPr>
          <w:rFonts w:ascii="Franklin Gothic Medium" w:hAnsi="Franklin Gothic Medium" w:hint="cs"/>
          <w:rtl/>
        </w:rPr>
        <w:t>על-כן, פוטנציאל הסיכון הנשקף מהחזקה בו מחייב הטלת ענישה מחמירה ומרתיעה, ו</w:t>
      </w:r>
      <w:r w:rsidRPr="004C07B1">
        <w:rPr>
          <w:rFonts w:ascii="Calibri" w:hAnsi="Calibri" w:hint="cs"/>
          <w:rtl/>
        </w:rPr>
        <w:t xml:space="preserve">על בית המשפט לתת משקל משמעותי יותר לאינטרס הציבורי ולצורך להרתיע עבריינים מלבצע עבירות דומות, על-פני הנסיבות האישיות של העבריין. בית המשפט העליון חזר על כך, מפי </w:t>
      </w:r>
      <w:r w:rsidRPr="00834060">
        <w:rPr>
          <w:rFonts w:hint="cs"/>
          <w:rtl/>
          <w:lang w:eastAsia="he-IL"/>
        </w:rPr>
        <w:t xml:space="preserve">כב' השופט </w:t>
      </w:r>
      <w:r>
        <w:rPr>
          <w:rFonts w:hint="cs"/>
          <w:rtl/>
          <w:lang w:eastAsia="he-IL"/>
        </w:rPr>
        <w:t xml:space="preserve">צ' </w:t>
      </w:r>
      <w:r w:rsidRPr="00834060">
        <w:rPr>
          <w:rFonts w:hint="cs"/>
          <w:rtl/>
          <w:lang w:eastAsia="he-IL"/>
        </w:rPr>
        <w:t>זילברטל</w:t>
      </w:r>
      <w:r>
        <w:rPr>
          <w:rFonts w:hint="cs"/>
          <w:rtl/>
          <w:lang w:eastAsia="he-IL"/>
        </w:rPr>
        <w:t xml:space="preserve">, </w:t>
      </w:r>
      <w:r w:rsidRPr="00834060">
        <w:rPr>
          <w:rFonts w:hint="cs"/>
          <w:rtl/>
          <w:lang w:eastAsia="he-IL"/>
        </w:rPr>
        <w:t>ב</w:t>
      </w:r>
      <w:hyperlink r:id="rId18" w:history="1">
        <w:r w:rsidR="006537B3" w:rsidRPr="006537B3">
          <w:rPr>
            <w:color w:val="0000FF"/>
            <w:u w:val="single"/>
            <w:rtl/>
            <w:lang w:eastAsia="he-IL"/>
          </w:rPr>
          <w:t>ע"פ 6989/13</w:t>
        </w:r>
      </w:hyperlink>
      <w:r w:rsidRPr="00834060">
        <w:rPr>
          <w:rFonts w:hint="cs"/>
          <w:rtl/>
          <w:lang w:eastAsia="he-IL"/>
        </w:rPr>
        <w:t xml:space="preserve"> </w:t>
      </w:r>
      <w:r w:rsidRPr="00834060">
        <w:rPr>
          <w:rFonts w:hint="cs"/>
          <w:b/>
          <w:bCs/>
          <w:rtl/>
          <w:lang w:eastAsia="he-IL"/>
        </w:rPr>
        <w:t xml:space="preserve">פרח נ' מדינת ישראל </w:t>
      </w:r>
      <w:r w:rsidRPr="00834060">
        <w:rPr>
          <w:rFonts w:hint="cs"/>
          <w:rtl/>
          <w:lang w:eastAsia="he-IL"/>
        </w:rPr>
        <w:t xml:space="preserve">(מיום 25.2.14): </w:t>
      </w:r>
    </w:p>
    <w:p w14:paraId="3D132ABE" w14:textId="77777777" w:rsidR="004C07B1" w:rsidRPr="00834060" w:rsidRDefault="004C07B1" w:rsidP="004C07B1">
      <w:pPr>
        <w:spacing w:before="120" w:after="120" w:line="360" w:lineRule="auto"/>
        <w:ind w:left="720"/>
        <w:contextualSpacing/>
        <w:jc w:val="both"/>
        <w:rPr>
          <w:b/>
          <w:bCs/>
          <w:sz w:val="12"/>
          <w:szCs w:val="12"/>
          <w:rtl/>
        </w:rPr>
      </w:pPr>
    </w:p>
    <w:p w14:paraId="235B868E" w14:textId="77777777" w:rsidR="004C07B1" w:rsidRPr="00834060" w:rsidRDefault="004C07B1" w:rsidP="004C07B1">
      <w:pPr>
        <w:spacing w:before="120" w:after="120" w:line="360" w:lineRule="auto"/>
        <w:ind w:left="566" w:right="709"/>
        <w:contextualSpacing/>
        <w:jc w:val="both"/>
      </w:pPr>
      <w:r w:rsidRPr="00834060">
        <w:rPr>
          <w:rFonts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19" w:history="1">
        <w:r w:rsidR="006537B3" w:rsidRPr="006537B3">
          <w:rPr>
            <w:b/>
            <w:bCs/>
            <w:color w:val="0000FF"/>
            <w:u w:val="single"/>
            <w:rtl/>
          </w:rPr>
          <w:t>ע"פ 3156/11</w:t>
        </w:r>
      </w:hyperlink>
      <w:r w:rsidRPr="00834060">
        <w:rPr>
          <w:rFonts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0" w:history="1">
        <w:r w:rsidR="006537B3" w:rsidRPr="006537B3">
          <w:rPr>
            <w:b/>
            <w:bCs/>
            <w:color w:val="0000FF"/>
            <w:u w:val="single"/>
            <w:rtl/>
          </w:rPr>
          <w:t>ע"פ 2006/12</w:t>
        </w:r>
      </w:hyperlink>
      <w:r w:rsidRPr="00834060">
        <w:rPr>
          <w:rFonts w:hint="cs"/>
          <w:b/>
          <w:bCs/>
          <w:rtl/>
        </w:rPr>
        <w:t xml:space="preserve"> מדינת ישראל נ' אסדי (28.3.2012), (להלן: עניין אסדי); </w:t>
      </w:r>
      <w:hyperlink r:id="rId21" w:history="1">
        <w:r w:rsidR="006537B3" w:rsidRPr="006537B3">
          <w:rPr>
            <w:b/>
            <w:bCs/>
            <w:color w:val="0000FF"/>
            <w:u w:val="single"/>
            <w:rtl/>
          </w:rPr>
          <w:t>ע"פ 7502/12</w:t>
        </w:r>
      </w:hyperlink>
      <w:r w:rsidRPr="00834060">
        <w:rPr>
          <w:rFonts w:hint="cs"/>
          <w:b/>
          <w:bCs/>
          <w:rtl/>
        </w:rPr>
        <w:t xml:space="preserve"> כוויס נ' מדינת ישראל, פסקה 6 (25.6.2013))... </w:t>
      </w:r>
      <w:r w:rsidRPr="00834060">
        <w:rPr>
          <w:rFonts w:hint="cs"/>
          <w:rtl/>
        </w:rPr>
        <w:t>"</w:t>
      </w:r>
    </w:p>
    <w:p w14:paraId="0945ACA9" w14:textId="77777777" w:rsidR="004C07B1" w:rsidRPr="00834060" w:rsidRDefault="004C07B1" w:rsidP="004C07B1">
      <w:pPr>
        <w:spacing w:before="120" w:after="120" w:line="360" w:lineRule="auto"/>
        <w:ind w:right="709"/>
        <w:contextualSpacing/>
        <w:jc w:val="both"/>
        <w:rPr>
          <w:sz w:val="12"/>
          <w:szCs w:val="12"/>
        </w:rPr>
      </w:pPr>
    </w:p>
    <w:p w14:paraId="50FD9647" w14:textId="77777777" w:rsidR="004C07B1" w:rsidRPr="004C07B1" w:rsidRDefault="004C07B1" w:rsidP="004C07B1">
      <w:pPr>
        <w:numPr>
          <w:ilvl w:val="0"/>
          <w:numId w:val="1"/>
        </w:numPr>
        <w:spacing w:before="120" w:after="120" w:line="360" w:lineRule="auto"/>
        <w:ind w:left="357" w:hanging="357"/>
        <w:contextualSpacing/>
        <w:jc w:val="both"/>
        <w:rPr>
          <w:rFonts w:ascii="Calibri" w:hAnsi="Calibri"/>
        </w:rPr>
      </w:pPr>
      <w:r w:rsidRPr="004C07B1">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22" w:history="1">
        <w:r w:rsidR="006537B3" w:rsidRPr="006537B3">
          <w:rPr>
            <w:rFonts w:ascii="Calibri" w:hAnsi="Calibri" w:hint="eastAsia"/>
            <w:color w:val="0000FF"/>
            <w:u w:val="single"/>
            <w:rtl/>
          </w:rPr>
          <w:t>ע</w:t>
        </w:r>
        <w:r w:rsidR="006537B3" w:rsidRPr="006537B3">
          <w:rPr>
            <w:rFonts w:ascii="Calibri" w:hAnsi="Calibri"/>
            <w:color w:val="0000FF"/>
            <w:u w:val="single"/>
            <w:rtl/>
          </w:rPr>
          <w:t>"</w:t>
        </w:r>
        <w:r w:rsidR="006537B3" w:rsidRPr="006537B3">
          <w:rPr>
            <w:rFonts w:ascii="Calibri" w:hAnsi="Calibri" w:hint="eastAsia"/>
            <w:color w:val="0000FF"/>
            <w:u w:val="single"/>
            <w:rtl/>
          </w:rPr>
          <w:t>פ</w:t>
        </w:r>
        <w:r w:rsidR="006537B3" w:rsidRPr="006537B3">
          <w:rPr>
            <w:rFonts w:ascii="Calibri" w:hAnsi="Calibri"/>
            <w:color w:val="0000FF"/>
            <w:u w:val="single"/>
            <w:rtl/>
          </w:rPr>
          <w:t xml:space="preserve"> 1323/13</w:t>
        </w:r>
      </w:hyperlink>
      <w:r w:rsidRPr="004C07B1">
        <w:rPr>
          <w:rFonts w:ascii="Calibri" w:hAnsi="Calibri" w:hint="cs"/>
          <w:rtl/>
        </w:rPr>
        <w:t xml:space="preserve"> </w:t>
      </w:r>
      <w:r w:rsidRPr="004C07B1">
        <w:rPr>
          <w:rFonts w:ascii="Calibri" w:hAnsi="Calibri" w:hint="cs"/>
          <w:b/>
          <w:bCs/>
          <w:rtl/>
        </w:rPr>
        <w:t>רך חסן  נגד מדינת ישראל</w:t>
      </w:r>
      <w:r w:rsidRPr="004C07B1">
        <w:rPr>
          <w:rFonts w:ascii="Calibri" w:hAnsi="Calibri" w:hint="cs"/>
          <w:rtl/>
        </w:rPr>
        <w:t xml:space="preserve">  (ניתן ביום 5.6.13), שם קבעה כבוד השופטת ע' ארבל:</w:t>
      </w:r>
    </w:p>
    <w:p w14:paraId="2B7AF531" w14:textId="77777777" w:rsidR="004C07B1" w:rsidRPr="004C07B1" w:rsidRDefault="004C07B1" w:rsidP="004C07B1">
      <w:pPr>
        <w:spacing w:before="120" w:after="120" w:line="360" w:lineRule="auto"/>
        <w:ind w:left="782"/>
        <w:contextualSpacing/>
        <w:jc w:val="both"/>
        <w:rPr>
          <w:rFonts w:ascii="Calibri" w:hAnsi="Calibri"/>
          <w:sz w:val="12"/>
          <w:szCs w:val="12"/>
        </w:rPr>
      </w:pPr>
    </w:p>
    <w:p w14:paraId="271D12A6" w14:textId="77777777" w:rsidR="004C07B1" w:rsidRDefault="004C07B1" w:rsidP="004C07B1">
      <w:pPr>
        <w:spacing w:before="120" w:after="120" w:line="360" w:lineRule="auto"/>
        <w:ind w:left="720"/>
        <w:contextualSpacing/>
        <w:jc w:val="both"/>
        <w:rPr>
          <w:rFonts w:ascii="David" w:hAnsi="David"/>
          <w:b/>
          <w:bCs/>
          <w:rtl/>
        </w:rPr>
      </w:pP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1612679" w14:textId="77777777" w:rsidR="004C07B1" w:rsidRPr="00834060" w:rsidRDefault="004C07B1" w:rsidP="004C07B1">
      <w:pPr>
        <w:spacing w:before="120" w:after="120" w:line="360" w:lineRule="auto"/>
        <w:contextualSpacing/>
        <w:jc w:val="both"/>
        <w:rPr>
          <w:rFonts w:ascii="David" w:hAnsi="David"/>
          <w:b/>
          <w:bCs/>
          <w:sz w:val="12"/>
          <w:szCs w:val="12"/>
        </w:rPr>
      </w:pPr>
    </w:p>
    <w:p w14:paraId="270DC454" w14:textId="77777777" w:rsidR="004C07B1" w:rsidRPr="004B5E01" w:rsidRDefault="004C07B1" w:rsidP="004C07B1">
      <w:pPr>
        <w:numPr>
          <w:ilvl w:val="0"/>
          <w:numId w:val="1"/>
        </w:numPr>
        <w:spacing w:before="120" w:after="120" w:line="360" w:lineRule="auto"/>
        <w:ind w:left="357" w:hanging="357"/>
        <w:contextualSpacing/>
        <w:jc w:val="both"/>
        <w:rPr>
          <w:rFonts w:ascii="Arial" w:hAnsi="Arial"/>
          <w:rtl/>
        </w:rPr>
      </w:pPr>
      <w:r>
        <w:rPr>
          <w:rFonts w:ascii="Arial" w:hAnsi="Arial" w:hint="cs"/>
          <w:rtl/>
        </w:rPr>
        <w:t>ב</w:t>
      </w:r>
      <w:hyperlink r:id="rId23" w:history="1">
        <w:r w:rsidR="006537B3" w:rsidRPr="006537B3">
          <w:rPr>
            <w:rFonts w:ascii="Arial" w:hAnsi="Arial"/>
            <w:color w:val="0000FF"/>
            <w:u w:val="single"/>
            <w:rtl/>
          </w:rPr>
          <w:t>ע"פ 2251/11</w:t>
        </w:r>
      </w:hyperlink>
      <w:r w:rsidRPr="00834060">
        <w:rPr>
          <w:rFonts w:ascii="Arial" w:hAnsi="Arial" w:hint="cs"/>
          <w:rtl/>
        </w:rPr>
        <w:t xml:space="preserve"> </w:t>
      </w:r>
      <w:r w:rsidRPr="00834060">
        <w:rPr>
          <w:rFonts w:ascii="Arial" w:hAnsi="Arial" w:hint="cs"/>
          <w:b/>
          <w:bCs/>
          <w:rtl/>
        </w:rPr>
        <w:t>נפאע נ' מדינת ישראל</w:t>
      </w:r>
      <w:r w:rsidRPr="00834060">
        <w:rPr>
          <w:rFonts w:ascii="Arial" w:hAnsi="Arial" w:hint="cs"/>
          <w:rtl/>
        </w:rPr>
        <w:t xml:space="preserve"> (ניתן ביום 4.12.11) קבעה כבוד השופטת א' חיות (כתוארה אז) כך: "</w:t>
      </w:r>
      <w:r w:rsidRPr="00834060">
        <w:rPr>
          <w:rFonts w:ascii="Arial" w:hAnsi="Arial" w:hint="cs"/>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834060">
        <w:rPr>
          <w:rFonts w:ascii="Arial" w:hAnsi="Arial" w:hint="cs"/>
          <w:rtl/>
        </w:rPr>
        <w:t xml:space="preserve">". </w:t>
      </w:r>
    </w:p>
    <w:p w14:paraId="56319239" w14:textId="77777777" w:rsidR="004C07B1" w:rsidRDefault="004C07B1" w:rsidP="004C07B1">
      <w:pPr>
        <w:spacing w:before="120" w:after="120" w:line="360" w:lineRule="auto"/>
        <w:ind w:left="782"/>
        <w:contextualSpacing/>
        <w:jc w:val="both"/>
        <w:rPr>
          <w:rFonts w:ascii="Arial" w:hAnsi="Arial"/>
          <w:sz w:val="12"/>
          <w:szCs w:val="12"/>
          <w:rtl/>
        </w:rPr>
      </w:pPr>
    </w:p>
    <w:p w14:paraId="46C36807" w14:textId="77777777" w:rsidR="004C07B1" w:rsidRDefault="004C07B1" w:rsidP="004C07B1">
      <w:pPr>
        <w:numPr>
          <w:ilvl w:val="0"/>
          <w:numId w:val="1"/>
        </w:numPr>
        <w:spacing w:before="120" w:after="120" w:line="360" w:lineRule="auto"/>
        <w:ind w:left="357" w:hanging="357"/>
        <w:contextualSpacing/>
        <w:jc w:val="both"/>
        <w:rPr>
          <w:rFonts w:ascii="David" w:hAnsi="David"/>
        </w:rPr>
      </w:pPr>
      <w:r>
        <w:rPr>
          <w:rFonts w:hint="cs"/>
          <w:rtl/>
        </w:rPr>
        <w:t xml:space="preserve">מדיניות הענישה הנהוגה בעבירות בנשק הינה מגוונת, והיא תלויה </w:t>
      </w:r>
      <w:r>
        <w:rPr>
          <w:rFonts w:hint="cs"/>
          <w:b/>
          <w:bCs/>
          <w:rtl/>
        </w:rPr>
        <w:t xml:space="preserve">בנסיבותיו </w:t>
      </w:r>
      <w:r>
        <w:rPr>
          <w:rFonts w:hint="cs"/>
          <w:rtl/>
        </w:rPr>
        <w:t>של כל מקרה ומקרה. כך למשל –</w:t>
      </w:r>
    </w:p>
    <w:p w14:paraId="517AADC8" w14:textId="77777777" w:rsidR="004C07B1" w:rsidRDefault="004C07B1" w:rsidP="004C07B1">
      <w:pPr>
        <w:spacing w:before="120" w:after="120" w:line="360" w:lineRule="auto"/>
        <w:ind w:left="782"/>
        <w:contextualSpacing/>
        <w:jc w:val="both"/>
        <w:rPr>
          <w:rtl/>
        </w:rPr>
      </w:pPr>
      <w:r w:rsidRPr="004B5E01">
        <w:rPr>
          <w:rFonts w:hint="cs"/>
          <w:rtl/>
          <w:lang w:eastAsia="he-IL"/>
        </w:rPr>
        <w:t>ב</w:t>
      </w:r>
      <w:hyperlink r:id="rId24" w:history="1">
        <w:r w:rsidR="006537B3" w:rsidRPr="006537B3">
          <w:rPr>
            <w:color w:val="0000FF"/>
            <w:u w:val="single"/>
            <w:rtl/>
          </w:rPr>
          <w:t>ע"פ 135/17</w:t>
        </w:r>
      </w:hyperlink>
      <w:r w:rsidRPr="004B5E01">
        <w:rPr>
          <w:rFonts w:hint="cs"/>
          <w:rtl/>
        </w:rPr>
        <w:t xml:space="preserve"> </w:t>
      </w:r>
      <w:r w:rsidRPr="004B5E01">
        <w:rPr>
          <w:rFonts w:hint="cs"/>
          <w:b/>
          <w:bCs/>
          <w:rtl/>
        </w:rPr>
        <w:t>מדינת ישראל נ' סמי בסל</w:t>
      </w:r>
      <w:r w:rsidRPr="004B5E01">
        <w:rPr>
          <w:rFonts w:hint="cs"/>
          <w:rtl/>
        </w:rPr>
        <w:t xml:space="preserve"> (ניתן ביום 8.3.17) </w:t>
      </w:r>
      <w:r w:rsidRPr="004B5E01">
        <w:rPr>
          <w:rFonts w:hint="cs"/>
          <w:rtl/>
          <w:lang w:eastAsia="he-IL"/>
        </w:rPr>
        <w:t>קיבל בית המשפט העליון את ערעורה של המדינה  על גזר דינו של בית המשפט המחוזי בחיפה, במסגרתו הושת</w:t>
      </w:r>
      <w:r>
        <w:rPr>
          <w:rFonts w:hint="cs"/>
          <w:rtl/>
          <w:lang w:eastAsia="he-IL"/>
        </w:rPr>
        <w:t>ו</w:t>
      </w:r>
      <w:r w:rsidRPr="004B5E01">
        <w:rPr>
          <w:rFonts w:hint="cs"/>
          <w:rtl/>
          <w:lang w:eastAsia="he-IL"/>
        </w:rPr>
        <w:t xml:space="preserve"> על הנאשם</w:t>
      </w:r>
      <w:r>
        <w:rPr>
          <w:rFonts w:hint="cs"/>
          <w:rtl/>
          <w:lang w:eastAsia="he-IL"/>
        </w:rPr>
        <w:t xml:space="preserve"> </w:t>
      </w:r>
      <w:r w:rsidRPr="004B5E01">
        <w:rPr>
          <w:rFonts w:hint="cs"/>
          <w:rtl/>
          <w:lang w:eastAsia="he-IL"/>
        </w:rPr>
        <w:t xml:space="preserve">12 חודשי מאסר לריצוי בפועל, בגין ביצוע עבירות של החזקה ונשיאת נשק לפי </w:t>
      </w:r>
      <w:hyperlink r:id="rId25" w:history="1">
        <w:r w:rsidR="00B514DC" w:rsidRPr="00B514DC">
          <w:rPr>
            <w:rStyle w:val="Hyperlink"/>
            <w:rFonts w:hint="eastAsia"/>
            <w:rtl/>
            <w:lang w:eastAsia="he-IL"/>
          </w:rPr>
          <w:t>סעיף</w:t>
        </w:r>
        <w:r w:rsidR="00B514DC" w:rsidRPr="00B514DC">
          <w:rPr>
            <w:rStyle w:val="Hyperlink"/>
            <w:rtl/>
            <w:lang w:eastAsia="he-IL"/>
          </w:rPr>
          <w:t xml:space="preserve"> 144(א)</w:t>
        </w:r>
      </w:hyperlink>
      <w:r w:rsidRPr="006537B3">
        <w:rPr>
          <w:rFonts w:hint="cs"/>
          <w:color w:val="000000"/>
          <w:rtl/>
          <w:lang w:eastAsia="he-IL"/>
        </w:rPr>
        <w:t xml:space="preserve"> ו</w:t>
      </w:r>
      <w:hyperlink r:id="rId26" w:history="1">
        <w:r w:rsidR="00B514DC" w:rsidRPr="00B514DC">
          <w:rPr>
            <w:rStyle w:val="Hyperlink"/>
            <w:rtl/>
            <w:lang w:eastAsia="he-IL"/>
          </w:rPr>
          <w:t>144(ב)</w:t>
        </w:r>
      </w:hyperlink>
      <w:r w:rsidRPr="004B5E01">
        <w:rPr>
          <w:rFonts w:hint="cs"/>
          <w:rtl/>
          <w:lang w:eastAsia="he-IL"/>
        </w:rPr>
        <w:t xml:space="preserve"> ל</w:t>
      </w:r>
      <w:r w:rsidRPr="006537B3">
        <w:rPr>
          <w:rFonts w:hint="cs"/>
          <w:color w:val="000000"/>
          <w:rtl/>
          <w:lang w:eastAsia="he-IL"/>
        </w:rPr>
        <w:t>חוק</w:t>
      </w:r>
      <w:r w:rsidRPr="004B5E01">
        <w:rPr>
          <w:rFonts w:hint="cs"/>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w:t>
      </w:r>
      <w:r>
        <w:rPr>
          <w:rFonts w:hint="cs"/>
          <w:rtl/>
          <w:lang w:eastAsia="he-IL"/>
        </w:rPr>
        <w:t>ימים, שבסופם העבירם לאחר, אשר קנה את הנשק והמחסנית מקרוב משפחתו של הנאשם.</w:t>
      </w:r>
    </w:p>
    <w:p w14:paraId="6A69B84E" w14:textId="77777777" w:rsidR="004C07B1" w:rsidRDefault="004C07B1" w:rsidP="004C07B1">
      <w:pPr>
        <w:spacing w:before="120" w:after="120" w:line="360" w:lineRule="auto"/>
        <w:ind w:left="782"/>
        <w:contextualSpacing/>
        <w:jc w:val="both"/>
        <w:rPr>
          <w:rFonts w:ascii="Calibri" w:hAnsi="Calibri"/>
          <w:sz w:val="12"/>
          <w:szCs w:val="12"/>
          <w:rtl/>
          <w:lang w:eastAsia="he-IL"/>
        </w:rPr>
      </w:pPr>
    </w:p>
    <w:p w14:paraId="74D082B1" w14:textId="77777777" w:rsidR="004C07B1" w:rsidRDefault="004C07B1" w:rsidP="004C07B1">
      <w:pPr>
        <w:spacing w:before="120" w:after="120" w:line="360" w:lineRule="auto"/>
        <w:ind w:left="785"/>
        <w:contextualSpacing/>
        <w:jc w:val="both"/>
        <w:rPr>
          <w:rFonts w:ascii="Arial" w:hAnsi="Arial"/>
          <w:rtl/>
        </w:rPr>
      </w:pPr>
      <w:r w:rsidRPr="004B5E01">
        <w:rPr>
          <w:rFonts w:ascii="Arial" w:hAnsi="Arial" w:hint="cs"/>
          <w:rtl/>
        </w:rPr>
        <w:t>ב</w:t>
      </w:r>
      <w:hyperlink r:id="rId27" w:history="1">
        <w:r w:rsidR="006537B3" w:rsidRPr="006537B3">
          <w:rPr>
            <w:rFonts w:ascii="Arial" w:hAnsi="Arial"/>
            <w:color w:val="0000FF"/>
            <w:u w:val="single"/>
            <w:rtl/>
          </w:rPr>
          <w:t>ע"פ 4945/13</w:t>
        </w:r>
      </w:hyperlink>
      <w:r w:rsidRPr="004B5E01">
        <w:rPr>
          <w:rFonts w:ascii="Arial" w:hAnsi="Arial" w:hint="cs"/>
          <w:rtl/>
        </w:rPr>
        <w:t xml:space="preserve"> </w:t>
      </w:r>
      <w:r w:rsidRPr="004B5E01">
        <w:rPr>
          <w:rFonts w:ascii="Arial" w:hAnsi="Arial" w:hint="cs"/>
          <w:b/>
          <w:bCs/>
          <w:rtl/>
        </w:rPr>
        <w:t xml:space="preserve">מדינת </w:t>
      </w:r>
      <w:r>
        <w:rPr>
          <w:rFonts w:ascii="Arial" w:hAnsi="Arial" w:hint="cs"/>
          <w:b/>
          <w:bCs/>
          <w:rtl/>
        </w:rPr>
        <w:t>ישראל נ' סלימאן</w:t>
      </w:r>
      <w:r>
        <w:rPr>
          <w:rFonts w:ascii="Arial" w:hAnsi="Arial" w:hint="cs"/>
          <w:rtl/>
        </w:rPr>
        <w:t xml:space="preserve"> (ניתן ביום 19.1.14, כב' השופטת ע' ארבל)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7E32B1E3" w14:textId="77777777" w:rsidR="004C07B1" w:rsidRPr="007857D3" w:rsidRDefault="004C07B1" w:rsidP="004C07B1">
      <w:pPr>
        <w:spacing w:line="360" w:lineRule="auto"/>
        <w:ind w:left="720" w:hanging="720"/>
        <w:jc w:val="both"/>
        <w:rPr>
          <w:rFonts w:ascii="David" w:hAnsi="David"/>
          <w:sz w:val="12"/>
          <w:szCs w:val="12"/>
          <w:rtl/>
        </w:rPr>
      </w:pPr>
    </w:p>
    <w:p w14:paraId="79DF5FC0" w14:textId="77777777" w:rsidR="004C07B1" w:rsidRDefault="004C07B1" w:rsidP="004C07B1">
      <w:pPr>
        <w:spacing w:before="120" w:after="120" w:line="360" w:lineRule="auto"/>
        <w:ind w:left="785"/>
        <w:contextualSpacing/>
        <w:jc w:val="both"/>
        <w:rPr>
          <w:rtl/>
        </w:rPr>
      </w:pPr>
      <w:r w:rsidRPr="004B5E01">
        <w:rPr>
          <w:rFonts w:hint="cs"/>
          <w:rtl/>
        </w:rPr>
        <w:t>ב</w:t>
      </w:r>
      <w:hyperlink r:id="rId28" w:history="1">
        <w:r w:rsidR="006537B3" w:rsidRPr="006537B3">
          <w:rPr>
            <w:color w:val="0000FF"/>
            <w:u w:val="single"/>
            <w:rtl/>
          </w:rPr>
          <w:t>ע"פ 5220/09</w:t>
        </w:r>
      </w:hyperlink>
      <w:r w:rsidRPr="004B5E01">
        <w:rPr>
          <w:rFonts w:hint="cs"/>
          <w:rtl/>
        </w:rPr>
        <w:t xml:space="preserve">, </w:t>
      </w:r>
      <w:r>
        <w:rPr>
          <w:rFonts w:hint="cs"/>
          <w:b/>
          <w:bCs/>
          <w:rtl/>
        </w:rPr>
        <w:t>הייתם עוואודה נ' מדינת ישראל</w:t>
      </w:r>
      <w:r>
        <w:rPr>
          <w:rFonts w:hint="cs"/>
          <w:rtl/>
        </w:rPr>
        <w:t xml:space="preserve">, </w:t>
      </w:r>
      <w:r>
        <w:rPr>
          <w:rFonts w:hint="cs"/>
          <w:sz w:val="22"/>
          <w:rtl/>
        </w:rPr>
        <w:t xml:space="preserve">[פורסם בנבו] </w:t>
      </w:r>
      <w:r>
        <w:rPr>
          <w:rFonts w:hint="cs"/>
          <w:rtl/>
        </w:rPr>
        <w:t>(30.12.09) נדון ערעורו של נאשם נעדר כל הרשעות קודמות, אשר הודה והורשע בעבירה שעניינה החזקת נשק ותחמושת. על נאשם זה הושתו 6 חודשי מאסר בפועל מאחורי סורג ובריח, מאסר מותנה וחיובו בתשלום קנס. ערעור על חומרת העונש נדחה.</w:t>
      </w:r>
    </w:p>
    <w:p w14:paraId="0969468F" w14:textId="77777777" w:rsidR="004C07B1" w:rsidRPr="007857D3" w:rsidRDefault="004C07B1" w:rsidP="004C07B1">
      <w:pPr>
        <w:spacing w:before="120" w:after="120" w:line="360" w:lineRule="auto"/>
        <w:ind w:left="785"/>
        <w:contextualSpacing/>
        <w:jc w:val="both"/>
        <w:rPr>
          <w:rFonts w:ascii="Arial" w:hAnsi="Arial"/>
          <w:sz w:val="12"/>
          <w:szCs w:val="12"/>
          <w:rtl/>
        </w:rPr>
      </w:pPr>
    </w:p>
    <w:p w14:paraId="26C48E87" w14:textId="77777777" w:rsidR="004C07B1" w:rsidRDefault="004C07B1" w:rsidP="004C07B1">
      <w:pPr>
        <w:spacing w:before="120" w:after="120" w:line="360" w:lineRule="auto"/>
        <w:ind w:left="785"/>
        <w:contextualSpacing/>
        <w:jc w:val="both"/>
        <w:rPr>
          <w:rFonts w:ascii="David" w:hAnsi="David"/>
          <w:rtl/>
        </w:rPr>
      </w:pPr>
      <w:r w:rsidRPr="004B5E01">
        <w:rPr>
          <w:rFonts w:ascii="Arial" w:hAnsi="Arial" w:hint="cs"/>
          <w:rtl/>
        </w:rPr>
        <w:t>ב</w:t>
      </w:r>
      <w:hyperlink r:id="rId29" w:history="1">
        <w:r w:rsidR="006537B3" w:rsidRPr="006537B3">
          <w:rPr>
            <w:rFonts w:ascii="Arial" w:hAnsi="Arial"/>
            <w:color w:val="0000FF"/>
            <w:u w:val="single"/>
            <w:rtl/>
          </w:rPr>
          <w:t>ע"פ 5968/19</w:t>
        </w:r>
      </w:hyperlink>
      <w:r>
        <w:rPr>
          <w:rFonts w:ascii="Arial" w:hAnsi="Arial" w:hint="cs"/>
          <w:rtl/>
        </w:rPr>
        <w:t xml:space="preserve"> </w:t>
      </w:r>
      <w:r>
        <w:rPr>
          <w:rFonts w:ascii="Arial" w:hAnsi="Arial" w:hint="cs"/>
          <w:b/>
          <w:bCs/>
          <w:rtl/>
        </w:rPr>
        <w:t>עמאר שיך אלעיד נ' מדינת ישראל</w:t>
      </w:r>
      <w:r>
        <w:rPr>
          <w:rFonts w:ascii="Arial" w:hAnsi="Arial" w:hint="cs"/>
          <w:rtl/>
        </w:rPr>
        <w:t xml:space="preserve"> </w:t>
      </w:r>
      <w:r>
        <w:rPr>
          <w:rFonts w:hint="cs"/>
          <w:sz w:val="22"/>
          <w:rtl/>
        </w:rPr>
        <w:t>[פורסם בנבו]</w:t>
      </w:r>
      <w:r>
        <w:rPr>
          <w:rFonts w:ascii="Arial" w:hAnsi="Arial" w:hint="cs"/>
          <w:rtl/>
        </w:rPr>
        <w:t xml:space="preserve"> (23.10.19) חזר בו המערער מהערעור בהמלצת בית המשפט. במקרה זה נדון הנאשם בבית המשפט המחוזי לעונש של 24 חודשי מאסר בגין ביצוע עבירה של החזקת נשק (דמוי רובה סער </w:t>
      </w:r>
      <w:r>
        <w:rPr>
          <w:rFonts w:ascii="Arial" w:hAnsi="Arial"/>
        </w:rPr>
        <w:t>M-16</w:t>
      </w:r>
      <w:r>
        <w:rPr>
          <w:rFonts w:ascii="Arial" w:hAnsi="Arial" w:hint="cs"/>
          <w:rtl/>
        </w:rPr>
        <w:t>).</w:t>
      </w:r>
    </w:p>
    <w:p w14:paraId="5D9C9BD2" w14:textId="77777777" w:rsidR="004C07B1" w:rsidRDefault="004C07B1" w:rsidP="004C07B1">
      <w:pPr>
        <w:spacing w:before="120" w:after="120" w:line="360" w:lineRule="auto"/>
        <w:ind w:left="785"/>
        <w:contextualSpacing/>
        <w:jc w:val="both"/>
        <w:rPr>
          <w:rtl/>
        </w:rPr>
      </w:pPr>
    </w:p>
    <w:p w14:paraId="5C12ABC4" w14:textId="77777777" w:rsidR="004C07B1" w:rsidRPr="004B5E01" w:rsidRDefault="004C07B1" w:rsidP="004C07B1">
      <w:pPr>
        <w:spacing w:before="120" w:after="120" w:line="360" w:lineRule="auto"/>
        <w:ind w:left="785"/>
        <w:contextualSpacing/>
        <w:jc w:val="both"/>
        <w:rPr>
          <w:rFonts w:ascii="Arial" w:hAnsi="Arial"/>
          <w:rtl/>
        </w:rPr>
      </w:pPr>
      <w:r w:rsidRPr="004B5E01">
        <w:rPr>
          <w:rFonts w:ascii="Arial" w:hAnsi="Arial" w:hint="cs"/>
          <w:rtl/>
        </w:rPr>
        <w:t>ב</w:t>
      </w:r>
      <w:hyperlink r:id="rId30" w:history="1">
        <w:r w:rsidR="006537B3" w:rsidRPr="006537B3">
          <w:rPr>
            <w:rFonts w:ascii="Arial" w:hAnsi="Arial"/>
            <w:color w:val="0000FF"/>
            <w:u w:val="single"/>
            <w:rtl/>
          </w:rPr>
          <w:t>ע"פ 2892/13</w:t>
        </w:r>
      </w:hyperlink>
      <w:r w:rsidRPr="004B5E01">
        <w:rPr>
          <w:rFonts w:ascii="Arial" w:hAnsi="Arial" w:hint="cs"/>
          <w:rtl/>
        </w:rPr>
        <w:t xml:space="preserve"> </w:t>
      </w:r>
      <w:r w:rsidRPr="004B5E01">
        <w:rPr>
          <w:rFonts w:ascii="Arial" w:hAnsi="Arial" w:hint="cs"/>
          <w:b/>
          <w:bCs/>
          <w:rtl/>
        </w:rPr>
        <w:t>מוחמד עודתאללה נגד מדינת ישראל</w:t>
      </w:r>
      <w:r w:rsidRPr="004B5E01">
        <w:rPr>
          <w:rFonts w:ascii="Arial" w:hAnsi="Arial" w:hint="cs"/>
          <w:rtl/>
        </w:rPr>
        <w:t xml:space="preserve"> [פורסם בנבו] (29.9.2013), נדחה ערעורו של המערער שברכב בו נהג נתפס אקדח ובו מחסנית ריקה מכדורים  מוסתר מתחת לשטיחון של כסא הנהג. בית המשפט העליון הותיר על כנו עונש של 21 חודשי מאסר.</w:t>
      </w:r>
    </w:p>
    <w:p w14:paraId="53546E4C" w14:textId="77777777" w:rsidR="004C07B1" w:rsidRPr="007857D3" w:rsidRDefault="004C07B1" w:rsidP="004C07B1">
      <w:pPr>
        <w:spacing w:before="120" w:after="120" w:line="360" w:lineRule="auto"/>
        <w:ind w:left="785"/>
        <w:contextualSpacing/>
        <w:jc w:val="both"/>
        <w:rPr>
          <w:rFonts w:ascii="Arial" w:hAnsi="Arial"/>
          <w:rtl/>
        </w:rPr>
      </w:pPr>
    </w:p>
    <w:p w14:paraId="69182942" w14:textId="77777777" w:rsidR="004C07B1" w:rsidRPr="004B5E01" w:rsidRDefault="004C07B1" w:rsidP="004C07B1">
      <w:pPr>
        <w:spacing w:before="120" w:after="120" w:line="360" w:lineRule="auto"/>
        <w:ind w:left="785" w:hanging="77"/>
        <w:contextualSpacing/>
        <w:jc w:val="both"/>
        <w:rPr>
          <w:rFonts w:ascii="Arial" w:hAnsi="Arial"/>
          <w:rtl/>
        </w:rPr>
      </w:pPr>
      <w:r>
        <w:rPr>
          <w:rFonts w:ascii="Arial" w:hAnsi="Arial" w:hint="cs"/>
          <w:rtl/>
        </w:rPr>
        <w:tab/>
      </w:r>
      <w:r w:rsidRPr="004B5E01">
        <w:rPr>
          <w:rFonts w:ascii="Arial" w:hAnsi="Arial" w:hint="cs"/>
          <w:rtl/>
        </w:rPr>
        <w:t>ב</w:t>
      </w:r>
      <w:hyperlink r:id="rId31" w:history="1">
        <w:r w:rsidR="006537B3" w:rsidRPr="006537B3">
          <w:rPr>
            <w:rFonts w:ascii="Arial" w:hAnsi="Arial"/>
            <w:color w:val="0000FF"/>
            <w:u w:val="single"/>
            <w:rtl/>
          </w:rPr>
          <w:t>ע"פ 6294/10</w:t>
        </w:r>
      </w:hyperlink>
      <w:r w:rsidRPr="004B5E01">
        <w:rPr>
          <w:rFonts w:ascii="Arial" w:hAnsi="Arial" w:hint="cs"/>
          <w:rtl/>
        </w:rPr>
        <w:t xml:space="preserve"> </w:t>
      </w:r>
      <w:r w:rsidRPr="004B5E01">
        <w:rPr>
          <w:rFonts w:ascii="Arial" w:hAnsi="Arial" w:hint="cs"/>
          <w:b/>
          <w:bCs/>
          <w:rtl/>
        </w:rPr>
        <w:t>אלקיעאן ואח' נגד מ"י</w:t>
      </w:r>
      <w:r w:rsidRPr="004B5E01">
        <w:rPr>
          <w:rFonts w:ascii="Arial" w:hAnsi="Arial" w:hint="cs"/>
          <w:rtl/>
        </w:rPr>
        <w:t xml:space="preserve"> [פורסם בנבו]  (13.02.2011) דחה בית המשפט העליון את ערעורם של נאשמים שהורשעו בהחזקת אקדח טעון ומחסנית. בגין מעשים אלו נדונו המערערים ל- 10 חודשי מאסר בפועל.</w:t>
      </w:r>
    </w:p>
    <w:p w14:paraId="5EF3A609" w14:textId="77777777" w:rsidR="004C07B1" w:rsidRPr="007857D3" w:rsidRDefault="004C07B1" w:rsidP="004C07B1">
      <w:pPr>
        <w:spacing w:line="360" w:lineRule="auto"/>
        <w:ind w:left="652"/>
        <w:jc w:val="both"/>
        <w:rPr>
          <w:rFonts w:ascii="Arial" w:hAnsi="Arial"/>
          <w:sz w:val="12"/>
          <w:szCs w:val="12"/>
          <w:rtl/>
        </w:rPr>
      </w:pPr>
    </w:p>
    <w:p w14:paraId="44359809" w14:textId="77777777" w:rsidR="004C07B1" w:rsidRDefault="004C07B1" w:rsidP="004C07B1">
      <w:pPr>
        <w:spacing w:before="120" w:after="120" w:line="360" w:lineRule="auto"/>
        <w:ind w:left="785" w:hanging="77"/>
        <w:contextualSpacing/>
        <w:jc w:val="both"/>
        <w:rPr>
          <w:rFonts w:ascii="Arial" w:hAnsi="Arial"/>
          <w:rtl/>
        </w:rPr>
      </w:pPr>
      <w:r>
        <w:rPr>
          <w:rFonts w:ascii="Arial" w:hAnsi="Arial" w:hint="cs"/>
          <w:rtl/>
        </w:rPr>
        <w:t xml:space="preserve"> </w:t>
      </w:r>
      <w:r w:rsidRPr="004B5E01">
        <w:rPr>
          <w:rFonts w:ascii="Arial" w:hAnsi="Arial" w:hint="cs"/>
          <w:rtl/>
        </w:rPr>
        <w:t>ב</w:t>
      </w:r>
      <w:hyperlink r:id="rId32" w:history="1">
        <w:r w:rsidR="006537B3" w:rsidRPr="006537B3">
          <w:rPr>
            <w:rFonts w:ascii="Arial" w:hAnsi="Arial"/>
            <w:color w:val="0000FF"/>
            <w:u w:val="single"/>
            <w:rtl/>
          </w:rPr>
          <w:t>רע"פ 7344/18</w:t>
        </w:r>
      </w:hyperlink>
      <w:r w:rsidRPr="004B5E01">
        <w:rPr>
          <w:rFonts w:ascii="Arial" w:hAnsi="Arial" w:hint="cs"/>
          <w:rtl/>
        </w:rPr>
        <w:t xml:space="preserve"> </w:t>
      </w:r>
      <w:r w:rsidRPr="004B5E01">
        <w:rPr>
          <w:rFonts w:ascii="Arial" w:hAnsi="Arial" w:hint="cs"/>
          <w:b/>
          <w:bCs/>
          <w:rtl/>
        </w:rPr>
        <w:t xml:space="preserve">מוחמד מג'יד נגד מדינת ישראל </w:t>
      </w:r>
      <w:r w:rsidRPr="004B5E01">
        <w:rPr>
          <w:rFonts w:ascii="Arial" w:hAnsi="Arial" w:hint="cs"/>
          <w:rtl/>
        </w:rPr>
        <w:t xml:space="preserve">[פורסם בנבו] (21.10.2018) נדחתה בקשת רשות ערעור של נאשם אשר נידון בבית משפט השלום לעונש של 6 חודשי מאסר לריצוי בעבודות </w:t>
      </w:r>
      <w:r>
        <w:rPr>
          <w:rFonts w:ascii="Arial" w:hAnsi="Arial" w:hint="cs"/>
          <w:rtl/>
        </w:rPr>
        <w:t>שירות, עונש אשר בוטל במסגרת ערעור שהוגש לבית המשפט המחוזי אשר קבע, כי העונש הראוי הוא 8 חודשי מאסר לריצוי בפועל לצד ענישה נלווית. באותו מקרה הורשע הנאשם בעבירה של החזקת נשק, בכך שהחזיק במתחם ביתו חפץ דמוי רובה סער, אשר באמצעותו ניתן לירות כדור שבכוחו להמית אדם שהונח בתוך תיק ולצידו מחסנית תואמת.</w:t>
      </w:r>
    </w:p>
    <w:p w14:paraId="57167945" w14:textId="77777777" w:rsidR="004C07B1" w:rsidRPr="004B5E01" w:rsidRDefault="004C07B1" w:rsidP="004C07B1">
      <w:pPr>
        <w:spacing w:line="360" w:lineRule="auto"/>
        <w:ind w:left="652"/>
        <w:jc w:val="both"/>
        <w:rPr>
          <w:rFonts w:ascii="Arial" w:hAnsi="Arial"/>
          <w:sz w:val="12"/>
          <w:szCs w:val="12"/>
          <w:rtl/>
        </w:rPr>
      </w:pPr>
    </w:p>
    <w:p w14:paraId="14372A67" w14:textId="77777777" w:rsidR="004C07B1" w:rsidRPr="004C07B1" w:rsidRDefault="004C07B1" w:rsidP="004C07B1">
      <w:pPr>
        <w:numPr>
          <w:ilvl w:val="0"/>
          <w:numId w:val="1"/>
        </w:numPr>
        <w:spacing w:before="120" w:after="120" w:line="360" w:lineRule="auto"/>
        <w:ind w:left="357" w:hanging="357"/>
        <w:contextualSpacing/>
        <w:jc w:val="both"/>
        <w:rPr>
          <w:rFonts w:ascii="Calibri" w:hAnsi="Calibri"/>
        </w:rPr>
      </w:pPr>
      <w:r>
        <w:rPr>
          <w:rFonts w:hint="cs"/>
          <w:rtl/>
        </w:rPr>
        <w:t xml:space="preserve">אשר </w:t>
      </w:r>
      <w:r w:rsidRPr="0005419F">
        <w:rPr>
          <w:rFonts w:hint="cs"/>
          <w:rtl/>
        </w:rPr>
        <w:t>לנסיבות הקשורות בביצוע העבירה</w:t>
      </w:r>
      <w:r>
        <w:rPr>
          <w:rFonts w:hint="cs"/>
          <w:b/>
          <w:bCs/>
          <w:rtl/>
        </w:rPr>
        <w:t xml:space="preserve"> </w:t>
      </w:r>
      <w:r>
        <w:rPr>
          <w:rFonts w:hint="cs"/>
          <w:rtl/>
        </w:rPr>
        <w:t>(</w:t>
      </w:r>
      <w:r w:rsidRPr="006537B3">
        <w:rPr>
          <w:rFonts w:hint="cs"/>
          <w:color w:val="000000"/>
          <w:rtl/>
        </w:rPr>
        <w:t xml:space="preserve">סעיף </w:t>
      </w:r>
      <w:hyperlink r:id="rId33" w:history="1">
        <w:r w:rsidR="00B514DC" w:rsidRPr="00B514DC">
          <w:rPr>
            <w:rStyle w:val="Hyperlink"/>
            <w:rtl/>
          </w:rPr>
          <w:t>40 ט'</w:t>
        </w:r>
      </w:hyperlink>
      <w:r>
        <w:rPr>
          <w:rFonts w:hint="cs"/>
          <w:rtl/>
        </w:rPr>
        <w:t xml:space="preserve"> לחוק), יש לתת את הדעת לשיקולים הבאים: </w:t>
      </w:r>
      <w:r>
        <w:rPr>
          <w:rFonts w:ascii="Franklin Gothic Medium" w:hAnsi="Franklin Gothic Medium" w:hint="cs"/>
          <w:rtl/>
        </w:rPr>
        <w:t xml:space="preserve">מחד, שקלתי כי העונש המֵרבי שנקצב בצד העבירה עומד על 7 שנות מאסר. עוד התחשבתי בכך שעסקינן בתת מקלע, </w:t>
      </w:r>
      <w:r>
        <w:rPr>
          <w:rFonts w:ascii="Calibri" w:hAnsi="Calibri" w:hint="cs"/>
          <w:rtl/>
        </w:rPr>
        <w:t xml:space="preserve">המאפשר ירי לטווח רחוק המיועד לפי טיבו ומהותו לפגיעה בנפש </w:t>
      </w:r>
      <w:r>
        <w:rPr>
          <w:rFonts w:ascii="Arial" w:hAnsi="Arial" w:hint="cs"/>
          <w:rtl/>
        </w:rPr>
        <w:t xml:space="preserve">או לגרימת נזק היקפי גדול לגוף האדם,  והוא בעל פוטנציאל קטילה של ממש. בכך, חמור עניינו של הנאשם ממקרה של נשיאת נשק בעל קנה קצר. ברם, אין מדובר בנשק תקני אלא בתת מקלע מאולתר. לא מצוין בכתב האישום כי הוחזקה תחמושת, </w:t>
      </w:r>
      <w:r>
        <w:rPr>
          <w:rFonts w:ascii="Calibri" w:hAnsi="Calibri" w:hint="cs"/>
          <w:rtl/>
        </w:rPr>
        <w:t>כך שבפועל לא יכול היה הנאשם לעשות בו שימוש. הנשק נתפס עובר להחזקתו. כן</w:t>
      </w:r>
      <w:r>
        <w:rPr>
          <w:rFonts w:ascii="Franklin Gothic Medium" w:hAnsi="Franklin Gothic Medium" w:hint="cs"/>
          <w:rtl/>
        </w:rPr>
        <w:t xml:space="preserve"> שקלתי, כי הנאשם לא נהג ברכב ואין מדובר ברכב שבבעלותו ובניגוד לנאשם 1 הוא לא הואשם בנשיאה והובלת נשק. </w:t>
      </w:r>
      <w:r>
        <w:rPr>
          <w:rFonts w:hint="cs"/>
          <w:rtl/>
        </w:rPr>
        <w:t>כך שמידת הפגיעה בערך המוגן היתה בעוצמה שאינה גבוהה.</w:t>
      </w:r>
    </w:p>
    <w:p w14:paraId="23627F32" w14:textId="77777777" w:rsidR="004C07B1" w:rsidRPr="004C07B1" w:rsidRDefault="004C07B1" w:rsidP="004C07B1">
      <w:pPr>
        <w:spacing w:before="120" w:after="120" w:line="360" w:lineRule="auto"/>
        <w:ind w:left="357"/>
        <w:contextualSpacing/>
        <w:jc w:val="both"/>
        <w:rPr>
          <w:rFonts w:ascii="Calibri" w:hAnsi="Calibri"/>
          <w:sz w:val="12"/>
          <w:szCs w:val="12"/>
          <w:rtl/>
        </w:rPr>
      </w:pPr>
    </w:p>
    <w:p w14:paraId="14B66979" w14:textId="77777777" w:rsidR="004C07B1" w:rsidRPr="004C07B1" w:rsidRDefault="004C07B1" w:rsidP="004C07B1">
      <w:pPr>
        <w:numPr>
          <w:ilvl w:val="0"/>
          <w:numId w:val="1"/>
        </w:numPr>
        <w:spacing w:before="120" w:after="120" w:line="360" w:lineRule="auto"/>
        <w:ind w:left="357" w:hanging="357"/>
        <w:contextualSpacing/>
        <w:jc w:val="both"/>
        <w:rPr>
          <w:rFonts w:ascii="Calibri" w:hAnsi="Calibri"/>
        </w:rPr>
      </w:pPr>
      <w:r w:rsidRPr="004C07B1">
        <w:rPr>
          <w:rFonts w:ascii="Calibri" w:hAnsi="Calibri" w:hint="cs"/>
          <w:rtl/>
        </w:rPr>
        <w:t xml:space="preserve">לאחר שבחנתי, את הערך החברתי שנפגע כתוצאה מביצוע העבירות שלפניי, את נסיבות ביצוע העבירות ואת מדיניות הענישה הנהוגה, הגעתי לכלל מסקנה כי מתחם העונש ההולם את העבירות שלפניי, נע בין עונש של מאסר לתקופה של 7 חודשי מאסר בפועל לבין עונש של  20 חודשי מאסר בפועל, זאת לצד רכיבי ענישה נלווים. </w:t>
      </w:r>
    </w:p>
    <w:p w14:paraId="34F9054C" w14:textId="77777777" w:rsidR="004C07B1" w:rsidRPr="004C07B1" w:rsidRDefault="004C07B1" w:rsidP="004C07B1">
      <w:pPr>
        <w:pStyle w:val="a9"/>
        <w:rPr>
          <w:rFonts w:ascii="Calibri" w:hAnsi="Calibri"/>
        </w:rPr>
      </w:pPr>
    </w:p>
    <w:p w14:paraId="504D133E" w14:textId="77777777" w:rsidR="004C07B1" w:rsidRDefault="004C07B1" w:rsidP="004C07B1">
      <w:pPr>
        <w:spacing w:line="360" w:lineRule="auto"/>
        <w:jc w:val="both"/>
        <w:rPr>
          <w:b/>
          <w:bCs/>
          <w:u w:val="single"/>
          <w:rtl/>
        </w:rPr>
      </w:pPr>
      <w:r>
        <w:rPr>
          <w:rFonts w:hint="cs"/>
          <w:b/>
          <w:bCs/>
          <w:u w:val="single"/>
          <w:rtl/>
        </w:rPr>
        <w:t xml:space="preserve">העונש המתאים </w:t>
      </w:r>
    </w:p>
    <w:p w14:paraId="37E81B2C" w14:textId="77777777" w:rsidR="004C07B1" w:rsidRDefault="004C07B1" w:rsidP="004C07B1">
      <w:pPr>
        <w:numPr>
          <w:ilvl w:val="0"/>
          <w:numId w:val="1"/>
        </w:numPr>
        <w:spacing w:before="120" w:after="120" w:line="360" w:lineRule="auto"/>
        <w:ind w:left="357" w:hanging="357"/>
        <w:contextualSpacing/>
        <w:jc w:val="both"/>
        <w:rPr>
          <w:rFonts w:ascii="David" w:hAnsi="David"/>
        </w:rPr>
      </w:pPr>
      <w:r w:rsidRPr="004C07B1">
        <w:rPr>
          <w:rFonts w:ascii="Calibri" w:hAnsi="Calibri" w:hint="cs"/>
          <w:rtl/>
        </w:rPr>
        <w:t>בגזירת</w:t>
      </w:r>
      <w:r>
        <w:rPr>
          <w:rFonts w:hint="cs"/>
          <w:rtl/>
        </w:rPr>
        <w:t xml:space="preserve"> העונש המתאים לנאשם, בגדרי מתחם העונש ההולם, יש להתחשב </w:t>
      </w:r>
      <w:r>
        <w:rPr>
          <w:rFonts w:hint="cs"/>
          <w:b/>
          <w:bCs/>
          <w:rtl/>
        </w:rPr>
        <w:t>בנסיבות שאינן קשורות בביצוע העבירה</w:t>
      </w:r>
      <w:r>
        <w:rPr>
          <w:rFonts w:hint="cs"/>
          <w:rtl/>
        </w:rPr>
        <w:t xml:space="preserve"> </w:t>
      </w:r>
      <w:r w:rsidRPr="007857D3">
        <w:rPr>
          <w:rFonts w:hint="cs"/>
          <w:rtl/>
        </w:rPr>
        <w:t>(</w:t>
      </w:r>
      <w:r w:rsidRPr="006537B3">
        <w:rPr>
          <w:rFonts w:hint="cs"/>
          <w:color w:val="000000"/>
          <w:rtl/>
        </w:rPr>
        <w:t xml:space="preserve">סעיף </w:t>
      </w:r>
      <w:hyperlink r:id="rId34" w:history="1">
        <w:r w:rsidR="00B514DC" w:rsidRPr="00B514DC">
          <w:rPr>
            <w:rStyle w:val="Hyperlink"/>
            <w:rtl/>
          </w:rPr>
          <w:t>40 יא'</w:t>
        </w:r>
      </w:hyperlink>
      <w:r w:rsidRPr="007857D3">
        <w:rPr>
          <w:rFonts w:hint="cs"/>
          <w:rtl/>
        </w:rPr>
        <w:t xml:space="preserve">). </w:t>
      </w:r>
      <w:r>
        <w:rPr>
          <w:rFonts w:hint="cs"/>
          <w:rtl/>
        </w:rPr>
        <w:t>במסגרת זו מן הראוי לתת את הדעת לנסיבות הבאות:</w:t>
      </w:r>
    </w:p>
    <w:p w14:paraId="5E67452B" w14:textId="77777777" w:rsidR="004C07B1" w:rsidRDefault="004C07B1" w:rsidP="004C07B1">
      <w:pPr>
        <w:pStyle w:val="a9"/>
        <w:spacing w:line="360" w:lineRule="auto"/>
        <w:jc w:val="both"/>
        <w:rPr>
          <w:sz w:val="12"/>
          <w:szCs w:val="12"/>
        </w:rPr>
      </w:pPr>
    </w:p>
    <w:p w14:paraId="3AD568D3" w14:textId="77777777" w:rsidR="004C07B1" w:rsidRDefault="004C07B1" w:rsidP="004C07B1">
      <w:pPr>
        <w:pStyle w:val="a9"/>
        <w:numPr>
          <w:ilvl w:val="1"/>
          <w:numId w:val="2"/>
        </w:numPr>
        <w:spacing w:line="360" w:lineRule="auto"/>
        <w:jc w:val="both"/>
        <w:rPr>
          <w:sz w:val="12"/>
          <w:szCs w:val="12"/>
        </w:rPr>
      </w:pPr>
      <w:r>
        <w:rPr>
          <w:rFonts w:hint="cs"/>
          <w:b/>
          <w:bCs/>
          <w:rtl/>
        </w:rPr>
        <w:t>הפגיעה של העונש בנאשם, לרבות בשל גילו</w:t>
      </w:r>
      <w:r>
        <w:rPr>
          <w:rFonts w:hint="cs"/>
          <w:rtl/>
        </w:rPr>
        <w:t>;  הנאשם בן 23, נסיבות אינן פשוטות, טאם מעצרו הוא עבד לפרנסת משפחתו החל מגיל 17 ובשנים האחרונות הוא המפרנס יחידי. הנאשם שהה במעצר ובהמשך במעצר בפיקוח איזוק אלקטרוני בבית הוריו מזה שבעה חודשים, וזהו מאסרו הראשון. למעצרו ולהעמדתו לדין לראשונה בחייו היה אפקט מרתיע ומחדד גבולות המותר והאסור.</w:t>
      </w:r>
    </w:p>
    <w:p w14:paraId="28233734" w14:textId="77777777" w:rsidR="004C07B1" w:rsidRDefault="004C07B1" w:rsidP="004C07B1">
      <w:pPr>
        <w:pStyle w:val="a9"/>
        <w:spacing w:line="360" w:lineRule="auto"/>
        <w:ind w:left="1080"/>
        <w:jc w:val="both"/>
        <w:rPr>
          <w:sz w:val="12"/>
          <w:szCs w:val="12"/>
        </w:rPr>
      </w:pPr>
    </w:p>
    <w:p w14:paraId="6A09837B" w14:textId="77777777" w:rsidR="004C07B1" w:rsidRDefault="004C07B1" w:rsidP="004C07B1">
      <w:pPr>
        <w:pStyle w:val="a9"/>
        <w:numPr>
          <w:ilvl w:val="1"/>
          <w:numId w:val="2"/>
        </w:numPr>
        <w:spacing w:line="360" w:lineRule="auto"/>
        <w:jc w:val="both"/>
        <w:rPr>
          <w:rFonts w:ascii="Times New Roman" w:hAnsi="Times New Roman"/>
          <w:sz w:val="12"/>
          <w:szCs w:val="12"/>
        </w:rPr>
      </w:pPr>
      <w:r>
        <w:rPr>
          <w:rFonts w:hint="cs"/>
          <w:b/>
          <w:bCs/>
          <w:rtl/>
        </w:rPr>
        <w:t xml:space="preserve">נטילת האחריות של הנאשם  למעשיו, וחזרתו למוטב או מאמציו לחזור למוטב; </w:t>
      </w:r>
      <w:r>
        <w:rPr>
          <w:rFonts w:hint="cs"/>
          <w:rtl/>
        </w:rPr>
        <w:t xml:space="preserve">הנאשם לקח אחריות למעשיו לפני בית המשפט, וחסך זמן שיפוטי. </w:t>
      </w:r>
    </w:p>
    <w:p w14:paraId="0A05EB5D" w14:textId="77777777" w:rsidR="004C07B1" w:rsidRPr="00386E57" w:rsidRDefault="004C07B1" w:rsidP="004C07B1">
      <w:pPr>
        <w:pStyle w:val="a9"/>
        <w:spacing w:line="360" w:lineRule="auto"/>
        <w:ind w:left="1080"/>
        <w:jc w:val="both"/>
        <w:rPr>
          <w:sz w:val="12"/>
          <w:szCs w:val="12"/>
        </w:rPr>
      </w:pPr>
    </w:p>
    <w:p w14:paraId="202314EC" w14:textId="77777777" w:rsidR="004C07B1" w:rsidRDefault="004C07B1" w:rsidP="004C07B1">
      <w:pPr>
        <w:pStyle w:val="a9"/>
        <w:numPr>
          <w:ilvl w:val="1"/>
          <w:numId w:val="2"/>
        </w:numPr>
        <w:spacing w:line="360" w:lineRule="auto"/>
        <w:jc w:val="both"/>
        <w:rPr>
          <w:sz w:val="12"/>
          <w:szCs w:val="12"/>
        </w:rPr>
      </w:pPr>
      <w:r>
        <w:rPr>
          <w:rFonts w:hint="cs"/>
          <w:b/>
          <w:bCs/>
          <w:rtl/>
        </w:rPr>
        <w:t>עברו הפלילי של הנאשם או העדרו;</w:t>
      </w:r>
      <w:r>
        <w:rPr>
          <w:rFonts w:hint="cs"/>
          <w:rtl/>
        </w:rPr>
        <w:t xml:space="preserve"> הנאשם נעדר עבר פלילי. </w:t>
      </w:r>
    </w:p>
    <w:p w14:paraId="7CE655CE" w14:textId="77777777" w:rsidR="004C07B1" w:rsidRDefault="004C07B1" w:rsidP="004C07B1">
      <w:pPr>
        <w:pStyle w:val="a9"/>
        <w:spacing w:line="360" w:lineRule="auto"/>
        <w:ind w:left="1080"/>
        <w:jc w:val="both"/>
        <w:rPr>
          <w:sz w:val="12"/>
          <w:szCs w:val="12"/>
        </w:rPr>
      </w:pPr>
    </w:p>
    <w:p w14:paraId="2B76C942" w14:textId="77777777" w:rsidR="004C07B1" w:rsidRDefault="004C07B1" w:rsidP="004C07B1">
      <w:pPr>
        <w:numPr>
          <w:ilvl w:val="0"/>
          <w:numId w:val="1"/>
        </w:numPr>
        <w:spacing w:before="120" w:after="120" w:line="360" w:lineRule="auto"/>
        <w:ind w:left="357" w:hanging="357"/>
        <w:contextualSpacing/>
        <w:jc w:val="both"/>
        <w:rPr>
          <w:sz w:val="12"/>
          <w:szCs w:val="12"/>
        </w:rPr>
      </w:pPr>
      <w:r>
        <w:rPr>
          <w:rFonts w:hint="cs"/>
          <w:rtl/>
        </w:rPr>
        <w:t>עוד יש לתת דגש לשיקולי הרתעת הרבים, כפי שהדגיש כב' השופט א' שוהם ב</w:t>
      </w:r>
      <w:hyperlink r:id="rId35" w:history="1">
        <w:r w:rsidR="006537B3" w:rsidRPr="006537B3">
          <w:rPr>
            <w:color w:val="0000FF"/>
            <w:u w:val="single"/>
            <w:rtl/>
          </w:rPr>
          <w:t>ע"פ 7502/12</w:t>
        </w:r>
      </w:hyperlink>
      <w:r>
        <w:rPr>
          <w:rFonts w:hint="cs"/>
          <w:rtl/>
        </w:rPr>
        <w:t xml:space="preserve"> עת חזר על ההלכה שנקבעה ב</w:t>
      </w:r>
      <w:hyperlink r:id="rId36" w:history="1">
        <w:r w:rsidR="006537B3" w:rsidRPr="006537B3">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0713A18D" w14:textId="77777777" w:rsidR="004C07B1" w:rsidRDefault="004C07B1" w:rsidP="004C07B1">
      <w:pPr>
        <w:spacing w:line="360" w:lineRule="auto"/>
        <w:jc w:val="both"/>
        <w:rPr>
          <w:sz w:val="12"/>
          <w:szCs w:val="12"/>
        </w:rPr>
      </w:pPr>
    </w:p>
    <w:p w14:paraId="17295705" w14:textId="77777777" w:rsidR="004C07B1" w:rsidRPr="004C07B1" w:rsidRDefault="004C07B1" w:rsidP="004C07B1">
      <w:pPr>
        <w:pStyle w:val="a9"/>
        <w:spacing w:line="360" w:lineRule="auto"/>
        <w:ind w:left="1134" w:right="1134"/>
        <w:jc w:val="both"/>
        <w:rPr>
          <w:rFonts w:ascii="Calibri" w:hAnsi="Calibri"/>
          <w:b/>
          <w:bCs/>
        </w:rPr>
      </w:pPr>
      <w:r w:rsidRPr="004C07B1">
        <w:rPr>
          <w:rFonts w:ascii="Calibri" w:hAnsi="Calibri"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37" w:history="1">
        <w:r w:rsidR="006537B3" w:rsidRPr="006537B3">
          <w:rPr>
            <w:rFonts w:ascii="Calibri" w:hAnsi="Calibri" w:hint="eastAsia"/>
            <w:color w:val="0000FF"/>
            <w:u w:val="single"/>
            <w:rtl/>
          </w:rPr>
          <w:t>ע</w:t>
        </w:r>
        <w:r w:rsidR="006537B3" w:rsidRPr="006537B3">
          <w:rPr>
            <w:rFonts w:ascii="Calibri" w:hAnsi="Calibri"/>
            <w:color w:val="0000FF"/>
            <w:u w:val="single"/>
            <w:rtl/>
          </w:rPr>
          <w:t>"</w:t>
        </w:r>
        <w:r w:rsidR="006537B3" w:rsidRPr="006537B3">
          <w:rPr>
            <w:rFonts w:ascii="Calibri" w:hAnsi="Calibri" w:hint="eastAsia"/>
            <w:color w:val="0000FF"/>
            <w:u w:val="single"/>
            <w:rtl/>
          </w:rPr>
          <w:t>פ</w:t>
        </w:r>
        <w:r w:rsidR="006537B3" w:rsidRPr="006537B3">
          <w:rPr>
            <w:rFonts w:ascii="Calibri" w:hAnsi="Calibri"/>
            <w:color w:val="0000FF"/>
            <w:u w:val="single"/>
            <w:rtl/>
          </w:rPr>
          <w:t xml:space="preserve"> 6583/06</w:t>
        </w:r>
      </w:hyperlink>
      <w:r w:rsidRPr="004C07B1">
        <w:rPr>
          <w:rFonts w:ascii="Calibri" w:hAnsi="Calibri" w:hint="cs"/>
          <w:b/>
          <w:bCs/>
          <w:rtl/>
        </w:rPr>
        <w:t xml:space="preserve"> אדהאם נ' מדינת ישראל (5.12.2006); </w:t>
      </w:r>
      <w:hyperlink r:id="rId38" w:history="1">
        <w:r w:rsidR="006537B3" w:rsidRPr="006537B3">
          <w:rPr>
            <w:rFonts w:ascii="Calibri" w:hAnsi="Calibri" w:hint="eastAsia"/>
            <w:color w:val="0000FF"/>
            <w:u w:val="single"/>
            <w:rtl/>
          </w:rPr>
          <w:t>ע</w:t>
        </w:r>
        <w:r w:rsidR="006537B3" w:rsidRPr="006537B3">
          <w:rPr>
            <w:rFonts w:ascii="Calibri" w:hAnsi="Calibri"/>
            <w:color w:val="0000FF"/>
            <w:u w:val="single"/>
            <w:rtl/>
          </w:rPr>
          <w:t>"</w:t>
        </w:r>
        <w:r w:rsidR="006537B3" w:rsidRPr="006537B3">
          <w:rPr>
            <w:rFonts w:ascii="Calibri" w:hAnsi="Calibri" w:hint="eastAsia"/>
            <w:color w:val="0000FF"/>
            <w:u w:val="single"/>
            <w:rtl/>
          </w:rPr>
          <w:t>פ</w:t>
        </w:r>
        <w:r w:rsidR="006537B3" w:rsidRPr="006537B3">
          <w:rPr>
            <w:rFonts w:ascii="Calibri" w:hAnsi="Calibri"/>
            <w:color w:val="0000FF"/>
            <w:u w:val="single"/>
            <w:rtl/>
          </w:rPr>
          <w:t xml:space="preserve"> 2839/05</w:t>
        </w:r>
      </w:hyperlink>
      <w:r w:rsidRPr="004C07B1">
        <w:rPr>
          <w:rFonts w:ascii="Calibri" w:hAnsi="Calibri" w:hint="cs"/>
          <w:b/>
          <w:bCs/>
          <w:rtl/>
        </w:rPr>
        <w:t xml:space="preserve"> אל קאדר נ' מדינת ישראל (17.11.2005))."</w:t>
      </w:r>
    </w:p>
    <w:p w14:paraId="27FC2885" w14:textId="77777777" w:rsidR="004C07B1" w:rsidRDefault="004C07B1" w:rsidP="004C07B1">
      <w:pPr>
        <w:spacing w:line="360" w:lineRule="auto"/>
        <w:jc w:val="both"/>
        <w:rPr>
          <w:b/>
          <w:bCs/>
          <w:u w:val="single"/>
          <w:rtl/>
        </w:rPr>
      </w:pPr>
    </w:p>
    <w:p w14:paraId="0FAB37A8" w14:textId="77777777" w:rsidR="004C07B1" w:rsidRPr="00B54839" w:rsidRDefault="004C07B1" w:rsidP="004C07B1">
      <w:pPr>
        <w:spacing w:line="360" w:lineRule="auto"/>
        <w:jc w:val="both"/>
        <w:rPr>
          <w:b/>
          <w:bCs/>
          <w:u w:val="single"/>
        </w:rPr>
      </w:pPr>
      <w:r>
        <w:rPr>
          <w:rFonts w:hint="cs"/>
          <w:b/>
          <w:bCs/>
          <w:u w:val="single"/>
          <w:rtl/>
        </w:rPr>
        <w:t>חריגה מטעמי שיקום ממתחם העונש ההולם</w:t>
      </w:r>
    </w:p>
    <w:p w14:paraId="3682EA7E" w14:textId="77777777" w:rsidR="004C07B1" w:rsidRPr="00B54839" w:rsidRDefault="004C07B1" w:rsidP="004C07B1">
      <w:pPr>
        <w:numPr>
          <w:ilvl w:val="0"/>
          <w:numId w:val="1"/>
        </w:numPr>
        <w:spacing w:before="120" w:after="120" w:line="360" w:lineRule="auto"/>
        <w:ind w:left="357" w:hanging="357"/>
        <w:contextualSpacing/>
        <w:jc w:val="both"/>
        <w:rPr>
          <w:rFonts w:ascii="Calibri" w:hAnsi="Calibri"/>
        </w:rPr>
      </w:pPr>
      <w:r w:rsidRPr="00B54839">
        <w:rPr>
          <w:rFonts w:ascii="David" w:hAnsi="David"/>
          <w:rtl/>
        </w:rPr>
        <w:t>במקרה דנן, לא קיימים שיקולים אשר מצדיקים סטייה מהמתחם, לחומרה או לקול</w:t>
      </w:r>
      <w:r w:rsidRPr="00B54839">
        <w:rPr>
          <w:rFonts w:ascii="David" w:hAnsi="David" w:hint="cs"/>
          <w:rtl/>
        </w:rPr>
        <w:t>ה</w:t>
      </w:r>
      <w:r w:rsidRPr="00B54839">
        <w:rPr>
          <w:rFonts w:ascii="David" w:hAnsi="David"/>
          <w:rtl/>
        </w:rPr>
        <w:t>. שיקול ההגנה על שלום הציבור אינו מצדיק החמרה בעונשו של הנאשם. השיקול השיקומי אינו מצדיק הקלה בעונשו</w:t>
      </w:r>
      <w:r w:rsidRPr="00B54839">
        <w:rPr>
          <w:rFonts w:ascii="David" w:hAnsi="David" w:hint="cs"/>
          <w:rtl/>
        </w:rPr>
        <w:t xml:space="preserve"> עד כדי חריגה ממתחם העונש ההולם</w:t>
      </w:r>
      <w:r w:rsidRPr="00B54839">
        <w:rPr>
          <w:rFonts w:ascii="David" w:hAnsi="David"/>
          <w:rtl/>
        </w:rPr>
        <w:t>.</w:t>
      </w:r>
      <w:r>
        <w:rPr>
          <w:rFonts w:ascii="Calibri" w:hAnsi="Calibri" w:hint="cs"/>
          <w:rtl/>
        </w:rPr>
        <w:t xml:space="preserve"> טענת ב"כ הנאשם, כי ניתן לחרוג ממתחם העונש ההולם או להתחשב בקביעתו בעובדה שהנאשם שהה במעצר באיזוק, אינה עומדת בהלימה עם הוראות תיקון 113 לחוק, שכן שיקול זה יש לשקול אותו בגדרי המתחם, כפי שנעשה כאמור.</w:t>
      </w:r>
    </w:p>
    <w:p w14:paraId="576AC208" w14:textId="77777777" w:rsidR="004C07B1" w:rsidRPr="00B54839" w:rsidRDefault="004C07B1" w:rsidP="004C07B1">
      <w:pPr>
        <w:spacing w:line="360" w:lineRule="auto"/>
        <w:ind w:left="785"/>
        <w:contextualSpacing/>
        <w:jc w:val="both"/>
        <w:rPr>
          <w:rFonts w:ascii="Calibri" w:hAnsi="Calibri"/>
          <w:sz w:val="12"/>
          <w:szCs w:val="12"/>
        </w:rPr>
      </w:pPr>
    </w:p>
    <w:p w14:paraId="35A29A14" w14:textId="77777777" w:rsidR="004C07B1" w:rsidRPr="00A04C82" w:rsidRDefault="004C07B1" w:rsidP="004C07B1">
      <w:pPr>
        <w:numPr>
          <w:ilvl w:val="0"/>
          <w:numId w:val="1"/>
        </w:numPr>
        <w:spacing w:before="120" w:after="120" w:line="360" w:lineRule="auto"/>
        <w:ind w:left="357" w:hanging="357"/>
        <w:contextualSpacing/>
        <w:jc w:val="both"/>
        <w:rPr>
          <w:rFonts w:ascii="David" w:hAnsi="David"/>
        </w:rPr>
      </w:pPr>
      <w:r w:rsidRPr="00B54839">
        <w:rPr>
          <w:rFonts w:ascii="David" w:hAnsi="David"/>
          <w:rtl/>
        </w:rPr>
        <w:t>למרות</w:t>
      </w:r>
      <w:r w:rsidRPr="00B54839">
        <w:rPr>
          <w:rtl/>
        </w:rPr>
        <w:t xml:space="preserve"> המלצת שירות המבחן להטלת עונש של מאסר אשר ירוצה בעבודות שירות, מאסר על תנאי, וצו מבחן, נוכח חומרת עבירת החזקת הנשק והצורך לתת דגש להרתעת הרבים לא מצאתי לחרוג ממתחם העונש ההולם מטעמי שיקום, אלא התחשבתי בהמלצת שירות המבחן בקביעת העונש המתאים. יוער, כי היה מקום להטיל עונש גבוה מהרף התחתון ביותר של המתחם, בשל שיקולי הרתעת הרבים. עם זאת, לאור התסקיר החיובי</w:t>
      </w:r>
      <w:r>
        <w:rPr>
          <w:rFonts w:hint="cs"/>
          <w:rtl/>
        </w:rPr>
        <w:t>, התקופה הארוכה בה שהה במעצר באיזוק אלקטרוני</w:t>
      </w:r>
      <w:r w:rsidRPr="00B54839">
        <w:rPr>
          <w:rtl/>
        </w:rPr>
        <w:t xml:space="preserve"> </w:t>
      </w:r>
      <w:r>
        <w:rPr>
          <w:rFonts w:hint="cs"/>
          <w:rtl/>
        </w:rPr>
        <w:t xml:space="preserve">ובהתחשב בעונש שהוטל על נאשם 3, אשר הורשע באותה עבירה ובאותן הנסיבות, ונדון, כאמור, לעונש של 7 חודשי מאסר בפועל, </w:t>
      </w:r>
      <w:r w:rsidRPr="00B54839">
        <w:rPr>
          <w:rtl/>
        </w:rPr>
        <w:t>החלטתי להטיל עליו עונש ברף הנמוך</w:t>
      </w:r>
      <w:r>
        <w:rPr>
          <w:rFonts w:hint="cs"/>
          <w:rtl/>
        </w:rPr>
        <w:t xml:space="preserve"> ביותר</w:t>
      </w:r>
      <w:r w:rsidRPr="00B54839">
        <w:rPr>
          <w:rtl/>
        </w:rPr>
        <w:t xml:space="preserve"> של המתחם.</w:t>
      </w:r>
    </w:p>
    <w:p w14:paraId="39FDBDB1" w14:textId="77777777" w:rsidR="004C07B1" w:rsidRPr="00B54839" w:rsidRDefault="004C07B1" w:rsidP="004C07B1">
      <w:pPr>
        <w:spacing w:before="120" w:after="120" w:line="360" w:lineRule="auto"/>
        <w:ind w:left="357"/>
        <w:contextualSpacing/>
        <w:jc w:val="both"/>
        <w:rPr>
          <w:sz w:val="12"/>
          <w:szCs w:val="12"/>
        </w:rPr>
      </w:pPr>
    </w:p>
    <w:p w14:paraId="566313A1" w14:textId="77777777" w:rsidR="004C07B1" w:rsidRPr="00B54839" w:rsidRDefault="004C07B1" w:rsidP="004C07B1">
      <w:pPr>
        <w:numPr>
          <w:ilvl w:val="0"/>
          <w:numId w:val="1"/>
        </w:numPr>
        <w:spacing w:before="120" w:after="120" w:line="360" w:lineRule="auto"/>
        <w:ind w:left="357" w:hanging="357"/>
        <w:contextualSpacing/>
        <w:jc w:val="both"/>
      </w:pPr>
      <w:r>
        <w:rPr>
          <w:rFonts w:hint="cs"/>
          <w:rtl/>
        </w:rPr>
        <w:t xml:space="preserve">בנוסף, עמדת שירות המבחן אינה מצדיקה לחרוג ממתחם העונש ההולם מטעמי שיקום,  שכן הנאשם לא עבר הליך טיפולי שיקומי בגדרי הליך זה, והנסיבות אותן מנה שירות המבחן, אין בהם כדי להצדיק חריגה ממתחם העונש ההולם, אלא הן מלמדות על אדם צעיר בראשית דרכו השואף לנהל אורח חיים נורמטיבי. כאשר עסקינן בעבירות נשק, אין די בהמלצה כזו, בוודאי כאשר לצידה מצוינות נסיבות רבות המלמדות על סיכון משמעותי להישנות התנהגות עוברת חוק של הנאשם, וכאשר הנאשם לא לקח אחריות למעשיו לפני שירות המבחן שירות המבחן ועל כן היה קושי להבין את הרקע לביצוע העבירה. </w:t>
      </w:r>
    </w:p>
    <w:p w14:paraId="31F4E9A5" w14:textId="77777777" w:rsidR="004C07B1" w:rsidRPr="00B54839" w:rsidRDefault="004C07B1" w:rsidP="004C07B1">
      <w:pPr>
        <w:spacing w:line="360" w:lineRule="auto"/>
        <w:ind w:left="785"/>
        <w:contextualSpacing/>
        <w:jc w:val="both"/>
        <w:rPr>
          <w:sz w:val="12"/>
          <w:szCs w:val="12"/>
        </w:rPr>
      </w:pPr>
    </w:p>
    <w:p w14:paraId="1BB436D6" w14:textId="77777777" w:rsidR="004C07B1" w:rsidRPr="00B54839" w:rsidRDefault="004C07B1" w:rsidP="004C07B1">
      <w:pPr>
        <w:numPr>
          <w:ilvl w:val="0"/>
          <w:numId w:val="1"/>
        </w:numPr>
        <w:spacing w:before="120" w:after="120" w:line="360" w:lineRule="auto"/>
        <w:ind w:left="357" w:hanging="357"/>
        <w:contextualSpacing/>
        <w:jc w:val="both"/>
        <w:rPr>
          <w:b/>
          <w:bCs/>
        </w:rPr>
      </w:pPr>
      <w:r w:rsidRPr="00B54839">
        <w:rPr>
          <w:rtl/>
        </w:rPr>
        <w:t>עוד יצוין בהקשר זה, כפי שנפסק ב</w:t>
      </w:r>
      <w:hyperlink r:id="rId39" w:history="1">
        <w:r w:rsidR="006537B3" w:rsidRPr="006537B3">
          <w:rPr>
            <w:color w:val="0000FF"/>
            <w:u w:val="single"/>
            <w:rtl/>
          </w:rPr>
          <w:t>רע"פ 2258/13</w:t>
        </w:r>
      </w:hyperlink>
      <w:r w:rsidRPr="00B54839">
        <w:rPr>
          <w:rtl/>
        </w:rPr>
        <w:t xml:space="preserve"> </w:t>
      </w:r>
      <w:r w:rsidRPr="00B54839">
        <w:rPr>
          <w:b/>
          <w:bCs/>
          <w:rtl/>
        </w:rPr>
        <w:t>אליהו מאירוב נ' מדינת ישראל</w:t>
      </w:r>
      <w:r w:rsidRPr="00B54839">
        <w:rPr>
          <w:rtl/>
        </w:rPr>
        <w:t xml:space="preserve"> </w:t>
      </w:r>
      <w:r w:rsidRPr="00B54839">
        <w:rPr>
          <w:sz w:val="22"/>
          <w:rtl/>
        </w:rPr>
        <w:t xml:space="preserve">[פורסם בנבו] </w:t>
      </w:r>
      <w:r w:rsidRPr="00B54839">
        <w:rPr>
          <w:rtl/>
        </w:rPr>
        <w:t>(30.4.13</w:t>
      </w:r>
      <w:r>
        <w:rPr>
          <w:rFonts w:hint="cs"/>
          <w:rtl/>
        </w:rPr>
        <w:t>):</w:t>
      </w:r>
      <w:r w:rsidRPr="00B54839">
        <w:rPr>
          <w:b/>
          <w:bCs/>
          <w:rtl/>
        </w:rPr>
        <w:t>"כי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w:t>
      </w:r>
      <w:r>
        <w:rPr>
          <w:rFonts w:hint="cs"/>
          <w:rtl/>
        </w:rPr>
        <w:t>(</w:t>
      </w:r>
      <w:r w:rsidRPr="00B54839">
        <w:rPr>
          <w:rtl/>
        </w:rPr>
        <w:t>שם בפסקה 13)</w:t>
      </w:r>
      <w:r w:rsidRPr="00B54839">
        <w:rPr>
          <w:b/>
          <w:bCs/>
          <w:rtl/>
        </w:rPr>
        <w:t xml:space="preserve">. </w:t>
      </w:r>
    </w:p>
    <w:p w14:paraId="6BA865B0" w14:textId="77777777" w:rsidR="004C07B1" w:rsidRPr="00377213" w:rsidRDefault="004C07B1" w:rsidP="004C07B1">
      <w:pPr>
        <w:spacing w:before="120" w:after="120" w:line="360" w:lineRule="auto"/>
        <w:ind w:left="357"/>
        <w:contextualSpacing/>
        <w:jc w:val="both"/>
        <w:rPr>
          <w:sz w:val="12"/>
          <w:szCs w:val="12"/>
        </w:rPr>
      </w:pPr>
    </w:p>
    <w:p w14:paraId="365208C0" w14:textId="77777777" w:rsidR="004C07B1" w:rsidRDefault="004C07B1" w:rsidP="004C07B1">
      <w:pPr>
        <w:numPr>
          <w:ilvl w:val="0"/>
          <w:numId w:val="1"/>
        </w:numPr>
        <w:spacing w:before="120" w:after="120" w:line="360" w:lineRule="auto"/>
        <w:ind w:left="357" w:hanging="357"/>
        <w:contextualSpacing/>
        <w:jc w:val="both"/>
        <w:rPr>
          <w:rtl/>
        </w:rPr>
      </w:pPr>
      <w:r>
        <w:rPr>
          <w:rFonts w:hint="cs"/>
          <w:rtl/>
        </w:rPr>
        <w:t xml:space="preserve">אשר על כן אני גוזרת על הנאשם את העונשים כדלהלן: </w:t>
      </w:r>
    </w:p>
    <w:p w14:paraId="04267250" w14:textId="77777777" w:rsidR="004C07B1" w:rsidRDefault="004C07B1" w:rsidP="004C07B1">
      <w:pPr>
        <w:pStyle w:val="a9"/>
        <w:numPr>
          <w:ilvl w:val="1"/>
          <w:numId w:val="3"/>
        </w:numPr>
        <w:tabs>
          <w:tab w:val="num" w:pos="1416"/>
        </w:tabs>
        <w:spacing w:line="360" w:lineRule="auto"/>
        <w:ind w:left="1416" w:hanging="283"/>
        <w:jc w:val="both"/>
      </w:pPr>
      <w:r>
        <w:rPr>
          <w:rFonts w:hint="cs"/>
          <w:rtl/>
        </w:rPr>
        <w:t xml:space="preserve">7 חודשי מאסר, בניכוי ימי מעצרו. </w:t>
      </w:r>
    </w:p>
    <w:p w14:paraId="51FC2241" w14:textId="77777777" w:rsidR="004C07B1" w:rsidRPr="00CB7C64" w:rsidRDefault="004C07B1" w:rsidP="004C07B1">
      <w:pPr>
        <w:pStyle w:val="a9"/>
        <w:spacing w:line="360" w:lineRule="auto"/>
        <w:ind w:left="1416"/>
        <w:jc w:val="both"/>
      </w:pPr>
      <w:r>
        <w:rPr>
          <w:rFonts w:hint="cs"/>
          <w:rtl/>
        </w:rPr>
        <w:t xml:space="preserve">על הנאשם להתייצב איפוא לריצוי עונש המאסר שנגזר עליו, </w:t>
      </w:r>
      <w:r w:rsidRPr="00CB7C64">
        <w:rPr>
          <w:rFonts w:hint="cs"/>
          <w:rtl/>
        </w:rPr>
        <w:t xml:space="preserve">ביום </w:t>
      </w:r>
      <w:r>
        <w:rPr>
          <w:rFonts w:hint="cs"/>
          <w:rtl/>
        </w:rPr>
        <w:t>1.11.20</w:t>
      </w:r>
      <w:r w:rsidRPr="00CB7C64">
        <w:rPr>
          <w:rFonts w:hint="cs"/>
          <w:rtl/>
        </w:rPr>
        <w:t xml:space="preserve">  עד לשעה </w:t>
      </w:r>
      <w:r>
        <w:rPr>
          <w:rFonts w:hint="cs"/>
          <w:rtl/>
        </w:rPr>
        <w:t>12:00</w:t>
      </w:r>
      <w:r w:rsidRPr="00CB7C64">
        <w:rPr>
          <w:rFonts w:hint="cs"/>
          <w:rtl/>
        </w:rPr>
        <w:t>, בבית הסוהר "</w:t>
      </w:r>
      <w:r>
        <w:rPr>
          <w:rFonts w:hint="cs"/>
          <w:rtl/>
        </w:rPr>
        <w:t>מעשיהו</w:t>
      </w:r>
      <w:r w:rsidRPr="00CB7C64">
        <w:rPr>
          <w:rFonts w:hint="cs"/>
          <w:rtl/>
        </w:rPr>
        <w:t>"</w:t>
      </w:r>
      <w:r>
        <w:rPr>
          <w:rFonts w:hint="cs"/>
          <w:rtl/>
        </w:rPr>
        <w:t>, או במקום אחר על פי החלטת שירות בתי הסוהר, כשברשותו תעודת זהות, או דרכון ועותק מפסק הדין/גזר הדין</w:t>
      </w:r>
      <w:r w:rsidRPr="00CB7C64">
        <w:rPr>
          <w:rFonts w:hint="cs"/>
          <w:rtl/>
        </w:rPr>
        <w:t xml:space="preserve">. על </w:t>
      </w:r>
      <w:r>
        <w:rPr>
          <w:rFonts w:hint="cs"/>
          <w:rtl/>
        </w:rPr>
        <w:t>הנאשם</w:t>
      </w:r>
      <w:r w:rsidRPr="00CB7C64">
        <w:rPr>
          <w:rFonts w:hint="cs"/>
          <w:rtl/>
        </w:rPr>
        <w:t xml:space="preserve"> לתאם את הכניסה למאסר, כולל האפשרות למיון מוקדם, עם ענף אבחון ומיון של שירות בתי הסוהר, טלפונים: 08-9787377 או 08-9787336.</w:t>
      </w:r>
    </w:p>
    <w:p w14:paraId="50BB047C" w14:textId="77777777" w:rsidR="004C07B1" w:rsidRPr="007B388E" w:rsidRDefault="004C07B1" w:rsidP="004C07B1">
      <w:pPr>
        <w:rPr>
          <w:sz w:val="12"/>
          <w:szCs w:val="12"/>
        </w:rPr>
      </w:pPr>
    </w:p>
    <w:p w14:paraId="31A7DFF7" w14:textId="77777777" w:rsidR="004C07B1" w:rsidRDefault="004C07B1" w:rsidP="004C07B1">
      <w:pPr>
        <w:pStyle w:val="a9"/>
        <w:tabs>
          <w:tab w:val="num" w:pos="1980"/>
        </w:tabs>
        <w:spacing w:line="360" w:lineRule="auto"/>
        <w:ind w:left="1416"/>
        <w:jc w:val="both"/>
        <w:rPr>
          <w:sz w:val="12"/>
          <w:szCs w:val="12"/>
          <w:rtl/>
        </w:rPr>
      </w:pPr>
    </w:p>
    <w:p w14:paraId="1047D52F" w14:textId="77777777" w:rsidR="004C07B1" w:rsidRDefault="004C07B1" w:rsidP="004C07B1">
      <w:pPr>
        <w:pStyle w:val="a9"/>
        <w:numPr>
          <w:ilvl w:val="1"/>
          <w:numId w:val="3"/>
        </w:numPr>
        <w:tabs>
          <w:tab w:val="num" w:pos="1416"/>
        </w:tabs>
        <w:spacing w:line="360" w:lineRule="auto"/>
        <w:ind w:left="1416" w:hanging="283"/>
        <w:jc w:val="both"/>
      </w:pPr>
      <w:r>
        <w:rPr>
          <w:rFonts w:hint="cs"/>
          <w:rtl/>
        </w:rPr>
        <w:t>6 חודשי מאסר. הנאשם לא ירצה עונש זה אלא אם יעבור בתוך שנתיים מיום שחרורו על עבירות בנשק מסוג פשע.</w:t>
      </w:r>
    </w:p>
    <w:p w14:paraId="2ECA265F" w14:textId="77777777" w:rsidR="004C07B1" w:rsidRPr="007B388E" w:rsidRDefault="004C07B1" w:rsidP="004C07B1">
      <w:pPr>
        <w:pStyle w:val="a9"/>
        <w:tabs>
          <w:tab w:val="num" w:pos="1980"/>
        </w:tabs>
        <w:spacing w:line="360" w:lineRule="auto"/>
        <w:ind w:left="1416"/>
        <w:jc w:val="both"/>
        <w:rPr>
          <w:sz w:val="12"/>
          <w:szCs w:val="12"/>
          <w:rtl/>
        </w:rPr>
      </w:pPr>
    </w:p>
    <w:p w14:paraId="1C2ECA21" w14:textId="77777777" w:rsidR="004C07B1" w:rsidRDefault="004C07B1" w:rsidP="004C07B1">
      <w:pPr>
        <w:pStyle w:val="a9"/>
        <w:numPr>
          <w:ilvl w:val="1"/>
          <w:numId w:val="3"/>
        </w:numPr>
        <w:tabs>
          <w:tab w:val="num" w:pos="1416"/>
        </w:tabs>
        <w:spacing w:line="360" w:lineRule="auto"/>
        <w:ind w:left="1416" w:hanging="283"/>
        <w:jc w:val="both"/>
      </w:pPr>
      <w:r>
        <w:rPr>
          <w:rFonts w:hint="cs"/>
          <w:rtl/>
        </w:rPr>
        <w:t>3 חודשי מאסר. הנאשם לא ירצה עונש זה אלא אם יעבור בתוך שנתיים מיום שחרורו על עבירות בנשק מסוג עוון.</w:t>
      </w:r>
    </w:p>
    <w:p w14:paraId="4A0D0FA2" w14:textId="77777777" w:rsidR="004C07B1" w:rsidRDefault="004C07B1" w:rsidP="004C07B1">
      <w:pPr>
        <w:pStyle w:val="a9"/>
        <w:spacing w:line="360" w:lineRule="auto"/>
        <w:ind w:left="1980"/>
        <w:jc w:val="both"/>
        <w:rPr>
          <w:b/>
          <w:bCs/>
          <w:sz w:val="12"/>
          <w:szCs w:val="12"/>
        </w:rPr>
      </w:pPr>
      <w:r>
        <w:rPr>
          <w:rtl/>
        </w:rPr>
        <w:t xml:space="preserve"> </w:t>
      </w:r>
    </w:p>
    <w:p w14:paraId="721D83CE" w14:textId="77777777" w:rsidR="004C07B1" w:rsidRDefault="004C07B1" w:rsidP="004C07B1">
      <w:pPr>
        <w:rPr>
          <w:b/>
          <w:bCs/>
          <w:rtl/>
        </w:rPr>
      </w:pPr>
      <w:r>
        <w:rPr>
          <w:rFonts w:hint="cs"/>
          <w:b/>
          <w:bCs/>
          <w:rtl/>
        </w:rPr>
        <w:t>המזכירות תשלח העתק גזר הדין לשירות המבחן.</w:t>
      </w:r>
    </w:p>
    <w:p w14:paraId="71565A63" w14:textId="77777777" w:rsidR="004C07B1" w:rsidRPr="00C10C40" w:rsidRDefault="004C07B1" w:rsidP="004C07B1">
      <w:pPr>
        <w:rPr>
          <w:b/>
          <w:bCs/>
        </w:rPr>
      </w:pPr>
    </w:p>
    <w:p w14:paraId="18D67F2E" w14:textId="77777777" w:rsidR="004C07B1" w:rsidRDefault="004C07B1" w:rsidP="004C07B1">
      <w:pPr>
        <w:rPr>
          <w:b/>
          <w:bCs/>
          <w:rtl/>
        </w:rPr>
      </w:pPr>
      <w:r>
        <w:rPr>
          <w:rFonts w:hint="cs"/>
          <w:b/>
          <w:bCs/>
          <w:rtl/>
        </w:rPr>
        <w:t>זכות ערעור לבית המשפט העליון בתוך 45 יום מהיום.</w:t>
      </w:r>
    </w:p>
    <w:p w14:paraId="77D9BAE2" w14:textId="77777777" w:rsidR="004C07B1" w:rsidRPr="006537B3" w:rsidRDefault="006537B3" w:rsidP="004C07B1">
      <w:pPr>
        <w:rPr>
          <w:color w:val="FFFFFF"/>
          <w:sz w:val="2"/>
          <w:szCs w:val="2"/>
          <w:rtl/>
        </w:rPr>
      </w:pPr>
      <w:r w:rsidRPr="006537B3">
        <w:rPr>
          <w:color w:val="FFFFFF"/>
          <w:sz w:val="2"/>
          <w:szCs w:val="2"/>
          <w:rtl/>
        </w:rPr>
        <w:t>5129371</w:t>
      </w:r>
    </w:p>
    <w:p w14:paraId="76E372A0" w14:textId="77777777" w:rsidR="004C07B1" w:rsidRDefault="006537B3" w:rsidP="004C07B1">
      <w:pPr>
        <w:rPr>
          <w:rFonts w:cs="FrankRuehl"/>
          <w:sz w:val="28"/>
          <w:szCs w:val="28"/>
          <w:rtl/>
        </w:rPr>
      </w:pPr>
      <w:bookmarkStart w:id="8" w:name="Nitan"/>
      <w:r w:rsidRPr="006537B3">
        <w:rPr>
          <w:rFonts w:ascii="Arial" w:hAnsi="Arial"/>
          <w:color w:val="FFFFFF"/>
          <w:sz w:val="2"/>
          <w:szCs w:val="2"/>
          <w:rtl/>
        </w:rPr>
        <w:t>54678313</w:t>
      </w:r>
      <w:r>
        <w:rPr>
          <w:rFonts w:ascii="Arial" w:hAnsi="Arial"/>
          <w:rtl/>
        </w:rPr>
        <w:t xml:space="preserve">ניתן היום,  א' חשוון תשפ"א, 19 אוקטובר 2020, במעמד ב"כ הצדדים והנאשם. </w:t>
      </w:r>
      <w:bookmarkEnd w:id="8"/>
    </w:p>
    <w:p w14:paraId="0EB14E27" w14:textId="77777777" w:rsidR="004C07B1" w:rsidRDefault="004C07B1" w:rsidP="006537B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30FE28B" w14:textId="77777777" w:rsidR="004C07B1" w:rsidRDefault="004C07B1" w:rsidP="004C07B1">
      <w:pPr>
        <w:jc w:val="center"/>
        <w:rPr>
          <w:rFonts w:ascii="Arial" w:hAnsi="Arial" w:cs="FrankRuehl"/>
          <w:sz w:val="28"/>
          <w:szCs w:val="28"/>
          <w:rtl/>
        </w:rPr>
      </w:pPr>
    </w:p>
    <w:p w14:paraId="5372C70F" w14:textId="77777777" w:rsidR="004C07B1" w:rsidRDefault="004C07B1" w:rsidP="004C07B1">
      <w:pPr>
        <w:rPr>
          <w:rFonts w:cs="FrankRuehl"/>
          <w:sz w:val="28"/>
          <w:szCs w:val="28"/>
          <w:rtl/>
        </w:rPr>
      </w:pPr>
    </w:p>
    <w:p w14:paraId="754B7F1C" w14:textId="77777777" w:rsidR="004C07B1" w:rsidRPr="00B514DC" w:rsidRDefault="00B514DC" w:rsidP="004C07B1">
      <w:pPr>
        <w:pStyle w:val="a3"/>
        <w:jc w:val="center"/>
        <w:rPr>
          <w:color w:val="FFFFFF"/>
          <w:sz w:val="2"/>
          <w:szCs w:val="2"/>
          <w:rtl/>
        </w:rPr>
      </w:pPr>
      <w:r w:rsidRPr="00B514DC">
        <w:rPr>
          <w:color w:val="FFFFFF"/>
          <w:sz w:val="2"/>
          <w:szCs w:val="2"/>
          <w:rtl/>
        </w:rPr>
        <w:t>5129371</w:t>
      </w:r>
    </w:p>
    <w:p w14:paraId="6C584E41" w14:textId="77777777" w:rsidR="0034448D" w:rsidRPr="00B514DC" w:rsidRDefault="00B514DC" w:rsidP="006537B3">
      <w:pPr>
        <w:keepNext/>
        <w:rPr>
          <w:rFonts w:ascii="David" w:hAnsi="David"/>
          <w:color w:val="FFFFFF"/>
          <w:sz w:val="2"/>
          <w:szCs w:val="2"/>
          <w:rtl/>
        </w:rPr>
      </w:pPr>
      <w:r w:rsidRPr="00B514DC">
        <w:rPr>
          <w:rFonts w:ascii="David" w:hAnsi="David"/>
          <w:color w:val="FFFFFF"/>
          <w:sz w:val="2"/>
          <w:szCs w:val="2"/>
          <w:rtl/>
        </w:rPr>
        <w:t>54678313</w:t>
      </w:r>
    </w:p>
    <w:p w14:paraId="12BF01D6" w14:textId="77777777" w:rsidR="006537B3" w:rsidRDefault="006537B3" w:rsidP="006537B3">
      <w:pPr>
        <w:rPr>
          <w:rtl/>
        </w:rPr>
      </w:pPr>
    </w:p>
    <w:p w14:paraId="44B629B6" w14:textId="77777777" w:rsidR="006537B3" w:rsidRDefault="006537B3" w:rsidP="006537B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B6B0316" w14:textId="77777777" w:rsidR="00B514DC" w:rsidRPr="00B514DC" w:rsidRDefault="00B514DC" w:rsidP="00B514DC">
      <w:pPr>
        <w:keepNext/>
        <w:rPr>
          <w:rFonts w:ascii="David" w:hAnsi="David"/>
          <w:color w:val="000000"/>
          <w:sz w:val="22"/>
          <w:szCs w:val="22"/>
          <w:rtl/>
        </w:rPr>
      </w:pPr>
    </w:p>
    <w:p w14:paraId="73621FE8" w14:textId="77777777" w:rsidR="00B514DC" w:rsidRPr="00B514DC" w:rsidRDefault="00B514DC" w:rsidP="00B514DC">
      <w:pPr>
        <w:keepNext/>
        <w:rPr>
          <w:rFonts w:ascii="David" w:hAnsi="David"/>
          <w:color w:val="000000"/>
          <w:sz w:val="22"/>
          <w:szCs w:val="22"/>
          <w:rtl/>
        </w:rPr>
      </w:pPr>
      <w:r w:rsidRPr="00B514DC">
        <w:rPr>
          <w:rFonts w:ascii="David" w:hAnsi="David"/>
          <w:color w:val="000000"/>
          <w:sz w:val="22"/>
          <w:szCs w:val="22"/>
          <w:rtl/>
        </w:rPr>
        <w:t>חנה מרים לומפ 54678313-/</w:t>
      </w:r>
    </w:p>
    <w:p w14:paraId="166EFAF9" w14:textId="77777777" w:rsidR="006537B3" w:rsidRPr="006537B3" w:rsidRDefault="00B514DC" w:rsidP="00B514DC">
      <w:pPr>
        <w:rPr>
          <w:rFonts w:hint="cs"/>
          <w:color w:val="0000FF"/>
          <w:u w:val="single"/>
        </w:rPr>
      </w:pPr>
      <w:r w:rsidRPr="00B514DC">
        <w:rPr>
          <w:color w:val="000000"/>
          <w:u w:val="single"/>
          <w:rtl/>
        </w:rPr>
        <w:t>נוסח מסמך זה כפוף לשינויי ניסוח ועריכה</w:t>
      </w:r>
      <w:r w:rsidR="000940A1">
        <w:rPr>
          <w:rFonts w:hint="cs"/>
          <w:color w:val="0000FF"/>
          <w:u w:val="single"/>
          <w:rtl/>
        </w:rPr>
        <w:t xml:space="preserve"> </w:t>
      </w:r>
    </w:p>
    <w:sectPr w:rsidR="006537B3" w:rsidRPr="006537B3" w:rsidSect="00B514D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89373" w14:textId="77777777" w:rsidR="00EF138E" w:rsidRDefault="00EF138E" w:rsidP="00010636">
      <w:r>
        <w:separator/>
      </w:r>
    </w:p>
  </w:endnote>
  <w:endnote w:type="continuationSeparator" w:id="0">
    <w:p w14:paraId="78521F8A" w14:textId="77777777" w:rsidR="00EF138E" w:rsidRDefault="00EF138E" w:rsidP="00010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6B7C6" w14:textId="77777777" w:rsidR="00B514DC" w:rsidRDefault="00B514DC" w:rsidP="00B514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09750E2F" w14:textId="77777777" w:rsidR="006A58B6" w:rsidRPr="00B514DC" w:rsidRDefault="00B514DC" w:rsidP="00B514DC">
    <w:pPr>
      <w:pStyle w:val="a5"/>
      <w:pBdr>
        <w:top w:val="single" w:sz="4" w:space="1" w:color="auto"/>
        <w:between w:val="single" w:sz="4" w:space="0" w:color="auto"/>
      </w:pBdr>
      <w:spacing w:after="60"/>
      <w:jc w:val="center"/>
      <w:rPr>
        <w:rFonts w:ascii="FrankRuehl" w:hAnsi="FrankRuehl" w:cs="FrankRuehl"/>
        <w:color w:val="000000"/>
      </w:rPr>
    </w:pPr>
    <w:r w:rsidRPr="00B514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062B9" w14:textId="77777777" w:rsidR="00B514DC" w:rsidRDefault="00B514DC" w:rsidP="00B514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6459">
      <w:rPr>
        <w:rFonts w:ascii="FrankRuehl" w:hAnsi="FrankRuehl" w:cs="FrankRuehl"/>
        <w:noProof/>
        <w:rtl/>
      </w:rPr>
      <w:t>1</w:t>
    </w:r>
    <w:r>
      <w:rPr>
        <w:rFonts w:ascii="FrankRuehl" w:hAnsi="FrankRuehl" w:cs="FrankRuehl"/>
        <w:rtl/>
      </w:rPr>
      <w:fldChar w:fldCharType="end"/>
    </w:r>
  </w:p>
  <w:p w14:paraId="77580F85" w14:textId="77777777" w:rsidR="006A58B6" w:rsidRPr="00B514DC" w:rsidRDefault="00B514DC" w:rsidP="00B514DC">
    <w:pPr>
      <w:pStyle w:val="a5"/>
      <w:pBdr>
        <w:top w:val="single" w:sz="4" w:space="1" w:color="auto"/>
        <w:between w:val="single" w:sz="4" w:space="0" w:color="auto"/>
      </w:pBdr>
      <w:spacing w:after="60"/>
      <w:jc w:val="center"/>
      <w:rPr>
        <w:rFonts w:ascii="FrankRuehl" w:hAnsi="FrankRuehl" w:cs="FrankRuehl"/>
        <w:color w:val="000000"/>
      </w:rPr>
    </w:pPr>
    <w:r w:rsidRPr="00B514DC">
      <w:rPr>
        <w:rFonts w:ascii="FrankRuehl" w:hAnsi="FrankRuehl" w:cs="FrankRuehl"/>
        <w:color w:val="000000"/>
      </w:rPr>
      <w:pict w14:anchorId="2B880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CE57D" w14:textId="77777777" w:rsidR="00EF138E" w:rsidRDefault="00EF138E" w:rsidP="00010636">
      <w:r>
        <w:separator/>
      </w:r>
    </w:p>
  </w:footnote>
  <w:footnote w:type="continuationSeparator" w:id="0">
    <w:p w14:paraId="178FD063" w14:textId="77777777" w:rsidR="00EF138E" w:rsidRDefault="00EF138E" w:rsidP="00010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EBD56" w14:textId="77777777" w:rsidR="006537B3" w:rsidRPr="00B514DC" w:rsidRDefault="00B514DC" w:rsidP="00B514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52515-03-20</w:t>
    </w:r>
    <w:r>
      <w:rPr>
        <w:rFonts w:ascii="David" w:hAnsi="David"/>
        <w:color w:val="000000"/>
        <w:sz w:val="22"/>
        <w:szCs w:val="22"/>
        <w:rtl/>
      </w:rPr>
      <w:tab/>
      <w:t xml:space="preserve"> מדינת ישראל נ' מורשד סנדוקה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0DEF8" w14:textId="77777777" w:rsidR="006537B3" w:rsidRPr="00B514DC" w:rsidRDefault="00B514DC" w:rsidP="00B514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52515-03-20</w:t>
    </w:r>
    <w:r>
      <w:rPr>
        <w:rFonts w:ascii="David" w:hAnsi="David"/>
        <w:color w:val="000000"/>
        <w:sz w:val="22"/>
        <w:szCs w:val="22"/>
        <w:rtl/>
      </w:rPr>
      <w:tab/>
      <w:t xml:space="preserve"> מדינת ישראל נ' מורשד סנדוקה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2FBD1D13"/>
    <w:multiLevelType w:val="hybridMultilevel"/>
    <w:tmpl w:val="FED6E2E4"/>
    <w:lvl w:ilvl="0" w:tplc="F0826082">
      <w:start w:val="1"/>
      <w:numFmt w:val="decimal"/>
      <w:lvlText w:val="%1."/>
      <w:lvlJc w:val="left"/>
      <w:pPr>
        <w:ind w:left="720" w:hanging="360"/>
      </w:pPr>
      <w:rPr>
        <w:rFonts w:cs="Times New Roman"/>
        <w:b w:val="0"/>
        <w:bCs w:val="0"/>
        <w:sz w:val="22"/>
        <w:szCs w:val="22"/>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E863A28"/>
    <w:multiLevelType w:val="hybridMultilevel"/>
    <w:tmpl w:val="57AAB16A"/>
    <w:lvl w:ilvl="0" w:tplc="0C06A44E">
      <w:start w:val="1"/>
      <w:numFmt w:val="hebrew1"/>
      <w:lvlText w:val="%1."/>
      <w:lvlJc w:val="center"/>
      <w:pPr>
        <w:tabs>
          <w:tab w:val="num" w:pos="1080"/>
        </w:tabs>
        <w:ind w:left="1080" w:hanging="720"/>
      </w:pPr>
      <w:rPr>
        <w:rFonts w:ascii="A028 Extrabold" w:hAnsi="A028 Extrabold" w:cs="David" w:hint="default"/>
      </w:rPr>
    </w:lvl>
    <w:lvl w:ilvl="1" w:tplc="E68634A2">
      <w:start w:val="1"/>
      <w:numFmt w:val="hebrew1"/>
      <w:lvlText w:val="%2."/>
      <w:lvlJc w:val="center"/>
      <w:pPr>
        <w:tabs>
          <w:tab w:val="num" w:pos="1980"/>
        </w:tabs>
        <w:ind w:left="1980" w:hanging="360"/>
      </w:pPr>
      <w:rPr>
        <w:rFonts w:ascii="A028 Extrabold" w:hAnsi="A028 Extrabold" w:cs="David" w:hint="default"/>
        <w:sz w:val="24"/>
        <w:szCs w:val="24"/>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704594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914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4577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07B1"/>
    <w:rsid w:val="00010636"/>
    <w:rsid w:val="00011201"/>
    <w:rsid w:val="000940A1"/>
    <w:rsid w:val="00114C7E"/>
    <w:rsid w:val="0034448D"/>
    <w:rsid w:val="003A33AF"/>
    <w:rsid w:val="004C07B1"/>
    <w:rsid w:val="005014EE"/>
    <w:rsid w:val="006537B3"/>
    <w:rsid w:val="006A58B6"/>
    <w:rsid w:val="00766459"/>
    <w:rsid w:val="00B17231"/>
    <w:rsid w:val="00B514DC"/>
    <w:rsid w:val="00CB079B"/>
    <w:rsid w:val="00EC151F"/>
    <w:rsid w:val="00EE750D"/>
    <w:rsid w:val="00EF13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D77FFA"/>
  <w15:chartTrackingRefBased/>
  <w15:docId w15:val="{C07ED35E-83F7-43D9-ABAA-D76012F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07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07B1"/>
    <w:pPr>
      <w:tabs>
        <w:tab w:val="center" w:pos="4153"/>
        <w:tab w:val="right" w:pos="8306"/>
      </w:tabs>
    </w:pPr>
  </w:style>
  <w:style w:type="character" w:customStyle="1" w:styleId="a4">
    <w:name w:val="כותרת עליונה תו"/>
    <w:link w:val="a3"/>
    <w:rsid w:val="004C07B1"/>
    <w:rPr>
      <w:rFonts w:ascii="Times New Roman" w:eastAsia="Times New Roman" w:hAnsi="Times New Roman" w:cs="David"/>
      <w:sz w:val="24"/>
      <w:szCs w:val="24"/>
    </w:rPr>
  </w:style>
  <w:style w:type="paragraph" w:styleId="a5">
    <w:name w:val="footer"/>
    <w:basedOn w:val="a"/>
    <w:link w:val="a6"/>
    <w:rsid w:val="004C07B1"/>
    <w:pPr>
      <w:tabs>
        <w:tab w:val="center" w:pos="4153"/>
        <w:tab w:val="right" w:pos="8306"/>
      </w:tabs>
    </w:pPr>
  </w:style>
  <w:style w:type="character" w:customStyle="1" w:styleId="a6">
    <w:name w:val="כותרת תחתונה תו"/>
    <w:link w:val="a5"/>
    <w:rsid w:val="004C07B1"/>
    <w:rPr>
      <w:rFonts w:ascii="Times New Roman" w:eastAsia="Times New Roman" w:hAnsi="Times New Roman" w:cs="David"/>
      <w:sz w:val="24"/>
      <w:szCs w:val="24"/>
    </w:rPr>
  </w:style>
  <w:style w:type="table" w:styleId="a7">
    <w:name w:val="Table Grid"/>
    <w:basedOn w:val="a1"/>
    <w:rsid w:val="004C07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07B1"/>
  </w:style>
  <w:style w:type="character" w:styleId="Hyperlink">
    <w:name w:val="Hyperlink"/>
    <w:rsid w:val="004C07B1"/>
    <w:rPr>
      <w:color w:val="0000FF"/>
      <w:u w:val="single"/>
    </w:rPr>
  </w:style>
  <w:style w:type="paragraph" w:styleId="a9">
    <w:name w:val="List Paragraph"/>
    <w:basedOn w:val="a"/>
    <w:qFormat/>
    <w:rsid w:val="004C07B1"/>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8291683"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6856471" TargetMode="External"/><Relationship Id="rId21" Type="http://schemas.openxmlformats.org/officeDocument/2006/relationships/hyperlink" Target="http://www.nevo.co.il/case/5601503" TargetMode="External"/><Relationship Id="rId34" Type="http://schemas.openxmlformats.org/officeDocument/2006/relationships/hyperlink" Target="http://www.nevo.co.il/law/70301/40j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9" Type="http://schemas.openxmlformats.org/officeDocument/2006/relationships/hyperlink" Target="http://www.nevo.co.il/case/260326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2006503" TargetMode="External"/><Relationship Id="rId32" Type="http://schemas.openxmlformats.org/officeDocument/2006/relationships/hyperlink" Target="http://www.nevo.co.il/case/25063920" TargetMode="External"/><Relationship Id="rId37" Type="http://schemas.openxmlformats.org/officeDocument/2006/relationships/hyperlink" Target="http://www.nevo.co.il/case/6072945"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878682" TargetMode="External"/><Relationship Id="rId31" Type="http://schemas.openxmlformats.org/officeDocument/2006/relationships/hyperlink" Target="http://www.nevo.co.il/case/605875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6949290" TargetMode="External"/><Relationship Id="rId35" Type="http://schemas.openxmlformats.org/officeDocument/2006/relationships/hyperlink" Target="http://www.nevo.co.il/case/5601503" TargetMode="External"/><Relationship Id="rId43"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887664"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5859902" TargetMode="External"/><Relationship Id="rId46" Type="http://schemas.openxmlformats.org/officeDocument/2006/relationships/theme" Target="theme/theme1.xml"/><Relationship Id="rId20" Type="http://schemas.openxmlformats.org/officeDocument/2006/relationships/hyperlink" Target="http://www.nevo.co.il/case/557853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19499</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3539069</vt:i4>
      </vt:variant>
      <vt:variant>
        <vt:i4>96</vt:i4>
      </vt:variant>
      <vt:variant>
        <vt:i4>0</vt:i4>
      </vt:variant>
      <vt:variant>
        <vt:i4>5</vt:i4>
      </vt:variant>
      <vt:variant>
        <vt:lpwstr>http://www.nevo.co.il/case/6856471</vt:lpwstr>
      </vt:variant>
      <vt:variant>
        <vt:lpwstr/>
      </vt:variant>
      <vt:variant>
        <vt:i4>3866741</vt:i4>
      </vt:variant>
      <vt:variant>
        <vt:i4>93</vt:i4>
      </vt:variant>
      <vt:variant>
        <vt:i4>0</vt:i4>
      </vt:variant>
      <vt:variant>
        <vt:i4>5</vt:i4>
      </vt:variant>
      <vt:variant>
        <vt:lpwstr>http://www.nevo.co.il/case/5859902</vt:lpwstr>
      </vt:variant>
      <vt:variant>
        <vt:lpwstr/>
      </vt:variant>
      <vt:variant>
        <vt:i4>3997810</vt:i4>
      </vt:variant>
      <vt:variant>
        <vt:i4>90</vt:i4>
      </vt:variant>
      <vt:variant>
        <vt:i4>0</vt:i4>
      </vt:variant>
      <vt:variant>
        <vt:i4>5</vt:i4>
      </vt:variant>
      <vt:variant>
        <vt:lpwstr>http://www.nevo.co.il/case/6072945</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3342451</vt:i4>
      </vt:variant>
      <vt:variant>
        <vt:i4>84</vt:i4>
      </vt:variant>
      <vt:variant>
        <vt:i4>0</vt:i4>
      </vt:variant>
      <vt:variant>
        <vt:i4>5</vt:i4>
      </vt:variant>
      <vt:variant>
        <vt:lpwstr>http://www.nevo.co.il/case/5601503</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3342462</vt:i4>
      </vt:variant>
      <vt:variant>
        <vt:i4>75</vt:i4>
      </vt:variant>
      <vt:variant>
        <vt:i4>0</vt:i4>
      </vt:variant>
      <vt:variant>
        <vt:i4>5</vt:i4>
      </vt:variant>
      <vt:variant>
        <vt:lpwstr>http://www.nevo.co.il/case/25063920</vt:lpwstr>
      </vt:variant>
      <vt:variant>
        <vt:lpwstr/>
      </vt:variant>
      <vt:variant>
        <vt:i4>3342457</vt:i4>
      </vt:variant>
      <vt:variant>
        <vt:i4>72</vt:i4>
      </vt:variant>
      <vt:variant>
        <vt:i4>0</vt:i4>
      </vt:variant>
      <vt:variant>
        <vt:i4>5</vt:i4>
      </vt:variant>
      <vt:variant>
        <vt:lpwstr>http://www.nevo.co.il/case/6058757</vt:lpwstr>
      </vt:variant>
      <vt:variant>
        <vt:lpwstr/>
      </vt:variant>
      <vt:variant>
        <vt:i4>3145853</vt:i4>
      </vt:variant>
      <vt:variant>
        <vt:i4>69</vt:i4>
      </vt:variant>
      <vt:variant>
        <vt:i4>0</vt:i4>
      </vt:variant>
      <vt:variant>
        <vt:i4>5</vt:i4>
      </vt:variant>
      <vt:variant>
        <vt:lpwstr>http://www.nevo.co.il/case/6949290</vt:lpwstr>
      </vt:variant>
      <vt:variant>
        <vt:lpwstr/>
      </vt:variant>
      <vt:variant>
        <vt:i4>3276919</vt:i4>
      </vt:variant>
      <vt:variant>
        <vt:i4>66</vt:i4>
      </vt:variant>
      <vt:variant>
        <vt:i4>0</vt:i4>
      </vt:variant>
      <vt:variant>
        <vt:i4>5</vt:i4>
      </vt:variant>
      <vt:variant>
        <vt:lpwstr>http://www.nevo.co.il/case/26032623</vt:lpwstr>
      </vt:variant>
      <vt:variant>
        <vt:lpwstr/>
      </vt:variant>
      <vt:variant>
        <vt:i4>3473532</vt:i4>
      </vt:variant>
      <vt:variant>
        <vt:i4>63</vt:i4>
      </vt:variant>
      <vt:variant>
        <vt:i4>0</vt:i4>
      </vt:variant>
      <vt:variant>
        <vt:i4>5</vt:i4>
      </vt:variant>
      <vt:variant>
        <vt:lpwstr>http://www.nevo.co.il/case/6000182</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3407987</vt:i4>
      </vt:variant>
      <vt:variant>
        <vt:i4>51</vt:i4>
      </vt:variant>
      <vt:variant>
        <vt:i4>0</vt:i4>
      </vt:variant>
      <vt:variant>
        <vt:i4>5</vt:i4>
      </vt:variant>
      <vt:variant>
        <vt:lpwstr>http://www.nevo.co.il/case/22006503</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3342451</vt:i4>
      </vt:variant>
      <vt:variant>
        <vt:i4>42</vt:i4>
      </vt:variant>
      <vt:variant>
        <vt:i4>0</vt:i4>
      </vt:variant>
      <vt:variant>
        <vt:i4>5</vt:i4>
      </vt:variant>
      <vt:variant>
        <vt:lpwstr>http://www.nevo.co.il/case/5601503</vt:lpwstr>
      </vt:variant>
      <vt:variant>
        <vt:lpwstr/>
      </vt:variant>
      <vt:variant>
        <vt:i4>3342458</vt:i4>
      </vt:variant>
      <vt:variant>
        <vt:i4>39</vt:i4>
      </vt:variant>
      <vt:variant>
        <vt:i4>0</vt:i4>
      </vt:variant>
      <vt:variant>
        <vt:i4>5</vt:i4>
      </vt:variant>
      <vt:variant>
        <vt:lpwstr>http://www.nevo.co.il/case/5578534</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3407999</vt:i4>
      </vt:variant>
      <vt:variant>
        <vt:i4>33</vt:i4>
      </vt:variant>
      <vt:variant>
        <vt:i4>0</vt:i4>
      </vt:variant>
      <vt:variant>
        <vt:i4>5</vt:i4>
      </vt:variant>
      <vt:variant>
        <vt:lpwstr>http://www.nevo.co.il/case/8291683</vt:lpwstr>
      </vt:variant>
      <vt:variant>
        <vt:lpwstr/>
      </vt:variant>
      <vt:variant>
        <vt:i4>4128893</vt:i4>
      </vt:variant>
      <vt:variant>
        <vt:i4>30</vt:i4>
      </vt:variant>
      <vt:variant>
        <vt:i4>0</vt:i4>
      </vt:variant>
      <vt:variant>
        <vt:i4>5</vt:i4>
      </vt:variant>
      <vt:variant>
        <vt:lpwstr>http://www.nevo.co.il/case/5887664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52515</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מורשד סנדוקה;עומר שויש;אנס מוגרבי </vt:lpwstr>
  </property>
  <property fmtid="{D5CDD505-2E9C-101B-9397-08002B2CF9AE}" pid="10" name="LAWYER">
    <vt:lpwstr>נתי בן חמו;ווסים דכוואר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20201019</vt:lpwstr>
  </property>
  <property fmtid="{D5CDD505-2E9C-101B-9397-08002B2CF9AE}" pid="14" name="TYPE_N_DATE">
    <vt:lpwstr>39020201019</vt:lpwstr>
  </property>
  <property fmtid="{D5CDD505-2E9C-101B-9397-08002B2CF9AE}" pid="15" name="WORDNUMPAGES">
    <vt:lpwstr>9</vt:lpwstr>
  </property>
  <property fmtid="{D5CDD505-2E9C-101B-9397-08002B2CF9AE}" pid="16" name="TYPE_ABS_DATE">
    <vt:lpwstr>390020201019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7791493:2;5887664;8291683;5878682;5578534;5601503:2;6473037;5821327;22006503;6000182;26032623;6949290;6058757;25063920;5852404;6072945;5859902;6856471</vt:lpwstr>
  </property>
  <property fmtid="{D5CDD505-2E9C-101B-9397-08002B2CF9AE}" pid="36" name="LAWLISTTMP1">
    <vt:lpwstr>70301/144.a:3;144.b:2;040i;40ja</vt:lpwstr>
  </property>
</Properties>
</file>