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DC0C2F" w:rsidRPr="00DC0C2F" w14:paraId="1D274499" w14:textId="77777777" w:rsidTr="002A18B9">
        <w:trPr>
          <w:trHeight w:hRule="exact" w:val="418"/>
          <w:jc w:val="center"/>
        </w:trPr>
        <w:tc>
          <w:tcPr>
            <w:tcW w:w="8505" w:type="dxa"/>
          </w:tcPr>
          <w:p w14:paraId="36595BE6" w14:textId="77777777" w:rsidR="00DC0C2F" w:rsidRPr="00DC0C2F" w:rsidRDefault="00DC0C2F" w:rsidP="002A18B9">
            <w:pPr>
              <w:pStyle w:val="a3"/>
              <w:jc w:val="center"/>
              <w:rPr>
                <w:rFonts w:ascii="Tahoma" w:hAnsi="Tahoma" w:cs="Tahoma"/>
                <w:color w:val="000080"/>
                <w:rtl/>
              </w:rPr>
            </w:pPr>
            <w:bookmarkStart w:id="0" w:name="LastJudge"/>
            <w:r w:rsidRPr="00DC0C2F">
              <w:rPr>
                <w:rFonts w:ascii="Tahoma" w:hAnsi="Tahoma" w:cs="Tahoma"/>
                <w:b/>
                <w:bCs/>
                <w:color w:val="000080"/>
                <w:rtl/>
              </w:rPr>
              <w:t>בית המשפט המחוזי בחיפה</w:t>
            </w:r>
          </w:p>
        </w:tc>
      </w:tr>
      <w:tr w:rsidR="00DC0C2F" w:rsidRPr="002605EB" w14:paraId="12E7CA59" w14:textId="77777777" w:rsidTr="002A18B9">
        <w:trPr>
          <w:trHeight w:val="337"/>
          <w:jc w:val="center"/>
        </w:trPr>
        <w:tc>
          <w:tcPr>
            <w:tcW w:w="8505" w:type="dxa"/>
          </w:tcPr>
          <w:p w14:paraId="067F6459" w14:textId="77777777" w:rsidR="00DC0C2F" w:rsidRPr="002605EB" w:rsidRDefault="00DC0C2F" w:rsidP="002A18B9">
            <w:pPr>
              <w:rPr>
                <w:rFonts w:ascii="David" w:hAnsi="David"/>
                <w:b/>
                <w:bCs/>
                <w:sz w:val="26"/>
                <w:szCs w:val="26"/>
                <w:rtl/>
              </w:rPr>
            </w:pPr>
            <w:r w:rsidRPr="002605EB">
              <w:rPr>
                <w:rFonts w:ascii="David" w:hAnsi="David"/>
                <w:b/>
                <w:bCs/>
                <w:sz w:val="26"/>
                <w:szCs w:val="26"/>
                <w:rtl/>
              </w:rPr>
              <w:t>ת"פ 12376-04-20 מדינת ישראל נ' ארפאעיה</w:t>
            </w:r>
            <w:r w:rsidR="002605EB" w:rsidRPr="002605EB">
              <w:rPr>
                <w:rFonts w:ascii="David" w:hAnsi="David"/>
                <w:b/>
                <w:bCs/>
                <w:sz w:val="26"/>
                <w:szCs w:val="26"/>
                <w:rtl/>
              </w:rPr>
              <w:t xml:space="preserve"> </w:t>
            </w:r>
            <w:r w:rsidRPr="002605EB">
              <w:rPr>
                <w:rFonts w:ascii="David" w:hAnsi="David"/>
                <w:b/>
                <w:bCs/>
                <w:sz w:val="26"/>
                <w:szCs w:val="26"/>
                <w:rtl/>
              </w:rPr>
              <w:t>(עציר)</w:t>
            </w:r>
          </w:p>
          <w:p w14:paraId="603957BD" w14:textId="77777777" w:rsidR="00DC0C2F" w:rsidRPr="002605EB" w:rsidRDefault="00DC0C2F" w:rsidP="002A18B9">
            <w:pPr>
              <w:pStyle w:val="a3"/>
              <w:jc w:val="right"/>
              <w:rPr>
                <w:rFonts w:ascii="David" w:hAnsi="David"/>
                <w:b/>
                <w:bCs/>
                <w:sz w:val="26"/>
                <w:szCs w:val="26"/>
                <w:rtl/>
              </w:rPr>
            </w:pPr>
          </w:p>
        </w:tc>
      </w:tr>
    </w:tbl>
    <w:p w14:paraId="614A8641" w14:textId="77777777" w:rsidR="00091FA6" w:rsidRPr="002605EB" w:rsidRDefault="00DC0C2F" w:rsidP="002605EB">
      <w:pPr>
        <w:pStyle w:val="a3"/>
        <w:rPr>
          <w:rtl/>
        </w:rPr>
      </w:pPr>
      <w:r w:rsidRPr="002605EB">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C0C2F" w:rsidRPr="002605EB" w14:paraId="7CB2A638" w14:textId="77777777" w:rsidTr="002A18B9">
        <w:trPr>
          <w:trHeight w:val="295"/>
          <w:jc w:val="center"/>
        </w:trPr>
        <w:tc>
          <w:tcPr>
            <w:tcW w:w="923" w:type="dxa"/>
            <w:tcBorders>
              <w:top w:val="nil"/>
              <w:left w:val="nil"/>
              <w:bottom w:val="nil"/>
              <w:right w:val="nil"/>
            </w:tcBorders>
          </w:tcPr>
          <w:p w14:paraId="030D6839" w14:textId="77777777" w:rsidR="00DC0C2F" w:rsidRPr="002605EB" w:rsidRDefault="00DC0C2F" w:rsidP="002605EB">
            <w:pPr>
              <w:spacing w:before="120" w:after="120" w:line="240" w:lineRule="exact"/>
              <w:jc w:val="both"/>
              <w:rPr>
                <w:rFonts w:ascii="David" w:hAnsi="David"/>
                <w:b/>
                <w:bCs/>
                <w:sz w:val="26"/>
                <w:szCs w:val="26"/>
              </w:rPr>
            </w:pPr>
            <w:r w:rsidRPr="002605EB">
              <w:rPr>
                <w:rFonts w:ascii="David" w:hAnsi="David"/>
                <w:b/>
                <w:bCs/>
                <w:sz w:val="26"/>
                <w:szCs w:val="26"/>
                <w:rtl/>
              </w:rPr>
              <w:t xml:space="preserve">בפני </w:t>
            </w:r>
          </w:p>
        </w:tc>
        <w:tc>
          <w:tcPr>
            <w:tcW w:w="7897" w:type="dxa"/>
            <w:gridSpan w:val="2"/>
            <w:tcBorders>
              <w:top w:val="nil"/>
              <w:left w:val="nil"/>
              <w:bottom w:val="nil"/>
              <w:right w:val="nil"/>
            </w:tcBorders>
          </w:tcPr>
          <w:p w14:paraId="346408CE" w14:textId="77777777" w:rsidR="00DC0C2F" w:rsidRPr="002605EB" w:rsidRDefault="00DC0C2F" w:rsidP="002605EB">
            <w:pPr>
              <w:spacing w:before="120" w:after="120" w:line="240" w:lineRule="exact"/>
              <w:jc w:val="both"/>
              <w:rPr>
                <w:rFonts w:ascii="David" w:hAnsi="David"/>
                <w:b/>
                <w:bCs/>
                <w:sz w:val="26"/>
                <w:szCs w:val="26"/>
              </w:rPr>
            </w:pPr>
            <w:r w:rsidRPr="002605EB">
              <w:rPr>
                <w:rFonts w:ascii="David" w:hAnsi="David"/>
                <w:b/>
                <w:bCs/>
                <w:sz w:val="26"/>
                <w:szCs w:val="26"/>
                <w:rtl/>
              </w:rPr>
              <w:t>כבוד השופט  סארי ג'יוסי</w:t>
            </w:r>
          </w:p>
        </w:tc>
      </w:tr>
      <w:tr w:rsidR="00DC0C2F" w:rsidRPr="002605EB" w14:paraId="3E3AD041" w14:textId="77777777" w:rsidTr="002A18B9">
        <w:trPr>
          <w:trHeight w:val="355"/>
          <w:jc w:val="center"/>
        </w:trPr>
        <w:tc>
          <w:tcPr>
            <w:tcW w:w="923" w:type="dxa"/>
            <w:tcBorders>
              <w:top w:val="nil"/>
              <w:left w:val="nil"/>
              <w:bottom w:val="nil"/>
              <w:right w:val="nil"/>
            </w:tcBorders>
          </w:tcPr>
          <w:p w14:paraId="6C9FABF3" w14:textId="77777777" w:rsidR="00DC0C2F" w:rsidRPr="002605EB" w:rsidRDefault="00DC0C2F" w:rsidP="002605EB">
            <w:pPr>
              <w:spacing w:before="120" w:after="120" w:line="240" w:lineRule="exact"/>
              <w:rPr>
                <w:rFonts w:ascii="David" w:hAnsi="David"/>
                <w:b/>
                <w:bCs/>
                <w:sz w:val="26"/>
                <w:szCs w:val="26"/>
              </w:rPr>
            </w:pPr>
          </w:p>
        </w:tc>
        <w:tc>
          <w:tcPr>
            <w:tcW w:w="4126" w:type="dxa"/>
            <w:tcBorders>
              <w:top w:val="nil"/>
              <w:left w:val="nil"/>
              <w:bottom w:val="nil"/>
              <w:right w:val="nil"/>
            </w:tcBorders>
          </w:tcPr>
          <w:p w14:paraId="449481FD" w14:textId="77777777" w:rsidR="00DC0C2F" w:rsidRPr="002605EB" w:rsidRDefault="00DC0C2F" w:rsidP="002605EB">
            <w:pPr>
              <w:spacing w:before="120" w:after="120" w:line="240" w:lineRule="exact"/>
              <w:rPr>
                <w:rFonts w:ascii="David" w:hAnsi="David"/>
                <w:b/>
                <w:bCs/>
                <w:sz w:val="26"/>
                <w:szCs w:val="26"/>
              </w:rPr>
            </w:pPr>
            <w:r w:rsidRPr="002605EB">
              <w:rPr>
                <w:rFonts w:ascii="David" w:hAnsi="David"/>
                <w:b/>
                <w:bCs/>
                <w:sz w:val="26"/>
                <w:szCs w:val="26"/>
                <w:rtl/>
              </w:rPr>
              <w:t>מדינת ישראל</w:t>
            </w:r>
          </w:p>
        </w:tc>
        <w:tc>
          <w:tcPr>
            <w:tcW w:w="3771" w:type="dxa"/>
            <w:tcBorders>
              <w:top w:val="nil"/>
              <w:left w:val="nil"/>
              <w:bottom w:val="nil"/>
              <w:right w:val="nil"/>
            </w:tcBorders>
          </w:tcPr>
          <w:p w14:paraId="104B925E" w14:textId="77777777" w:rsidR="00DC0C2F" w:rsidRPr="002605EB" w:rsidRDefault="00DC0C2F" w:rsidP="002605EB">
            <w:pPr>
              <w:spacing w:before="120" w:after="120" w:line="240" w:lineRule="exact"/>
              <w:rPr>
                <w:rFonts w:ascii="David" w:hAnsi="David"/>
                <w:b/>
                <w:bCs/>
                <w:sz w:val="26"/>
                <w:szCs w:val="26"/>
              </w:rPr>
            </w:pPr>
          </w:p>
        </w:tc>
      </w:tr>
      <w:tr w:rsidR="00DC0C2F" w:rsidRPr="002605EB" w14:paraId="333A98B8" w14:textId="77777777" w:rsidTr="002A18B9">
        <w:trPr>
          <w:trHeight w:val="355"/>
          <w:jc w:val="center"/>
        </w:trPr>
        <w:tc>
          <w:tcPr>
            <w:tcW w:w="923" w:type="dxa"/>
            <w:tcBorders>
              <w:top w:val="nil"/>
              <w:left w:val="nil"/>
              <w:bottom w:val="nil"/>
              <w:right w:val="nil"/>
            </w:tcBorders>
          </w:tcPr>
          <w:p w14:paraId="7154189D" w14:textId="77777777" w:rsidR="00DC0C2F" w:rsidRPr="002605EB" w:rsidRDefault="00DC0C2F" w:rsidP="002605EB">
            <w:pPr>
              <w:spacing w:before="120" w:after="120" w:line="240" w:lineRule="exact"/>
              <w:rPr>
                <w:rFonts w:ascii="David" w:hAnsi="David"/>
                <w:b/>
                <w:bCs/>
                <w:sz w:val="26"/>
                <w:szCs w:val="26"/>
                <w:rtl/>
              </w:rPr>
            </w:pPr>
            <w:bookmarkStart w:id="1" w:name="FirstAppellant" w:colFirst="0" w:colLast="1"/>
          </w:p>
        </w:tc>
        <w:tc>
          <w:tcPr>
            <w:tcW w:w="4126" w:type="dxa"/>
            <w:tcBorders>
              <w:top w:val="nil"/>
              <w:left w:val="nil"/>
              <w:bottom w:val="nil"/>
              <w:right w:val="nil"/>
            </w:tcBorders>
          </w:tcPr>
          <w:p w14:paraId="4241386B" w14:textId="77777777" w:rsidR="00DC0C2F" w:rsidRPr="002605EB" w:rsidRDefault="00DC0C2F" w:rsidP="002605EB">
            <w:pPr>
              <w:spacing w:before="120" w:after="120" w:line="240" w:lineRule="exact"/>
              <w:rPr>
                <w:rFonts w:ascii="David" w:hAnsi="David"/>
                <w:b/>
                <w:bCs/>
                <w:sz w:val="26"/>
                <w:szCs w:val="26"/>
                <w:rtl/>
              </w:rPr>
            </w:pPr>
          </w:p>
        </w:tc>
        <w:tc>
          <w:tcPr>
            <w:tcW w:w="3771" w:type="dxa"/>
            <w:tcBorders>
              <w:top w:val="nil"/>
              <w:left w:val="nil"/>
              <w:bottom w:val="nil"/>
              <w:right w:val="nil"/>
            </w:tcBorders>
          </w:tcPr>
          <w:p w14:paraId="5B1E4499" w14:textId="77777777" w:rsidR="00DC0C2F" w:rsidRPr="002605EB" w:rsidRDefault="00DC0C2F" w:rsidP="002605EB">
            <w:pPr>
              <w:spacing w:before="120" w:after="120" w:line="240" w:lineRule="exact"/>
              <w:jc w:val="right"/>
              <w:rPr>
                <w:rFonts w:ascii="David" w:hAnsi="David"/>
                <w:b/>
                <w:bCs/>
                <w:sz w:val="26"/>
                <w:szCs w:val="26"/>
                <w:rtl/>
              </w:rPr>
            </w:pPr>
            <w:r w:rsidRPr="002605EB">
              <w:rPr>
                <w:rFonts w:ascii="David" w:hAnsi="David"/>
                <w:b/>
                <w:bCs/>
                <w:sz w:val="26"/>
                <w:szCs w:val="26"/>
                <w:rtl/>
              </w:rPr>
              <w:t>המאשימה</w:t>
            </w:r>
          </w:p>
        </w:tc>
      </w:tr>
      <w:tr w:rsidR="002605EB" w:rsidRPr="002605EB" w14:paraId="5AFDEBEB" w14:textId="77777777" w:rsidTr="002B6272">
        <w:trPr>
          <w:trHeight w:val="355"/>
          <w:jc w:val="center"/>
        </w:trPr>
        <w:tc>
          <w:tcPr>
            <w:tcW w:w="8820" w:type="dxa"/>
            <w:gridSpan w:val="3"/>
            <w:tcBorders>
              <w:top w:val="nil"/>
              <w:left w:val="nil"/>
              <w:bottom w:val="nil"/>
              <w:right w:val="nil"/>
            </w:tcBorders>
          </w:tcPr>
          <w:p w14:paraId="6A019D56" w14:textId="77777777" w:rsidR="002605EB" w:rsidRPr="002605EB" w:rsidRDefault="002605EB" w:rsidP="002605EB">
            <w:pPr>
              <w:spacing w:before="240" w:after="240" w:line="240" w:lineRule="exact"/>
              <w:jc w:val="center"/>
              <w:rPr>
                <w:rFonts w:ascii="David" w:hAnsi="David" w:hint="cs"/>
                <w:b/>
                <w:bCs/>
                <w:sz w:val="26"/>
                <w:szCs w:val="26"/>
              </w:rPr>
            </w:pPr>
            <w:r w:rsidRPr="002605EB">
              <w:rPr>
                <w:rFonts w:ascii="David" w:hAnsi="David"/>
                <w:b/>
                <w:bCs/>
                <w:sz w:val="26"/>
                <w:szCs w:val="26"/>
                <w:rtl/>
              </w:rPr>
              <w:t>נגד</w:t>
            </w:r>
          </w:p>
        </w:tc>
      </w:tr>
      <w:bookmarkEnd w:id="1"/>
      <w:tr w:rsidR="00DC0C2F" w:rsidRPr="002605EB" w14:paraId="5C9E522F" w14:textId="77777777" w:rsidTr="002A18B9">
        <w:trPr>
          <w:trHeight w:val="355"/>
          <w:jc w:val="center"/>
        </w:trPr>
        <w:tc>
          <w:tcPr>
            <w:tcW w:w="923" w:type="dxa"/>
            <w:tcBorders>
              <w:top w:val="nil"/>
              <w:left w:val="nil"/>
              <w:bottom w:val="nil"/>
              <w:right w:val="nil"/>
            </w:tcBorders>
          </w:tcPr>
          <w:p w14:paraId="5A5083FD" w14:textId="77777777" w:rsidR="00DC0C2F" w:rsidRPr="002605EB" w:rsidRDefault="00DC0C2F" w:rsidP="002605EB">
            <w:pPr>
              <w:spacing w:before="120" w:after="120" w:line="240" w:lineRule="exact"/>
              <w:rPr>
                <w:rFonts w:ascii="David" w:hAnsi="David"/>
                <w:b/>
                <w:bCs/>
                <w:sz w:val="26"/>
                <w:szCs w:val="26"/>
                <w:rtl/>
              </w:rPr>
            </w:pPr>
          </w:p>
        </w:tc>
        <w:tc>
          <w:tcPr>
            <w:tcW w:w="4126" w:type="dxa"/>
            <w:tcBorders>
              <w:top w:val="nil"/>
              <w:left w:val="nil"/>
              <w:bottom w:val="nil"/>
              <w:right w:val="nil"/>
            </w:tcBorders>
          </w:tcPr>
          <w:p w14:paraId="5DE47725" w14:textId="77777777" w:rsidR="00DC0C2F" w:rsidRPr="002605EB" w:rsidRDefault="00DC0C2F" w:rsidP="002605EB">
            <w:pPr>
              <w:spacing w:before="120" w:after="120" w:line="240" w:lineRule="exact"/>
              <w:rPr>
                <w:rFonts w:ascii="David" w:hAnsi="David"/>
                <w:b/>
                <w:bCs/>
                <w:sz w:val="26"/>
                <w:szCs w:val="26"/>
                <w:rtl/>
              </w:rPr>
            </w:pPr>
            <w:r w:rsidRPr="002605EB">
              <w:rPr>
                <w:rFonts w:ascii="David" w:hAnsi="David"/>
                <w:b/>
                <w:bCs/>
                <w:sz w:val="26"/>
                <w:szCs w:val="26"/>
                <w:rtl/>
              </w:rPr>
              <w:t>ורד ארפאעיה (עציר)</w:t>
            </w:r>
          </w:p>
        </w:tc>
        <w:tc>
          <w:tcPr>
            <w:tcW w:w="3771" w:type="dxa"/>
            <w:tcBorders>
              <w:top w:val="nil"/>
              <w:left w:val="nil"/>
              <w:bottom w:val="nil"/>
              <w:right w:val="nil"/>
            </w:tcBorders>
          </w:tcPr>
          <w:p w14:paraId="20BBB869" w14:textId="77777777" w:rsidR="00DC0C2F" w:rsidRPr="002605EB" w:rsidRDefault="00DC0C2F" w:rsidP="002605EB">
            <w:pPr>
              <w:spacing w:before="120" w:after="120" w:line="240" w:lineRule="exact"/>
              <w:rPr>
                <w:rFonts w:ascii="David" w:hAnsi="David"/>
                <w:b/>
                <w:bCs/>
                <w:sz w:val="26"/>
                <w:szCs w:val="26"/>
              </w:rPr>
            </w:pPr>
          </w:p>
        </w:tc>
      </w:tr>
      <w:tr w:rsidR="00DC0C2F" w:rsidRPr="002605EB" w14:paraId="3E545F89" w14:textId="77777777" w:rsidTr="002A18B9">
        <w:trPr>
          <w:trHeight w:val="355"/>
          <w:jc w:val="center"/>
        </w:trPr>
        <w:tc>
          <w:tcPr>
            <w:tcW w:w="923" w:type="dxa"/>
            <w:tcBorders>
              <w:top w:val="nil"/>
              <w:left w:val="nil"/>
              <w:bottom w:val="nil"/>
              <w:right w:val="nil"/>
            </w:tcBorders>
          </w:tcPr>
          <w:p w14:paraId="40C3BE33" w14:textId="77777777" w:rsidR="00DC0C2F" w:rsidRPr="002605EB" w:rsidRDefault="00DC0C2F" w:rsidP="002605EB">
            <w:pPr>
              <w:spacing w:before="120" w:after="120" w:line="240" w:lineRule="exact"/>
              <w:rPr>
                <w:rFonts w:ascii="David" w:hAnsi="David"/>
                <w:b/>
                <w:bCs/>
                <w:sz w:val="26"/>
                <w:szCs w:val="26"/>
                <w:rtl/>
              </w:rPr>
            </w:pPr>
          </w:p>
        </w:tc>
        <w:tc>
          <w:tcPr>
            <w:tcW w:w="4126" w:type="dxa"/>
            <w:tcBorders>
              <w:top w:val="nil"/>
              <w:left w:val="nil"/>
              <w:bottom w:val="nil"/>
              <w:right w:val="nil"/>
            </w:tcBorders>
          </w:tcPr>
          <w:p w14:paraId="30647E4C" w14:textId="77777777" w:rsidR="00DC0C2F" w:rsidRPr="002605EB" w:rsidRDefault="00DC0C2F" w:rsidP="002605EB">
            <w:pPr>
              <w:spacing w:before="120" w:after="120" w:line="240" w:lineRule="exact"/>
              <w:rPr>
                <w:rFonts w:ascii="David" w:hAnsi="David"/>
                <w:b/>
                <w:bCs/>
                <w:sz w:val="26"/>
                <w:szCs w:val="26"/>
                <w:rtl/>
              </w:rPr>
            </w:pPr>
          </w:p>
        </w:tc>
        <w:tc>
          <w:tcPr>
            <w:tcW w:w="3771" w:type="dxa"/>
            <w:tcBorders>
              <w:top w:val="nil"/>
              <w:left w:val="nil"/>
              <w:bottom w:val="nil"/>
              <w:right w:val="nil"/>
            </w:tcBorders>
          </w:tcPr>
          <w:p w14:paraId="1A4E064C" w14:textId="77777777" w:rsidR="00DC0C2F" w:rsidRPr="002605EB" w:rsidRDefault="00DC0C2F" w:rsidP="002605EB">
            <w:pPr>
              <w:spacing w:before="120" w:after="120" w:line="240" w:lineRule="exact"/>
              <w:jc w:val="right"/>
              <w:rPr>
                <w:rFonts w:ascii="David" w:hAnsi="David"/>
                <w:b/>
                <w:bCs/>
                <w:sz w:val="26"/>
                <w:szCs w:val="26"/>
              </w:rPr>
            </w:pPr>
            <w:r w:rsidRPr="002605EB">
              <w:rPr>
                <w:rFonts w:ascii="David" w:hAnsi="David"/>
                <w:b/>
                <w:bCs/>
                <w:sz w:val="26"/>
                <w:szCs w:val="26"/>
                <w:rtl/>
              </w:rPr>
              <w:t>הנאשמים</w:t>
            </w:r>
          </w:p>
        </w:tc>
      </w:tr>
    </w:tbl>
    <w:p w14:paraId="45E1E103" w14:textId="77777777" w:rsidR="00DC0C2F" w:rsidRPr="00DC0C2F" w:rsidRDefault="00DC0C2F"/>
    <w:p w14:paraId="05820C8E" w14:textId="77777777" w:rsidR="002605EB" w:rsidRPr="002605EB" w:rsidRDefault="002605EB" w:rsidP="002605EB">
      <w:pPr>
        <w:spacing w:before="120" w:after="120" w:line="240" w:lineRule="exact"/>
        <w:ind w:left="283" w:hanging="283"/>
        <w:jc w:val="both"/>
        <w:rPr>
          <w:rFonts w:ascii="FrankRuehl" w:hAnsi="FrankRuehl" w:cs="FrankRuehl"/>
          <w:rtl/>
        </w:rPr>
      </w:pPr>
      <w:bookmarkStart w:id="2" w:name="LawTable"/>
      <w:bookmarkEnd w:id="2"/>
      <w:r w:rsidRPr="002605EB">
        <w:rPr>
          <w:rFonts w:ascii="FrankRuehl" w:hAnsi="FrankRuehl" w:cs="FrankRuehl"/>
          <w:rtl/>
        </w:rPr>
        <w:t xml:space="preserve">חקיקה שאוזכרה: </w:t>
      </w:r>
    </w:p>
    <w:p w14:paraId="69285C9B" w14:textId="77777777" w:rsidR="002605EB" w:rsidRPr="002605EB" w:rsidRDefault="002605EB" w:rsidP="002605EB">
      <w:pPr>
        <w:spacing w:before="120" w:after="120" w:line="240" w:lineRule="exact"/>
        <w:ind w:left="283" w:hanging="283"/>
        <w:jc w:val="both"/>
        <w:rPr>
          <w:rFonts w:ascii="FrankRuehl" w:hAnsi="FrankRuehl" w:cs="FrankRuehl"/>
          <w:color w:val="0000FF"/>
          <w:rtl/>
        </w:rPr>
      </w:pPr>
      <w:hyperlink r:id="rId8" w:history="1">
        <w:r w:rsidRPr="002605EB">
          <w:rPr>
            <w:rStyle w:val="Hyperlink"/>
            <w:rFonts w:ascii="FrankRuehl" w:hAnsi="FrankRuehl" w:cs="FrankRuehl"/>
            <w:u w:val="none"/>
            <w:rtl/>
          </w:rPr>
          <w:t>חוק העונשין, תשל"ז-1977</w:t>
        </w:r>
      </w:hyperlink>
      <w:r w:rsidRPr="002605EB">
        <w:rPr>
          <w:rFonts w:ascii="FrankRuehl" w:hAnsi="FrankRuehl" w:cs="FrankRuehl"/>
          <w:color w:val="0000FF"/>
          <w:rtl/>
        </w:rPr>
        <w:t xml:space="preserve">: סע'  </w:t>
      </w:r>
      <w:hyperlink r:id="rId9" w:history="1">
        <w:r w:rsidRPr="002605EB">
          <w:rPr>
            <w:rStyle w:val="Hyperlink"/>
            <w:rFonts w:ascii="FrankRuehl" w:hAnsi="FrankRuehl" w:cs="FrankRuehl"/>
            <w:u w:val="none"/>
          </w:rPr>
          <w:t>144</w:t>
        </w:r>
      </w:hyperlink>
      <w:r w:rsidRPr="002605EB">
        <w:rPr>
          <w:rFonts w:ascii="FrankRuehl" w:hAnsi="FrankRuehl" w:cs="FrankRuehl"/>
          <w:color w:val="0000FF"/>
          <w:rtl/>
        </w:rPr>
        <w:t xml:space="preserve">(ב), </w:t>
      </w:r>
      <w:hyperlink r:id="rId10" w:history="1">
        <w:r w:rsidRPr="002605EB">
          <w:rPr>
            <w:rStyle w:val="Hyperlink"/>
            <w:rFonts w:ascii="FrankRuehl" w:hAnsi="FrankRuehl" w:cs="FrankRuehl"/>
            <w:u w:val="none"/>
          </w:rPr>
          <w:t>275</w:t>
        </w:r>
      </w:hyperlink>
      <w:r w:rsidRPr="002605EB">
        <w:rPr>
          <w:rFonts w:ascii="FrankRuehl" w:hAnsi="FrankRuehl" w:cs="FrankRuehl"/>
          <w:color w:val="0000FF"/>
          <w:rtl/>
        </w:rPr>
        <w:t xml:space="preserve">, </w:t>
      </w:r>
      <w:hyperlink r:id="rId11" w:history="1">
        <w:r w:rsidRPr="002605EB">
          <w:rPr>
            <w:rStyle w:val="Hyperlink"/>
            <w:rFonts w:ascii="FrankRuehl" w:hAnsi="FrankRuehl" w:cs="FrankRuehl"/>
            <w:u w:val="none"/>
          </w:rPr>
          <w:t xml:space="preserve">338 </w:t>
        </w:r>
      </w:hyperlink>
      <w:r w:rsidRPr="002605EB">
        <w:rPr>
          <w:rFonts w:ascii="FrankRuehl" w:hAnsi="FrankRuehl" w:cs="FrankRuehl"/>
          <w:color w:val="0000FF"/>
          <w:rtl/>
        </w:rPr>
        <w:t xml:space="preserve">(א)(1), </w:t>
      </w:r>
      <w:hyperlink r:id="rId12" w:history="1">
        <w:r w:rsidRPr="002605EB">
          <w:rPr>
            <w:rStyle w:val="Hyperlink"/>
            <w:rFonts w:ascii="FrankRuehl" w:hAnsi="FrankRuehl" w:cs="FrankRuehl"/>
            <w:u w:val="none"/>
          </w:rPr>
          <w:t xml:space="preserve">40 </w:t>
        </w:r>
        <w:r w:rsidRPr="002605EB">
          <w:rPr>
            <w:rStyle w:val="Hyperlink"/>
            <w:rFonts w:ascii="FrankRuehl" w:hAnsi="FrankRuehl" w:cs="FrankRuehl"/>
            <w:u w:val="none"/>
            <w:rtl/>
          </w:rPr>
          <w:t>יא</w:t>
        </w:r>
      </w:hyperlink>
      <w:r w:rsidRPr="002605EB">
        <w:rPr>
          <w:rFonts w:ascii="FrankRuehl" w:hAnsi="FrankRuehl" w:cs="FrankRuehl"/>
          <w:color w:val="0000FF"/>
          <w:rtl/>
        </w:rPr>
        <w:t>(1)</w:t>
      </w:r>
    </w:p>
    <w:p w14:paraId="4C7588EA" w14:textId="77777777" w:rsidR="002535D5" w:rsidRDefault="002535D5" w:rsidP="002605EB">
      <w:pPr>
        <w:rPr>
          <w:rFonts w:ascii="Arial" w:hAnsi="Arial" w:hint="cs"/>
          <w:rtl/>
        </w:rPr>
      </w:pPr>
      <w:bookmarkStart w:id="3" w:name="LawTable_End"/>
      <w:bookmarkEnd w:id="3"/>
    </w:p>
    <w:p w14:paraId="54125458" w14:textId="77777777" w:rsidR="002605EB" w:rsidRDefault="002605EB" w:rsidP="002605EB">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5E3A9DEA" w14:textId="77777777" w:rsidR="002605EB" w:rsidRPr="002605EB" w:rsidRDefault="002605EB" w:rsidP="002605E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2605EB">
        <w:rPr>
          <w:rFonts w:cs="FrankRuehl" w:hint="cs"/>
          <w:szCs w:val="26"/>
          <w:rtl/>
        </w:rPr>
        <w:t xml:space="preserve">בית המשפט גזר את דינו של נאשם שהורשע </w:t>
      </w:r>
      <w:r w:rsidRPr="002605EB">
        <w:rPr>
          <w:rFonts w:cs="FrankRuehl"/>
          <w:szCs w:val="26"/>
          <w:rtl/>
        </w:rPr>
        <w:t>בעבירות בנשק (נשיאה והובלה)</w:t>
      </w:r>
      <w:r w:rsidRPr="002605EB">
        <w:rPr>
          <w:rFonts w:cs="FrankRuehl" w:hint="cs"/>
          <w:szCs w:val="26"/>
          <w:rtl/>
        </w:rPr>
        <w:t xml:space="preserve"> </w:t>
      </w:r>
      <w:r w:rsidRPr="002605EB">
        <w:rPr>
          <w:rFonts w:cs="FrankRuehl"/>
          <w:szCs w:val="26"/>
          <w:rtl/>
        </w:rPr>
        <w:t>ובעבירה של הפרעה לשוטר במילוי תפקידו.</w:t>
      </w:r>
      <w:r w:rsidRPr="002605EB">
        <w:rPr>
          <w:rFonts w:cs="FrankRuehl" w:hint="cs"/>
          <w:szCs w:val="26"/>
          <w:rtl/>
        </w:rPr>
        <w:t xml:space="preserve"> הנאשם נידון ל</w:t>
      </w:r>
      <w:r w:rsidRPr="002605EB">
        <w:rPr>
          <w:rFonts w:cs="FrankRuehl"/>
          <w:szCs w:val="26"/>
          <w:rtl/>
        </w:rPr>
        <w:t xml:space="preserve">עונש של 22 חודשי מאסר בפועל, </w:t>
      </w:r>
      <w:r w:rsidRPr="002605EB">
        <w:rPr>
          <w:rFonts w:cs="FrankRuehl" w:hint="cs"/>
          <w:szCs w:val="26"/>
          <w:rtl/>
        </w:rPr>
        <w:t>ו</w:t>
      </w:r>
      <w:r w:rsidRPr="002605EB">
        <w:rPr>
          <w:rFonts w:cs="FrankRuehl"/>
          <w:szCs w:val="26"/>
          <w:rtl/>
        </w:rPr>
        <w:t xml:space="preserve">מאסר על תנאי </w:t>
      </w:r>
      <w:r w:rsidRPr="002605EB">
        <w:rPr>
          <w:rFonts w:cs="FrankRuehl" w:hint="cs"/>
          <w:szCs w:val="26"/>
          <w:rtl/>
        </w:rPr>
        <w:t>למשך</w:t>
      </w:r>
      <w:r w:rsidRPr="002605EB">
        <w:rPr>
          <w:rFonts w:cs="FrankRuehl"/>
          <w:szCs w:val="26"/>
          <w:rtl/>
        </w:rPr>
        <w:t xml:space="preserve"> 10 חודשים</w:t>
      </w:r>
      <w:r w:rsidRPr="002605EB">
        <w:rPr>
          <w:rFonts w:cs="FrankRuehl" w:hint="cs"/>
          <w:szCs w:val="26"/>
          <w:rtl/>
        </w:rPr>
        <w:t>.</w:t>
      </w:r>
    </w:p>
    <w:p w14:paraId="09C91412" w14:textId="77777777" w:rsidR="002605EB" w:rsidRDefault="002605EB" w:rsidP="002605EB">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0213A5E6" w14:textId="77777777" w:rsidR="002605EB" w:rsidRDefault="002605EB" w:rsidP="002605E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6D0143D" w14:textId="77777777" w:rsidR="002605EB" w:rsidRPr="002605EB" w:rsidRDefault="002605EB" w:rsidP="002605EB">
      <w:pPr>
        <w:pBdr>
          <w:top w:val="single" w:sz="4" w:space="1" w:color="auto"/>
          <w:bottom w:val="single" w:sz="4" w:space="1" w:color="auto"/>
        </w:pBdr>
        <w:spacing w:after="120" w:line="320" w:lineRule="exact"/>
        <w:jc w:val="both"/>
        <w:rPr>
          <w:rFonts w:cs="FrankRuehl" w:hint="cs"/>
          <w:szCs w:val="26"/>
          <w:rtl/>
        </w:rPr>
      </w:pPr>
      <w:r w:rsidRPr="002605EB">
        <w:rPr>
          <w:rFonts w:cs="FrankRuehl"/>
          <w:szCs w:val="26"/>
          <w:rtl/>
        </w:rPr>
        <w:t>הנאשם הורשע</w:t>
      </w:r>
      <w:r w:rsidRPr="002605EB">
        <w:rPr>
          <w:rFonts w:cs="FrankRuehl" w:hint="cs"/>
          <w:szCs w:val="26"/>
          <w:rtl/>
        </w:rPr>
        <w:t>,</w:t>
      </w:r>
      <w:r w:rsidRPr="002605EB">
        <w:rPr>
          <w:rFonts w:cs="FrankRuehl"/>
          <w:szCs w:val="26"/>
          <w:rtl/>
        </w:rPr>
        <w:t xml:space="preserve"> במסגרת הסדר-טיעון,</w:t>
      </w:r>
      <w:r w:rsidRPr="002605EB">
        <w:rPr>
          <w:rFonts w:cs="FrankRuehl"/>
          <w:szCs w:val="26"/>
        </w:rPr>
        <w:t xml:space="preserve"> </w:t>
      </w:r>
      <w:r w:rsidRPr="002605EB">
        <w:rPr>
          <w:rFonts w:cs="FrankRuehl"/>
          <w:szCs w:val="26"/>
          <w:rtl/>
        </w:rPr>
        <w:t>בעבירות בנשק (נשיאה והובלה)</w:t>
      </w:r>
      <w:r w:rsidRPr="002605EB">
        <w:rPr>
          <w:rFonts w:cs="FrankRuehl" w:hint="cs"/>
          <w:szCs w:val="26"/>
          <w:rtl/>
        </w:rPr>
        <w:t xml:space="preserve"> </w:t>
      </w:r>
      <w:r w:rsidRPr="002605EB">
        <w:rPr>
          <w:rFonts w:cs="FrankRuehl"/>
          <w:szCs w:val="26"/>
          <w:rtl/>
        </w:rPr>
        <w:t>ובעבירה של הפרעה לשוטר במילוי תפקידו.</w:t>
      </w:r>
    </w:p>
    <w:p w14:paraId="37A53E08" w14:textId="77777777" w:rsidR="002605EB" w:rsidRDefault="002605EB" w:rsidP="002605E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9498987" w14:textId="77777777" w:rsidR="002605EB" w:rsidRPr="002605EB" w:rsidRDefault="002605EB" w:rsidP="002605EB">
      <w:pPr>
        <w:pBdr>
          <w:top w:val="single" w:sz="4" w:space="1" w:color="auto"/>
          <w:bottom w:val="single" w:sz="4" w:space="1" w:color="auto"/>
        </w:pBdr>
        <w:spacing w:after="120" w:line="320" w:lineRule="exact"/>
        <w:jc w:val="both"/>
        <w:rPr>
          <w:rFonts w:cs="FrankRuehl" w:hint="cs"/>
          <w:szCs w:val="26"/>
          <w:rtl/>
        </w:rPr>
      </w:pPr>
      <w:r w:rsidRPr="002605EB">
        <w:rPr>
          <w:rFonts w:cs="FrankRuehl"/>
          <w:szCs w:val="26"/>
          <w:rtl/>
        </w:rPr>
        <w:t>בית המשפט המחוזי</w:t>
      </w:r>
      <w:r w:rsidRPr="002605EB">
        <w:rPr>
          <w:rFonts w:cs="FrankRuehl" w:hint="cs"/>
          <w:szCs w:val="26"/>
          <w:rtl/>
        </w:rPr>
        <w:t xml:space="preserve"> גזר את הדין כדלהלן:</w:t>
      </w:r>
    </w:p>
    <w:p w14:paraId="752DEAF6" w14:textId="77777777" w:rsidR="002605EB" w:rsidRPr="002605EB" w:rsidRDefault="002605EB" w:rsidP="002605EB">
      <w:pPr>
        <w:pBdr>
          <w:top w:val="single" w:sz="4" w:space="1" w:color="auto"/>
          <w:bottom w:val="single" w:sz="4" w:space="1" w:color="auto"/>
        </w:pBdr>
        <w:spacing w:after="120" w:line="320" w:lineRule="exact"/>
        <w:jc w:val="both"/>
        <w:rPr>
          <w:rFonts w:cs="FrankRuehl" w:hint="cs"/>
          <w:szCs w:val="26"/>
          <w:rtl/>
        </w:rPr>
      </w:pPr>
      <w:r w:rsidRPr="002605EB">
        <w:rPr>
          <w:rFonts w:cs="FrankRuehl"/>
          <w:szCs w:val="26"/>
          <w:rtl/>
        </w:rPr>
        <w:t>בפסיקה עקבית של בית המשפט העליון נקבע, כי יש ליתן חומרה יתרה לעבירות הנשק הואיל וסכנה גבוהה נשקפת מהן, וזאת אף בשים-לב לגישת המחוקק, אשר קבע לצידן של עבירות אלו ענישה מחמירה. קיימת מגמה של החמרה בענישה בעבירות אלו וזאת על מנת להרתיע מפני ביצוען</w:t>
      </w:r>
      <w:r w:rsidRPr="002605EB">
        <w:rPr>
          <w:rFonts w:cs="FrankRuehl" w:hint="cs"/>
          <w:szCs w:val="26"/>
          <w:rtl/>
        </w:rPr>
        <w:t>.</w:t>
      </w:r>
      <w:r w:rsidRPr="002605EB">
        <w:rPr>
          <w:rFonts w:cs="FrankRuehl"/>
          <w:szCs w:val="26"/>
          <w:rtl/>
        </w:rPr>
        <w:t xml:space="preserve"> בד-בבד, העיקרון הנוהג בפסיקה קובע שהענישה היא אינדיבידואלית, הכול לפי נסיבות ביצוע העבירה ונסיבותיו של מבצע העבירה.</w:t>
      </w:r>
    </w:p>
    <w:p w14:paraId="7D9BE749" w14:textId="77777777" w:rsidR="002605EB" w:rsidRPr="002605EB" w:rsidRDefault="002605EB" w:rsidP="002605EB">
      <w:pPr>
        <w:pBdr>
          <w:top w:val="single" w:sz="4" w:space="1" w:color="auto"/>
          <w:bottom w:val="single" w:sz="4" w:space="1" w:color="auto"/>
        </w:pBdr>
        <w:spacing w:after="120" w:line="320" w:lineRule="exact"/>
        <w:jc w:val="both"/>
        <w:rPr>
          <w:rFonts w:cs="FrankRuehl"/>
          <w:szCs w:val="26"/>
          <w:rtl/>
        </w:rPr>
      </w:pPr>
      <w:r w:rsidRPr="002605EB">
        <w:rPr>
          <w:rFonts w:cs="FrankRuehl"/>
          <w:szCs w:val="26"/>
          <w:rtl/>
        </w:rPr>
        <w:t>בהתחשב במכלול הנסיבות הקשורות לביצוע העבירה, חומרת העבירה, והערכים החברתיים שנפגעו כתוצאה מביצועה ולאחר שעמדתי על מדיניות הענישה הנהוגה בנסיבות דומות</w:t>
      </w:r>
      <w:r w:rsidRPr="002605EB">
        <w:rPr>
          <w:rFonts w:cs="FrankRuehl" w:hint="cs"/>
          <w:szCs w:val="26"/>
          <w:rtl/>
        </w:rPr>
        <w:t>,</w:t>
      </w:r>
      <w:r w:rsidRPr="002605EB">
        <w:rPr>
          <w:rFonts w:cs="FrankRuehl"/>
          <w:szCs w:val="26"/>
          <w:rtl/>
        </w:rPr>
        <w:t xml:space="preserve"> מתחם הענישה הראוי, בנסיבות המקרה דנן, הוא מאסר בפועל לתקופה שנעה בין 14-36 חודשי מאסר בפועל, לצד עונשים </w:t>
      </w:r>
      <w:r w:rsidRPr="002605EB">
        <w:rPr>
          <w:rFonts w:cs="FrankRuehl"/>
          <w:szCs w:val="26"/>
          <w:rtl/>
        </w:rPr>
        <w:lastRenderedPageBreak/>
        <w:t>נלווים. בשקלול הנסיבות והנתונים השונים</w:t>
      </w:r>
      <w:r w:rsidRPr="002605EB">
        <w:rPr>
          <w:rFonts w:cs="FrankRuehl" w:hint="cs"/>
          <w:szCs w:val="26"/>
          <w:rtl/>
        </w:rPr>
        <w:t xml:space="preserve">, </w:t>
      </w:r>
      <w:r w:rsidRPr="002605EB">
        <w:rPr>
          <w:rFonts w:cs="FrankRuehl"/>
          <w:szCs w:val="26"/>
          <w:rtl/>
        </w:rPr>
        <w:t xml:space="preserve">העונש הראוי בנסיבות הוא עונש של 22 חודשי מאסר בפועל, בניכוי ימי המעצר </w:t>
      </w:r>
      <w:r w:rsidRPr="002605EB">
        <w:rPr>
          <w:rFonts w:cs="FrankRuehl" w:hint="cs"/>
          <w:szCs w:val="26"/>
          <w:rtl/>
        </w:rPr>
        <w:t>ו</w:t>
      </w:r>
      <w:r w:rsidRPr="002605EB">
        <w:rPr>
          <w:rFonts w:cs="FrankRuehl"/>
          <w:szCs w:val="26"/>
          <w:rtl/>
        </w:rPr>
        <w:t>מאסר על תנאי לתקופה של 10 חודשים</w:t>
      </w:r>
      <w:r w:rsidRPr="002605EB">
        <w:rPr>
          <w:rFonts w:cs="FrankRuehl" w:hint="cs"/>
          <w:szCs w:val="26"/>
          <w:rtl/>
        </w:rPr>
        <w:t>.</w:t>
      </w:r>
    </w:p>
    <w:p w14:paraId="6104C88A" w14:textId="77777777" w:rsidR="002605EB" w:rsidRPr="002605EB" w:rsidRDefault="002605EB" w:rsidP="002605EB">
      <w:pPr>
        <w:rPr>
          <w:rFonts w:ascii="Arial" w:hAnsi="Arial" w:hint="cs"/>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C0C2F" w14:paraId="5E7CA1FD" w14:textId="77777777" w:rsidTr="002A18B9">
        <w:trPr>
          <w:trHeight w:val="355"/>
          <w:jc w:val="center"/>
        </w:trPr>
        <w:tc>
          <w:tcPr>
            <w:tcW w:w="8820" w:type="dxa"/>
            <w:tcBorders>
              <w:top w:val="nil"/>
              <w:left w:val="nil"/>
              <w:bottom w:val="nil"/>
              <w:right w:val="nil"/>
            </w:tcBorders>
          </w:tcPr>
          <w:p w14:paraId="0F8E3B11" w14:textId="77777777" w:rsidR="00DC0C2F" w:rsidRPr="00DC0C2F" w:rsidRDefault="00DC0C2F" w:rsidP="00DC0C2F">
            <w:pPr>
              <w:jc w:val="center"/>
              <w:rPr>
                <w:rFonts w:ascii="David" w:hAnsi="David"/>
                <w:bCs/>
                <w:sz w:val="32"/>
                <w:szCs w:val="32"/>
                <w:u w:val="single"/>
                <w:rtl/>
              </w:rPr>
            </w:pPr>
            <w:bookmarkStart w:id="6" w:name="PsakDin" w:colFirst="0" w:colLast="0"/>
            <w:bookmarkEnd w:id="0"/>
            <w:r w:rsidRPr="00DC0C2F">
              <w:rPr>
                <w:rFonts w:ascii="David" w:hAnsi="David"/>
                <w:b/>
                <w:bCs/>
                <w:sz w:val="32"/>
                <w:szCs w:val="32"/>
                <w:u w:val="single"/>
                <w:rtl/>
              </w:rPr>
              <w:t>גזר דין</w:t>
            </w:r>
          </w:p>
        </w:tc>
      </w:tr>
      <w:bookmarkEnd w:id="6"/>
    </w:tbl>
    <w:p w14:paraId="6E5F4432" w14:textId="77777777" w:rsidR="00DC0C2F" w:rsidRPr="00B05847" w:rsidRDefault="00DC0C2F">
      <w:pPr>
        <w:rPr>
          <w:rFonts w:ascii="Arial" w:hAnsi="Arial"/>
          <w:rtl/>
        </w:rPr>
      </w:pPr>
    </w:p>
    <w:p w14:paraId="57C81179" w14:textId="77777777" w:rsidR="00091FA6" w:rsidRDefault="00091FA6" w:rsidP="00923E98">
      <w:pPr>
        <w:rPr>
          <w:rFonts w:ascii="David" w:hAnsi="David"/>
          <w:b/>
          <w:bCs/>
          <w:u w:val="single"/>
          <w:rtl/>
        </w:rPr>
      </w:pPr>
    </w:p>
    <w:p w14:paraId="31532A98" w14:textId="77777777" w:rsidR="00091FA6" w:rsidRDefault="00091FA6" w:rsidP="00923E98">
      <w:pPr>
        <w:spacing w:line="360" w:lineRule="auto"/>
        <w:ind w:firstLine="720"/>
        <w:jc w:val="both"/>
        <w:rPr>
          <w:rFonts w:ascii="David" w:hAnsi="David"/>
          <w:rtl/>
        </w:rPr>
      </w:pPr>
      <w:r>
        <w:rPr>
          <w:rFonts w:ascii="David" w:hAnsi="David"/>
          <w:rtl/>
        </w:rPr>
        <w:t>הנסיבות הצריכות לעניין הן בתמצית אלה</w:t>
      </w:r>
      <w:r>
        <w:rPr>
          <w:rFonts w:ascii="David" w:hAnsi="David"/>
        </w:rPr>
        <w:t>:</w:t>
      </w:r>
    </w:p>
    <w:p w14:paraId="5E95E8AD" w14:textId="77777777" w:rsidR="00091FA6" w:rsidRDefault="00091FA6" w:rsidP="00923E98">
      <w:pPr>
        <w:spacing w:line="360" w:lineRule="auto"/>
        <w:ind w:firstLine="720"/>
        <w:jc w:val="both"/>
        <w:rPr>
          <w:rFonts w:ascii="David" w:hAnsi="David"/>
          <w:rtl/>
        </w:rPr>
      </w:pPr>
    </w:p>
    <w:p w14:paraId="380C1E6C" w14:textId="77777777" w:rsidR="00091FA6" w:rsidRDefault="00091FA6" w:rsidP="00923E98">
      <w:pPr>
        <w:spacing w:line="360" w:lineRule="auto"/>
        <w:ind w:left="720" w:hanging="720"/>
        <w:jc w:val="both"/>
        <w:rPr>
          <w:rFonts w:ascii="David" w:hAnsi="David"/>
          <w:rtl/>
        </w:rPr>
      </w:pPr>
      <w:r>
        <w:rPr>
          <w:rFonts w:ascii="David" w:hAnsi="David"/>
          <w:rtl/>
        </w:rPr>
        <w:t xml:space="preserve">1.  </w:t>
      </w:r>
      <w:r>
        <w:rPr>
          <w:rFonts w:ascii="David" w:hAnsi="David"/>
          <w:rtl/>
        </w:rPr>
        <w:tab/>
        <w:t>הנאשם, יליד 01.03.2000, הורשע ביום 19.11.2020 על-סמך הודאתו בעובדות כתב-האישום המתוקן, במסגרת הסדר-טיעון אליו הגיעו הצדדים,</w:t>
      </w:r>
      <w:r>
        <w:rPr>
          <w:rFonts w:ascii="David" w:hAnsi="David"/>
        </w:rPr>
        <w:t xml:space="preserve"> </w:t>
      </w:r>
      <w:r>
        <w:rPr>
          <w:rFonts w:ascii="David" w:hAnsi="David"/>
          <w:rtl/>
        </w:rPr>
        <w:t xml:space="preserve">בעבירות בנשק (נשיאה והובלה), לפי </w:t>
      </w:r>
      <w:hyperlink r:id="rId13" w:history="1">
        <w:r w:rsidR="002535D5" w:rsidRPr="002535D5">
          <w:rPr>
            <w:rStyle w:val="Hyperlink"/>
            <w:rFonts w:ascii="David" w:hAnsi="David" w:cs="David"/>
            <w:rtl/>
          </w:rPr>
          <w:t>סעיף 144(ב)</w:t>
        </w:r>
      </w:hyperlink>
      <w:r>
        <w:rPr>
          <w:rFonts w:ascii="David" w:hAnsi="David"/>
          <w:rtl/>
        </w:rPr>
        <w:t xml:space="preserve"> רישא + סיפא ל</w:t>
      </w:r>
      <w:hyperlink r:id="rId14" w:history="1">
        <w:r w:rsidR="00DC0C2F" w:rsidRPr="00DC0C2F">
          <w:rPr>
            <w:rFonts w:ascii="David" w:hAnsi="David"/>
            <w:color w:val="0000FF"/>
            <w:u w:val="single"/>
            <w:rtl/>
          </w:rPr>
          <w:t>חוק העונשין</w:t>
        </w:r>
      </w:hyperlink>
      <w:r>
        <w:rPr>
          <w:rFonts w:ascii="David" w:hAnsi="David"/>
          <w:rtl/>
        </w:rPr>
        <w:t>, התשל"ז – 1977 (להלן: "</w:t>
      </w:r>
      <w:r>
        <w:rPr>
          <w:rFonts w:ascii="David" w:hAnsi="David"/>
          <w:b/>
          <w:bCs/>
          <w:rtl/>
        </w:rPr>
        <w:t>חוק העונשין</w:t>
      </w:r>
      <w:r>
        <w:rPr>
          <w:rFonts w:ascii="David" w:hAnsi="David"/>
          <w:rtl/>
        </w:rPr>
        <w:t xml:space="preserve">"), וכן בעבירה של הפרעה לשוטר במילוי תפקידו, לפי </w:t>
      </w:r>
      <w:hyperlink r:id="rId15" w:history="1">
        <w:r w:rsidR="002535D5" w:rsidRPr="002535D5">
          <w:rPr>
            <w:rStyle w:val="Hyperlink"/>
            <w:rFonts w:ascii="David" w:hAnsi="David" w:cs="David"/>
            <w:rtl/>
          </w:rPr>
          <w:t>סעיף 275</w:t>
        </w:r>
      </w:hyperlink>
      <w:r>
        <w:rPr>
          <w:rFonts w:ascii="David" w:hAnsi="David"/>
          <w:rtl/>
        </w:rPr>
        <w:t xml:space="preserve"> לחוק העונשין.</w:t>
      </w:r>
    </w:p>
    <w:p w14:paraId="43F7EC73" w14:textId="77777777" w:rsidR="00091FA6" w:rsidRDefault="00091FA6" w:rsidP="00923E98">
      <w:pPr>
        <w:spacing w:line="360" w:lineRule="auto"/>
        <w:ind w:left="720" w:hanging="720"/>
        <w:jc w:val="both"/>
        <w:rPr>
          <w:rFonts w:ascii="David" w:hAnsi="David"/>
          <w:rtl/>
        </w:rPr>
      </w:pPr>
    </w:p>
    <w:p w14:paraId="1936E21A" w14:textId="77777777" w:rsidR="00091FA6" w:rsidRDefault="00091FA6" w:rsidP="00923E98">
      <w:pPr>
        <w:spacing w:line="360" w:lineRule="auto"/>
        <w:ind w:left="720" w:hanging="720"/>
        <w:jc w:val="both"/>
        <w:rPr>
          <w:rFonts w:ascii="David" w:hAnsi="David"/>
          <w:rtl/>
        </w:rPr>
      </w:pPr>
      <w:r>
        <w:rPr>
          <w:rFonts w:ascii="David" w:hAnsi="David"/>
          <w:rtl/>
        </w:rPr>
        <w:t>2.</w:t>
      </w:r>
      <w:r>
        <w:rPr>
          <w:rFonts w:ascii="David" w:hAnsi="David"/>
          <w:rtl/>
        </w:rPr>
        <w:tab/>
        <w:t>על-פי עובדות כתב-האישום המתוקן, במועדים הרלוונטיים לכתב-האישום שרר סכסוך בין משפחת ארפאעיה, אליה משתייך הנאשם, לבין משפחת סביחאת מכפר סאלם, במסגרתו היו מספר אירועי אלימות וירי, בימים שקדמו למתואר בכתב-האישום.</w:t>
      </w:r>
    </w:p>
    <w:p w14:paraId="698CCF9E" w14:textId="77777777" w:rsidR="00091FA6" w:rsidRDefault="00091FA6" w:rsidP="00923E98">
      <w:pPr>
        <w:spacing w:line="360" w:lineRule="auto"/>
        <w:ind w:left="720" w:hanging="720"/>
        <w:jc w:val="both"/>
        <w:rPr>
          <w:rFonts w:ascii="David" w:hAnsi="David"/>
          <w:rtl/>
        </w:rPr>
      </w:pPr>
    </w:p>
    <w:p w14:paraId="5A05C7E0" w14:textId="77777777" w:rsidR="00091FA6" w:rsidRDefault="00091FA6" w:rsidP="00923E98">
      <w:pPr>
        <w:spacing w:line="360" w:lineRule="auto"/>
        <w:ind w:left="720" w:hanging="720"/>
        <w:jc w:val="both"/>
        <w:rPr>
          <w:rFonts w:ascii="David" w:hAnsi="David"/>
          <w:rtl/>
        </w:rPr>
      </w:pPr>
      <w:r>
        <w:rPr>
          <w:rFonts w:ascii="David" w:hAnsi="David"/>
          <w:rtl/>
        </w:rPr>
        <w:tab/>
        <w:t>בתאריך 05.04.2020, בסמוך לפני השעה 15:30, באזור מתחם בתים הסמוך לשטח מיוער שבין כפר סאלם לגדר המערכת (להלן: "</w:t>
      </w:r>
      <w:r>
        <w:rPr>
          <w:rFonts w:ascii="David" w:hAnsi="David"/>
          <w:b/>
          <w:bCs/>
          <w:rtl/>
        </w:rPr>
        <w:t>המתחם</w:t>
      </w:r>
      <w:r>
        <w:rPr>
          <w:rFonts w:ascii="David" w:hAnsi="David"/>
          <w:rtl/>
        </w:rPr>
        <w:t xml:space="preserve">"), נשא הנאשם והוביל אקדח חצי-אוטומטי מסוג </w:t>
      </w:r>
      <w:r>
        <w:rPr>
          <w:rFonts w:ascii="David" w:hAnsi="David"/>
        </w:rPr>
        <w:t>FN</w:t>
      </w:r>
      <w:r>
        <w:rPr>
          <w:rFonts w:ascii="David" w:hAnsi="David"/>
          <w:rtl/>
        </w:rPr>
        <w:t>, מספר סידורי 35253</w:t>
      </w:r>
      <w:r>
        <w:rPr>
          <w:rFonts w:ascii="David" w:hAnsi="David"/>
        </w:rPr>
        <w:t>L</w:t>
      </w:r>
      <w:r>
        <w:rPr>
          <w:rFonts w:ascii="David" w:hAnsi="David"/>
          <w:rtl/>
        </w:rPr>
        <w:t xml:space="preserve"> בקוטר 9 מ"מ (להלן: "האקדח"), עת הוא טעון במחסנית מתאימה ובתוכה אחד עשר כדורים בקוטר 9 מ"מ (להלן: "</w:t>
      </w:r>
      <w:r>
        <w:rPr>
          <w:rFonts w:ascii="David" w:hAnsi="David"/>
          <w:b/>
          <w:bCs/>
          <w:rtl/>
        </w:rPr>
        <w:t>המחסנית</w:t>
      </w:r>
      <w:r>
        <w:rPr>
          <w:rFonts w:ascii="David" w:hAnsi="David"/>
          <w:rtl/>
        </w:rPr>
        <w:t>" ו"</w:t>
      </w:r>
      <w:r>
        <w:rPr>
          <w:rFonts w:ascii="David" w:hAnsi="David"/>
          <w:b/>
          <w:bCs/>
          <w:rtl/>
        </w:rPr>
        <w:t>הכדורים</w:t>
      </w:r>
      <w:r>
        <w:rPr>
          <w:rFonts w:ascii="David" w:hAnsi="David"/>
          <w:rtl/>
        </w:rPr>
        <w:t>" בהתאמה), זאת כשהוא אוחז באקדח בידן, בלא רשות על-פי דין.</w:t>
      </w:r>
    </w:p>
    <w:p w14:paraId="2AD1B04C" w14:textId="77777777" w:rsidR="00091FA6" w:rsidRDefault="00091FA6" w:rsidP="00923E98">
      <w:pPr>
        <w:spacing w:line="360" w:lineRule="auto"/>
        <w:ind w:left="720" w:hanging="720"/>
        <w:jc w:val="both"/>
        <w:rPr>
          <w:rFonts w:ascii="David" w:hAnsi="David"/>
          <w:rtl/>
        </w:rPr>
      </w:pPr>
    </w:p>
    <w:p w14:paraId="496517DE" w14:textId="77777777" w:rsidR="00091FA6" w:rsidRDefault="00091FA6" w:rsidP="00923E98">
      <w:pPr>
        <w:spacing w:line="360" w:lineRule="auto"/>
        <w:ind w:left="720" w:hanging="720"/>
        <w:jc w:val="both"/>
        <w:rPr>
          <w:rFonts w:ascii="David" w:hAnsi="David"/>
          <w:rtl/>
        </w:rPr>
      </w:pPr>
      <w:r>
        <w:rPr>
          <w:rFonts w:ascii="David" w:hAnsi="David"/>
          <w:rtl/>
        </w:rPr>
        <w:tab/>
        <w:t>האקדח הוא כלי שסוגל לירות כדור, אשר בכוחו להמית אדם, ולפיכך מהווה נשק כהגדרתו בחוק. המחסנית והכדורים מהווים אביזר ותחמושת לנשק כאמור.</w:t>
      </w:r>
    </w:p>
    <w:p w14:paraId="46518BB2" w14:textId="77777777" w:rsidR="00091FA6" w:rsidRDefault="00091FA6" w:rsidP="00923E98">
      <w:pPr>
        <w:spacing w:line="360" w:lineRule="auto"/>
        <w:ind w:left="720" w:hanging="720"/>
        <w:jc w:val="both"/>
        <w:rPr>
          <w:rFonts w:ascii="David" w:hAnsi="David"/>
          <w:rtl/>
        </w:rPr>
      </w:pPr>
    </w:p>
    <w:p w14:paraId="416902A8" w14:textId="77777777" w:rsidR="00091FA6" w:rsidRDefault="00091FA6" w:rsidP="00923E98">
      <w:pPr>
        <w:spacing w:line="360" w:lineRule="auto"/>
        <w:ind w:left="720" w:hanging="720"/>
        <w:jc w:val="both"/>
        <w:rPr>
          <w:rFonts w:ascii="David" w:hAnsi="David"/>
          <w:rtl/>
        </w:rPr>
      </w:pPr>
      <w:r>
        <w:rPr>
          <w:rFonts w:ascii="David" w:hAnsi="David"/>
          <w:rtl/>
        </w:rPr>
        <w:tab/>
        <w:t>בהמשך לאמור לעיל, הגיעו השוטרים אלעד בניאס ומוהתדי חואלד (להלן: "</w:t>
      </w:r>
      <w:r>
        <w:rPr>
          <w:rFonts w:ascii="David" w:hAnsi="David"/>
          <w:b/>
          <w:bCs/>
          <w:rtl/>
        </w:rPr>
        <w:t>השוטרים</w:t>
      </w:r>
      <w:r>
        <w:rPr>
          <w:rFonts w:ascii="David" w:hAnsi="David"/>
          <w:rtl/>
        </w:rPr>
        <w:t>") לאזור המתחם, והבחינו בנאשם, עת הוא רץ עם האקדח בידו לכיוון שטח מיוער הנמצא בסמוך למקום (להלן: "</w:t>
      </w:r>
      <w:r>
        <w:rPr>
          <w:rFonts w:ascii="David" w:hAnsi="David"/>
          <w:b/>
          <w:bCs/>
          <w:rtl/>
        </w:rPr>
        <w:t>השטח המיוער</w:t>
      </w:r>
      <w:r>
        <w:rPr>
          <w:rFonts w:ascii="David" w:hAnsi="David"/>
          <w:rtl/>
        </w:rPr>
        <w:t>").</w:t>
      </w:r>
    </w:p>
    <w:p w14:paraId="7497BC72" w14:textId="77777777" w:rsidR="00091FA6" w:rsidRDefault="00091FA6" w:rsidP="00923E98">
      <w:pPr>
        <w:spacing w:line="360" w:lineRule="auto"/>
        <w:ind w:left="720" w:hanging="720"/>
        <w:jc w:val="both"/>
        <w:rPr>
          <w:rFonts w:ascii="David" w:hAnsi="David"/>
          <w:rtl/>
        </w:rPr>
      </w:pPr>
      <w:r>
        <w:rPr>
          <w:rFonts w:ascii="David" w:hAnsi="David"/>
          <w:rtl/>
        </w:rPr>
        <w:tab/>
        <w:t>הנאשם, אשר הבחין בשוטרים, המשיך בריצה לכיוון השטח המיוער במטרה לברוח מן השוטרים, זאת כאשר הוא נושא ומוביל את האקדח הטעון, אותו אחז בידו. הנאשם המשיך בריצה, גם לאחר שהשוטרים צעקו לעברו מספר פעמים "עצור משטרה", וגם לאחר שביצעו ירי באוויר על-מנת לגרום לו לעצור.</w:t>
      </w:r>
    </w:p>
    <w:p w14:paraId="7C25644F" w14:textId="77777777" w:rsidR="00091FA6" w:rsidRDefault="00091FA6" w:rsidP="00923E98">
      <w:pPr>
        <w:spacing w:line="360" w:lineRule="auto"/>
        <w:ind w:left="720" w:hanging="720"/>
        <w:jc w:val="both"/>
        <w:rPr>
          <w:rFonts w:ascii="David" w:hAnsi="David"/>
          <w:rtl/>
        </w:rPr>
      </w:pPr>
    </w:p>
    <w:p w14:paraId="4186377D" w14:textId="77777777" w:rsidR="00091FA6" w:rsidRDefault="00091FA6" w:rsidP="00923E98">
      <w:pPr>
        <w:spacing w:line="360" w:lineRule="auto"/>
        <w:ind w:left="720" w:hanging="720"/>
        <w:jc w:val="both"/>
        <w:rPr>
          <w:rFonts w:ascii="David" w:hAnsi="David"/>
          <w:rtl/>
        </w:rPr>
      </w:pPr>
      <w:r>
        <w:rPr>
          <w:rFonts w:ascii="David" w:hAnsi="David"/>
          <w:rtl/>
        </w:rPr>
        <w:tab/>
        <w:t xml:space="preserve">במהלך בריחתו, בשטח המיוער, השליך הנאשם את האקדח והמחסנית, והמשיך בבריחה, עד אשר נלכד על-ידי שוטרים נוספים, לאחר מרדף של כ-350 מטרים. </w:t>
      </w:r>
    </w:p>
    <w:p w14:paraId="550B9BF0" w14:textId="77777777" w:rsidR="00091FA6" w:rsidRDefault="00091FA6" w:rsidP="00923E98">
      <w:pPr>
        <w:spacing w:line="360" w:lineRule="auto"/>
        <w:ind w:left="720" w:hanging="720"/>
        <w:jc w:val="both"/>
        <w:rPr>
          <w:rFonts w:ascii="David" w:hAnsi="David"/>
          <w:rtl/>
        </w:rPr>
      </w:pPr>
    </w:p>
    <w:p w14:paraId="396A24BF" w14:textId="77777777" w:rsidR="00091FA6" w:rsidRDefault="00091FA6" w:rsidP="00923E98">
      <w:pPr>
        <w:spacing w:line="360" w:lineRule="auto"/>
        <w:ind w:left="720" w:hanging="720"/>
        <w:jc w:val="both"/>
        <w:rPr>
          <w:rFonts w:ascii="David" w:hAnsi="David"/>
          <w:rtl/>
        </w:rPr>
      </w:pPr>
      <w:r>
        <w:rPr>
          <w:rFonts w:ascii="David" w:hAnsi="David"/>
          <w:rtl/>
        </w:rPr>
        <w:tab/>
        <w:t>בהמשך לכך, נתפסו האקדח עם המחסנית והכדורים. כל זאת עשה הנאשם בכוונה להפריע לשוטרים, כשהם ממלאים תפקידם כחוק או להכשילם בכך.</w:t>
      </w:r>
    </w:p>
    <w:p w14:paraId="38109611" w14:textId="77777777" w:rsidR="00091FA6" w:rsidRDefault="00091FA6" w:rsidP="00923E98">
      <w:pPr>
        <w:spacing w:line="360" w:lineRule="auto"/>
        <w:ind w:left="720" w:hanging="720"/>
        <w:jc w:val="both"/>
        <w:rPr>
          <w:rFonts w:ascii="David" w:hAnsi="David"/>
          <w:rtl/>
        </w:rPr>
      </w:pPr>
    </w:p>
    <w:p w14:paraId="6F59EC7B" w14:textId="77777777" w:rsidR="00091FA6" w:rsidRDefault="00091FA6" w:rsidP="00923E98">
      <w:pPr>
        <w:spacing w:line="360" w:lineRule="auto"/>
        <w:ind w:left="720" w:hanging="720"/>
        <w:jc w:val="both"/>
        <w:rPr>
          <w:rFonts w:ascii="David" w:hAnsi="David"/>
          <w:rtl/>
        </w:rPr>
      </w:pPr>
      <w:r>
        <w:rPr>
          <w:rFonts w:ascii="David" w:hAnsi="David"/>
          <w:rtl/>
        </w:rPr>
        <w:t>3.</w:t>
      </w:r>
      <w:r>
        <w:rPr>
          <w:rFonts w:ascii="David" w:hAnsi="David"/>
          <w:rtl/>
        </w:rPr>
        <w:tab/>
        <w:t xml:space="preserve">כאמור כבר לעיל, הגיעו הצדדים להסדר-טיעון, ולפיו הנאשם חזר בו מכפירתו, הודה בעובדות כתב-האישום המתוקן, ולא נקבע כל הסדר לעניין העונש. </w:t>
      </w:r>
    </w:p>
    <w:p w14:paraId="67D21082" w14:textId="77777777" w:rsidR="00091FA6" w:rsidRDefault="00091FA6" w:rsidP="00923E98">
      <w:pPr>
        <w:spacing w:line="360" w:lineRule="auto"/>
        <w:ind w:left="720" w:hanging="720"/>
        <w:jc w:val="both"/>
        <w:rPr>
          <w:rFonts w:ascii="David" w:hAnsi="David"/>
          <w:rtl/>
        </w:rPr>
      </w:pPr>
    </w:p>
    <w:p w14:paraId="00D045BD" w14:textId="77777777" w:rsidR="00091FA6" w:rsidRDefault="00091FA6" w:rsidP="00923E98">
      <w:pPr>
        <w:spacing w:line="360" w:lineRule="auto"/>
        <w:ind w:left="720" w:hanging="720"/>
        <w:jc w:val="both"/>
        <w:rPr>
          <w:rFonts w:ascii="David" w:hAnsi="David"/>
          <w:rtl/>
        </w:rPr>
      </w:pPr>
      <w:r>
        <w:rPr>
          <w:rFonts w:ascii="David" w:hAnsi="David"/>
          <w:rtl/>
        </w:rPr>
        <w:tab/>
        <w:t>במועד ההרשעה הוריתי על קבלת תסקיר משירות המבחן בנוגע לנאשם, וביום 24.01.2021 התקבל התסקיר האמור.</w:t>
      </w:r>
    </w:p>
    <w:p w14:paraId="51101676" w14:textId="77777777" w:rsidR="00091FA6" w:rsidRDefault="00091FA6" w:rsidP="00923E98">
      <w:pPr>
        <w:spacing w:line="360" w:lineRule="auto"/>
        <w:ind w:left="720" w:hanging="720"/>
        <w:jc w:val="both"/>
        <w:rPr>
          <w:rFonts w:ascii="David" w:hAnsi="David"/>
          <w:rtl/>
        </w:rPr>
      </w:pPr>
    </w:p>
    <w:p w14:paraId="713A8C8D" w14:textId="77777777" w:rsidR="00091FA6" w:rsidRDefault="00091FA6" w:rsidP="00923E98">
      <w:pPr>
        <w:spacing w:line="360" w:lineRule="auto"/>
        <w:ind w:left="720" w:hanging="720"/>
        <w:jc w:val="both"/>
        <w:rPr>
          <w:rFonts w:ascii="David" w:hAnsi="David"/>
          <w:rtl/>
        </w:rPr>
      </w:pPr>
      <w:r>
        <w:rPr>
          <w:rFonts w:ascii="David" w:hAnsi="David"/>
          <w:rtl/>
        </w:rPr>
        <w:t>4.</w:t>
      </w:r>
      <w:r>
        <w:rPr>
          <w:rFonts w:ascii="David" w:hAnsi="David"/>
          <w:rtl/>
        </w:rPr>
        <w:tab/>
        <w:t xml:space="preserve">מן התסקיר עולה, כי הנאשם, כבן 20, מאורס ומתגורר בבית הוריו בכפר סאלם, במעלה עירון. טרם מעצרו עבד הנאשם במשך כשנתיים בתחום סלילת כבישים, ועולה מן התסקיר, כי הנאשם החל לעבוד בגיל 13, על-מנת לסייע בפרנסת משפחתו, לצד לימודים במסגרות חינוכיות. הנאשם, כך נכתב, בעל תעודת 12 שנות לימוד, אולם הוא לא נבחן בבחינות בגרות. </w:t>
      </w:r>
    </w:p>
    <w:p w14:paraId="6E2EE0CD" w14:textId="77777777" w:rsidR="00091FA6" w:rsidRDefault="00091FA6" w:rsidP="00923E98">
      <w:pPr>
        <w:spacing w:line="360" w:lineRule="auto"/>
        <w:ind w:left="720" w:hanging="720"/>
        <w:jc w:val="both"/>
        <w:rPr>
          <w:rFonts w:ascii="David" w:hAnsi="David"/>
          <w:rtl/>
        </w:rPr>
      </w:pPr>
    </w:p>
    <w:p w14:paraId="177301C0" w14:textId="77777777" w:rsidR="00091FA6" w:rsidRDefault="00091FA6" w:rsidP="00923E98">
      <w:pPr>
        <w:spacing w:line="360" w:lineRule="auto"/>
        <w:ind w:left="720" w:hanging="720"/>
        <w:jc w:val="both"/>
        <w:rPr>
          <w:rFonts w:ascii="David" w:hAnsi="David"/>
          <w:rtl/>
        </w:rPr>
      </w:pPr>
      <w:r>
        <w:rPr>
          <w:rFonts w:ascii="David" w:hAnsi="David"/>
          <w:rtl/>
        </w:rPr>
        <w:tab/>
        <w:t>עוד עולה מן התסקיר, כי משפחת מוצאו של הנאשם, אשר לדבריו מיטיבה ומלוכדת, מונה הורים וכן חמישה אחים ואחיות, אשר מנהלים אורח חיים נורמטיבי, ללא כל מעורבות בפלילים, וכי משפחתו של הנאשם מתקשה לקבל את מעורבותו של הנאשם בפלילים.</w:t>
      </w:r>
    </w:p>
    <w:p w14:paraId="3216DE2B" w14:textId="77777777" w:rsidR="00091FA6" w:rsidRDefault="00091FA6" w:rsidP="00923E98">
      <w:pPr>
        <w:spacing w:line="360" w:lineRule="auto"/>
        <w:ind w:left="720" w:hanging="720"/>
        <w:jc w:val="both"/>
        <w:rPr>
          <w:rFonts w:ascii="David" w:hAnsi="David"/>
          <w:rtl/>
        </w:rPr>
      </w:pPr>
    </w:p>
    <w:p w14:paraId="3255F309" w14:textId="77777777" w:rsidR="00091FA6" w:rsidRDefault="00091FA6" w:rsidP="00923E98">
      <w:pPr>
        <w:spacing w:line="360" w:lineRule="auto"/>
        <w:ind w:left="720" w:hanging="720"/>
        <w:jc w:val="both"/>
        <w:rPr>
          <w:rFonts w:ascii="David" w:hAnsi="David"/>
          <w:rtl/>
        </w:rPr>
      </w:pPr>
      <w:r>
        <w:rPr>
          <w:rFonts w:ascii="David" w:hAnsi="David"/>
          <w:rtl/>
        </w:rPr>
        <w:tab/>
        <w:t>באשר לעבר העברייני של הנאשם, נכתב בתסקיר, כי זוהי מעורבותו הראשונה של הנאשם בפלילים. לצד זאת מדגישה כותבת התסקיר, כי הגם שהנאשם לוקח אחריות מילולית על מעשיו, ניכר, כי הוא התקשה לבצע התבוננות פנימית במניעיו, ודומה, כי רב הנסתר על הנגלה.</w:t>
      </w:r>
    </w:p>
    <w:p w14:paraId="26596AD3" w14:textId="77777777" w:rsidR="00091FA6" w:rsidRDefault="00091FA6" w:rsidP="00923E98">
      <w:pPr>
        <w:spacing w:line="360" w:lineRule="auto"/>
        <w:ind w:left="720" w:hanging="720"/>
        <w:jc w:val="both"/>
        <w:rPr>
          <w:rFonts w:ascii="David" w:hAnsi="David"/>
          <w:rtl/>
        </w:rPr>
      </w:pPr>
    </w:p>
    <w:p w14:paraId="4F63F03A" w14:textId="77777777" w:rsidR="00091FA6" w:rsidRDefault="00091FA6" w:rsidP="00923E98">
      <w:pPr>
        <w:spacing w:line="360" w:lineRule="auto"/>
        <w:ind w:left="720" w:hanging="720"/>
        <w:jc w:val="both"/>
        <w:rPr>
          <w:rFonts w:ascii="David" w:hAnsi="David"/>
          <w:rtl/>
        </w:rPr>
      </w:pPr>
      <w:r>
        <w:rPr>
          <w:rFonts w:ascii="David" w:hAnsi="David"/>
          <w:rtl/>
        </w:rPr>
        <w:tab/>
        <w:t>מדיווח, שקיבל שירות המבחן מגורמי הטיפול בבית-המעצר "גלבוע", שם עצור הנאשם מיום 20.05.2020, עולה, כי לחובת הנאשם עבירת משמעת אחת, בגין היותו מעורב בקטטה בתאו, כי בדיקות השתן שלו נקיות, וכי הוא נמצא בקשר רציף עם גורמי הטיפול, ומגיע לקבוצות אגפיות, ולשיחות מעקב עם העובדת-הסוציאלית.</w:t>
      </w:r>
    </w:p>
    <w:p w14:paraId="4803B72A" w14:textId="77777777" w:rsidR="00091FA6" w:rsidRDefault="00091FA6" w:rsidP="00923E98">
      <w:pPr>
        <w:spacing w:line="360" w:lineRule="auto"/>
        <w:ind w:left="720" w:hanging="720"/>
        <w:jc w:val="both"/>
        <w:rPr>
          <w:rFonts w:ascii="David" w:hAnsi="David"/>
          <w:rtl/>
        </w:rPr>
      </w:pPr>
      <w:r>
        <w:rPr>
          <w:rFonts w:ascii="David" w:hAnsi="David"/>
          <w:rtl/>
        </w:rPr>
        <w:tab/>
        <w:t>בנוגע להערכת הסיכון לעבריינות והסיכוי לשיקום, נכתב, כי נוכח חומרת העבירות המיוחסות לנאשם ואופיין, לצד חוסר הבהירות לגבי מניעיו לביצוע העבירות האמורות, ובהיעדר ביטויי מצוקה רגשית חריגה או נזקקות להתערבות טיפולית, אין באפשרות שירות המבחן להמליץ על חלופות ענישה או שיקום במסגרת הקהילה, העשויות להפחית סיכון להישנות עבירות דומות.</w:t>
      </w:r>
    </w:p>
    <w:p w14:paraId="519694C8" w14:textId="77777777" w:rsidR="00091FA6" w:rsidRDefault="00091FA6" w:rsidP="00923E98">
      <w:pPr>
        <w:spacing w:line="360" w:lineRule="auto"/>
        <w:ind w:left="720" w:hanging="720"/>
        <w:jc w:val="both"/>
        <w:rPr>
          <w:rFonts w:ascii="David" w:hAnsi="David"/>
          <w:rtl/>
        </w:rPr>
      </w:pPr>
    </w:p>
    <w:p w14:paraId="18D6A449" w14:textId="77777777" w:rsidR="00091FA6" w:rsidRDefault="00091FA6" w:rsidP="00923E98">
      <w:pPr>
        <w:spacing w:line="360" w:lineRule="auto"/>
        <w:jc w:val="both"/>
        <w:rPr>
          <w:rFonts w:ascii="David" w:hAnsi="David"/>
          <w:rtl/>
        </w:rPr>
      </w:pPr>
      <w:r>
        <w:rPr>
          <w:rFonts w:ascii="David" w:hAnsi="David"/>
          <w:rtl/>
        </w:rPr>
        <w:t>5.</w:t>
      </w:r>
      <w:r>
        <w:rPr>
          <w:rFonts w:ascii="David" w:hAnsi="David"/>
          <w:rtl/>
        </w:rPr>
        <w:tab/>
        <w:t>ביום 28.01.2021 נשמעו טיעוני הצדדים לעונש.</w:t>
      </w:r>
    </w:p>
    <w:p w14:paraId="7D694002" w14:textId="77777777" w:rsidR="00091FA6" w:rsidRDefault="00091FA6" w:rsidP="00923E98">
      <w:pPr>
        <w:spacing w:line="360" w:lineRule="auto"/>
        <w:jc w:val="both"/>
        <w:rPr>
          <w:rFonts w:ascii="David" w:hAnsi="David"/>
          <w:rtl/>
        </w:rPr>
      </w:pPr>
    </w:p>
    <w:p w14:paraId="49C99578" w14:textId="77777777" w:rsidR="00091FA6" w:rsidRDefault="00091FA6" w:rsidP="00923E98">
      <w:pPr>
        <w:spacing w:line="360" w:lineRule="auto"/>
        <w:ind w:left="720"/>
        <w:jc w:val="both"/>
        <w:rPr>
          <w:rFonts w:ascii="David" w:hAnsi="David"/>
          <w:rtl/>
        </w:rPr>
      </w:pPr>
      <w:r>
        <w:rPr>
          <w:rFonts w:ascii="David" w:hAnsi="David"/>
          <w:rtl/>
        </w:rPr>
        <w:t>ב"כ המאשימה הגיש טיעונים לעונש בכתב, אסופת פסקי-דין, בהם מתוארים, לטענתו, מקרים דומים, וכן דו"ח ביקורת מיוחד של מבקר-המדינה בעניין "</w:t>
      </w:r>
      <w:r>
        <w:rPr>
          <w:rFonts w:ascii="David" w:hAnsi="David"/>
          <w:b/>
          <w:bCs/>
          <w:rtl/>
        </w:rPr>
        <w:t>התמודדות משטרת ישראל עם החזקת אמצעי לחימה לא חוקיים ואירועי ירי ביישובי החברה הערבית וביישובים מעורבים</w:t>
      </w:r>
      <w:r>
        <w:rPr>
          <w:rFonts w:ascii="David" w:hAnsi="David"/>
          <w:rtl/>
        </w:rPr>
        <w:t>".</w:t>
      </w:r>
    </w:p>
    <w:p w14:paraId="55780977" w14:textId="77777777" w:rsidR="00091FA6" w:rsidRDefault="00091FA6" w:rsidP="00923E98">
      <w:pPr>
        <w:spacing w:line="360" w:lineRule="auto"/>
        <w:ind w:left="720"/>
        <w:jc w:val="both"/>
        <w:rPr>
          <w:rFonts w:ascii="David" w:hAnsi="David"/>
          <w:rtl/>
        </w:rPr>
      </w:pPr>
    </w:p>
    <w:p w14:paraId="790FF125" w14:textId="77777777" w:rsidR="00091FA6" w:rsidRDefault="00091FA6" w:rsidP="00923E98">
      <w:pPr>
        <w:spacing w:line="360" w:lineRule="auto"/>
        <w:ind w:left="720"/>
        <w:jc w:val="both"/>
        <w:rPr>
          <w:rFonts w:ascii="David" w:hAnsi="David"/>
          <w:rtl/>
        </w:rPr>
      </w:pPr>
      <w:r>
        <w:rPr>
          <w:rFonts w:ascii="David" w:hAnsi="David"/>
          <w:rtl/>
        </w:rPr>
        <w:t xml:space="preserve">בנוסף ביקש ב"כ המאשימה להדגיש כמה מן הטיעונים לעונש בעל-פה, וטען, כי השיקול המרכזי שיש ליתן עליו את הדעת הוא סכנת הנפשות הכרוכה בנשיאת הנזק, הואיל והשאלה האם העבירה מסתיימת בפגיעה בחיי-אדם קשורה למזל בלבד. </w:t>
      </w:r>
    </w:p>
    <w:p w14:paraId="73A30D40" w14:textId="77777777" w:rsidR="00091FA6" w:rsidRDefault="00091FA6" w:rsidP="00923E98">
      <w:pPr>
        <w:spacing w:line="360" w:lineRule="auto"/>
        <w:ind w:left="720"/>
        <w:jc w:val="both"/>
        <w:rPr>
          <w:rFonts w:ascii="David" w:hAnsi="David"/>
          <w:rtl/>
        </w:rPr>
      </w:pPr>
    </w:p>
    <w:p w14:paraId="51405758" w14:textId="77777777" w:rsidR="00091FA6" w:rsidRDefault="00091FA6" w:rsidP="00923E98">
      <w:pPr>
        <w:spacing w:line="360" w:lineRule="auto"/>
        <w:ind w:left="720"/>
        <w:jc w:val="both"/>
        <w:rPr>
          <w:rFonts w:ascii="David" w:hAnsi="David"/>
          <w:rtl/>
        </w:rPr>
      </w:pPr>
      <w:r>
        <w:rPr>
          <w:rFonts w:ascii="David" w:hAnsi="David"/>
          <w:rtl/>
        </w:rPr>
        <w:t xml:space="preserve">בענייננו, כך נטען, הנשיאה הייתה ברף גבוה הואיל והנשק היה טעון בידו של הנאשם, וזאת בניגוד למצבים בהם מדובר בנשיאת נשק, אשר מצוי בתא-מטען, בתיק, או שאין בו תחמושת. אך כפסע היה בענייננו, כך נטען, בין נשיאת הנשק לבין ירי, וכי אין לדעת כיצד היה מסתיים האירוע אלמלא הספיקו השוטרים לעצור את הנאשם. </w:t>
      </w:r>
    </w:p>
    <w:p w14:paraId="2C63B7FE" w14:textId="77777777" w:rsidR="00091FA6" w:rsidRDefault="00091FA6" w:rsidP="00923E98">
      <w:pPr>
        <w:spacing w:line="360" w:lineRule="auto"/>
        <w:ind w:left="720"/>
        <w:jc w:val="both"/>
        <w:rPr>
          <w:rFonts w:ascii="David" w:hAnsi="David"/>
        </w:rPr>
      </w:pPr>
    </w:p>
    <w:p w14:paraId="089649C4" w14:textId="77777777" w:rsidR="00091FA6" w:rsidRDefault="00091FA6" w:rsidP="00923E98">
      <w:pPr>
        <w:spacing w:line="360" w:lineRule="auto"/>
        <w:ind w:left="720"/>
        <w:jc w:val="both"/>
        <w:rPr>
          <w:rFonts w:ascii="David" w:hAnsi="David"/>
          <w:rtl/>
        </w:rPr>
      </w:pPr>
      <w:r>
        <w:rPr>
          <w:rFonts w:ascii="David" w:hAnsi="David"/>
          <w:rtl/>
        </w:rPr>
        <w:t xml:space="preserve">עוד נטען, כי האירוע מושא כתב-האישום בוצע על רקע סכסוך, וכעולה מכתב-האישום המתוקן, בוצעו במסגרת הסכסוך האמור, מעשי אלימות. </w:t>
      </w:r>
    </w:p>
    <w:p w14:paraId="0898AA6A" w14:textId="77777777" w:rsidR="00091FA6" w:rsidRDefault="00091FA6" w:rsidP="00923E98">
      <w:pPr>
        <w:spacing w:line="360" w:lineRule="auto"/>
        <w:ind w:left="720"/>
        <w:jc w:val="both"/>
        <w:rPr>
          <w:rFonts w:ascii="David" w:hAnsi="David"/>
          <w:rtl/>
        </w:rPr>
      </w:pPr>
    </w:p>
    <w:p w14:paraId="63CE5F8D" w14:textId="77777777" w:rsidR="00091FA6" w:rsidRDefault="00091FA6" w:rsidP="00923E98">
      <w:pPr>
        <w:spacing w:line="360" w:lineRule="auto"/>
        <w:ind w:left="720"/>
        <w:jc w:val="both"/>
        <w:rPr>
          <w:rFonts w:ascii="David" w:hAnsi="David"/>
          <w:rtl/>
        </w:rPr>
      </w:pPr>
      <w:r>
        <w:rPr>
          <w:rFonts w:ascii="David" w:hAnsi="David"/>
          <w:rtl/>
        </w:rPr>
        <w:t xml:space="preserve">עוד ובנוסף נטען, כי על בית משפט ליתן את דעתו לנתונים אלו על-ידי קביעת מתחם ענישה שהולם את חומרת המעשים. על נתחם הענישה בענייננו, כך אליבא דב"כ הנאשם, לנוע בין שנתיים לארבע שנות מאסר בפועל. </w:t>
      </w:r>
    </w:p>
    <w:p w14:paraId="7F348327" w14:textId="77777777" w:rsidR="00091FA6" w:rsidRDefault="00091FA6" w:rsidP="00923E98">
      <w:pPr>
        <w:spacing w:line="360" w:lineRule="auto"/>
        <w:ind w:left="720"/>
        <w:jc w:val="both"/>
        <w:rPr>
          <w:rFonts w:ascii="David" w:hAnsi="David"/>
          <w:rtl/>
        </w:rPr>
      </w:pPr>
    </w:p>
    <w:p w14:paraId="1C9874B1" w14:textId="77777777" w:rsidR="00091FA6" w:rsidRDefault="00091FA6" w:rsidP="00923E98">
      <w:pPr>
        <w:spacing w:line="360" w:lineRule="auto"/>
        <w:ind w:left="720"/>
        <w:jc w:val="both"/>
        <w:rPr>
          <w:rFonts w:ascii="David" w:hAnsi="David"/>
          <w:rtl/>
        </w:rPr>
      </w:pPr>
      <w:r>
        <w:rPr>
          <w:rFonts w:ascii="David" w:hAnsi="David"/>
          <w:rtl/>
        </w:rPr>
        <w:t>באשר לקביעת העונש בתוך המתחם, עתרה המאשימה, לענישה ברף בינוני, עת נטען, כי מן הצד האחד אין לנאשם עבר נקי והוא נטל אחריות, אולם מן הצד השני, תסקיר שירות המבחן מטריד. נטילת האחריות, כך לטענת ב"כ המאשימה, איננה מלאה, ודומה שהנאשם איננו מוסר מידע מלא אודות האופן בו השיג את הנשק ומעורבותו באירוע מושא כתב-האישום המתוקן. בנוסף נטען, כי אין כל וודאות שהנאשם יפיק לקחים מן המקרה, וכי יש לקחת בחשבון בעניינו של הנאשם, גם שיקולי הרתעה. הודגש, כי הודאתו של הנאשם לא ניתנה בהזדמנות הראשונה, אלא רק לאחר שמיעת חלק מעדי התביעה.</w:t>
      </w:r>
    </w:p>
    <w:p w14:paraId="1FC17827" w14:textId="77777777" w:rsidR="00091FA6" w:rsidRDefault="00091FA6" w:rsidP="00923E98">
      <w:pPr>
        <w:spacing w:line="360" w:lineRule="auto"/>
        <w:ind w:left="720"/>
        <w:jc w:val="both"/>
        <w:rPr>
          <w:rFonts w:ascii="David" w:hAnsi="David"/>
          <w:rtl/>
        </w:rPr>
      </w:pPr>
    </w:p>
    <w:p w14:paraId="5C2B3F71" w14:textId="77777777" w:rsidR="00091FA6" w:rsidRDefault="00091FA6" w:rsidP="00923E98">
      <w:pPr>
        <w:spacing w:line="360" w:lineRule="auto"/>
        <w:ind w:left="720"/>
        <w:jc w:val="both"/>
        <w:rPr>
          <w:rFonts w:ascii="David" w:hAnsi="David"/>
          <w:rtl/>
        </w:rPr>
      </w:pPr>
      <w:r>
        <w:rPr>
          <w:rFonts w:ascii="David" w:hAnsi="David"/>
          <w:rtl/>
        </w:rPr>
        <w:t>ב"כ המאשימה הגיש, כאמור כבר לעיל, דו"ח של מבקר המדינה, לפיו אחד מן הקשיים במיגור עבירות אלימות וירי בחברה הערבית, נעוץ בקושי באכיפה. אחת מן ההמלצות בדו"ח האמור, כך נטען, הייתה להגביר את האכיפה.</w:t>
      </w:r>
    </w:p>
    <w:p w14:paraId="022DB2A3" w14:textId="77777777" w:rsidR="00091FA6" w:rsidRDefault="00091FA6" w:rsidP="00923E98">
      <w:pPr>
        <w:spacing w:line="360" w:lineRule="auto"/>
        <w:ind w:left="720"/>
        <w:jc w:val="both"/>
        <w:rPr>
          <w:rFonts w:ascii="David" w:hAnsi="David"/>
          <w:rtl/>
        </w:rPr>
      </w:pPr>
    </w:p>
    <w:p w14:paraId="2E2ACFDD" w14:textId="77777777" w:rsidR="00091FA6" w:rsidRDefault="00091FA6" w:rsidP="00923E98">
      <w:pPr>
        <w:spacing w:line="360" w:lineRule="auto"/>
        <w:jc w:val="both"/>
        <w:rPr>
          <w:rFonts w:ascii="David" w:hAnsi="David"/>
          <w:rtl/>
        </w:rPr>
      </w:pPr>
      <w:r>
        <w:rPr>
          <w:rFonts w:ascii="David" w:hAnsi="David"/>
          <w:rtl/>
        </w:rPr>
        <w:t>6.</w:t>
      </w:r>
      <w:r>
        <w:rPr>
          <w:rFonts w:ascii="David" w:hAnsi="David"/>
          <w:rtl/>
        </w:rPr>
        <w:tab/>
        <w:t>ב"כ הנאשם הגיש אף הוא פסיקה, שלטענתו דומה למקרה שבענייננו.</w:t>
      </w:r>
    </w:p>
    <w:p w14:paraId="3B75110D" w14:textId="77777777" w:rsidR="00091FA6" w:rsidRDefault="00091FA6" w:rsidP="00923E98">
      <w:pPr>
        <w:spacing w:line="360" w:lineRule="auto"/>
        <w:jc w:val="both"/>
        <w:rPr>
          <w:rFonts w:ascii="David" w:hAnsi="David"/>
          <w:rtl/>
        </w:rPr>
      </w:pPr>
    </w:p>
    <w:p w14:paraId="151C004F" w14:textId="77777777" w:rsidR="00091FA6" w:rsidRDefault="00091FA6" w:rsidP="00923E98">
      <w:pPr>
        <w:spacing w:line="360" w:lineRule="auto"/>
        <w:ind w:left="720"/>
        <w:jc w:val="both"/>
        <w:rPr>
          <w:rFonts w:ascii="David" w:hAnsi="David"/>
          <w:rtl/>
        </w:rPr>
      </w:pPr>
      <w:r>
        <w:rPr>
          <w:rFonts w:ascii="David" w:hAnsi="David"/>
          <w:rtl/>
        </w:rPr>
        <w:t xml:space="preserve">ב"כ הנאשם טען, כי אין בעובדה שהנאשם בחר לנהל הליך הוכחות, מכיוון שהייתה מחלוקת לגבי אחד מסעיפי כתב-האישום, כדי להחמיר בעונשו, וזאת בשים-לב לכך שעת נפתרה המחלוקת, הודה הנאשם בעובדות כתב-האישום המתוקן בהזדמנות הראשונה. </w:t>
      </w:r>
    </w:p>
    <w:p w14:paraId="6E448F58" w14:textId="77777777" w:rsidR="00091FA6" w:rsidRDefault="00091FA6" w:rsidP="00923E98">
      <w:pPr>
        <w:spacing w:line="360" w:lineRule="auto"/>
        <w:ind w:left="720"/>
        <w:jc w:val="both"/>
        <w:rPr>
          <w:rFonts w:ascii="David" w:hAnsi="David"/>
          <w:rtl/>
        </w:rPr>
      </w:pPr>
    </w:p>
    <w:p w14:paraId="573C0918" w14:textId="77777777" w:rsidR="00091FA6" w:rsidRDefault="00091FA6" w:rsidP="00923E98">
      <w:pPr>
        <w:spacing w:line="360" w:lineRule="auto"/>
        <w:ind w:left="720"/>
        <w:jc w:val="both"/>
        <w:rPr>
          <w:rFonts w:ascii="David" w:hAnsi="David"/>
          <w:rtl/>
        </w:rPr>
      </w:pPr>
      <w:r>
        <w:rPr>
          <w:rFonts w:ascii="David" w:hAnsi="David"/>
          <w:rtl/>
        </w:rPr>
        <w:t>הודאתו של הנאשם, כך אליבא דסנגורו,  מלאה בחרטה כנה וברצון להשתקם. לטענת ב"כ הנאשם אף יש ליתן את הדעת לכך, שעל אף שניתנה לנאשם אפשרות להשתחרר לחלופת- מעצר, הוא בחר להישאר במעצר, ולרצות את עונשו בגין העבירות אותן ביצע.</w:t>
      </w:r>
    </w:p>
    <w:p w14:paraId="3535CDBD" w14:textId="77777777" w:rsidR="00091FA6" w:rsidRDefault="00091FA6" w:rsidP="00923E98">
      <w:pPr>
        <w:spacing w:line="360" w:lineRule="auto"/>
        <w:ind w:left="720"/>
        <w:jc w:val="both"/>
        <w:rPr>
          <w:rFonts w:ascii="David" w:hAnsi="David"/>
          <w:rtl/>
        </w:rPr>
      </w:pPr>
    </w:p>
    <w:p w14:paraId="6C229457" w14:textId="77777777" w:rsidR="00091FA6" w:rsidRDefault="00091FA6" w:rsidP="00923E98">
      <w:pPr>
        <w:spacing w:line="360" w:lineRule="auto"/>
        <w:ind w:left="720"/>
        <w:jc w:val="both"/>
        <w:rPr>
          <w:rFonts w:ascii="David" w:hAnsi="David"/>
          <w:rtl/>
        </w:rPr>
      </w:pPr>
      <w:r>
        <w:rPr>
          <w:rFonts w:ascii="David" w:hAnsi="David"/>
          <w:rtl/>
        </w:rPr>
        <w:t>לעניין חומרת העבירה, נטען, כי הנאשם נשא את הנשק ביער פתוח, ולא במרכז הומה אדם. אמנם, כך נטען, הודה הנאשם במסגרת כתב-האישום המתוקן בסכסוך, אך מן העדויות שנשמעו, עולה,  שאין לנאשם קשר לסכסוך האמור.</w:t>
      </w:r>
    </w:p>
    <w:p w14:paraId="05A1AECB" w14:textId="77777777" w:rsidR="00091FA6" w:rsidRDefault="00091FA6" w:rsidP="00923E98">
      <w:pPr>
        <w:spacing w:line="360" w:lineRule="auto"/>
        <w:ind w:left="720"/>
        <w:jc w:val="both"/>
        <w:rPr>
          <w:rFonts w:ascii="David" w:hAnsi="David"/>
          <w:rtl/>
        </w:rPr>
      </w:pPr>
    </w:p>
    <w:p w14:paraId="26BB457D" w14:textId="77777777" w:rsidR="00091FA6" w:rsidRDefault="00091FA6" w:rsidP="00923E98">
      <w:pPr>
        <w:spacing w:line="360" w:lineRule="auto"/>
        <w:ind w:left="720"/>
        <w:jc w:val="both"/>
        <w:rPr>
          <w:rFonts w:ascii="David" w:hAnsi="David"/>
          <w:rtl/>
        </w:rPr>
      </w:pPr>
      <w:r>
        <w:rPr>
          <w:rFonts w:ascii="David" w:hAnsi="David"/>
          <w:rtl/>
        </w:rPr>
        <w:t>עוד נטען, כי האקדח אמנם היה טעון, אולם אין מדובר בענייננו, בנשק כהגדרתו או תת- מקלע, בהם קבעה הפסיקה מתחם ענישה שנע בין 18-36 חודשים. ב"כ הנאשם עתר לקביעת מתחם ענישה שנע בין 10-18 חודשי מאסר בפועל, וזאת בשים-לב לנסיבות  המעשה, נסיבות הנאשם, וסוג הנשק. עוד ובנוסף עתר הסנגור לקבוע את הענישה בחלקו התחתון של המתחם, בשים-לב לכך שהנאשם עצור מיום 05.04.2020, הואיל  ומדובר בנאשם ללא עבר פלילי, אשר זו הסתבכותו הראשונה עם החוק. משפחתו, כך נטען, כעולה מתסקיר שירות המבחן, אשר מעולם לא הסתבכה בפלילים, תומכת ומוכנה לדאוג לנאשם.</w:t>
      </w:r>
    </w:p>
    <w:p w14:paraId="79659889" w14:textId="77777777" w:rsidR="00091FA6" w:rsidRDefault="00091FA6" w:rsidP="00923E98">
      <w:pPr>
        <w:spacing w:line="360" w:lineRule="auto"/>
        <w:ind w:left="720"/>
        <w:jc w:val="both"/>
        <w:rPr>
          <w:rFonts w:ascii="David" w:hAnsi="David"/>
          <w:rtl/>
        </w:rPr>
      </w:pPr>
    </w:p>
    <w:p w14:paraId="4999AE97" w14:textId="77777777" w:rsidR="00091FA6" w:rsidRDefault="00091FA6" w:rsidP="00923E98">
      <w:pPr>
        <w:spacing w:line="360" w:lineRule="auto"/>
        <w:ind w:left="720"/>
        <w:jc w:val="both"/>
        <w:rPr>
          <w:rFonts w:ascii="David" w:hAnsi="David"/>
        </w:rPr>
      </w:pPr>
      <w:r>
        <w:rPr>
          <w:rFonts w:ascii="David" w:hAnsi="David"/>
          <w:rtl/>
        </w:rPr>
        <w:t>בנוגע לתסקיר שירות המבחן, נטען, כי כותבת התסקיר לא המליצה על מסגרת טיפולית או שיקומית, רק בשל חומרת העבירה והעובדה, כי היא לא האמינה לגרסתו הנכונה של הנאשם. לטענת ב"כ הנאשם, עורכת התסקיר, לא נתנה דעתה לגילו הצעיר של הנאשם, ולעובדה שענישה מאחורי סורג ובריח, והיכרותו עם חברה עבריינית, עלולה לסבך אותו ולחשוף אותו לעולם הפשיעה.</w:t>
      </w:r>
    </w:p>
    <w:p w14:paraId="27CBA336" w14:textId="77777777" w:rsidR="00091FA6" w:rsidRDefault="00091FA6" w:rsidP="00923E98">
      <w:pPr>
        <w:spacing w:line="360" w:lineRule="auto"/>
        <w:ind w:left="720"/>
        <w:jc w:val="both"/>
        <w:rPr>
          <w:rFonts w:ascii="David" w:hAnsi="David"/>
          <w:rtl/>
        </w:rPr>
      </w:pPr>
      <w:r>
        <w:rPr>
          <w:rFonts w:ascii="David" w:hAnsi="David"/>
          <w:rtl/>
        </w:rPr>
        <w:t>נטען, כי לקחת בחשבון גם את העובדה, שאין לנאשם תיקים פתוחים או הסתבכויות במהלך ריצוי העונש, מלבד שימוע אחד בתחילת מעצר, וכי הנאשם תומך בבית-המעצר באסירים חדשים.</w:t>
      </w:r>
    </w:p>
    <w:p w14:paraId="4A41059D" w14:textId="77777777" w:rsidR="00091FA6" w:rsidRDefault="00091FA6" w:rsidP="00923E98">
      <w:pPr>
        <w:spacing w:line="360" w:lineRule="auto"/>
        <w:ind w:left="720"/>
        <w:jc w:val="both"/>
        <w:rPr>
          <w:rFonts w:ascii="David" w:hAnsi="David"/>
          <w:rtl/>
        </w:rPr>
      </w:pPr>
    </w:p>
    <w:p w14:paraId="3B813E50" w14:textId="77777777" w:rsidR="00091FA6" w:rsidRDefault="00091FA6" w:rsidP="00923E98">
      <w:pPr>
        <w:spacing w:line="360" w:lineRule="auto"/>
        <w:ind w:left="720"/>
        <w:jc w:val="both"/>
        <w:rPr>
          <w:rFonts w:ascii="David" w:hAnsi="David"/>
          <w:rtl/>
        </w:rPr>
      </w:pPr>
      <w:r>
        <w:rPr>
          <w:rFonts w:ascii="David" w:hAnsi="David"/>
          <w:rtl/>
        </w:rPr>
        <w:t xml:space="preserve">עוד נטען, כי יש להתחשב גם בעובדה, כי בענייננו אין קורבן ספציפי, כי מדובר בעבירה רגעית ולא נמשכת, וכי הנאשם התחרט והודה. כמו-כן הדגיש הסנגור, כי בעניינו של הנאשם, יש אף להתחשב בגילו הצעיר. </w:t>
      </w:r>
    </w:p>
    <w:p w14:paraId="68405A94" w14:textId="77777777" w:rsidR="00091FA6" w:rsidRDefault="00091FA6" w:rsidP="00923E98">
      <w:pPr>
        <w:spacing w:line="360" w:lineRule="auto"/>
        <w:ind w:left="720"/>
        <w:jc w:val="both"/>
        <w:rPr>
          <w:rFonts w:ascii="David" w:hAnsi="David"/>
          <w:rtl/>
        </w:rPr>
      </w:pPr>
    </w:p>
    <w:p w14:paraId="07DFBF9A" w14:textId="77777777" w:rsidR="00091FA6" w:rsidRDefault="00091FA6" w:rsidP="00923E98">
      <w:pPr>
        <w:spacing w:line="360" w:lineRule="auto"/>
        <w:ind w:left="720"/>
        <w:jc w:val="both"/>
        <w:rPr>
          <w:rFonts w:ascii="David" w:hAnsi="David"/>
          <w:rtl/>
        </w:rPr>
      </w:pPr>
      <w:r>
        <w:rPr>
          <w:rFonts w:ascii="David" w:hAnsi="David"/>
          <w:rtl/>
        </w:rPr>
        <w:t>ב"כ הנאשם הפנה ל-</w:t>
      </w:r>
      <w:hyperlink r:id="rId16" w:history="1">
        <w:r w:rsidR="00DC0C2F" w:rsidRPr="00DC0C2F">
          <w:rPr>
            <w:rFonts w:ascii="David" w:hAnsi="David"/>
            <w:color w:val="0000FF"/>
            <w:u w:val="single"/>
            <w:rtl/>
          </w:rPr>
          <w:t>ת"פ 46365-11-19</w:t>
        </w:r>
      </w:hyperlink>
      <w:r>
        <w:rPr>
          <w:rFonts w:ascii="David" w:hAnsi="David"/>
          <w:rtl/>
        </w:rPr>
        <w:t xml:space="preserve"> </w:t>
      </w:r>
      <w:r>
        <w:rPr>
          <w:rFonts w:ascii="David" w:hAnsi="David"/>
          <w:b/>
          <w:bCs/>
          <w:rtl/>
        </w:rPr>
        <w:t>מדינת ישראל נ' ארפאעיה</w:t>
      </w:r>
      <w:r>
        <w:rPr>
          <w:rFonts w:ascii="David" w:hAnsi="David"/>
          <w:rtl/>
        </w:rPr>
        <w:t xml:space="preserve"> </w:t>
      </w:r>
      <w:r w:rsidR="002605EB" w:rsidRPr="002605EB">
        <w:rPr>
          <w:sz w:val="22"/>
          <w:rtl/>
        </w:rPr>
        <w:t xml:space="preserve">[פורסם בנבו] </w:t>
      </w:r>
      <w:r>
        <w:rPr>
          <w:rFonts w:ascii="David" w:hAnsi="David"/>
          <w:rtl/>
        </w:rPr>
        <w:t xml:space="preserve">(23.09.2020) שם דובר על נאשם שנשא בנשק , אקדח טעון, ובית המשפט גזר עליו 9 חודשי מאסר בדרך של עבודת שירות. </w:t>
      </w:r>
    </w:p>
    <w:p w14:paraId="2DC636A3" w14:textId="77777777" w:rsidR="00091FA6" w:rsidRDefault="00091FA6" w:rsidP="00923E98">
      <w:pPr>
        <w:spacing w:line="360" w:lineRule="auto"/>
        <w:ind w:left="720"/>
        <w:jc w:val="both"/>
        <w:rPr>
          <w:rFonts w:ascii="David" w:hAnsi="David"/>
        </w:rPr>
      </w:pPr>
    </w:p>
    <w:p w14:paraId="282ACDD4" w14:textId="77777777" w:rsidR="00091FA6" w:rsidRDefault="00091FA6" w:rsidP="00923E98">
      <w:pPr>
        <w:spacing w:line="360" w:lineRule="auto"/>
        <w:ind w:left="720"/>
        <w:jc w:val="both"/>
        <w:rPr>
          <w:rFonts w:ascii="David" w:hAnsi="David"/>
          <w:rtl/>
        </w:rPr>
      </w:pPr>
      <w:r>
        <w:rPr>
          <w:rFonts w:ascii="David" w:hAnsi="David"/>
          <w:rtl/>
        </w:rPr>
        <w:t xml:space="preserve">עוד הפנה ב"כ הנאשם ל- </w:t>
      </w:r>
      <w:hyperlink r:id="rId17" w:history="1">
        <w:r w:rsidR="00DC0C2F" w:rsidRPr="00DC0C2F">
          <w:rPr>
            <w:rFonts w:ascii="David" w:hAnsi="David"/>
            <w:color w:val="0000FF"/>
            <w:u w:val="single"/>
            <w:rtl/>
          </w:rPr>
          <w:t>ע"פ 887/20</w:t>
        </w:r>
      </w:hyperlink>
      <w:r>
        <w:rPr>
          <w:rFonts w:ascii="David" w:hAnsi="David"/>
          <w:rtl/>
        </w:rPr>
        <w:t xml:space="preserve"> </w:t>
      </w:r>
      <w:r>
        <w:rPr>
          <w:rFonts w:ascii="David" w:hAnsi="David"/>
          <w:b/>
          <w:bCs/>
          <w:rtl/>
        </w:rPr>
        <w:t>מתאני נ' מדינת ישראל</w:t>
      </w:r>
      <w:r>
        <w:rPr>
          <w:rFonts w:ascii="David" w:hAnsi="David"/>
          <w:rtl/>
        </w:rPr>
        <w:t xml:space="preserve"> </w:t>
      </w:r>
      <w:r w:rsidR="002605EB" w:rsidRPr="002605EB">
        <w:rPr>
          <w:sz w:val="22"/>
          <w:rtl/>
        </w:rPr>
        <w:t xml:space="preserve">[פורסם בנבו] </w:t>
      </w:r>
      <w:r>
        <w:rPr>
          <w:rFonts w:ascii="David" w:hAnsi="David"/>
          <w:rtl/>
        </w:rPr>
        <w:t xml:space="preserve">(29.07.2020), שם אמנם שונתה העבירה להחזקה, אך לטענת ב"כ הנאשם, מדובר בעבירות דומות. בית המשפט העליון התערב בעונש שנגזר על-ידי בית המשפט המחוזי, וגזר 9 חודשי מאסר בדרך של עבודות שירות. </w:t>
      </w:r>
    </w:p>
    <w:p w14:paraId="0D2703DA" w14:textId="77777777" w:rsidR="00091FA6" w:rsidRDefault="00091FA6" w:rsidP="00923E98">
      <w:pPr>
        <w:spacing w:line="360" w:lineRule="auto"/>
        <w:ind w:left="720"/>
        <w:jc w:val="both"/>
        <w:rPr>
          <w:rFonts w:ascii="David" w:hAnsi="David"/>
          <w:rtl/>
        </w:rPr>
      </w:pPr>
    </w:p>
    <w:p w14:paraId="2CCB80C3" w14:textId="77777777" w:rsidR="00091FA6" w:rsidRDefault="00091FA6" w:rsidP="00923E98">
      <w:pPr>
        <w:spacing w:line="360" w:lineRule="auto"/>
        <w:ind w:left="720"/>
        <w:jc w:val="both"/>
        <w:rPr>
          <w:rFonts w:ascii="David" w:hAnsi="David"/>
          <w:rtl/>
        </w:rPr>
      </w:pPr>
      <w:r>
        <w:rPr>
          <w:rFonts w:ascii="David" w:hAnsi="David"/>
          <w:rtl/>
        </w:rPr>
        <w:t>עוד הפנה ב"כ הנאשם ל-</w:t>
      </w:r>
      <w:hyperlink r:id="rId18" w:history="1">
        <w:r w:rsidR="00DC0C2F" w:rsidRPr="00DC0C2F">
          <w:rPr>
            <w:rFonts w:ascii="David" w:hAnsi="David"/>
            <w:color w:val="0000FF"/>
            <w:u w:val="single"/>
            <w:rtl/>
          </w:rPr>
          <w:t>ת"פ 44381-05-20</w:t>
        </w:r>
      </w:hyperlink>
      <w:r>
        <w:rPr>
          <w:rFonts w:ascii="David" w:hAnsi="David"/>
          <w:rtl/>
        </w:rPr>
        <w:t xml:space="preserve"> </w:t>
      </w:r>
      <w:r>
        <w:rPr>
          <w:rFonts w:ascii="David" w:hAnsi="David"/>
          <w:b/>
          <w:bCs/>
          <w:rtl/>
        </w:rPr>
        <w:t>מדינת ישראל נ' סאלח</w:t>
      </w:r>
      <w:r>
        <w:rPr>
          <w:rFonts w:ascii="David" w:hAnsi="David"/>
          <w:rtl/>
        </w:rPr>
        <w:t xml:space="preserve"> </w:t>
      </w:r>
      <w:r w:rsidR="002605EB" w:rsidRPr="002605EB">
        <w:rPr>
          <w:sz w:val="22"/>
          <w:rtl/>
        </w:rPr>
        <w:t xml:space="preserve">[פורסם בנבו] </w:t>
      </w:r>
      <w:r>
        <w:rPr>
          <w:rFonts w:ascii="David" w:hAnsi="David"/>
          <w:rtl/>
        </w:rPr>
        <w:t xml:space="preserve">(27.10.2020), שם דובר על נאשם שנשא בנשק, אקדח טעון. בית משפט המחוזי גזר עליו 14 חודשי מאסר בפועל. </w:t>
      </w:r>
    </w:p>
    <w:p w14:paraId="16178605" w14:textId="77777777" w:rsidR="00091FA6" w:rsidRDefault="00091FA6" w:rsidP="00923E98">
      <w:pPr>
        <w:spacing w:line="360" w:lineRule="auto"/>
        <w:ind w:left="720"/>
        <w:jc w:val="both"/>
        <w:rPr>
          <w:rFonts w:ascii="David" w:hAnsi="David"/>
          <w:rtl/>
        </w:rPr>
      </w:pPr>
    </w:p>
    <w:p w14:paraId="1F7D24BE" w14:textId="77777777" w:rsidR="00091FA6" w:rsidRDefault="00091FA6" w:rsidP="00923E98">
      <w:pPr>
        <w:spacing w:line="360" w:lineRule="auto"/>
        <w:ind w:left="720"/>
        <w:jc w:val="both"/>
        <w:rPr>
          <w:rFonts w:ascii="David" w:hAnsi="David"/>
          <w:rtl/>
        </w:rPr>
      </w:pPr>
      <w:r>
        <w:rPr>
          <w:rFonts w:ascii="David" w:hAnsi="David"/>
          <w:rtl/>
        </w:rPr>
        <w:t>ב-</w:t>
      </w:r>
      <w:hyperlink r:id="rId19" w:history="1">
        <w:r w:rsidR="00DC0C2F" w:rsidRPr="00DC0C2F">
          <w:rPr>
            <w:rFonts w:ascii="David" w:hAnsi="David"/>
            <w:color w:val="0000FF"/>
            <w:u w:val="single"/>
            <w:rtl/>
          </w:rPr>
          <w:t>ע"פ 2006/12</w:t>
        </w:r>
      </w:hyperlink>
      <w:r>
        <w:rPr>
          <w:rFonts w:ascii="David" w:hAnsi="David"/>
          <w:rtl/>
        </w:rPr>
        <w:t xml:space="preserve"> </w:t>
      </w:r>
      <w:r>
        <w:rPr>
          <w:rFonts w:ascii="David" w:hAnsi="David"/>
          <w:b/>
          <w:bCs/>
          <w:rtl/>
        </w:rPr>
        <w:t>מדינת ישראל נ' אסדי</w:t>
      </w:r>
      <w:r>
        <w:rPr>
          <w:rFonts w:ascii="David" w:hAnsi="David"/>
          <w:rtl/>
        </w:rPr>
        <w:t xml:space="preserve"> </w:t>
      </w:r>
      <w:r w:rsidR="002605EB" w:rsidRPr="002605EB">
        <w:rPr>
          <w:sz w:val="22"/>
          <w:rtl/>
        </w:rPr>
        <w:t xml:space="preserve">[פורסם בנבו] </w:t>
      </w:r>
      <w:r>
        <w:rPr>
          <w:rFonts w:ascii="David" w:hAnsi="David"/>
          <w:rtl/>
        </w:rPr>
        <w:t>(28.03.2012) גזר בית המשפט העליון 15 חודשי מאסר בפועל על נאשם שנשא נשק, ואף בעניין זה מדובר היה בסכסוך.</w:t>
      </w:r>
    </w:p>
    <w:p w14:paraId="1EF745F9" w14:textId="77777777" w:rsidR="00091FA6" w:rsidRDefault="00091FA6" w:rsidP="00923E98">
      <w:pPr>
        <w:spacing w:line="360" w:lineRule="auto"/>
        <w:ind w:left="720"/>
        <w:jc w:val="both"/>
        <w:rPr>
          <w:rFonts w:ascii="David" w:hAnsi="David"/>
          <w:rtl/>
        </w:rPr>
      </w:pPr>
    </w:p>
    <w:p w14:paraId="0F4416BC" w14:textId="77777777" w:rsidR="00091FA6" w:rsidRDefault="00091FA6" w:rsidP="00923E98">
      <w:pPr>
        <w:spacing w:line="360" w:lineRule="auto"/>
        <w:ind w:left="720"/>
        <w:jc w:val="both"/>
        <w:rPr>
          <w:rFonts w:ascii="David" w:hAnsi="David"/>
          <w:rtl/>
        </w:rPr>
      </w:pPr>
      <w:r>
        <w:rPr>
          <w:rFonts w:ascii="David" w:hAnsi="David"/>
          <w:rtl/>
        </w:rPr>
        <w:t>עוד ובנוסף הפנה ב"כ הנאשם ל-</w:t>
      </w:r>
      <w:hyperlink r:id="rId20" w:history="1">
        <w:r w:rsidR="00DC0C2F" w:rsidRPr="00DC0C2F">
          <w:rPr>
            <w:rFonts w:ascii="David" w:hAnsi="David"/>
            <w:color w:val="0000FF"/>
            <w:u w:val="single"/>
            <w:rtl/>
          </w:rPr>
          <w:t>ע"פ 2243/17</w:t>
        </w:r>
      </w:hyperlink>
      <w:r>
        <w:rPr>
          <w:rFonts w:ascii="David" w:hAnsi="David"/>
          <w:rtl/>
        </w:rPr>
        <w:t xml:space="preserve"> </w:t>
      </w:r>
      <w:r>
        <w:rPr>
          <w:rFonts w:ascii="David" w:hAnsi="David"/>
          <w:b/>
          <w:bCs/>
          <w:rtl/>
        </w:rPr>
        <w:t>אכראם נ' מדינת ישראל</w:t>
      </w:r>
      <w:r>
        <w:rPr>
          <w:rFonts w:ascii="David" w:hAnsi="David"/>
          <w:rtl/>
        </w:rPr>
        <w:t xml:space="preserve"> </w:t>
      </w:r>
      <w:r w:rsidR="002605EB" w:rsidRPr="002605EB">
        <w:rPr>
          <w:sz w:val="22"/>
          <w:rtl/>
        </w:rPr>
        <w:t xml:space="preserve">[פורסם בנבו] </w:t>
      </w:r>
      <w:r>
        <w:rPr>
          <w:rFonts w:ascii="David" w:hAnsi="David"/>
          <w:rtl/>
        </w:rPr>
        <w:t>(29.10.2017), שם מדובר על נאשם שנשא בנשק טעון לאחר שנורו מספר יריות לעבר מעסיקו, בית משפט קבע מתחם שנע בין 12-30 חודשי מאסר בפועל, וגזר על הנאשם 12 חודשי מאסר בפועל.</w:t>
      </w:r>
    </w:p>
    <w:p w14:paraId="4228E364" w14:textId="77777777" w:rsidR="00091FA6" w:rsidRDefault="00091FA6" w:rsidP="00923E98">
      <w:pPr>
        <w:spacing w:line="360" w:lineRule="auto"/>
        <w:ind w:left="720"/>
        <w:jc w:val="both"/>
        <w:rPr>
          <w:rFonts w:ascii="David" w:hAnsi="David"/>
          <w:rtl/>
        </w:rPr>
      </w:pPr>
    </w:p>
    <w:p w14:paraId="35A85CE7" w14:textId="77777777" w:rsidR="00091FA6" w:rsidRDefault="00091FA6" w:rsidP="00923E98">
      <w:pPr>
        <w:spacing w:line="360" w:lineRule="auto"/>
        <w:ind w:left="720" w:hanging="720"/>
        <w:jc w:val="both"/>
        <w:rPr>
          <w:rFonts w:ascii="David" w:hAnsi="David"/>
          <w:rtl/>
        </w:rPr>
      </w:pPr>
      <w:r>
        <w:rPr>
          <w:rFonts w:ascii="David" w:hAnsi="David"/>
          <w:rtl/>
        </w:rPr>
        <w:t>7.</w:t>
      </w:r>
      <w:r>
        <w:rPr>
          <w:rFonts w:ascii="David" w:hAnsi="David"/>
          <w:rtl/>
        </w:rPr>
        <w:tab/>
        <w:t xml:space="preserve">הנאשם עצמו העיד וטען, כי הוא מצר על מעשיו, וכי סביבת בית-הכלא אינה מתאימה לו.  הנאשם ביקש, כי בית המשפט יתחשב בעובדה שהוא נעדר עבר פלילי, ובכך שהוא מנסה להשתקם ואף משתתף בכל הפגישות הטיפוליות בבית-המעצר. </w:t>
      </w:r>
    </w:p>
    <w:p w14:paraId="1700E123" w14:textId="77777777" w:rsidR="00091FA6" w:rsidRDefault="00091FA6" w:rsidP="00923E98">
      <w:pPr>
        <w:spacing w:line="360" w:lineRule="auto"/>
        <w:ind w:left="720" w:hanging="720"/>
        <w:jc w:val="both"/>
        <w:rPr>
          <w:rFonts w:ascii="David" w:hAnsi="David"/>
        </w:rPr>
      </w:pPr>
    </w:p>
    <w:p w14:paraId="17C9BFAD" w14:textId="77777777" w:rsidR="00091FA6" w:rsidRDefault="00091FA6" w:rsidP="00923E98">
      <w:pPr>
        <w:spacing w:line="360" w:lineRule="auto"/>
        <w:ind w:left="720" w:hanging="720"/>
        <w:jc w:val="both"/>
        <w:rPr>
          <w:rFonts w:ascii="David" w:hAnsi="David"/>
          <w:rtl/>
        </w:rPr>
      </w:pPr>
      <w:r>
        <w:rPr>
          <w:rFonts w:ascii="David" w:hAnsi="David"/>
          <w:rtl/>
        </w:rPr>
        <w:t>8.</w:t>
      </w:r>
      <w:r>
        <w:rPr>
          <w:rFonts w:ascii="David" w:hAnsi="David"/>
          <w:rtl/>
        </w:rPr>
        <w:tab/>
        <w:t>כאמור כבר לעיל, ב"כ המאשימה אף הגיש טיעונים לעונש בכתב, בהם עתר לקביעת מתחם ענישה כולל שנע בין 2-4 שנים, וכן למאסרים מותנים שיתייחסו לעבירות בנשק, עבירות כלפי שוטרים, וקנס משמעותי. ב"כ המאשימה אף טען, כי מתחם זה מתאים גם להנחיית פרקליט המדינה מס' 9.16 - מדיניות ענישה בעבירות נשק ומטעני חבלה (להלן: "</w:t>
      </w:r>
      <w:r>
        <w:rPr>
          <w:rFonts w:ascii="David" w:hAnsi="David"/>
          <w:b/>
          <w:bCs/>
          <w:rtl/>
        </w:rPr>
        <w:t>הנחיית פרקליט המדינה</w:t>
      </w:r>
      <w:r>
        <w:rPr>
          <w:rFonts w:ascii="David" w:hAnsi="David"/>
          <w:rtl/>
        </w:rPr>
        <w:t>").</w:t>
      </w:r>
    </w:p>
    <w:p w14:paraId="31CB2006" w14:textId="77777777" w:rsidR="00091FA6" w:rsidRDefault="00091FA6" w:rsidP="00923E98">
      <w:pPr>
        <w:spacing w:line="360" w:lineRule="auto"/>
        <w:ind w:left="720" w:hanging="720"/>
        <w:jc w:val="both"/>
        <w:rPr>
          <w:rFonts w:ascii="David" w:hAnsi="David"/>
          <w:rtl/>
        </w:rPr>
      </w:pPr>
    </w:p>
    <w:p w14:paraId="5898474B" w14:textId="77777777" w:rsidR="00091FA6" w:rsidRDefault="00091FA6" w:rsidP="00923E98">
      <w:pPr>
        <w:spacing w:line="360" w:lineRule="auto"/>
        <w:ind w:left="720" w:hanging="720"/>
        <w:jc w:val="both"/>
        <w:rPr>
          <w:rFonts w:ascii="David" w:hAnsi="David"/>
          <w:rtl/>
        </w:rPr>
      </w:pPr>
      <w:r>
        <w:rPr>
          <w:rFonts w:ascii="David" w:hAnsi="David"/>
          <w:rtl/>
        </w:rPr>
        <w:tab/>
        <w:t>לעניין מדיניות הענישה הפנה ב"כ המאשימה להנחיית פרקליט המדינה, ממנה עולה, כי קיים צורך בהעלאת רמת הענישה הנוהגת בעבירות נשק. עוד ובנוסף נטען, כי גם פסיקת בית המשפט העליון קובעת, כי יש להחמיר את הענישה בעבירות נשק בשל היותן "מכת-מדינה", וכי ריבוי התיקים בבית-משפט זה ובמחוז, לרבות בעניינם של נאשמים צעירים, וכן של נאשמים נעדרי עבר פלילי, ממחיש, כי מדובר במכת אזור.</w:t>
      </w:r>
    </w:p>
    <w:p w14:paraId="64F3DC2A" w14:textId="77777777" w:rsidR="00091FA6" w:rsidRDefault="00091FA6" w:rsidP="00923E98">
      <w:pPr>
        <w:spacing w:line="360" w:lineRule="auto"/>
        <w:ind w:left="720" w:hanging="720"/>
        <w:jc w:val="both"/>
        <w:rPr>
          <w:rFonts w:ascii="David" w:hAnsi="David"/>
          <w:rtl/>
        </w:rPr>
      </w:pPr>
    </w:p>
    <w:p w14:paraId="7A5221E1" w14:textId="77777777" w:rsidR="00091FA6" w:rsidRDefault="00091FA6" w:rsidP="00923E98">
      <w:pPr>
        <w:spacing w:line="360" w:lineRule="auto"/>
        <w:ind w:left="720" w:hanging="720"/>
        <w:jc w:val="both"/>
        <w:rPr>
          <w:rFonts w:ascii="David" w:hAnsi="David"/>
          <w:rtl/>
        </w:rPr>
      </w:pPr>
      <w:r>
        <w:rPr>
          <w:rFonts w:ascii="David" w:hAnsi="David"/>
          <w:rtl/>
        </w:rPr>
        <w:tab/>
        <w:t>נטען, כי הערכים החברתיים שנפגעו באירוע מושא כתב-האישום הם, בין היתר, חיי-אדם, שלום הציבור ושלטון החוק, עת קיים אינטרס ציבורי בגיבוי מלאכת האכיפה של השוטרים על-ידי ענישה מרתיעה על הפרעה לשוטר. עוד נטען, כי בית המשפט העליון נתן דעתו בפסקי-דין רבים להשלכות הרות האסון בעבירות נשק ובסיכון הגלום בהם.</w:t>
      </w:r>
    </w:p>
    <w:p w14:paraId="3BEAA0C9" w14:textId="77777777" w:rsidR="00091FA6" w:rsidRDefault="00091FA6" w:rsidP="00923E98">
      <w:pPr>
        <w:spacing w:line="360" w:lineRule="auto"/>
        <w:ind w:left="720" w:hanging="720"/>
        <w:jc w:val="both"/>
        <w:rPr>
          <w:rFonts w:ascii="David" w:hAnsi="David"/>
          <w:rtl/>
        </w:rPr>
      </w:pPr>
    </w:p>
    <w:p w14:paraId="3327162A" w14:textId="77777777" w:rsidR="00091FA6" w:rsidRDefault="00091FA6" w:rsidP="00923E98">
      <w:pPr>
        <w:spacing w:line="360" w:lineRule="auto"/>
        <w:ind w:left="720" w:hanging="720"/>
        <w:jc w:val="both"/>
        <w:rPr>
          <w:rFonts w:ascii="David" w:hAnsi="David"/>
          <w:rtl/>
        </w:rPr>
      </w:pPr>
      <w:r>
        <w:rPr>
          <w:rFonts w:ascii="David" w:hAnsi="David"/>
          <w:rtl/>
        </w:rPr>
        <w:tab/>
        <w:t>ב"כ המאשימה הפנה בסיכומיו בכתב לנתונים המדאיגים העולים מדו"ח מבקר המדינה, אשר פורסם ביום 15.08.2018, לפיהם אחד מן הקשיים במיגור עבירות אלימות וירי בחברה הערבית, נעוץ בקושי באכיפה.</w:t>
      </w:r>
    </w:p>
    <w:p w14:paraId="7D8A063F" w14:textId="77777777" w:rsidR="00091FA6" w:rsidRDefault="00091FA6" w:rsidP="00923E98">
      <w:pPr>
        <w:spacing w:line="360" w:lineRule="auto"/>
        <w:ind w:left="720" w:hanging="720"/>
        <w:jc w:val="both"/>
        <w:rPr>
          <w:rFonts w:ascii="David" w:hAnsi="David"/>
          <w:rtl/>
        </w:rPr>
      </w:pPr>
    </w:p>
    <w:p w14:paraId="331E998C" w14:textId="77777777" w:rsidR="00091FA6" w:rsidRDefault="00091FA6" w:rsidP="00923E98">
      <w:pPr>
        <w:spacing w:line="360" w:lineRule="auto"/>
        <w:ind w:left="720" w:hanging="720"/>
        <w:jc w:val="both"/>
        <w:rPr>
          <w:rFonts w:ascii="David" w:hAnsi="David"/>
          <w:rtl/>
        </w:rPr>
      </w:pPr>
      <w:r>
        <w:rPr>
          <w:rFonts w:ascii="David" w:hAnsi="David"/>
          <w:rtl/>
        </w:rPr>
        <w:tab/>
        <w:t>באשר לנסיבות ביצוע העבירה טען ב"כ הנאשם, כי יש ליתן משקל לכך שהנאשם נשא והוביל את הנשק, שהוא בידו, טעון ומוכן לירי, וכן לכך שביצוע העבירה היה באזור מגורים בשעות הצהריים בשל סכסוך. האקדח מושא כתב-האישום, כך נטען, הוא נשק מסוכן אשר באפשרותו להמית אדם, והצורך בנשיאתו והובלתו לוטה בערפל, ואין זה מן הנמנע אליבא דב"כ המאשימה, שהנאשם תכנן להשתמש בו למטרות לא כשרות, מקל וחומר עת יש סכסוך בין משפחתו של הנאשם למשפחה אחרת כמתואר בכתב-האישום המתוקן.</w:t>
      </w:r>
    </w:p>
    <w:p w14:paraId="37F550AC" w14:textId="77777777" w:rsidR="00091FA6" w:rsidRDefault="00091FA6" w:rsidP="00923E98">
      <w:pPr>
        <w:spacing w:line="360" w:lineRule="auto"/>
        <w:ind w:left="720" w:hanging="720"/>
        <w:jc w:val="both"/>
        <w:rPr>
          <w:rFonts w:ascii="David" w:hAnsi="David"/>
          <w:rtl/>
        </w:rPr>
      </w:pPr>
    </w:p>
    <w:p w14:paraId="5924B4E5" w14:textId="77777777" w:rsidR="00091FA6" w:rsidRDefault="00091FA6" w:rsidP="00923E98">
      <w:pPr>
        <w:spacing w:line="360" w:lineRule="auto"/>
        <w:ind w:left="720" w:hanging="720"/>
        <w:jc w:val="both"/>
        <w:rPr>
          <w:rFonts w:ascii="David" w:hAnsi="David"/>
          <w:rtl/>
        </w:rPr>
      </w:pPr>
      <w:r>
        <w:rPr>
          <w:rFonts w:ascii="David" w:hAnsi="David"/>
          <w:rtl/>
        </w:rPr>
        <w:tab/>
        <w:t>עוד נטען, כי בנסיבות הקשורות לביצוע העבירה, יש ליתן משקל גם לשילוב של עבירת הנשק עם עבירה של הפרעה לשוטרים, שהיא כשלעצמה אינה מצויה ברף הנמוך, בשים-לב לעובדות המתוארות בכתב-האישום המתוקן.</w:t>
      </w:r>
    </w:p>
    <w:p w14:paraId="703C89EF" w14:textId="77777777" w:rsidR="00091FA6" w:rsidRDefault="00091FA6" w:rsidP="00923E98">
      <w:pPr>
        <w:spacing w:line="360" w:lineRule="auto"/>
        <w:ind w:left="720" w:hanging="720"/>
        <w:jc w:val="both"/>
        <w:rPr>
          <w:rFonts w:ascii="David" w:hAnsi="David"/>
          <w:rtl/>
        </w:rPr>
      </w:pPr>
    </w:p>
    <w:p w14:paraId="5D84805F" w14:textId="77777777" w:rsidR="00091FA6" w:rsidRDefault="00091FA6" w:rsidP="00923E98">
      <w:pPr>
        <w:spacing w:line="360" w:lineRule="auto"/>
        <w:ind w:left="720"/>
        <w:jc w:val="both"/>
        <w:rPr>
          <w:rFonts w:ascii="David" w:hAnsi="David"/>
          <w:rtl/>
        </w:rPr>
      </w:pPr>
      <w:r>
        <w:rPr>
          <w:rFonts w:ascii="David" w:hAnsi="David"/>
          <w:rtl/>
        </w:rPr>
        <w:t>ב"כ המאשימה הפנה ל-</w:t>
      </w:r>
      <w:hyperlink r:id="rId21" w:history="1">
        <w:r w:rsidR="00DC0C2F" w:rsidRPr="00DC0C2F">
          <w:rPr>
            <w:rFonts w:ascii="David" w:hAnsi="David"/>
            <w:color w:val="0000FF"/>
            <w:u w:val="single"/>
            <w:rtl/>
          </w:rPr>
          <w:t>ע"פ 2564/19</w:t>
        </w:r>
      </w:hyperlink>
      <w:r>
        <w:rPr>
          <w:rFonts w:ascii="David" w:hAnsi="David"/>
          <w:rtl/>
        </w:rPr>
        <w:t xml:space="preserve"> </w:t>
      </w:r>
      <w:r>
        <w:rPr>
          <w:rFonts w:ascii="David" w:hAnsi="David"/>
          <w:b/>
          <w:bCs/>
          <w:rtl/>
        </w:rPr>
        <w:t>אזברגה נ' מדינת ישראל</w:t>
      </w:r>
      <w:r>
        <w:rPr>
          <w:rFonts w:ascii="David" w:hAnsi="David"/>
          <w:rtl/>
        </w:rPr>
        <w:t xml:space="preserve"> </w:t>
      </w:r>
      <w:r w:rsidR="002605EB" w:rsidRPr="002605EB">
        <w:rPr>
          <w:sz w:val="22"/>
          <w:rtl/>
        </w:rPr>
        <w:t xml:space="preserve">[פורסם בנבו] </w:t>
      </w:r>
      <w:r>
        <w:rPr>
          <w:rFonts w:ascii="David" w:hAnsi="David"/>
          <w:rtl/>
        </w:rPr>
        <w:t>(18.07.2019), שם נקבע מתחם ענישה שנע בין 12-40 חודשי מאסר בפועל, בגין נשיאת אקדח בקוטר 9 מ"מ באמצעות רכב בירושלים. הנאשם הודה במעשיו, היהה ללא עבר פלילי, ותסקיר שירות מבחן שלילי. בית המשפט גזר עליו 16 חודשי מאסר בפועל. בית המשפט העליון דחה את הערעור שהגיש הנאשם.</w:t>
      </w:r>
    </w:p>
    <w:p w14:paraId="3F3DA1BD" w14:textId="77777777" w:rsidR="00091FA6" w:rsidRDefault="00091FA6" w:rsidP="00923E98">
      <w:pPr>
        <w:spacing w:line="360" w:lineRule="auto"/>
        <w:ind w:left="720"/>
        <w:jc w:val="both"/>
        <w:rPr>
          <w:rFonts w:ascii="David" w:hAnsi="David"/>
          <w:rtl/>
        </w:rPr>
      </w:pPr>
      <w:r>
        <w:rPr>
          <w:rFonts w:ascii="David" w:hAnsi="David"/>
          <w:rtl/>
        </w:rPr>
        <w:t>עוד הפנה ב"כ המאשימה ל-</w:t>
      </w:r>
      <w:hyperlink r:id="rId22" w:history="1">
        <w:r w:rsidR="00DC0C2F" w:rsidRPr="00DC0C2F">
          <w:rPr>
            <w:rFonts w:ascii="David" w:hAnsi="David"/>
            <w:color w:val="0000FF"/>
            <w:u w:val="single"/>
            <w:rtl/>
          </w:rPr>
          <w:t>ע"פ 390/17</w:t>
        </w:r>
      </w:hyperlink>
      <w:r>
        <w:rPr>
          <w:rFonts w:ascii="David" w:hAnsi="David"/>
          <w:rtl/>
        </w:rPr>
        <w:t xml:space="preserve"> </w:t>
      </w:r>
      <w:r>
        <w:rPr>
          <w:rFonts w:ascii="David" w:hAnsi="David"/>
          <w:b/>
          <w:bCs/>
          <w:rtl/>
        </w:rPr>
        <w:t>סער נ' מדינת ישראל</w:t>
      </w:r>
      <w:r>
        <w:rPr>
          <w:rFonts w:ascii="David" w:hAnsi="David"/>
          <w:rtl/>
        </w:rPr>
        <w:t xml:space="preserve"> </w:t>
      </w:r>
      <w:r w:rsidR="002605EB" w:rsidRPr="002605EB">
        <w:rPr>
          <w:sz w:val="22"/>
          <w:rtl/>
        </w:rPr>
        <w:t xml:space="preserve">[פורסם בנבו] </w:t>
      </w:r>
      <w:r>
        <w:rPr>
          <w:rFonts w:ascii="David" w:hAnsi="David"/>
          <w:rtl/>
        </w:rPr>
        <w:t xml:space="preserve">(03.07.02017), שם הורשע המערער גם בעבירות הובלה ונשיאה של נשק, וכן בעבירה של נהיגה ברכב בדרך נמהרת או רשלנית, לפי </w:t>
      </w:r>
      <w:hyperlink r:id="rId23" w:history="1">
        <w:r w:rsidR="002535D5" w:rsidRPr="002535D5">
          <w:rPr>
            <w:rStyle w:val="Hyperlink"/>
            <w:rFonts w:ascii="David" w:hAnsi="David" w:cs="David"/>
            <w:rtl/>
          </w:rPr>
          <w:t>סעיף 338 (א)(1)</w:t>
        </w:r>
      </w:hyperlink>
      <w:r>
        <w:rPr>
          <w:rFonts w:ascii="David" w:hAnsi="David"/>
          <w:rtl/>
        </w:rPr>
        <w:t xml:space="preserve"> ל</w:t>
      </w:r>
      <w:hyperlink r:id="rId24" w:history="1">
        <w:r w:rsidR="00DC0C2F" w:rsidRPr="00DC0C2F">
          <w:rPr>
            <w:rFonts w:ascii="David" w:hAnsi="David"/>
            <w:color w:val="0000FF"/>
            <w:u w:val="single"/>
            <w:rtl/>
          </w:rPr>
          <w:t>חוק העונשין</w:t>
        </w:r>
      </w:hyperlink>
      <w:r>
        <w:rPr>
          <w:rFonts w:ascii="David" w:hAnsi="David"/>
          <w:rtl/>
        </w:rPr>
        <w:t>, ובית המשפט המחוזי גזר עליו 40 חודשי מאסר בפועל, כמו-כן הופעל עונש מאסר על-תנאי של 12 חודשים מחציתו בחופף ומחציתו במצטבר, כך שסך-הכול נגזרו על הנאשם 46 חודשי מאסר בפועל.</w:t>
      </w:r>
    </w:p>
    <w:p w14:paraId="3A72B8B6" w14:textId="77777777" w:rsidR="00091FA6" w:rsidRDefault="00091FA6" w:rsidP="00923E98">
      <w:pPr>
        <w:spacing w:line="360" w:lineRule="auto"/>
        <w:ind w:left="720"/>
        <w:jc w:val="both"/>
        <w:rPr>
          <w:rFonts w:ascii="David" w:hAnsi="David"/>
          <w:rtl/>
        </w:rPr>
      </w:pPr>
    </w:p>
    <w:p w14:paraId="5E24EAEB" w14:textId="77777777" w:rsidR="00091FA6" w:rsidRDefault="00091FA6" w:rsidP="00923E98">
      <w:pPr>
        <w:spacing w:line="360" w:lineRule="auto"/>
        <w:ind w:left="720"/>
        <w:jc w:val="both"/>
        <w:rPr>
          <w:rFonts w:ascii="David" w:hAnsi="David"/>
          <w:rtl/>
        </w:rPr>
      </w:pPr>
      <w:r>
        <w:rPr>
          <w:rFonts w:ascii="David" w:hAnsi="David"/>
          <w:rtl/>
        </w:rPr>
        <w:t>בית המשפט העליון קיבל את הערעור, מכיוון שהנימוקים בגזר-הדין הסתמכו על עובדות שנמחקו מכתב-האישום,  וגזר על הנאשם חלף העונש שהוטל עליו, 34 חודשי מאסר בפועל, ובסך-הכול 40 חודשי מאסר בפועל.</w:t>
      </w:r>
    </w:p>
    <w:p w14:paraId="49551A2E" w14:textId="77777777" w:rsidR="00091FA6" w:rsidRDefault="00091FA6" w:rsidP="00923E98">
      <w:pPr>
        <w:spacing w:line="360" w:lineRule="auto"/>
        <w:ind w:left="720"/>
        <w:jc w:val="both"/>
        <w:rPr>
          <w:rFonts w:ascii="David" w:hAnsi="David"/>
          <w:rtl/>
        </w:rPr>
      </w:pPr>
    </w:p>
    <w:p w14:paraId="60DA2443" w14:textId="77777777" w:rsidR="00091FA6" w:rsidRDefault="00091FA6" w:rsidP="00923E98">
      <w:pPr>
        <w:spacing w:line="360" w:lineRule="auto"/>
        <w:ind w:left="720"/>
        <w:jc w:val="both"/>
        <w:rPr>
          <w:rFonts w:ascii="David" w:hAnsi="David"/>
          <w:rtl/>
        </w:rPr>
      </w:pPr>
      <w:r>
        <w:rPr>
          <w:rFonts w:ascii="David" w:hAnsi="David"/>
          <w:rtl/>
        </w:rPr>
        <w:t>עוד ובנוסף הפנה ב"כ המאשימה ל-</w:t>
      </w:r>
      <w:hyperlink r:id="rId25" w:history="1">
        <w:r w:rsidR="00DC0C2F" w:rsidRPr="00DC0C2F">
          <w:rPr>
            <w:rFonts w:ascii="David" w:hAnsi="David"/>
            <w:color w:val="0000FF"/>
            <w:u w:val="single"/>
            <w:rtl/>
          </w:rPr>
          <w:t>ע"פ 3877/16</w:t>
        </w:r>
      </w:hyperlink>
      <w:r>
        <w:rPr>
          <w:rFonts w:ascii="David" w:hAnsi="David"/>
          <w:rtl/>
        </w:rPr>
        <w:t xml:space="preserve"> </w:t>
      </w:r>
      <w:r>
        <w:rPr>
          <w:rFonts w:ascii="David" w:hAnsi="David"/>
          <w:b/>
          <w:bCs/>
          <w:rtl/>
        </w:rPr>
        <w:t>פאדי ג'באלי נ' מדינת ישראל</w:t>
      </w:r>
      <w:r>
        <w:rPr>
          <w:rFonts w:ascii="David" w:hAnsi="David"/>
          <w:rtl/>
        </w:rPr>
        <w:t xml:space="preserve"> </w:t>
      </w:r>
      <w:r w:rsidR="002605EB" w:rsidRPr="002605EB">
        <w:rPr>
          <w:sz w:val="22"/>
          <w:rtl/>
        </w:rPr>
        <w:t xml:space="preserve">[פורסם בנבו] </w:t>
      </w:r>
      <w:r>
        <w:rPr>
          <w:rFonts w:ascii="David" w:hAnsi="David"/>
          <w:rtl/>
        </w:rPr>
        <w:t>(17.11.2016) (להלן: "</w:t>
      </w:r>
      <w:r>
        <w:rPr>
          <w:rFonts w:ascii="David" w:hAnsi="David"/>
          <w:b/>
          <w:bCs/>
          <w:rtl/>
        </w:rPr>
        <w:t>עניין ג'באלי</w:t>
      </w:r>
      <w:r>
        <w:rPr>
          <w:rFonts w:ascii="David" w:hAnsi="David"/>
          <w:rtl/>
        </w:rPr>
        <w:t>"), שם דחה בית המשפט העליון את ערעורו של המערער, בעל עבר פלילי, אשר הורשע בעבירה של נשיאת אקדח, מחסנית וכדורים, ונגזרו עליו 34 חודשי מאסר בפועל, עת מתחם הענישה נקבע בין 24-48 חודשי מאסר בפועל.</w:t>
      </w:r>
    </w:p>
    <w:p w14:paraId="2BADF81B" w14:textId="77777777" w:rsidR="00091FA6" w:rsidRDefault="00091FA6" w:rsidP="00923E98">
      <w:pPr>
        <w:spacing w:line="360" w:lineRule="auto"/>
        <w:ind w:left="720"/>
        <w:jc w:val="both"/>
        <w:rPr>
          <w:rFonts w:ascii="David" w:hAnsi="David"/>
          <w:rtl/>
        </w:rPr>
      </w:pPr>
    </w:p>
    <w:p w14:paraId="4C13EE83" w14:textId="77777777" w:rsidR="00091FA6" w:rsidRDefault="00091FA6" w:rsidP="00923E98">
      <w:pPr>
        <w:spacing w:line="360" w:lineRule="auto"/>
        <w:ind w:left="720"/>
        <w:jc w:val="both"/>
        <w:rPr>
          <w:rFonts w:ascii="David" w:hAnsi="David"/>
          <w:rtl/>
        </w:rPr>
      </w:pPr>
      <w:r>
        <w:rPr>
          <w:rFonts w:ascii="David" w:hAnsi="David"/>
          <w:rtl/>
        </w:rPr>
        <w:t>לטענת ב"כ המאשימה, יש לגזור את עונשו של הנאשם בין הרף הבינוני לבין הרף התחתון של המחם, וזאת בשים-לב לגילו של הנאשם, היעדר עבר פלילי, והעובדה, כי הודה לאחר שמיעת חלק מן העדויות. מנגד, כך נטען, יש ליתן משקל גם לנטילת האחריות החלקית של הנאשם למעשיו, המידע החסר שמסר לשירות המבחן, ותסקיר שירות המבחן עצמו.</w:t>
      </w:r>
    </w:p>
    <w:p w14:paraId="33B1F51A" w14:textId="77777777" w:rsidR="00091FA6" w:rsidRDefault="00091FA6" w:rsidP="00923E98">
      <w:pPr>
        <w:spacing w:line="360" w:lineRule="auto"/>
        <w:ind w:left="720"/>
        <w:jc w:val="both"/>
        <w:rPr>
          <w:rFonts w:ascii="David" w:hAnsi="David"/>
          <w:rtl/>
        </w:rPr>
      </w:pPr>
    </w:p>
    <w:p w14:paraId="4D14B44C" w14:textId="77777777" w:rsidR="00091FA6" w:rsidRDefault="00091FA6" w:rsidP="00923E98">
      <w:pPr>
        <w:spacing w:line="360" w:lineRule="auto"/>
        <w:ind w:left="720" w:hanging="720"/>
        <w:jc w:val="both"/>
        <w:rPr>
          <w:rFonts w:ascii="David" w:hAnsi="David"/>
          <w:rtl/>
        </w:rPr>
      </w:pPr>
      <w:r>
        <w:rPr>
          <w:rFonts w:ascii="David" w:hAnsi="David"/>
          <w:rtl/>
        </w:rPr>
        <w:t>9.</w:t>
      </w:r>
      <w:r>
        <w:rPr>
          <w:rFonts w:ascii="David" w:hAnsi="David"/>
          <w:rtl/>
        </w:rPr>
        <w:tab/>
        <w:t xml:space="preserve">בפסיקה עקבית של בית המשפט העליון נקבע, כי יש ליתן חומרה יתרה לעבירות הנשק הואיל וסכנה גבוהה נשקפת מהן, וזאת אף בשים-לב לגישת </w:t>
      </w:r>
      <w:r>
        <w:rPr>
          <w:rFonts w:ascii="David" w:hAnsi="David"/>
          <w:spacing w:val="10"/>
          <w:rtl/>
        </w:rPr>
        <w:t>המחוקק, אשר קבע לצידן של עבירות אלו ענישה מחמירה.</w:t>
      </w:r>
    </w:p>
    <w:p w14:paraId="2E5596E3" w14:textId="77777777" w:rsidR="00091FA6" w:rsidRDefault="00091FA6" w:rsidP="00923E98">
      <w:pPr>
        <w:spacing w:line="360" w:lineRule="auto"/>
        <w:ind w:left="720" w:hanging="720"/>
        <w:jc w:val="both"/>
        <w:rPr>
          <w:rFonts w:ascii="David" w:hAnsi="David"/>
          <w:rtl/>
        </w:rPr>
      </w:pPr>
    </w:p>
    <w:p w14:paraId="248A3CB0" w14:textId="77777777" w:rsidR="00091FA6" w:rsidRDefault="00091FA6" w:rsidP="00923E98">
      <w:pPr>
        <w:pStyle w:val="Ruller50"/>
        <w:spacing w:line="360" w:lineRule="auto"/>
        <w:ind w:left="793" w:right="0"/>
        <w:rPr>
          <w:rFonts w:ascii="David" w:hAnsi="David" w:cs="David"/>
          <w:sz w:val="24"/>
          <w:szCs w:val="24"/>
          <w:rtl/>
        </w:rPr>
      </w:pPr>
      <w:r>
        <w:rPr>
          <w:rFonts w:ascii="David" w:hAnsi="David" w:cs="David"/>
          <w:sz w:val="24"/>
          <w:szCs w:val="24"/>
          <w:rtl/>
        </w:rPr>
        <w:t>אפנה לדבריו של כב' השופט י. אלרון ב-</w:t>
      </w:r>
      <w:hyperlink r:id="rId26" w:history="1">
        <w:r w:rsidR="00DC0C2F" w:rsidRPr="00DC0C2F">
          <w:rPr>
            <w:rFonts w:ascii="David" w:hAnsi="David" w:cs="David"/>
            <w:color w:val="0000FF"/>
            <w:sz w:val="24"/>
            <w:szCs w:val="24"/>
            <w:u w:val="single"/>
            <w:rtl/>
          </w:rPr>
          <w:t>ע"פ 4406/19</w:t>
        </w:r>
      </w:hyperlink>
      <w:r>
        <w:rPr>
          <w:rFonts w:ascii="David" w:hAnsi="David" w:cs="David"/>
          <w:b/>
          <w:bCs/>
          <w:sz w:val="24"/>
          <w:szCs w:val="24"/>
          <w:rtl/>
        </w:rPr>
        <w:t xml:space="preserve"> </w:t>
      </w:r>
      <w:r>
        <w:rPr>
          <w:rFonts w:ascii="David" w:hAnsi="David" w:cs="David"/>
          <w:b/>
          <w:bCs/>
          <w:spacing w:val="0"/>
          <w:sz w:val="24"/>
          <w:szCs w:val="24"/>
          <w:rtl/>
        </w:rPr>
        <w:t xml:space="preserve">סובח נ' מדינת ישראל </w:t>
      </w:r>
      <w:r w:rsidR="002605EB" w:rsidRPr="002605EB">
        <w:rPr>
          <w:rFonts w:ascii="Times New Roman" w:hAnsi="Times New Roman" w:cs="David"/>
          <w:spacing w:val="0"/>
          <w:sz w:val="22"/>
          <w:szCs w:val="24"/>
          <w:rtl/>
        </w:rPr>
        <w:t xml:space="preserve">[פורסם בנבו] </w:t>
      </w:r>
      <w:r>
        <w:rPr>
          <w:rFonts w:ascii="David" w:hAnsi="David" w:cs="David"/>
          <w:sz w:val="24"/>
          <w:szCs w:val="24"/>
          <w:rtl/>
        </w:rPr>
        <w:t>(5.11.2019), בפסקה 16:</w:t>
      </w:r>
    </w:p>
    <w:p w14:paraId="6646E495" w14:textId="77777777" w:rsidR="00091FA6" w:rsidRDefault="00091FA6" w:rsidP="00923E98">
      <w:pPr>
        <w:pStyle w:val="Ruller50"/>
        <w:spacing w:line="360" w:lineRule="auto"/>
        <w:ind w:left="793" w:right="0"/>
        <w:rPr>
          <w:rFonts w:ascii="David" w:hAnsi="David" w:cs="David"/>
          <w:sz w:val="24"/>
          <w:szCs w:val="24"/>
          <w:rtl/>
        </w:rPr>
      </w:pPr>
    </w:p>
    <w:p w14:paraId="48BC0E42" w14:textId="77777777" w:rsidR="00091FA6" w:rsidRDefault="00091FA6" w:rsidP="00923E98">
      <w:pPr>
        <w:pStyle w:val="Ruller41"/>
        <w:tabs>
          <w:tab w:val="left" w:pos="800"/>
        </w:tabs>
        <w:adjustRightInd w:val="0"/>
        <w:spacing w:after="420"/>
        <w:ind w:left="1440"/>
        <w:textAlignment w:val="baseline"/>
        <w:rPr>
          <w:rFonts w:ascii="David" w:hAnsi="David" w:cs="David"/>
          <w:b/>
          <w:bCs/>
          <w:rtl/>
        </w:rPr>
      </w:pPr>
      <w:r>
        <w:rPr>
          <w:rFonts w:ascii="David" w:hAnsi="David" w:cs="David"/>
          <w:b/>
          <w:bCs/>
          <w:rtl/>
        </w:rPr>
        <w:t xml:space="preserve">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w:t>
      </w:r>
      <w:r>
        <w:rPr>
          <w:rFonts w:ascii="David" w:hAnsi="David" w:cs="David"/>
          <w:b/>
          <w:bCs/>
          <w:spacing w:val="0"/>
          <w:rtl/>
        </w:rPr>
        <w:t>התמודדות משטרת ישראל עם החזקת אמצעי לחימה לא חוקיים ואירועי ירי ביישובי החברה הערבית וביישובים מעורבים</w:t>
      </w:r>
      <w:r>
        <w:rPr>
          <w:rFonts w:ascii="David" w:hAnsi="David" w:cs="David"/>
          <w:b/>
          <w:bCs/>
          <w:rtl/>
        </w:rPr>
        <w:t xml:space="preserve"> 28 (2018)). </w:t>
      </w:r>
    </w:p>
    <w:p w14:paraId="717BC38E" w14:textId="77777777" w:rsidR="00091FA6" w:rsidRDefault="00091FA6" w:rsidP="00923E98">
      <w:pPr>
        <w:pStyle w:val="Ruller40"/>
        <w:ind w:left="1440"/>
        <w:rPr>
          <w:rFonts w:ascii="David" w:hAnsi="David" w:cs="David"/>
          <w:b/>
          <w:bCs/>
          <w:sz w:val="24"/>
          <w:szCs w:val="24"/>
          <w:rtl/>
        </w:rPr>
      </w:pPr>
      <w:r>
        <w:rPr>
          <w:rFonts w:ascii="David" w:hAnsi="David" w:cs="David"/>
          <w:b/>
          <w:bCs/>
          <w:sz w:val="24"/>
          <w:szCs w:val="24"/>
          <w:rtl/>
        </w:rPr>
        <w:t>על רקע המציאות אותה אנו חווים למרבה הצער מדי יום, אנו עדים לקריאה ציבורית נרגשת להגברת האכיפה כלפי עבירות נשק – ולהחמרה במדיניות הענישה הנוהגת....</w:t>
      </w:r>
    </w:p>
    <w:p w14:paraId="340A06AA" w14:textId="77777777" w:rsidR="00091FA6" w:rsidRDefault="00091FA6" w:rsidP="00923E98">
      <w:pPr>
        <w:pStyle w:val="Ruller40"/>
        <w:rPr>
          <w:rFonts w:ascii="David" w:hAnsi="David" w:cs="David"/>
          <w:b/>
          <w:bCs/>
          <w:sz w:val="24"/>
          <w:szCs w:val="24"/>
          <w:rtl/>
        </w:rPr>
      </w:pPr>
    </w:p>
    <w:p w14:paraId="7FAE66C5" w14:textId="77777777" w:rsidR="00091FA6" w:rsidRDefault="00091FA6" w:rsidP="00923E98">
      <w:pPr>
        <w:pStyle w:val="Ruller40"/>
        <w:ind w:left="1440"/>
        <w:rPr>
          <w:rFonts w:ascii="David" w:hAnsi="David" w:cs="David"/>
          <w:b/>
          <w:bCs/>
          <w:sz w:val="24"/>
          <w:szCs w:val="24"/>
          <w:rtl/>
        </w:rPr>
      </w:pPr>
      <w:r>
        <w:rPr>
          <w:rFonts w:ascii="David" w:hAnsi="David" w:cs="David"/>
          <w:b/>
          <w:bCs/>
          <w:sz w:val="24"/>
          <w:szCs w:val="24"/>
          <w:rtl/>
        </w:rPr>
        <w:t xml:space="preserve">דברים אלו אף באו לידי ביטוי לאחרונה בדברי הנשיאה </w:t>
      </w:r>
      <w:r>
        <w:rPr>
          <w:rFonts w:ascii="David" w:hAnsi="David" w:cs="David"/>
          <w:b/>
          <w:bCs/>
          <w:spacing w:val="0"/>
          <w:sz w:val="24"/>
          <w:szCs w:val="24"/>
          <w:rtl/>
        </w:rPr>
        <w:t>א' חיות</w:t>
      </w:r>
      <w:r>
        <w:rPr>
          <w:rFonts w:ascii="David" w:hAnsi="David" w:cs="David"/>
          <w:b/>
          <w:bCs/>
          <w:sz w:val="24"/>
          <w:szCs w:val="24"/>
          <w:rtl/>
        </w:rPr>
        <w:t xml:space="preserve"> בטקס פתיחת שנת המשפט הנוכחית של לשכת עורכי הדין בנצרת:</w:t>
      </w:r>
    </w:p>
    <w:p w14:paraId="60A98A8D" w14:textId="77777777" w:rsidR="00091FA6" w:rsidRDefault="00091FA6" w:rsidP="00923E98">
      <w:pPr>
        <w:pStyle w:val="Ruller50"/>
        <w:spacing w:line="360" w:lineRule="auto"/>
        <w:rPr>
          <w:rFonts w:ascii="David" w:hAnsi="David" w:cs="David"/>
          <w:b/>
          <w:bCs/>
          <w:sz w:val="24"/>
          <w:szCs w:val="24"/>
          <w:rtl/>
        </w:rPr>
      </w:pPr>
    </w:p>
    <w:p w14:paraId="63352E25" w14:textId="77777777" w:rsidR="00091FA6" w:rsidRDefault="00091FA6" w:rsidP="00923E98">
      <w:pPr>
        <w:pStyle w:val="Ruller50"/>
        <w:spacing w:line="360" w:lineRule="auto"/>
        <w:ind w:left="2160"/>
        <w:rPr>
          <w:rFonts w:ascii="David" w:hAnsi="David" w:cs="David"/>
          <w:b/>
          <w:bCs/>
          <w:sz w:val="24"/>
          <w:szCs w:val="24"/>
          <w:rtl/>
        </w:rPr>
      </w:pPr>
      <w:r>
        <w:rPr>
          <w:rFonts w:ascii="David" w:hAnsi="David" w:cs="David"/>
          <w:b/>
          <w:bCs/>
          <w:sz w:val="24"/>
          <w:szCs w:val="24"/>
          <w:rtl/>
        </w:rPr>
        <w:t>"מערכת בתי המשפט משקיעה מאמצים רבים בתחום זה, ובית המשפט העליון התווה וממשיך להתוות הלכות לאורך השנים באשר לרמת הענישה ההולמת את החומרה היתרה הגלומה בביצוע עבירות בנשק ובאשר לביטוי העונשי ההולם המתחייב מכך".</w:t>
      </w:r>
    </w:p>
    <w:p w14:paraId="0A382300" w14:textId="77777777" w:rsidR="00091FA6" w:rsidRDefault="00091FA6" w:rsidP="00923E98">
      <w:pPr>
        <w:pStyle w:val="Ruller40"/>
        <w:rPr>
          <w:rFonts w:ascii="David" w:hAnsi="David" w:cs="David"/>
          <w:b/>
          <w:bCs/>
          <w:sz w:val="24"/>
          <w:szCs w:val="24"/>
          <w:rtl/>
        </w:rPr>
      </w:pPr>
    </w:p>
    <w:p w14:paraId="26A37D82" w14:textId="77777777" w:rsidR="00091FA6" w:rsidRDefault="00091FA6" w:rsidP="00923E98">
      <w:pPr>
        <w:pStyle w:val="Ruller40"/>
        <w:ind w:left="1440"/>
        <w:rPr>
          <w:rFonts w:ascii="David" w:hAnsi="David" w:cs="David"/>
          <w:b/>
          <w:bCs/>
          <w:sz w:val="24"/>
          <w:szCs w:val="24"/>
          <w:rtl/>
        </w:rPr>
      </w:pPr>
      <w:r>
        <w:rPr>
          <w:rFonts w:ascii="David" w:hAnsi="David" w:cs="David"/>
          <w:b/>
          <w:bCs/>
          <w:sz w:val="24"/>
          <w:szCs w:val="24"/>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6912BB24" w14:textId="77777777" w:rsidR="00091FA6" w:rsidRDefault="00091FA6" w:rsidP="00923E98">
      <w:pPr>
        <w:pStyle w:val="Ruller40"/>
        <w:rPr>
          <w:rFonts w:ascii="David" w:hAnsi="David" w:cs="David"/>
          <w:b/>
          <w:bCs/>
          <w:sz w:val="24"/>
          <w:szCs w:val="24"/>
          <w:rtl/>
        </w:rPr>
      </w:pPr>
    </w:p>
    <w:p w14:paraId="0EA248E5" w14:textId="77777777" w:rsidR="00091FA6" w:rsidRDefault="00091FA6" w:rsidP="00923E98">
      <w:pPr>
        <w:pStyle w:val="Ruller40"/>
        <w:ind w:left="1440"/>
        <w:rPr>
          <w:rFonts w:ascii="David" w:hAnsi="David" w:cs="David"/>
          <w:b/>
          <w:bCs/>
          <w:sz w:val="24"/>
          <w:szCs w:val="24"/>
          <w:rtl/>
        </w:rPr>
      </w:pPr>
      <w:r>
        <w:rPr>
          <w:rFonts w:ascii="David" w:hAnsi="David" w:cs="David"/>
          <w:b/>
          <w:bCs/>
          <w:sz w:val="24"/>
          <w:szCs w:val="24"/>
          <w:rtl/>
        </w:rPr>
        <w:t>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w:t>
      </w:r>
    </w:p>
    <w:p w14:paraId="02D3337D" w14:textId="77777777" w:rsidR="00091FA6" w:rsidRDefault="00091FA6" w:rsidP="00923E98">
      <w:pPr>
        <w:pStyle w:val="Ruller40"/>
        <w:ind w:left="1440"/>
        <w:rPr>
          <w:sz w:val="22"/>
          <w:rtl/>
        </w:rPr>
      </w:pPr>
      <w:r>
        <w:rPr>
          <w:rFonts w:ascii="David" w:hAnsi="David" w:cs="David"/>
          <w:b/>
          <w:bCs/>
          <w:sz w:val="24"/>
          <w:szCs w:val="24"/>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p>
    <w:p w14:paraId="7B6B0205" w14:textId="77777777" w:rsidR="00091FA6" w:rsidRDefault="00091FA6" w:rsidP="00923E98">
      <w:pPr>
        <w:pStyle w:val="Ruller40"/>
        <w:ind w:left="1440"/>
        <w:rPr>
          <w:sz w:val="22"/>
          <w:rtl/>
        </w:rPr>
      </w:pPr>
    </w:p>
    <w:p w14:paraId="53398230" w14:textId="77777777" w:rsidR="00091FA6" w:rsidRDefault="00091FA6" w:rsidP="00923E98">
      <w:pPr>
        <w:pStyle w:val="Ruller50"/>
        <w:spacing w:line="360" w:lineRule="auto"/>
        <w:ind w:left="793" w:right="0"/>
        <w:rPr>
          <w:rFonts w:ascii="David" w:hAnsi="David" w:cs="David"/>
          <w:sz w:val="24"/>
          <w:szCs w:val="24"/>
          <w:rtl/>
        </w:rPr>
      </w:pPr>
      <w:r>
        <w:rPr>
          <w:rFonts w:ascii="David" w:hAnsi="David" w:cs="David"/>
          <w:sz w:val="24"/>
          <w:szCs w:val="24"/>
          <w:rtl/>
        </w:rPr>
        <w:t>וכן לדבריו של כב' השופט מ. מזוז:</w:t>
      </w:r>
    </w:p>
    <w:p w14:paraId="60444C78" w14:textId="77777777" w:rsidR="00091FA6" w:rsidRDefault="00091FA6" w:rsidP="00923E98">
      <w:pPr>
        <w:spacing w:line="360" w:lineRule="auto"/>
        <w:jc w:val="both"/>
        <w:rPr>
          <w:rFonts w:ascii="David" w:hAnsi="David"/>
          <w:b/>
          <w:bCs/>
          <w:rtl/>
        </w:rPr>
      </w:pPr>
    </w:p>
    <w:p w14:paraId="37367A0D" w14:textId="77777777" w:rsidR="00091FA6" w:rsidRDefault="00091FA6" w:rsidP="00923E98">
      <w:pPr>
        <w:spacing w:line="360" w:lineRule="auto"/>
        <w:ind w:left="1440"/>
        <w:jc w:val="both"/>
        <w:rPr>
          <w:rFonts w:ascii="David" w:hAnsi="David"/>
          <w:b/>
          <w:bCs/>
          <w:rtl/>
        </w:rPr>
      </w:pPr>
      <w:r>
        <w:rPr>
          <w:rFonts w:ascii="David" w:hAnsi="David"/>
          <w:b/>
          <w:bCs/>
          <w:rtl/>
        </w:rPr>
        <w:t>"התופעה של החזקת נשק שלא כדין על ידי אזרחים מהווה איום על שלום הציבור ועל הסדר הציבורי. היא התשתית ו'הגורם בלעדו איין' (</w:t>
      </w:r>
      <w:r>
        <w:rPr>
          <w:rFonts w:ascii="David" w:hAnsi="David"/>
          <w:b/>
          <w:bCs/>
        </w:rPr>
        <w:t>causa sine qua non</w:t>
      </w:r>
      <w:r>
        <w:rPr>
          <w:rFonts w:ascii="David" w:hAnsi="David"/>
          <w:b/>
          <w:bCs/>
          <w:rtl/>
        </w:rPr>
        <w:t>) למגוון רחב של עבירות, החל בעבירות איומים ושוד מזוין, המשך בעבירות גרימת חבלה חמורה וכלה בעבירות המתה [...] 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w:t>
      </w:r>
    </w:p>
    <w:p w14:paraId="3FF51220" w14:textId="77777777" w:rsidR="00091FA6" w:rsidRDefault="00091FA6" w:rsidP="00923E98">
      <w:pPr>
        <w:spacing w:line="360" w:lineRule="auto"/>
        <w:ind w:left="1440"/>
        <w:jc w:val="both"/>
        <w:rPr>
          <w:rFonts w:ascii="David" w:hAnsi="David"/>
          <w:b/>
          <w:bCs/>
          <w:rtl/>
        </w:rPr>
      </w:pPr>
    </w:p>
    <w:p w14:paraId="37C52174" w14:textId="77777777" w:rsidR="00091FA6" w:rsidRDefault="00091FA6" w:rsidP="00923E98">
      <w:pPr>
        <w:spacing w:line="360" w:lineRule="auto"/>
        <w:ind w:left="720"/>
        <w:jc w:val="both"/>
        <w:rPr>
          <w:rFonts w:ascii="David" w:hAnsi="David"/>
          <w:rtl/>
        </w:rPr>
      </w:pPr>
      <w:r>
        <w:rPr>
          <w:rFonts w:ascii="David" w:hAnsi="David"/>
          <w:rtl/>
        </w:rPr>
        <w:t xml:space="preserve">בענייננו, בל-נשכח, לצד עבירות הנשק בהן הורשע הנאשם, הוא הורשע אף בעבירה של הפרעה לשוטר במילוי תפקידו, וגם לכך יש ליתן את הדעת.  </w:t>
      </w:r>
    </w:p>
    <w:p w14:paraId="20A13217" w14:textId="77777777" w:rsidR="00091FA6" w:rsidRDefault="00091FA6" w:rsidP="00923E98">
      <w:pPr>
        <w:spacing w:line="360" w:lineRule="auto"/>
        <w:ind w:left="720"/>
        <w:jc w:val="both"/>
        <w:rPr>
          <w:rFonts w:ascii="David" w:hAnsi="David"/>
          <w:rtl/>
        </w:rPr>
      </w:pPr>
    </w:p>
    <w:p w14:paraId="630B52C0" w14:textId="77777777" w:rsidR="00091FA6" w:rsidRDefault="00091FA6" w:rsidP="00923E98">
      <w:pPr>
        <w:spacing w:line="360" w:lineRule="auto"/>
        <w:ind w:left="720"/>
        <w:jc w:val="both"/>
        <w:rPr>
          <w:rFonts w:ascii="David" w:hAnsi="David"/>
          <w:rtl/>
        </w:rPr>
      </w:pPr>
    </w:p>
    <w:p w14:paraId="44728B02" w14:textId="77777777" w:rsidR="00091FA6" w:rsidRDefault="00091FA6" w:rsidP="00923E98">
      <w:pPr>
        <w:spacing w:line="360" w:lineRule="auto"/>
        <w:ind w:left="720" w:hanging="720"/>
        <w:jc w:val="both"/>
        <w:rPr>
          <w:rFonts w:ascii="David" w:hAnsi="David"/>
          <w:rtl/>
        </w:rPr>
      </w:pPr>
      <w:r>
        <w:rPr>
          <w:rFonts w:ascii="David" w:hAnsi="David"/>
          <w:rtl/>
        </w:rPr>
        <w:t>10.</w:t>
      </w:r>
      <w:r>
        <w:rPr>
          <w:rFonts w:ascii="David" w:hAnsi="David"/>
          <w:rtl/>
        </w:rPr>
        <w:tab/>
        <w:t xml:space="preserve">במעשיו פגע הנאשם בביטחון הפרט והציבור, ובשלומו. </w:t>
      </w:r>
    </w:p>
    <w:p w14:paraId="794B9DD8" w14:textId="77777777" w:rsidR="00091FA6" w:rsidRDefault="00091FA6" w:rsidP="00923E98">
      <w:pPr>
        <w:spacing w:line="360" w:lineRule="auto"/>
        <w:ind w:left="720"/>
        <w:jc w:val="both"/>
        <w:rPr>
          <w:rFonts w:ascii="David" w:hAnsi="David"/>
          <w:rtl/>
        </w:rPr>
      </w:pPr>
      <w:r>
        <w:rPr>
          <w:rFonts w:ascii="David" w:hAnsi="David"/>
          <w:rtl/>
        </w:rPr>
        <w:t xml:space="preserve">ודוק, ראשית נשא הנאשם והוביל אקדח חצי-אוטומטי, </w:t>
      </w:r>
      <w:r>
        <w:rPr>
          <w:rFonts w:ascii="David" w:hAnsi="David"/>
          <w:b/>
          <w:bCs/>
          <w:u w:val="single"/>
          <w:rtl/>
        </w:rPr>
        <w:t>טעון</w:t>
      </w:r>
      <w:r>
        <w:rPr>
          <w:rFonts w:ascii="David" w:hAnsi="David"/>
          <w:rtl/>
        </w:rPr>
        <w:t xml:space="preserve"> במחסנית מתאימה ובתוכה </w:t>
      </w:r>
      <w:r>
        <w:rPr>
          <w:rFonts w:ascii="David" w:hAnsi="David"/>
          <w:b/>
          <w:bCs/>
          <w:u w:val="single"/>
          <w:rtl/>
        </w:rPr>
        <w:t>אחד עשר כדורים</w:t>
      </w:r>
      <w:r>
        <w:rPr>
          <w:rFonts w:ascii="David" w:hAnsi="David"/>
          <w:rtl/>
        </w:rPr>
        <w:t xml:space="preserve"> בקוטר 9 מ"מ, בלא רשות על-פי דין.</w:t>
      </w:r>
    </w:p>
    <w:p w14:paraId="64F36AAB" w14:textId="77777777" w:rsidR="00091FA6" w:rsidRDefault="00091FA6" w:rsidP="00923E98">
      <w:pPr>
        <w:spacing w:line="360" w:lineRule="auto"/>
        <w:ind w:left="720"/>
        <w:jc w:val="both"/>
        <w:rPr>
          <w:rFonts w:ascii="David" w:hAnsi="David"/>
          <w:rtl/>
        </w:rPr>
      </w:pPr>
    </w:p>
    <w:p w14:paraId="694FFE0E" w14:textId="77777777" w:rsidR="00091FA6" w:rsidRDefault="00091FA6" w:rsidP="00D020F2">
      <w:pPr>
        <w:spacing w:line="360" w:lineRule="auto"/>
        <w:ind w:left="720"/>
        <w:jc w:val="both"/>
        <w:rPr>
          <w:rFonts w:ascii="David" w:hAnsi="David"/>
          <w:rtl/>
        </w:rPr>
      </w:pPr>
      <w:r>
        <w:rPr>
          <w:rFonts w:ascii="David" w:hAnsi="David"/>
          <w:rtl/>
        </w:rPr>
        <w:t xml:space="preserve">בהמשך, עת הגיעו השוטרים למקום, הם הבחינו בנאשם, כשהוא רץ עם האקדח בידו לכיוון שטח מיוער הנמצא בסמוך למקום, אם לא די בכך, הרי שכאשר הבחין הנאשם בשוטרים, הוא המשיך בריצה לכיוון השטח המיוער במטרה לברוח מהם, זאת כאשר הוא נושא ומוביל את האקדח הטעון, אותו אחז בידו. </w:t>
      </w:r>
    </w:p>
    <w:p w14:paraId="3CD25A6B" w14:textId="77777777" w:rsidR="00091FA6" w:rsidRDefault="00091FA6" w:rsidP="00D020F2">
      <w:pPr>
        <w:spacing w:line="360" w:lineRule="auto"/>
        <w:ind w:left="720"/>
        <w:jc w:val="both"/>
        <w:rPr>
          <w:rFonts w:ascii="David" w:hAnsi="David"/>
          <w:rtl/>
        </w:rPr>
      </w:pPr>
    </w:p>
    <w:p w14:paraId="6CE393F5" w14:textId="77777777" w:rsidR="00091FA6" w:rsidRDefault="00091FA6" w:rsidP="00923E98">
      <w:pPr>
        <w:spacing w:line="360" w:lineRule="auto"/>
        <w:ind w:left="720"/>
        <w:jc w:val="both"/>
        <w:rPr>
          <w:rFonts w:ascii="David" w:hAnsi="David"/>
          <w:rtl/>
        </w:rPr>
      </w:pPr>
      <w:r>
        <w:rPr>
          <w:rFonts w:ascii="David" w:hAnsi="David"/>
          <w:rtl/>
        </w:rPr>
        <w:t xml:space="preserve">הנאשם המשיך בריצה, גם לאחר שהשוטרים צעקו לעברו מספר פעמים "עצור משטרה", וגם לאחר שביצעו ירי באוויר על-מנת לגרום לו לעצור. במהלך בריחתו, בשטח המיוער, השליך הנאשם את האקדח והמחסנית, והמשיך בבריחה, עד אשר נלכד על-ידי שוטרים נוספים, </w:t>
      </w:r>
      <w:r>
        <w:rPr>
          <w:rFonts w:ascii="David" w:hAnsi="David"/>
          <w:b/>
          <w:bCs/>
          <w:u w:val="single"/>
          <w:rtl/>
        </w:rPr>
        <w:t>לאחר מרדף של כ-350 מטרים</w:t>
      </w:r>
      <w:r>
        <w:rPr>
          <w:rFonts w:ascii="David" w:hAnsi="David"/>
          <w:rtl/>
        </w:rPr>
        <w:t>.</w:t>
      </w:r>
    </w:p>
    <w:p w14:paraId="71B01D14" w14:textId="77777777" w:rsidR="00091FA6" w:rsidRDefault="00091FA6" w:rsidP="00923E98">
      <w:pPr>
        <w:spacing w:line="360" w:lineRule="auto"/>
        <w:ind w:left="720"/>
        <w:jc w:val="both"/>
        <w:rPr>
          <w:rFonts w:ascii="David" w:hAnsi="David"/>
          <w:rtl/>
        </w:rPr>
      </w:pPr>
    </w:p>
    <w:p w14:paraId="0C588ADE" w14:textId="77777777" w:rsidR="00091FA6" w:rsidRDefault="00091FA6" w:rsidP="00923E98">
      <w:pPr>
        <w:spacing w:line="360" w:lineRule="auto"/>
        <w:ind w:left="720" w:hanging="720"/>
        <w:jc w:val="both"/>
        <w:rPr>
          <w:rFonts w:ascii="David" w:hAnsi="David"/>
          <w:rtl/>
        </w:rPr>
      </w:pPr>
      <w:r>
        <w:rPr>
          <w:rFonts w:ascii="David" w:hAnsi="David"/>
          <w:rtl/>
        </w:rPr>
        <w:tab/>
        <w:t>עולה בבירור מן האמור לעיל, כי לנאשם היו הזדמנויות למכביר לעצור את מעשיו, דא עקא, הוא לא עשה כן. נהפוך הוא – הנאשם עשה כל שלאל ידו על-מנת לוודא שלא הוא ולא האקדח והמחסנית "ייפלו" לידי רשויות אכיפת החוק.</w:t>
      </w:r>
    </w:p>
    <w:p w14:paraId="3BD43134" w14:textId="77777777" w:rsidR="00091FA6" w:rsidRDefault="00091FA6" w:rsidP="00923E98">
      <w:pPr>
        <w:spacing w:line="360" w:lineRule="auto"/>
        <w:ind w:left="720" w:hanging="720"/>
        <w:jc w:val="both"/>
        <w:rPr>
          <w:rFonts w:ascii="David" w:hAnsi="David"/>
          <w:rtl/>
        </w:rPr>
      </w:pPr>
    </w:p>
    <w:p w14:paraId="56706777" w14:textId="77777777" w:rsidR="00091FA6" w:rsidRDefault="00091FA6" w:rsidP="00923E98">
      <w:pPr>
        <w:pStyle w:val="Ruller40"/>
        <w:ind w:left="720" w:hanging="720"/>
        <w:rPr>
          <w:rFonts w:ascii="David" w:hAnsi="David" w:cs="David"/>
          <w:sz w:val="24"/>
          <w:szCs w:val="24"/>
          <w:rtl/>
        </w:rPr>
      </w:pPr>
      <w:r>
        <w:rPr>
          <w:rFonts w:ascii="David" w:hAnsi="David" w:cs="David"/>
          <w:sz w:val="24"/>
          <w:szCs w:val="24"/>
          <w:rtl/>
        </w:rPr>
        <w:t>11.</w:t>
      </w:r>
      <w:r>
        <w:rPr>
          <w:rFonts w:ascii="David" w:hAnsi="David" w:cs="David"/>
          <w:sz w:val="24"/>
          <w:szCs w:val="24"/>
          <w:rtl/>
        </w:rPr>
        <w:tab/>
        <w:t>באשר למדיניות הענישה הנוהגת, הפנו באי-כוח הצדדים לפסיקה רלוונטית, ואף הגישו לעיוני פסיקה הן של בית המשפט העליון והן של בתי המשפט המחוזיים.</w:t>
      </w:r>
    </w:p>
    <w:p w14:paraId="313E1653" w14:textId="77777777" w:rsidR="00091FA6" w:rsidRDefault="00091FA6" w:rsidP="00923E98">
      <w:pPr>
        <w:pStyle w:val="Ruller40"/>
        <w:rPr>
          <w:rFonts w:ascii="David" w:hAnsi="David" w:cs="David"/>
          <w:sz w:val="24"/>
          <w:szCs w:val="24"/>
          <w:rtl/>
        </w:rPr>
      </w:pPr>
    </w:p>
    <w:p w14:paraId="35EB3CAE" w14:textId="77777777" w:rsidR="00091FA6" w:rsidRDefault="00091FA6" w:rsidP="00923E98">
      <w:pPr>
        <w:spacing w:line="360" w:lineRule="auto"/>
        <w:ind w:left="720"/>
        <w:jc w:val="both"/>
        <w:rPr>
          <w:rFonts w:ascii="David" w:hAnsi="David"/>
          <w:rtl/>
        </w:rPr>
      </w:pPr>
      <w:r>
        <w:rPr>
          <w:rFonts w:ascii="David" w:hAnsi="David"/>
          <w:rtl/>
        </w:rPr>
        <w:t xml:space="preserve">מן החומר האמור, עולה, כי קיים מנעד רחב ביותר של פסיקה באשר לענישה בעבירות האמורות. מחד-גיסא, קיימת פסיקה שבה הסתפקו בתי המשפט בהטלת עונש מאסר לריצוי </w:t>
      </w:r>
    </w:p>
    <w:p w14:paraId="1C83A07A" w14:textId="77777777" w:rsidR="00091FA6" w:rsidRDefault="00091FA6" w:rsidP="00923E98">
      <w:pPr>
        <w:spacing w:line="360" w:lineRule="auto"/>
        <w:ind w:left="720"/>
        <w:jc w:val="both"/>
        <w:rPr>
          <w:rFonts w:ascii="David" w:hAnsi="David"/>
          <w:rtl/>
        </w:rPr>
      </w:pPr>
    </w:p>
    <w:p w14:paraId="00B023D1" w14:textId="77777777" w:rsidR="00091FA6" w:rsidRDefault="00091FA6" w:rsidP="00923E98">
      <w:pPr>
        <w:spacing w:line="360" w:lineRule="auto"/>
        <w:ind w:left="720"/>
        <w:jc w:val="both"/>
        <w:rPr>
          <w:rFonts w:ascii="David" w:hAnsi="David"/>
          <w:rtl/>
        </w:rPr>
      </w:pPr>
      <w:r>
        <w:rPr>
          <w:rFonts w:ascii="David" w:hAnsi="David"/>
          <w:rtl/>
        </w:rPr>
        <w:t>בעבודות שירות, ומאידך גיסא, קיימת פסיקה, שבה עמדו בתי המשפט על-כך שלא ניתן להימנע בעבירה מסוג זה מלהטיל על הנאשם עונש של מאסר בפועל לריצוי מאחורי סורג ובריח.</w:t>
      </w:r>
    </w:p>
    <w:p w14:paraId="005AC4F3" w14:textId="77777777" w:rsidR="00091FA6" w:rsidRDefault="00091FA6" w:rsidP="00923E98">
      <w:pPr>
        <w:spacing w:line="360" w:lineRule="auto"/>
        <w:ind w:left="720"/>
        <w:jc w:val="both"/>
        <w:rPr>
          <w:rFonts w:ascii="David" w:hAnsi="David"/>
          <w:rtl/>
        </w:rPr>
      </w:pPr>
    </w:p>
    <w:p w14:paraId="35423E59" w14:textId="77777777" w:rsidR="00091FA6" w:rsidRDefault="00091FA6" w:rsidP="00923E98">
      <w:pPr>
        <w:spacing w:line="360" w:lineRule="auto"/>
        <w:ind w:left="720" w:hanging="720"/>
        <w:jc w:val="both"/>
        <w:rPr>
          <w:rFonts w:ascii="David" w:hAnsi="David"/>
          <w:rtl/>
        </w:rPr>
      </w:pPr>
      <w:r>
        <w:rPr>
          <w:rFonts w:ascii="David" w:hAnsi="David"/>
          <w:rtl/>
        </w:rPr>
        <w:tab/>
        <w:t>קראתי את הפסיקה אליה הפנו הצדדים, עת מן הפסיקה אליה הפנתה המאשימה עולות נסיבות חמורות מן הנסיבות אשר מתוארות בכתב-האישום בענייננו, לרבות ריבוי עבירות, נאשמים בעלי עבר פלילי מכביד, ועוד.</w:t>
      </w:r>
    </w:p>
    <w:p w14:paraId="495EB7C8" w14:textId="77777777" w:rsidR="00091FA6" w:rsidRDefault="00091FA6" w:rsidP="00923E98">
      <w:pPr>
        <w:spacing w:line="360" w:lineRule="auto"/>
        <w:ind w:left="720" w:hanging="720"/>
        <w:jc w:val="both"/>
        <w:rPr>
          <w:rFonts w:ascii="David" w:hAnsi="David"/>
          <w:rtl/>
        </w:rPr>
      </w:pPr>
    </w:p>
    <w:p w14:paraId="51BD40C2" w14:textId="77777777" w:rsidR="00091FA6" w:rsidRDefault="00091FA6" w:rsidP="00923E98">
      <w:pPr>
        <w:spacing w:line="360" w:lineRule="auto"/>
        <w:ind w:left="720"/>
        <w:jc w:val="both"/>
        <w:rPr>
          <w:rFonts w:ascii="David" w:hAnsi="David"/>
          <w:rtl/>
        </w:rPr>
      </w:pPr>
      <w:r>
        <w:rPr>
          <w:rFonts w:ascii="David" w:hAnsi="David"/>
          <w:rtl/>
        </w:rPr>
        <w:t>מנגד, מן  הפסיקה אליה הפנה ב"כ הנאשם עולה, כי גם בהן הנסיבות שונות בתכלית מאלו שבעניינו של הנאשם שבפניי, לרבות נאשם בעל מצב בריאותי קשה ביותר, וכן העובדה, כי חלקן נדונו בערכאות הערעור השונות, וכי ערכאת הערעור אינה נוטה למצות את חומרת הדין עם הנאשמים.</w:t>
      </w:r>
    </w:p>
    <w:p w14:paraId="646A28CB" w14:textId="77777777" w:rsidR="00091FA6" w:rsidRDefault="00091FA6" w:rsidP="00923E98">
      <w:pPr>
        <w:spacing w:line="360" w:lineRule="auto"/>
        <w:ind w:left="720"/>
        <w:jc w:val="both"/>
        <w:rPr>
          <w:rFonts w:ascii="David" w:hAnsi="David"/>
          <w:rtl/>
        </w:rPr>
      </w:pPr>
    </w:p>
    <w:p w14:paraId="57ABD72D" w14:textId="77777777" w:rsidR="00091FA6" w:rsidRDefault="00091FA6" w:rsidP="00923E98">
      <w:pPr>
        <w:spacing w:line="360" w:lineRule="auto"/>
        <w:ind w:left="720"/>
        <w:jc w:val="both"/>
        <w:rPr>
          <w:rFonts w:ascii="David" w:hAnsi="David"/>
          <w:rtl/>
        </w:rPr>
      </w:pPr>
      <w:r>
        <w:rPr>
          <w:rFonts w:ascii="David" w:hAnsi="David"/>
          <w:rtl/>
        </w:rPr>
        <w:t>מקריאה מעמיקה של פסיקת בית המשפט העליון, עולה, כי שופטיו התוו בפסיקה ארוכת-שנים את מדיניות הענישה הראויה בעבירות נשק.</w:t>
      </w:r>
    </w:p>
    <w:p w14:paraId="766AB49B" w14:textId="77777777" w:rsidR="00091FA6" w:rsidRDefault="00091FA6" w:rsidP="00923E98">
      <w:pPr>
        <w:spacing w:line="360" w:lineRule="auto"/>
        <w:ind w:left="720"/>
        <w:jc w:val="both"/>
        <w:rPr>
          <w:rFonts w:ascii="David" w:hAnsi="David"/>
          <w:rtl/>
        </w:rPr>
      </w:pPr>
    </w:p>
    <w:p w14:paraId="769FA7A6" w14:textId="77777777" w:rsidR="00091FA6" w:rsidRDefault="00091FA6" w:rsidP="00923E98">
      <w:pPr>
        <w:spacing w:line="360" w:lineRule="auto"/>
        <w:ind w:left="720" w:hanging="720"/>
        <w:jc w:val="both"/>
        <w:rPr>
          <w:rFonts w:ascii="David" w:hAnsi="David"/>
          <w:rtl/>
        </w:rPr>
      </w:pPr>
      <w:r>
        <w:rPr>
          <w:rFonts w:ascii="David" w:hAnsi="David"/>
          <w:rtl/>
        </w:rPr>
        <w:tab/>
        <w:t>אפנה לדבריה של כב' הנשיאה, השופטת א. חיות ב עניין ג'באלי:</w:t>
      </w:r>
    </w:p>
    <w:p w14:paraId="65EF898F" w14:textId="77777777" w:rsidR="00091FA6" w:rsidRDefault="00091FA6" w:rsidP="00923E98">
      <w:pPr>
        <w:pStyle w:val="Ruller41"/>
        <w:ind w:left="1440"/>
        <w:rPr>
          <w:rFonts w:ascii="David" w:hAnsi="David" w:cs="David"/>
          <w:b/>
          <w:bCs/>
          <w:spacing w:val="0"/>
          <w:rtl/>
        </w:rPr>
      </w:pPr>
    </w:p>
    <w:p w14:paraId="317D0F56" w14:textId="77777777" w:rsidR="00091FA6" w:rsidRDefault="00091FA6" w:rsidP="00923E98">
      <w:pPr>
        <w:pStyle w:val="Ruller41"/>
        <w:ind w:left="1440"/>
        <w:rPr>
          <w:rFonts w:ascii="David" w:hAnsi="David" w:cs="David"/>
          <w:rtl/>
        </w:rPr>
      </w:pPr>
      <w:r>
        <w:rPr>
          <w:rFonts w:ascii="David" w:hAnsi="David" w:cs="David"/>
          <w:b/>
          <w:bCs/>
          <w:spacing w:val="0"/>
          <w:rtl/>
        </w:rPr>
        <w:t xml:space="preserve">"בית משפט זה עמד פעמים רבות על </w:t>
      </w:r>
      <w:r>
        <w:rPr>
          <w:rFonts w:ascii="David" w:hAnsi="David" w:cs="David"/>
          <w:b/>
          <w:bCs/>
          <w:rtl/>
        </w:rPr>
        <w:t xml:space="preserve">החומרה היתרה הגלומה בביצוע עבירות בנשק ובכללן העבירה של החזקת נשק או נשיאתו שלא כדין. </w:t>
      </w:r>
      <w:r>
        <w:rPr>
          <w:rFonts w:ascii="David" w:hAnsi="David" w:cs="David"/>
          <w:b/>
          <w:bCs/>
          <w:u w:val="single"/>
          <w:rtl/>
        </w:rPr>
        <w:t>עבירות אלה מקימות סיכון חמור לשלום הציבור וביטחונו ומחייבות "ליתן ביטוי עונשי הולם ומרתיע באמצעות הרחקת מבצע העבירה מן החברה לתקופת מאסר ממשית לריצוי בפועל</w:t>
      </w:r>
      <w:r>
        <w:rPr>
          <w:rFonts w:ascii="David" w:hAnsi="David" w:cs="David"/>
          <w:b/>
          <w:bCs/>
          <w:rtl/>
        </w:rPr>
        <w:t>" (</w:t>
      </w:r>
      <w:hyperlink r:id="rId27" w:history="1">
        <w:r w:rsidR="00DC0C2F" w:rsidRPr="00DC0C2F">
          <w:rPr>
            <w:rFonts w:ascii="David" w:hAnsi="David" w:cs="David"/>
            <w:b/>
            <w:bCs/>
            <w:color w:val="0000FF"/>
            <w:u w:val="single"/>
            <w:rtl/>
          </w:rPr>
          <w:t>ע"פ 5120/11</w:t>
        </w:r>
      </w:hyperlink>
      <w:r>
        <w:rPr>
          <w:rFonts w:ascii="David" w:hAnsi="David" w:cs="David"/>
          <w:b/>
          <w:bCs/>
          <w:spacing w:val="0"/>
          <w:rtl/>
        </w:rPr>
        <w:t xml:space="preserve"> שתיווי נ' מדינת ישראל, [פורסם בנבו] בפסקה 5 </w:t>
      </w:r>
      <w:r>
        <w:rPr>
          <w:rFonts w:ascii="David" w:hAnsi="David" w:cs="David"/>
          <w:b/>
          <w:bCs/>
          <w:rtl/>
        </w:rPr>
        <w:t xml:space="preserve">(18.12.2011); </w:t>
      </w:r>
      <w:hyperlink r:id="rId28" w:history="1">
        <w:r w:rsidR="00DC0C2F" w:rsidRPr="00DC0C2F">
          <w:rPr>
            <w:rFonts w:ascii="David" w:hAnsi="David" w:cs="David"/>
            <w:b/>
            <w:bCs/>
            <w:color w:val="0000FF"/>
            <w:u w:val="single"/>
            <w:rtl/>
          </w:rPr>
          <w:t>ע"פ 4329/10</w:t>
        </w:r>
      </w:hyperlink>
      <w:r>
        <w:rPr>
          <w:rFonts w:ascii="David" w:hAnsi="David" w:cs="David"/>
          <w:b/>
          <w:bCs/>
          <w:rtl/>
        </w:rPr>
        <w:t xml:space="preserve"> </w:t>
      </w:r>
      <w:r>
        <w:rPr>
          <w:rFonts w:ascii="David" w:hAnsi="David" w:cs="David"/>
          <w:b/>
          <w:bCs/>
          <w:spacing w:val="0"/>
          <w:rtl/>
        </w:rPr>
        <w:t>פלוני נ' מדינת ישראל</w:t>
      </w:r>
      <w:r>
        <w:rPr>
          <w:rFonts w:ascii="David" w:hAnsi="David" w:cs="David"/>
          <w:b/>
          <w:bCs/>
          <w:rtl/>
        </w:rPr>
        <w:t xml:space="preserve"> </w:t>
      </w:r>
      <w:r>
        <w:rPr>
          <w:rFonts w:ascii="David" w:hAnsi="David" w:cs="David"/>
          <w:b/>
          <w:bCs/>
          <w:spacing w:val="0"/>
          <w:rtl/>
        </w:rPr>
        <w:t xml:space="preserve">[פורסם בנבו] </w:t>
      </w:r>
      <w:r>
        <w:rPr>
          <w:rFonts w:ascii="David" w:hAnsi="David" w:cs="David"/>
          <w:b/>
          <w:bCs/>
          <w:rtl/>
        </w:rPr>
        <w:t>(25.10.2010)). עוד נפסק כי חומרתן של העבירות בנשק אינה מסתכמת רק בנזק שאירע בפועל, כי אם</w:t>
      </w:r>
      <w:r>
        <w:rPr>
          <w:rFonts w:ascii="David" w:hAnsi="David" w:cs="David"/>
          <w:b/>
          <w:bCs/>
          <w:spacing w:val="0"/>
          <w:rtl/>
        </w:rPr>
        <w:t xml:space="preserve"> בפוטנציאל </w:t>
      </w:r>
      <w:r>
        <w:rPr>
          <w:rFonts w:ascii="David" w:hAnsi="David" w:cs="David"/>
          <w:b/>
          <w:bCs/>
          <w:rtl/>
        </w:rPr>
        <w:t>הנזק הנובע מאותן עבירות (</w:t>
      </w:r>
      <w:hyperlink r:id="rId29" w:history="1">
        <w:r w:rsidR="00DC0C2F" w:rsidRPr="00DC0C2F">
          <w:rPr>
            <w:rFonts w:ascii="David" w:hAnsi="David" w:cs="David"/>
            <w:b/>
            <w:bCs/>
            <w:color w:val="0000FF"/>
            <w:u w:val="single"/>
            <w:rtl/>
          </w:rPr>
          <w:t>ע"פ 116/13</w:t>
        </w:r>
      </w:hyperlink>
      <w:r>
        <w:rPr>
          <w:rFonts w:ascii="David" w:hAnsi="David" w:cs="David"/>
          <w:b/>
          <w:bCs/>
          <w:spacing w:val="0"/>
          <w:rtl/>
        </w:rPr>
        <w:t xml:space="preserve"> וקנין נ' מדינת ישראל</w:t>
      </w:r>
      <w:r>
        <w:rPr>
          <w:rFonts w:ascii="David" w:hAnsi="David" w:cs="David"/>
          <w:b/>
          <w:bCs/>
          <w:rtl/>
        </w:rPr>
        <w:t xml:space="preserve">, </w:t>
      </w:r>
      <w:r>
        <w:rPr>
          <w:rFonts w:ascii="David" w:hAnsi="David" w:cs="David"/>
          <w:b/>
          <w:bCs/>
          <w:spacing w:val="0"/>
          <w:rtl/>
        </w:rPr>
        <w:t xml:space="preserve">[פורסם בנבו] </w:t>
      </w:r>
      <w:r>
        <w:rPr>
          <w:rFonts w:ascii="David" w:hAnsi="David" w:cs="David"/>
          <w:b/>
          <w:bCs/>
          <w:rtl/>
        </w:rPr>
        <w:t xml:space="preserve">בפסקה 7 (31.7.2013))" </w:t>
      </w:r>
      <w:r>
        <w:rPr>
          <w:rFonts w:ascii="David" w:hAnsi="David" w:cs="David"/>
          <w:rtl/>
        </w:rPr>
        <w:t>(ההדגשה אינה במקור).</w:t>
      </w:r>
    </w:p>
    <w:p w14:paraId="25C22EA9" w14:textId="77777777" w:rsidR="00091FA6" w:rsidRDefault="00091FA6" w:rsidP="00923E98">
      <w:pPr>
        <w:pStyle w:val="Ruller40"/>
        <w:ind w:left="720"/>
        <w:rPr>
          <w:rFonts w:ascii="David" w:hAnsi="David" w:cs="David"/>
          <w:sz w:val="24"/>
          <w:szCs w:val="24"/>
          <w:rtl/>
        </w:rPr>
      </w:pPr>
    </w:p>
    <w:p w14:paraId="2584C9C3" w14:textId="77777777" w:rsidR="00091FA6" w:rsidRDefault="00091FA6" w:rsidP="00923E98">
      <w:pPr>
        <w:pStyle w:val="Ruller40"/>
        <w:ind w:left="720"/>
        <w:rPr>
          <w:rFonts w:ascii="David" w:hAnsi="David" w:cs="David"/>
          <w:sz w:val="24"/>
          <w:szCs w:val="24"/>
          <w:rtl/>
        </w:rPr>
      </w:pPr>
      <w:r>
        <w:rPr>
          <w:rFonts w:ascii="David" w:hAnsi="David" w:cs="David"/>
          <w:sz w:val="24"/>
          <w:szCs w:val="24"/>
          <w:rtl/>
        </w:rPr>
        <w:t>עוד ובנוסף אפנה לפסק-דינו של כב' השופט ע. פוגלמן מן העת האחרונה, ממנו אף עולה, כי קיימת מגמה של החמרה בענישה בעבירות הנשק:</w:t>
      </w:r>
    </w:p>
    <w:p w14:paraId="723CF270" w14:textId="77777777" w:rsidR="00091FA6" w:rsidRDefault="00091FA6" w:rsidP="00923E98">
      <w:pPr>
        <w:pStyle w:val="Ruller40"/>
        <w:ind w:left="720"/>
        <w:rPr>
          <w:rFonts w:ascii="David" w:hAnsi="David" w:cs="David"/>
          <w:sz w:val="24"/>
          <w:szCs w:val="24"/>
          <w:rtl/>
        </w:rPr>
      </w:pPr>
    </w:p>
    <w:p w14:paraId="272DA029" w14:textId="77777777" w:rsidR="00091FA6" w:rsidRDefault="00091FA6" w:rsidP="00923E98">
      <w:pPr>
        <w:pStyle w:val="Ruller40"/>
        <w:ind w:left="720"/>
        <w:rPr>
          <w:rFonts w:ascii="David" w:hAnsi="David" w:cs="David"/>
          <w:sz w:val="24"/>
          <w:szCs w:val="24"/>
          <w:rtl/>
        </w:rPr>
      </w:pPr>
      <w:r>
        <w:rPr>
          <w:rFonts w:ascii="David" w:hAnsi="David" w:cs="David"/>
          <w:sz w:val="24"/>
          <w:szCs w:val="24"/>
          <w:rtl/>
        </w:rPr>
        <w:t xml:space="preserve"> ר' </w:t>
      </w:r>
      <w:hyperlink r:id="rId30" w:history="1">
        <w:r w:rsidR="00DC0C2F" w:rsidRPr="00DC0C2F">
          <w:rPr>
            <w:rFonts w:ascii="David" w:hAnsi="David" w:cs="David"/>
            <w:color w:val="0000FF"/>
            <w:sz w:val="24"/>
            <w:szCs w:val="24"/>
            <w:u w:val="single"/>
            <w:rtl/>
          </w:rPr>
          <w:t>ע"פ 8017/20</w:t>
        </w:r>
      </w:hyperlink>
      <w:r>
        <w:rPr>
          <w:rFonts w:ascii="David" w:hAnsi="David" w:cs="David"/>
          <w:sz w:val="24"/>
          <w:szCs w:val="24"/>
          <w:rtl/>
        </w:rPr>
        <w:t xml:space="preserve"> </w:t>
      </w:r>
      <w:r>
        <w:rPr>
          <w:rFonts w:ascii="David" w:hAnsi="David" w:cs="David"/>
          <w:b/>
          <w:bCs/>
          <w:sz w:val="24"/>
          <w:szCs w:val="24"/>
          <w:rtl/>
        </w:rPr>
        <w:t>מדינת ישראל נ' פאדי גריפאת</w:t>
      </w:r>
      <w:r>
        <w:rPr>
          <w:rFonts w:ascii="David" w:hAnsi="David" w:cs="David"/>
          <w:sz w:val="24"/>
          <w:szCs w:val="24"/>
          <w:rtl/>
        </w:rPr>
        <w:t xml:space="preserve"> </w:t>
      </w:r>
      <w:r w:rsidR="002605EB" w:rsidRPr="002605EB">
        <w:rPr>
          <w:rFonts w:ascii="Times New Roman" w:hAnsi="Times New Roman" w:cs="David"/>
          <w:spacing w:val="0"/>
          <w:sz w:val="22"/>
          <w:szCs w:val="24"/>
          <w:rtl/>
        </w:rPr>
        <w:t xml:space="preserve">[פורסם בנבו] </w:t>
      </w:r>
      <w:r>
        <w:rPr>
          <w:rFonts w:ascii="David" w:hAnsi="David" w:cs="David"/>
          <w:sz w:val="24"/>
          <w:szCs w:val="24"/>
          <w:rtl/>
        </w:rPr>
        <w:t>(22.12.2020):</w:t>
      </w:r>
    </w:p>
    <w:p w14:paraId="1C6606E9" w14:textId="77777777" w:rsidR="00091FA6" w:rsidRDefault="00091FA6" w:rsidP="00923E98">
      <w:pPr>
        <w:pStyle w:val="Ruller40"/>
        <w:rPr>
          <w:rFonts w:ascii="David" w:hAnsi="David" w:cs="David"/>
          <w:sz w:val="24"/>
          <w:szCs w:val="24"/>
          <w:rtl/>
        </w:rPr>
      </w:pPr>
      <w:r>
        <w:rPr>
          <w:rFonts w:ascii="David" w:hAnsi="David" w:cs="David"/>
          <w:sz w:val="24"/>
          <w:szCs w:val="24"/>
          <w:rtl/>
        </w:rPr>
        <w:t xml:space="preserve"> </w:t>
      </w:r>
      <w:r>
        <w:rPr>
          <w:rFonts w:ascii="David" w:hAnsi="David" w:cs="David"/>
          <w:sz w:val="24"/>
          <w:szCs w:val="24"/>
          <w:rtl/>
        </w:rPr>
        <w:tab/>
      </w:r>
    </w:p>
    <w:p w14:paraId="1123CD19" w14:textId="77777777" w:rsidR="00091FA6" w:rsidRDefault="00091FA6" w:rsidP="00923E98">
      <w:pPr>
        <w:spacing w:line="360" w:lineRule="auto"/>
        <w:ind w:left="1440" w:hanging="720"/>
        <w:jc w:val="both"/>
        <w:rPr>
          <w:rFonts w:ascii="David" w:hAnsi="David"/>
          <w:rtl/>
        </w:rPr>
      </w:pPr>
      <w:r>
        <w:rPr>
          <w:rFonts w:ascii="David" w:hAnsi="David"/>
          <w:rtl/>
        </w:rPr>
        <w:tab/>
      </w:r>
      <w:r>
        <w:rPr>
          <w:rFonts w:ascii="David" w:hAnsi="David"/>
          <w:b/>
          <w:bCs/>
          <w:rtl/>
        </w:rPr>
        <w:t xml:space="preserve">"בית משפט זה עמד בשורה ארוכה של פסקי דין על החומרה היתרה של עבירות הנשק ועל הסכנה הגבוהה שנשקפת מהן לשלום הציבור ולביטחונו (ראו, מיני רבים, </w:t>
      </w:r>
      <w:hyperlink r:id="rId31" w:history="1">
        <w:r w:rsidR="00DC0C2F" w:rsidRPr="00DC0C2F">
          <w:rPr>
            <w:rFonts w:ascii="David" w:hAnsi="David"/>
            <w:b/>
            <w:bCs/>
            <w:color w:val="0000FF"/>
            <w:u w:val="single"/>
            <w:rtl/>
          </w:rPr>
          <w:t>ע"פ 1944/20</w:t>
        </w:r>
      </w:hyperlink>
      <w:r>
        <w:rPr>
          <w:rFonts w:ascii="David" w:hAnsi="David"/>
          <w:b/>
          <w:bCs/>
          <w:rtl/>
        </w:rPr>
        <w:t xml:space="preserve"> מדינת ישראל נ' אמארה, [פורסם בנבו] פסקה 10 (2.9.2020) (להלן: עניין אמארה); עניין געביס, פסקה 8). חומרתן של עבירות אלו נובעת, בין היתר, גם מהחשש כי הנשק יועבר למי שמתכוון לעשות בו שימוש לפעילות עבריינית או לפעילות טרור (</w:t>
      </w:r>
      <w:hyperlink r:id="rId32" w:history="1">
        <w:r w:rsidR="00DC0C2F" w:rsidRPr="00DC0C2F">
          <w:rPr>
            <w:rFonts w:ascii="David" w:hAnsi="David"/>
            <w:b/>
            <w:bCs/>
            <w:color w:val="0000FF"/>
            <w:u w:val="single"/>
            <w:rtl/>
          </w:rPr>
          <w:t>ע"פ 4945/13</w:t>
        </w:r>
      </w:hyperlink>
      <w:r>
        <w:rPr>
          <w:rFonts w:ascii="David" w:hAnsi="David"/>
          <w:b/>
          <w:bCs/>
          <w:rtl/>
        </w:rPr>
        <w:t xml:space="preserve"> מדינת ישראל נ' סלימאן [פורסם בנבו] (19.1.2014); </w:t>
      </w:r>
      <w:hyperlink r:id="rId33" w:history="1">
        <w:r w:rsidR="00DC0C2F" w:rsidRPr="00DC0C2F">
          <w:rPr>
            <w:rFonts w:ascii="David" w:hAnsi="David"/>
            <w:b/>
            <w:bCs/>
            <w:color w:val="0000FF"/>
            <w:u w:val="single"/>
            <w:rtl/>
          </w:rPr>
          <w:t>ע"פ 2251/11</w:t>
        </w:r>
      </w:hyperlink>
      <w:r>
        <w:rPr>
          <w:rFonts w:ascii="David" w:hAnsi="David"/>
          <w:b/>
          <w:bCs/>
          <w:rtl/>
        </w:rPr>
        <w:t xml:space="preserve"> נפאע נ' מדינת ישראל, [פורסם בנבו] פסקה 5 (4.12.2011) (להלן: עניין נפאע)). </w:t>
      </w:r>
      <w:r>
        <w:rPr>
          <w:rFonts w:ascii="David" w:hAnsi="David"/>
          <w:b/>
          <w:bCs/>
          <w:u w:val="single"/>
          <w:rtl/>
        </w:rPr>
        <w:t>נוכח האמור, חזר וציין בית משפט זה כי קיימת מגמה של החמרה בענישה בעבירות אלו וזאת על מנת להרתיע מפני ביצוען</w:t>
      </w:r>
      <w:r>
        <w:rPr>
          <w:rFonts w:ascii="David" w:hAnsi="David"/>
          <w:b/>
          <w:bCs/>
          <w:rtl/>
        </w:rPr>
        <w:t xml:space="preserve"> (ע"פ עניין אמארה, פסקה 10; </w:t>
      </w:r>
      <w:hyperlink r:id="rId34" w:history="1">
        <w:r w:rsidR="00DC0C2F" w:rsidRPr="00DC0C2F">
          <w:rPr>
            <w:rFonts w:ascii="David" w:hAnsi="David"/>
            <w:b/>
            <w:bCs/>
            <w:color w:val="0000FF"/>
            <w:u w:val="single"/>
            <w:rtl/>
          </w:rPr>
          <w:t>ע"פ 8045/17</w:t>
        </w:r>
      </w:hyperlink>
      <w:r>
        <w:rPr>
          <w:rFonts w:ascii="David" w:hAnsi="David"/>
          <w:b/>
          <w:bCs/>
          <w:rtl/>
        </w:rPr>
        <w:t xml:space="preserve"> בראנסי נ' מדינת ישראל, [פורסם בנבו] פסקאות 11, 100 (16.8.2018) (להלן: עניין בראנסי); עניין נפאע, פסקה 5)". </w:t>
      </w:r>
      <w:r>
        <w:rPr>
          <w:rFonts w:ascii="David" w:hAnsi="David"/>
          <w:rtl/>
        </w:rPr>
        <w:t>(ההדגשה אינה במקור).</w:t>
      </w:r>
    </w:p>
    <w:p w14:paraId="257FF141" w14:textId="77777777" w:rsidR="00091FA6" w:rsidRDefault="00091FA6" w:rsidP="00923E98">
      <w:pPr>
        <w:spacing w:line="360" w:lineRule="auto"/>
        <w:ind w:left="1440" w:hanging="720"/>
        <w:jc w:val="both"/>
        <w:rPr>
          <w:rFonts w:ascii="David" w:hAnsi="David"/>
          <w:rtl/>
        </w:rPr>
      </w:pPr>
    </w:p>
    <w:p w14:paraId="385714CB" w14:textId="77777777" w:rsidR="00091FA6" w:rsidRDefault="00091FA6" w:rsidP="00923E98">
      <w:pPr>
        <w:spacing w:line="360" w:lineRule="auto"/>
        <w:ind w:left="720" w:hanging="720"/>
        <w:jc w:val="both"/>
        <w:rPr>
          <w:rFonts w:ascii="David" w:hAnsi="David"/>
          <w:rtl/>
        </w:rPr>
      </w:pPr>
      <w:r>
        <w:rPr>
          <w:rFonts w:ascii="David" w:hAnsi="David"/>
          <w:rtl/>
        </w:rPr>
        <w:t xml:space="preserve">12. </w:t>
      </w:r>
      <w:r>
        <w:rPr>
          <w:rFonts w:ascii="David" w:hAnsi="David"/>
          <w:rtl/>
        </w:rPr>
        <w:tab/>
        <w:t>בד-בבד, אזכיר, כי העיקרון הנוהג בפסיקה קובע, שהענישה היא אינדיבידואלית, הכול לפי נסיבות ביצוע העבירה ונסיבותיו של מבצע העבירה.</w:t>
      </w:r>
    </w:p>
    <w:p w14:paraId="7FC582D7" w14:textId="77777777" w:rsidR="00091FA6" w:rsidRDefault="00091FA6" w:rsidP="00923E98">
      <w:pPr>
        <w:spacing w:line="360" w:lineRule="auto"/>
        <w:ind w:left="720" w:hanging="720"/>
        <w:jc w:val="both"/>
        <w:rPr>
          <w:rFonts w:ascii="David" w:hAnsi="David"/>
          <w:rtl/>
        </w:rPr>
      </w:pPr>
    </w:p>
    <w:p w14:paraId="57395CCD" w14:textId="77777777" w:rsidR="00091FA6" w:rsidRDefault="00091FA6" w:rsidP="00923E98">
      <w:pPr>
        <w:spacing w:line="360" w:lineRule="auto"/>
        <w:ind w:left="720" w:hanging="720"/>
        <w:jc w:val="both"/>
        <w:rPr>
          <w:rFonts w:ascii="David" w:hAnsi="David"/>
          <w:rtl/>
        </w:rPr>
      </w:pPr>
      <w:r>
        <w:rPr>
          <w:rFonts w:ascii="David" w:hAnsi="David"/>
          <w:rtl/>
        </w:rPr>
        <w:tab/>
        <w:t xml:space="preserve">יפים לענייננו, דבריו של המשנה לנשיאה, כב' השופט מ' אלון ז"ל ב- </w:t>
      </w:r>
      <w:hyperlink r:id="rId35" w:history="1">
        <w:r w:rsidR="00DC0C2F" w:rsidRPr="00DC0C2F">
          <w:rPr>
            <w:rFonts w:ascii="David" w:hAnsi="David"/>
            <w:b/>
            <w:bCs/>
            <w:color w:val="0000FF"/>
            <w:u w:val="single"/>
            <w:rtl/>
          </w:rPr>
          <w:t>ע"פ 433/89 אטיאס נ' מדינת ישראל פ"ד מג</w:t>
        </w:r>
      </w:hyperlink>
      <w:r>
        <w:rPr>
          <w:rFonts w:ascii="David" w:hAnsi="David"/>
          <w:rtl/>
        </w:rPr>
        <w:t>(4) 170:</w:t>
      </w:r>
    </w:p>
    <w:p w14:paraId="4EAA177D" w14:textId="77777777" w:rsidR="00091FA6" w:rsidRDefault="00091FA6" w:rsidP="00923E98">
      <w:pPr>
        <w:spacing w:line="360" w:lineRule="auto"/>
        <w:ind w:left="720" w:hanging="720"/>
        <w:jc w:val="both"/>
        <w:rPr>
          <w:rFonts w:ascii="David" w:hAnsi="David"/>
          <w:rtl/>
        </w:rPr>
      </w:pPr>
    </w:p>
    <w:p w14:paraId="6E53E947" w14:textId="77777777" w:rsidR="00091FA6" w:rsidRDefault="00091FA6" w:rsidP="00923E98">
      <w:pPr>
        <w:tabs>
          <w:tab w:val="left" w:pos="288"/>
          <w:tab w:val="left" w:pos="720"/>
          <w:tab w:val="left" w:pos="1296"/>
        </w:tabs>
        <w:autoSpaceDE w:val="0"/>
        <w:autoSpaceDN w:val="0"/>
        <w:adjustRightInd w:val="0"/>
        <w:spacing w:after="80" w:line="360" w:lineRule="auto"/>
        <w:ind w:left="1296"/>
        <w:jc w:val="both"/>
        <w:rPr>
          <w:rFonts w:ascii="David" w:hAnsi="David" w:cs="Arial"/>
          <w:sz w:val="22"/>
          <w:szCs w:val="22"/>
          <w:rtl/>
        </w:rPr>
      </w:pPr>
      <w:r>
        <w:rPr>
          <w:rFonts w:ascii="David" w:hAnsi="David"/>
          <w:b/>
          <w:bCs/>
          <w:rtl/>
        </w:rPr>
        <w:t xml:space="preserve">"כידוע, אחד השיקולים החשובים בשיקולי הענישה הוא מהותה של העבירה וחומרתה; שיקול זה קשור, בדרך כלל, בקשר הדוק עם שיקול ההרתעה, למען ישמעו וייראו. לשני שיקולים אלה מיתוסף שיקול נוסף, והוא - קיום מדיניות אחידה, ככל האפשר, שתשמש כקו מנחה וכמורה דרך בעולמה של ענישה. ושיקול אחרון זה יפה הוא במיוחד לפסיקתו של בית המשפט העליון, שהמחוקק הפקידו על קביעת מדיניות זו. בנוסף לכל השיקולים האמורים, קיים ועומד השיקול החשוב והמהותי של תיקונו של הנאשם ושיקומו, ובהתקיים, במקרה מסוים, נסיבות מיוחדות ונכונות, ייתכן ששיקול אחרון זה יגבר על השיקולים האמורים האחרים ויקבע, באותו מקרה מסוים, את מידת העונש וצורתו. </w:t>
      </w:r>
      <w:r>
        <w:rPr>
          <w:rFonts w:ascii="David" w:hAnsi="David"/>
          <w:b/>
          <w:bCs/>
          <w:u w:val="single"/>
          <w:rtl/>
        </w:rPr>
        <w:t>"ענישתנו היא ענישה אינדיווידואלית של כל עבריין 'באשר הוא שם'" (</w:t>
      </w:r>
      <w:hyperlink r:id="rId36" w:history="1">
        <w:r w:rsidR="00DC0C2F" w:rsidRPr="00DC0C2F">
          <w:rPr>
            <w:rFonts w:ascii="David" w:hAnsi="David"/>
            <w:b/>
            <w:bCs/>
            <w:color w:val="0000FF"/>
            <w:u w:val="single"/>
            <w:rtl/>
          </w:rPr>
          <w:t>ע"פ 291/81</w:t>
        </w:r>
      </w:hyperlink>
      <w:r>
        <w:rPr>
          <w:rFonts w:ascii="David" w:hAnsi="David"/>
          <w:b/>
          <w:bCs/>
          <w:u w:val="single"/>
          <w:rtl/>
        </w:rPr>
        <w:t xml:space="preserve"> [1], בעמ' </w:t>
      </w:r>
      <w:r>
        <w:rPr>
          <w:rFonts w:ascii="David" w:hAnsi="David"/>
          <w:b/>
          <w:bCs/>
          <w:u w:val="single"/>
        </w:rPr>
        <w:t>442</w:t>
      </w:r>
      <w:r>
        <w:rPr>
          <w:rFonts w:ascii="David" w:hAnsi="David"/>
          <w:b/>
          <w:bCs/>
          <w:u w:val="single"/>
          <w:rtl/>
        </w:rPr>
        <w:t>). זאת תורת הגישה האינדיווידואלית בתורת הענישה, המקובלת עלינו כקו מנחה בסוגיה קשה וסבוכה זו של</w:t>
      </w:r>
      <w:r>
        <w:rPr>
          <w:rFonts w:ascii="David" w:hAnsi="David"/>
          <w:b/>
          <w:bCs/>
          <w:u w:val="single"/>
        </w:rPr>
        <w:t xml:space="preserve"> </w:t>
      </w:r>
      <w:r>
        <w:rPr>
          <w:rFonts w:ascii="David" w:hAnsi="David"/>
          <w:b/>
          <w:bCs/>
          <w:u w:val="single"/>
          <w:rtl/>
        </w:rPr>
        <w:t>הענישה ומטרותיה, ואין אנו רשאים ל"הקל" על עצמנו ולהחמיר עם הנאשם, מתוך הסתמכות על הנימוק והחשש שמא הקלה במקרה מסוים הראוי לכך תשמש תקדים למקרים אחרים שאינם ראויים לכך. חזקה על בית המשפט שיידע להבחין בין מקרה למקרה לגופן של נסיבות ולעיצומם של דברים</w:t>
      </w:r>
      <w:r>
        <w:rPr>
          <w:rFonts w:ascii="David" w:hAnsi="David"/>
          <w:b/>
          <w:bCs/>
          <w:rtl/>
        </w:rPr>
        <w:t>".</w:t>
      </w:r>
      <w:r>
        <w:rPr>
          <w:rFonts w:ascii="David" w:hAnsi="David"/>
          <w:rtl/>
        </w:rPr>
        <w:t xml:space="preserve"> (ההדגשה אינה במקור).</w:t>
      </w:r>
    </w:p>
    <w:p w14:paraId="242944F4" w14:textId="77777777" w:rsidR="00091FA6" w:rsidRDefault="00091FA6" w:rsidP="00923E98">
      <w:pPr>
        <w:tabs>
          <w:tab w:val="left" w:pos="288"/>
          <w:tab w:val="left" w:pos="720"/>
          <w:tab w:val="left" w:pos="1296"/>
        </w:tabs>
        <w:autoSpaceDE w:val="0"/>
        <w:autoSpaceDN w:val="0"/>
        <w:adjustRightInd w:val="0"/>
        <w:spacing w:after="80" w:line="360" w:lineRule="auto"/>
        <w:jc w:val="both"/>
        <w:rPr>
          <w:rFonts w:ascii="David" w:hAnsi="David"/>
          <w:b/>
          <w:bCs/>
          <w:rtl/>
        </w:rPr>
      </w:pPr>
    </w:p>
    <w:p w14:paraId="5E46F75E" w14:textId="77777777" w:rsidR="00091FA6" w:rsidRDefault="00091FA6" w:rsidP="00923E98">
      <w:pPr>
        <w:pStyle w:val="David"/>
        <w:ind w:left="720" w:hanging="720"/>
        <w:rPr>
          <w:rFonts w:ascii="David" w:hAnsi="David"/>
          <w:rtl/>
        </w:rPr>
      </w:pPr>
      <w:r>
        <w:rPr>
          <w:rFonts w:ascii="David" w:hAnsi="David"/>
          <w:rtl/>
        </w:rPr>
        <w:tab/>
        <w:t xml:space="preserve">בענייננו, מחד-גיסא, העבירות בהן הורשע הנאשם אינן נמנות עם המקרים החמורים ביותר, הואיל  ועבירת נשיאת הנשק המיוחסת לנאשם בכתב-האישום המתוקן היא לאותו פרק-זמן קצר המתואר בעובדות כתב-האישום, ואין טענה לפיה החזיק הנאשם בנשק במועד שונה. </w:t>
      </w:r>
    </w:p>
    <w:p w14:paraId="638CA9DD" w14:textId="77777777" w:rsidR="00091FA6" w:rsidRDefault="00091FA6" w:rsidP="00923E98">
      <w:pPr>
        <w:pStyle w:val="David"/>
        <w:ind w:left="720" w:hanging="720"/>
        <w:rPr>
          <w:rFonts w:ascii="David" w:hAnsi="David"/>
          <w:rtl/>
        </w:rPr>
      </w:pPr>
    </w:p>
    <w:p w14:paraId="265D5F86" w14:textId="77777777" w:rsidR="00091FA6" w:rsidRDefault="00091FA6" w:rsidP="00923E98">
      <w:pPr>
        <w:pStyle w:val="David"/>
        <w:ind w:left="720"/>
        <w:rPr>
          <w:rFonts w:ascii="David" w:hAnsi="David"/>
          <w:rtl/>
        </w:rPr>
      </w:pPr>
      <w:r>
        <w:rPr>
          <w:rFonts w:ascii="David" w:hAnsi="David"/>
          <w:rtl/>
        </w:rPr>
        <w:t>בנוסף, אדגיש, כי הגם שאליבא דב"כ המאשימה טען, כי מותר להניח לחובתו של הנאשם, כי הוא נשא והוביל נשק למטרות לא כשרות, כתב-האישום אינו מייחס זאת לנאשם.</w:t>
      </w:r>
    </w:p>
    <w:p w14:paraId="67266228" w14:textId="77777777" w:rsidR="00091FA6" w:rsidRDefault="00091FA6" w:rsidP="00923E98">
      <w:pPr>
        <w:pStyle w:val="David"/>
        <w:ind w:left="720" w:hanging="720"/>
        <w:rPr>
          <w:rFonts w:ascii="David" w:hAnsi="David"/>
          <w:rtl/>
        </w:rPr>
      </w:pPr>
      <w:r>
        <w:rPr>
          <w:rFonts w:ascii="David" w:hAnsi="David"/>
          <w:rtl/>
        </w:rPr>
        <w:t xml:space="preserve"> </w:t>
      </w:r>
    </w:p>
    <w:p w14:paraId="46908780" w14:textId="77777777" w:rsidR="00091FA6" w:rsidRDefault="00091FA6" w:rsidP="00923E98">
      <w:pPr>
        <w:spacing w:line="360" w:lineRule="auto"/>
        <w:ind w:left="720"/>
        <w:jc w:val="both"/>
        <w:rPr>
          <w:rFonts w:ascii="David" w:hAnsi="David"/>
          <w:rtl/>
        </w:rPr>
      </w:pPr>
      <w:r>
        <w:rPr>
          <w:rFonts w:ascii="David" w:hAnsi="David"/>
          <w:rtl/>
        </w:rPr>
        <w:t>מאידך גיסא, יש ליתן משקל לכך שהנאשם נשא והוביל את הנשק, כשהוא בידו, טעון ומוכן לירי, לכך שביצוע העבירה היה באזור מגורים בשעות הצהריים, וכן לעובדה שקדם לאירוע סכסוך בין משפחת ארפאעיה, אליה משתייך הנאשם, לבין משפחת סביחאת מכפר סאלם, במסגרתו היו מספר אירועי אלימות וירי, בימים שקדמו למתואר בכתב-האישום.</w:t>
      </w:r>
    </w:p>
    <w:p w14:paraId="31AB13B7" w14:textId="77777777" w:rsidR="00091FA6" w:rsidRDefault="00091FA6" w:rsidP="00923E98">
      <w:pPr>
        <w:spacing w:line="360" w:lineRule="auto"/>
        <w:ind w:left="720"/>
        <w:jc w:val="both"/>
        <w:rPr>
          <w:rFonts w:ascii="David" w:hAnsi="David"/>
          <w:rtl/>
        </w:rPr>
      </w:pPr>
    </w:p>
    <w:p w14:paraId="0B2021A2" w14:textId="77777777" w:rsidR="00091FA6" w:rsidRDefault="00091FA6" w:rsidP="00923E98">
      <w:pPr>
        <w:spacing w:line="360" w:lineRule="auto"/>
        <w:ind w:left="720"/>
        <w:jc w:val="both"/>
        <w:rPr>
          <w:rFonts w:ascii="David" w:hAnsi="David"/>
          <w:rtl/>
        </w:rPr>
      </w:pPr>
      <w:r>
        <w:rPr>
          <w:rFonts w:ascii="David" w:hAnsi="David"/>
          <w:rtl/>
        </w:rPr>
        <w:t xml:space="preserve">עוד ובנוסף, בל נשכח, כי לצד עבירת הנשק, הורשע הנאשם גם בעבירה של הפרעה לשוטר במילוי תפקידו, הואיל וכאמור כבר לעיל, הוא עשה כל שלאל ידו על-מנת להימלט בעצמו מן השוטרים, והן על-מנת למלט את האקדח ואת המחסנית מרשויות אכיפת החוק. אזכיר, כי על אף שהנאשם הבחין בשוטרים, הוא המשיך בריצה לכיוון השטח המיוער במטרה לברוח מהם, זאת כאשר הוא נושא ומוביל את האקדח הטעון, אותו אחז בידו. הנאשם המשיך בריצה, גם לאחר שהשוטרים צעקו לעברו מספר פעמים "עצור משטרה", וגם לאחר שביצעו ירי באוויר על-מנת לגרום לו לעצור. כמו-כן, במהלך בריחתו, בשטח המיוער, השליך הנאשם את האקדח והמחסנית, והמשיך בבריחה, עד אשר נלכד על-ידי שוטרים נוספים, לאחר מרדף של כ-350 מטרים. </w:t>
      </w:r>
    </w:p>
    <w:p w14:paraId="6AB708A2" w14:textId="77777777" w:rsidR="00091FA6" w:rsidRDefault="00091FA6" w:rsidP="00923E98">
      <w:pPr>
        <w:spacing w:line="360" w:lineRule="auto"/>
        <w:ind w:left="720"/>
        <w:jc w:val="both"/>
        <w:rPr>
          <w:rFonts w:ascii="David" w:hAnsi="David"/>
          <w:rtl/>
        </w:rPr>
      </w:pPr>
    </w:p>
    <w:p w14:paraId="0AD32551" w14:textId="77777777" w:rsidR="00091FA6" w:rsidRDefault="00091FA6" w:rsidP="00923E98">
      <w:pPr>
        <w:spacing w:line="360" w:lineRule="auto"/>
        <w:ind w:left="720"/>
        <w:jc w:val="both"/>
        <w:rPr>
          <w:rFonts w:ascii="David" w:hAnsi="David"/>
          <w:rtl/>
        </w:rPr>
      </w:pPr>
      <w:r>
        <w:rPr>
          <w:rFonts w:ascii="David" w:hAnsi="David"/>
          <w:rtl/>
        </w:rPr>
        <w:t>אין בידי לקבל את טענת ב"כ הנאשם, לפיה הגם שהנאשם נשא אקדח טעון, אין מדובר, בנשק כהגדרתו או בתת- מקלע, ולפיכך יש לקבוע מתחם ענישה נמוך יותר. ברי, מן העולה מסעיף מס' 3 לכתב-האישום המתוקן, בו, יש לזכור, הודה הנאשם, כי "</w:t>
      </w:r>
      <w:r>
        <w:rPr>
          <w:rFonts w:ascii="David" w:hAnsi="David"/>
          <w:b/>
          <w:bCs/>
          <w:rtl/>
        </w:rPr>
        <w:t>האקדח הוא כלי שסוגל לירות כדור, אשר בכוחו להמית אדם, ולפיכך מהווה נשק כהגדרתו בחוק. המחסנית והכדורים מהווים אביזר ותחמושת לנשק כאמור</w:t>
      </w:r>
      <w:r>
        <w:rPr>
          <w:rFonts w:ascii="David" w:hAnsi="David"/>
          <w:rtl/>
        </w:rPr>
        <w:t>", ואידך זיל גמור.</w:t>
      </w:r>
    </w:p>
    <w:p w14:paraId="614B4E92" w14:textId="77777777" w:rsidR="00091FA6" w:rsidRDefault="00091FA6" w:rsidP="00923E98">
      <w:pPr>
        <w:spacing w:line="360" w:lineRule="auto"/>
        <w:ind w:left="720"/>
        <w:jc w:val="both"/>
        <w:rPr>
          <w:rFonts w:ascii="David" w:hAnsi="David"/>
          <w:rtl/>
        </w:rPr>
      </w:pPr>
      <w:r>
        <w:rPr>
          <w:rFonts w:ascii="David" w:hAnsi="David"/>
          <w:rtl/>
        </w:rPr>
        <w:t xml:space="preserve">בהתחשב במכלול הנסיבות שמניתי לעיל הקשורות לביצוע העבירה, חומרת העבירה, והערכים החברתיים שנפגעו כתוצאה מביצועה ולאחר שעמדתי על מדיניות הענישה הנהוגה בנסיבות דומות, אני קובע, כי מתחם הענישה הראוי, בנסיבות המקרה דנן, הוא מאסר בפועל לתקופה שנעה בין 14-36 חודשי מאסר בפועל, זאת לצד עונשים נלווים. </w:t>
      </w:r>
    </w:p>
    <w:p w14:paraId="21120F15" w14:textId="77777777" w:rsidR="00091FA6" w:rsidRDefault="00091FA6" w:rsidP="00923E98">
      <w:pPr>
        <w:spacing w:line="360" w:lineRule="auto"/>
        <w:ind w:left="720"/>
        <w:jc w:val="both"/>
        <w:rPr>
          <w:rFonts w:ascii="David" w:hAnsi="David"/>
          <w:rtl/>
        </w:rPr>
      </w:pPr>
    </w:p>
    <w:p w14:paraId="4CD95C83" w14:textId="77777777" w:rsidR="00091FA6" w:rsidRDefault="00091FA6" w:rsidP="00923E98">
      <w:pPr>
        <w:spacing w:line="360" w:lineRule="auto"/>
        <w:ind w:left="720" w:hanging="720"/>
        <w:jc w:val="both"/>
        <w:rPr>
          <w:rFonts w:ascii="David" w:hAnsi="David"/>
          <w:rtl/>
        </w:rPr>
      </w:pPr>
      <w:r>
        <w:rPr>
          <w:rFonts w:ascii="David" w:hAnsi="David"/>
          <w:rtl/>
        </w:rPr>
        <w:t>13.</w:t>
      </w:r>
      <w:r>
        <w:rPr>
          <w:rFonts w:ascii="David" w:hAnsi="David"/>
          <w:rtl/>
        </w:rPr>
        <w:tab/>
        <w:t xml:space="preserve">בית המשפט רשאי לחרוג ממתחם העונש ההולם או לקולא, בשל שיקולי שיקום וטיפול של הנאשם, או לחומרא בשל הגנה על שלום הציבור. </w:t>
      </w:r>
    </w:p>
    <w:p w14:paraId="49BEFD28" w14:textId="77777777" w:rsidR="00091FA6" w:rsidRDefault="00091FA6" w:rsidP="00923E98">
      <w:pPr>
        <w:spacing w:line="360" w:lineRule="auto"/>
        <w:ind w:left="720" w:hanging="720"/>
        <w:jc w:val="both"/>
        <w:rPr>
          <w:rFonts w:ascii="David" w:hAnsi="David"/>
          <w:rtl/>
        </w:rPr>
      </w:pPr>
    </w:p>
    <w:p w14:paraId="3F02D321" w14:textId="77777777" w:rsidR="00091FA6" w:rsidRDefault="00091FA6" w:rsidP="00923E98">
      <w:pPr>
        <w:spacing w:line="360" w:lineRule="auto"/>
        <w:ind w:left="720"/>
        <w:jc w:val="both"/>
        <w:rPr>
          <w:rFonts w:ascii="David" w:hAnsi="David"/>
          <w:rtl/>
        </w:rPr>
      </w:pPr>
      <w:r>
        <w:rPr>
          <w:rFonts w:ascii="David" w:hAnsi="David"/>
          <w:rtl/>
        </w:rPr>
        <w:t>בענייננו, נכתב בתסקיר שירות המבחן, כי נוכח חומרת העבירות המיוחסות לנאשם ואופיין, לצד חוסר הבהירות לגבי מניעיו לביצוע העבירות האמורות, ובהיעדר ביטויי מצוקה רגשית חריגה או נזקקות להתערבות טיפולית, אין באפשרות שירות המבחן להמליץ על חלופות ענישה או שיקום במסגרת הקהילה, העשויות להפחית סיכון להישנות עבירות דומות, ולפיכך איני מוצא, כי יש מקום לסטייה לקולא ממתחם הענישה האמור.</w:t>
      </w:r>
    </w:p>
    <w:p w14:paraId="6A6A6C88" w14:textId="77777777" w:rsidR="00091FA6" w:rsidRDefault="00091FA6" w:rsidP="00923E98">
      <w:pPr>
        <w:spacing w:line="360" w:lineRule="auto"/>
        <w:ind w:left="720"/>
        <w:jc w:val="both"/>
        <w:rPr>
          <w:rFonts w:ascii="David" w:hAnsi="David"/>
          <w:rtl/>
        </w:rPr>
      </w:pPr>
    </w:p>
    <w:p w14:paraId="0FD28B8E" w14:textId="77777777" w:rsidR="00091FA6" w:rsidRDefault="00091FA6" w:rsidP="00923E98">
      <w:pPr>
        <w:spacing w:line="360" w:lineRule="auto"/>
        <w:ind w:left="720"/>
        <w:jc w:val="both"/>
        <w:rPr>
          <w:rFonts w:ascii="David" w:hAnsi="David"/>
          <w:rtl/>
        </w:rPr>
      </w:pPr>
      <w:r>
        <w:rPr>
          <w:rFonts w:ascii="David" w:hAnsi="David"/>
          <w:rtl/>
        </w:rPr>
        <w:t>מנגד סבורני, כי בנסיבות העניין אף לא מתקיימים התנאים לסטייה לחומרא ממתחם העונש האמור, ולפיכך, קובע אני, כי עונשו של הנאשם יקבע במתחם האמור.</w:t>
      </w:r>
    </w:p>
    <w:p w14:paraId="1B407A84" w14:textId="77777777" w:rsidR="00091FA6" w:rsidRDefault="00091FA6" w:rsidP="00923E98">
      <w:pPr>
        <w:spacing w:line="360" w:lineRule="auto"/>
        <w:ind w:left="720"/>
        <w:jc w:val="both"/>
        <w:rPr>
          <w:rFonts w:ascii="David" w:hAnsi="David"/>
          <w:rtl/>
        </w:rPr>
      </w:pPr>
    </w:p>
    <w:p w14:paraId="13A8C8B6" w14:textId="77777777" w:rsidR="00091FA6" w:rsidRDefault="00091FA6" w:rsidP="00923E98">
      <w:pPr>
        <w:spacing w:line="360" w:lineRule="auto"/>
        <w:ind w:left="720" w:hanging="720"/>
        <w:jc w:val="both"/>
        <w:rPr>
          <w:rFonts w:ascii="David" w:hAnsi="David"/>
          <w:rtl/>
        </w:rPr>
      </w:pPr>
      <w:r>
        <w:rPr>
          <w:rFonts w:ascii="David" w:hAnsi="David"/>
          <w:rtl/>
        </w:rPr>
        <w:t>14.</w:t>
      </w:r>
      <w:r>
        <w:rPr>
          <w:rFonts w:ascii="David" w:hAnsi="David"/>
          <w:rtl/>
        </w:rPr>
        <w:tab/>
        <w:t>בגזירת העונש המתאים לנאשם יש להתחשב בנסיבות שאינן קשורות לביצוע העבירה, ובענייננו יש להביא בחשבון כשיקול לקולא את הודאתו של הנאשם במיוחס לו בכתב- האישום המתוקן, אף שלא עשה כן בהזדמנות הראשונה.</w:t>
      </w:r>
    </w:p>
    <w:p w14:paraId="4D28AEC8" w14:textId="77777777" w:rsidR="00091FA6" w:rsidRDefault="00091FA6" w:rsidP="00923E98">
      <w:pPr>
        <w:spacing w:line="360" w:lineRule="auto"/>
        <w:ind w:left="720" w:hanging="720"/>
        <w:jc w:val="both"/>
        <w:rPr>
          <w:rFonts w:ascii="David" w:hAnsi="David"/>
          <w:rtl/>
        </w:rPr>
      </w:pPr>
    </w:p>
    <w:p w14:paraId="2CC5FF21" w14:textId="77777777" w:rsidR="00091FA6" w:rsidRDefault="00091FA6" w:rsidP="00923E98">
      <w:pPr>
        <w:spacing w:line="360" w:lineRule="auto"/>
        <w:ind w:left="720"/>
        <w:jc w:val="both"/>
        <w:rPr>
          <w:rFonts w:ascii="David" w:hAnsi="David"/>
          <w:rtl/>
        </w:rPr>
      </w:pPr>
      <w:r>
        <w:rPr>
          <w:rFonts w:ascii="David" w:hAnsi="David"/>
          <w:rtl/>
        </w:rPr>
        <w:t xml:space="preserve">בנוסף, יש ליתן את הדעת, לגילו הצעיר של הנאשם, שנקבע </w:t>
      </w:r>
      <w:hyperlink r:id="rId37" w:history="1">
        <w:r w:rsidR="002535D5" w:rsidRPr="002535D5">
          <w:rPr>
            <w:rStyle w:val="Hyperlink"/>
            <w:rFonts w:ascii="David" w:hAnsi="David" w:cs="David"/>
            <w:rtl/>
          </w:rPr>
          <w:t>בסעיף  40 יא(1)</w:t>
        </w:r>
      </w:hyperlink>
      <w:r>
        <w:rPr>
          <w:rFonts w:ascii="David" w:hAnsi="David"/>
          <w:rtl/>
        </w:rPr>
        <w:t xml:space="preserve"> ל</w:t>
      </w:r>
      <w:hyperlink r:id="rId38" w:history="1">
        <w:r w:rsidR="00DC0C2F" w:rsidRPr="00DC0C2F">
          <w:rPr>
            <w:rFonts w:ascii="David" w:hAnsi="David"/>
            <w:color w:val="0000FF"/>
            <w:u w:val="single"/>
            <w:rtl/>
          </w:rPr>
          <w:t>חוק העונשין</w:t>
        </w:r>
      </w:hyperlink>
      <w:r>
        <w:rPr>
          <w:rFonts w:ascii="David" w:hAnsi="David"/>
          <w:rtl/>
        </w:rPr>
        <w:t>,</w:t>
      </w:r>
    </w:p>
    <w:p w14:paraId="42D971F9" w14:textId="77777777" w:rsidR="00091FA6" w:rsidRDefault="00091FA6" w:rsidP="00923E98">
      <w:pPr>
        <w:pStyle w:val="p00"/>
        <w:spacing w:before="72" w:line="360" w:lineRule="auto"/>
        <w:ind w:left="1440"/>
        <w:rPr>
          <w:rFonts w:ascii="David" w:hAnsi="David" w:cs="David"/>
          <w:b/>
          <w:bCs/>
          <w:sz w:val="24"/>
          <w:szCs w:val="24"/>
          <w:rtl/>
        </w:rPr>
      </w:pPr>
      <w:r>
        <w:rPr>
          <w:rStyle w:val="default"/>
          <w:rFonts w:ascii="David" w:hAnsi="David" w:cs="David"/>
          <w:b/>
          <w:bCs/>
          <w:sz w:val="24"/>
          <w:szCs w:val="24"/>
          <w:rtl/>
        </w:rPr>
        <w:t>"בגזירת העונש המתאים לנאשם כאמור בסעיף 40ג(ב), רשאי בית המשפט להתחשב בהתקיימות נסיבות שאינן קשורות בביצוע העבירה, המפורטות להלן, ובמידה שבה התקיימו, ככל שסבר כי ראוי לתת להן משקל בנסיבות המקרה, ובלבד שהעונש לא יחרוג ממתחם העונש ההולם:</w:t>
      </w:r>
    </w:p>
    <w:p w14:paraId="2AF64742" w14:textId="77777777" w:rsidR="00091FA6" w:rsidRDefault="00091FA6" w:rsidP="00923E98">
      <w:pPr>
        <w:pStyle w:val="p00"/>
        <w:spacing w:before="72" w:line="360" w:lineRule="auto"/>
        <w:ind w:left="1344" w:right="1134" w:firstLine="96"/>
        <w:rPr>
          <w:rFonts w:ascii="David" w:hAnsi="David" w:cs="David"/>
          <w:b/>
          <w:bCs/>
          <w:sz w:val="24"/>
          <w:szCs w:val="24"/>
        </w:rPr>
      </w:pPr>
      <w:r>
        <w:rPr>
          <w:rStyle w:val="default"/>
          <w:rFonts w:ascii="David" w:hAnsi="David" w:cs="David"/>
          <w:b/>
          <w:bCs/>
          <w:sz w:val="24"/>
          <w:szCs w:val="24"/>
          <w:rtl/>
        </w:rPr>
        <w:t>(1)</w:t>
      </w:r>
      <w:r w:rsidR="00DC0C2F">
        <w:rPr>
          <w:rStyle w:val="default"/>
          <w:rFonts w:ascii="David" w:hAnsi="David" w:cs="David"/>
          <w:b/>
          <w:bCs/>
          <w:sz w:val="24"/>
          <w:szCs w:val="24"/>
          <w:rtl/>
        </w:rPr>
        <w:t xml:space="preserve"> </w:t>
      </w:r>
      <w:r>
        <w:rPr>
          <w:rStyle w:val="default"/>
          <w:rFonts w:ascii="David" w:hAnsi="David" w:cs="David"/>
          <w:b/>
          <w:bCs/>
          <w:sz w:val="24"/>
          <w:szCs w:val="24"/>
          <w:rtl/>
        </w:rPr>
        <w:t xml:space="preserve"> הפגיעה של העונש בנאשם, לרבות בשל גילו"</w:t>
      </w:r>
      <w:r>
        <w:rPr>
          <w:rFonts w:ascii="David" w:hAnsi="David" w:cs="David"/>
          <w:b/>
          <w:bCs/>
          <w:sz w:val="24"/>
          <w:szCs w:val="24"/>
          <w:rtl/>
        </w:rPr>
        <w:t>.</w:t>
      </w:r>
    </w:p>
    <w:p w14:paraId="451874BC" w14:textId="77777777" w:rsidR="00091FA6" w:rsidRDefault="00091FA6" w:rsidP="00923E98">
      <w:pPr>
        <w:spacing w:line="360" w:lineRule="auto"/>
        <w:ind w:left="720"/>
        <w:jc w:val="both"/>
        <w:rPr>
          <w:rFonts w:ascii="David" w:hAnsi="David"/>
          <w:rtl/>
        </w:rPr>
      </w:pPr>
    </w:p>
    <w:p w14:paraId="56432E42" w14:textId="77777777" w:rsidR="00091FA6" w:rsidRDefault="00091FA6" w:rsidP="00923E98">
      <w:pPr>
        <w:tabs>
          <w:tab w:val="left" w:pos="1076"/>
        </w:tabs>
        <w:spacing w:line="360" w:lineRule="auto"/>
        <w:ind w:left="720"/>
        <w:jc w:val="both"/>
        <w:rPr>
          <w:rFonts w:ascii="David" w:hAnsi="David"/>
          <w:b/>
          <w:bCs/>
          <w:rtl/>
        </w:rPr>
      </w:pPr>
      <w:r>
        <w:rPr>
          <w:rFonts w:ascii="David" w:hAnsi="David"/>
          <w:rtl/>
        </w:rPr>
        <w:t>וכן אפנה לדבריו של כב' המשנה לנשיאה (בדימוס), השופט ס. ג'ובראן ב-</w:t>
      </w:r>
      <w:hyperlink r:id="rId39" w:history="1">
        <w:r w:rsidR="00DC0C2F" w:rsidRPr="00DC0C2F">
          <w:rPr>
            <w:rFonts w:ascii="David" w:hAnsi="David"/>
            <w:color w:val="0000FF"/>
            <w:u w:val="single"/>
            <w:rtl/>
          </w:rPr>
          <w:t>ע"פ 7781/12</w:t>
        </w:r>
      </w:hyperlink>
      <w:r>
        <w:rPr>
          <w:rFonts w:ascii="David" w:hAnsi="David"/>
          <w:rtl/>
        </w:rPr>
        <w:t xml:space="preserve"> </w:t>
      </w:r>
      <w:r>
        <w:rPr>
          <w:rFonts w:ascii="David" w:hAnsi="David"/>
          <w:b/>
          <w:bCs/>
          <w:rtl/>
        </w:rPr>
        <w:t xml:space="preserve">פלוני נ' מדינת ישראל </w:t>
      </w:r>
      <w:r w:rsidR="002605EB" w:rsidRPr="002605EB">
        <w:rPr>
          <w:sz w:val="22"/>
          <w:rtl/>
        </w:rPr>
        <w:t xml:space="preserve">[פורסם בנבו] </w:t>
      </w:r>
      <w:r>
        <w:rPr>
          <w:rFonts w:ascii="David" w:hAnsi="David"/>
          <w:rtl/>
        </w:rPr>
        <w:t>(25.06.2013)</w:t>
      </w:r>
    </w:p>
    <w:p w14:paraId="6A526B46" w14:textId="77777777" w:rsidR="00091FA6" w:rsidRDefault="00091FA6" w:rsidP="00923E98">
      <w:pPr>
        <w:tabs>
          <w:tab w:val="left" w:pos="1076"/>
        </w:tabs>
        <w:spacing w:line="360" w:lineRule="auto"/>
        <w:ind w:left="720"/>
        <w:jc w:val="both"/>
        <w:rPr>
          <w:rFonts w:ascii="David" w:hAnsi="David"/>
          <w:b/>
          <w:bCs/>
          <w:rtl/>
        </w:rPr>
      </w:pPr>
    </w:p>
    <w:p w14:paraId="76EA3956" w14:textId="77777777" w:rsidR="00091FA6" w:rsidRDefault="00091FA6" w:rsidP="00923E98">
      <w:pPr>
        <w:tabs>
          <w:tab w:val="left" w:pos="1076"/>
        </w:tabs>
        <w:spacing w:line="360" w:lineRule="auto"/>
        <w:ind w:left="1440"/>
        <w:jc w:val="both"/>
        <w:rPr>
          <w:rFonts w:ascii="David" w:hAnsi="David"/>
          <w:rtl/>
        </w:rPr>
      </w:pPr>
      <w:r>
        <w:rPr>
          <w:rFonts w:ascii="David" w:hAnsi="David"/>
          <w:b/>
          <w:bCs/>
          <w:rtl/>
        </w:rPr>
        <w:t>"</w:t>
      </w:r>
      <w:r>
        <w:rPr>
          <w:rFonts w:ascii="David" w:hAnsi="David"/>
          <w:b/>
          <w:bCs/>
          <w:spacing w:val="10"/>
          <w:rtl/>
        </w:rPr>
        <w:t xml:space="preserve">לאור כל האמור לעיל, לגישתי, יש מקום להתחשב במסגרת שיקולי הענישה בייחודיותה של קבוצת ה"בגירים צעירים". חשוב להבהיר כי אין בקביעתנו זו כדי לקבוע כי בגזירת עונשם של קבוצה זו, יש לשקול שיקולים זהים לאלו של קטינים. יחד עם זאת, על בית המשפט בקובעו את עונשו של "בגיר צעיר" לייחס לגילו משקל משמעותי. במסגרת זאת, עליו לשקול בין היתר את קרבתו לגיל 18, ההשפעה האפשרית של מאסר בפועל על שיקומו ומצבו הנפשי, ובגרותו. הכול כעולה מתסקיר המבחן שיוגש בפניו בטרם גזירת העונש". </w:t>
      </w:r>
    </w:p>
    <w:p w14:paraId="12A6A170" w14:textId="77777777" w:rsidR="00091FA6" w:rsidRDefault="00091FA6" w:rsidP="00923E98">
      <w:pPr>
        <w:tabs>
          <w:tab w:val="left" w:pos="1076"/>
        </w:tabs>
        <w:spacing w:line="360" w:lineRule="auto"/>
        <w:ind w:left="1440"/>
        <w:jc w:val="both"/>
        <w:rPr>
          <w:rFonts w:ascii="David" w:hAnsi="David"/>
          <w:rtl/>
        </w:rPr>
      </w:pPr>
    </w:p>
    <w:p w14:paraId="1D8C0FA5" w14:textId="77777777" w:rsidR="00091FA6" w:rsidRDefault="00091FA6" w:rsidP="00923E98">
      <w:pPr>
        <w:spacing w:line="360" w:lineRule="auto"/>
        <w:ind w:left="720"/>
        <w:jc w:val="both"/>
        <w:rPr>
          <w:rFonts w:ascii="David" w:hAnsi="David"/>
          <w:rtl/>
        </w:rPr>
      </w:pPr>
      <w:r>
        <w:rPr>
          <w:rFonts w:ascii="David" w:hAnsi="David"/>
          <w:rtl/>
        </w:rPr>
        <w:t>עוד ובנוסף אציין, כי אין לנאשם עבר פלילי, ולפיכך, מדובר במאסרו הראשון מאחורי סורג ובריח, וברי, כי גם לכך, יש ליתן משקל.</w:t>
      </w:r>
    </w:p>
    <w:p w14:paraId="2140EB22" w14:textId="77777777" w:rsidR="00091FA6" w:rsidRDefault="00091FA6" w:rsidP="00923E98">
      <w:pPr>
        <w:spacing w:line="360" w:lineRule="auto"/>
        <w:ind w:left="720"/>
        <w:jc w:val="both"/>
        <w:rPr>
          <w:rFonts w:ascii="David" w:hAnsi="David"/>
          <w:rtl/>
        </w:rPr>
      </w:pPr>
    </w:p>
    <w:p w14:paraId="5289480C" w14:textId="77777777" w:rsidR="00091FA6" w:rsidRDefault="00091FA6" w:rsidP="00923E98">
      <w:pPr>
        <w:spacing w:line="360" w:lineRule="auto"/>
        <w:ind w:left="720"/>
        <w:jc w:val="both"/>
        <w:rPr>
          <w:rFonts w:ascii="David" w:hAnsi="David"/>
          <w:rtl/>
        </w:rPr>
      </w:pPr>
      <w:r>
        <w:rPr>
          <w:rFonts w:ascii="David" w:hAnsi="David"/>
          <w:rtl/>
        </w:rPr>
        <w:t>אפנה שוב לעניין פלוני:</w:t>
      </w:r>
    </w:p>
    <w:p w14:paraId="779DE63F" w14:textId="77777777" w:rsidR="00091FA6" w:rsidRDefault="00091FA6" w:rsidP="00923E98">
      <w:pPr>
        <w:spacing w:line="360" w:lineRule="auto"/>
        <w:ind w:left="720"/>
        <w:jc w:val="both"/>
        <w:rPr>
          <w:rFonts w:ascii="David" w:hAnsi="David"/>
          <w:rtl/>
        </w:rPr>
      </w:pPr>
    </w:p>
    <w:p w14:paraId="7F9702AF" w14:textId="77777777" w:rsidR="00091FA6" w:rsidRDefault="00091FA6" w:rsidP="00923E98">
      <w:pPr>
        <w:tabs>
          <w:tab w:val="left" w:pos="800"/>
        </w:tabs>
        <w:overflowPunct w:val="0"/>
        <w:autoSpaceDE w:val="0"/>
        <w:autoSpaceDN w:val="0"/>
        <w:adjustRightInd w:val="0"/>
        <w:spacing w:line="360" w:lineRule="auto"/>
        <w:ind w:left="1440"/>
        <w:jc w:val="both"/>
        <w:rPr>
          <w:rFonts w:ascii="David" w:hAnsi="David"/>
          <w:b/>
          <w:bCs/>
          <w:i/>
          <w:iCs/>
          <w:spacing w:val="10"/>
          <w:rtl/>
        </w:rPr>
      </w:pPr>
      <w:r>
        <w:rPr>
          <w:rFonts w:ascii="Arial TUR" w:hAnsi="Arial TUR" w:cs="FrankRuehl"/>
          <w:spacing w:val="10"/>
          <w:szCs w:val="28"/>
          <w:rtl/>
        </w:rPr>
        <w:t>"</w:t>
      </w:r>
      <w:r>
        <w:rPr>
          <w:rFonts w:ascii="David" w:hAnsi="David"/>
          <w:b/>
          <w:bCs/>
          <w:spacing w:val="10"/>
          <w:rtl/>
        </w:rPr>
        <w:t xml:space="preserve">יתר על כך, מחקרים רבים הראו כי קיים קשר סיבתי שלילי, על פיו מאסר ראשון לא רק שאינו מביא להתרעת היחיד, אלא מביא בסבירות גבוהה למאסרים נוספים ורצידיביזם (ראו: חגית לרנאו וישי שרון "שמונה הכרעות ערכיות בחקיקת חוק הבניית שיקול הדעת השיפוטי בענישה" </w:t>
      </w:r>
      <w:r>
        <w:rPr>
          <w:rFonts w:ascii="David" w:hAnsi="David"/>
          <w:b/>
          <w:bCs/>
          <w:rtl/>
        </w:rPr>
        <w:t>הסניגור</w:t>
      </w:r>
      <w:r>
        <w:rPr>
          <w:rFonts w:ascii="David" w:hAnsi="David"/>
          <w:b/>
          <w:bCs/>
          <w:spacing w:val="10"/>
          <w:rtl/>
        </w:rPr>
        <w:t xml:space="preserve"> 183 14, 19; </w:t>
      </w:r>
      <w:r>
        <w:rPr>
          <w:rFonts w:ascii="David" w:hAnsi="David"/>
          <w:b/>
          <w:bCs/>
          <w:spacing w:val="10"/>
        </w:rPr>
        <w:t xml:space="preserve">Francis T. Cullen at el, </w:t>
      </w:r>
      <w:r>
        <w:rPr>
          <w:rFonts w:ascii="David" w:hAnsi="David"/>
          <w:b/>
          <w:bCs/>
          <w:i/>
          <w:iCs/>
          <w:spacing w:val="10"/>
        </w:rPr>
        <w:t>Prisons do not Reduce Recidivism: The High Cost of Ignoring Science</w:t>
      </w:r>
      <w:r>
        <w:rPr>
          <w:rFonts w:ascii="David" w:hAnsi="David"/>
          <w:b/>
          <w:bCs/>
          <w:spacing w:val="10"/>
        </w:rPr>
        <w:t xml:space="preserve">, 91 The </w:t>
      </w:r>
      <w:r>
        <w:rPr>
          <w:rFonts w:ascii="David" w:hAnsi="David"/>
          <w:b/>
          <w:bCs/>
          <w:smallCaps/>
          <w:spacing w:val="10"/>
        </w:rPr>
        <w:t>Prison Journal</w:t>
      </w:r>
      <w:r>
        <w:rPr>
          <w:rFonts w:ascii="David" w:hAnsi="David"/>
          <w:b/>
          <w:bCs/>
          <w:spacing w:val="10"/>
        </w:rPr>
        <w:t xml:space="preserve"> 48 (2011)</w:t>
      </w:r>
      <w:r>
        <w:rPr>
          <w:rFonts w:ascii="David" w:hAnsi="David"/>
          <w:b/>
          <w:bCs/>
          <w:spacing w:val="10"/>
          <w:rtl/>
        </w:rPr>
        <w:t xml:space="preserve">)". </w:t>
      </w:r>
    </w:p>
    <w:p w14:paraId="5F4EE0E5" w14:textId="77777777" w:rsidR="00091FA6" w:rsidRDefault="00091FA6" w:rsidP="00923E98">
      <w:pPr>
        <w:tabs>
          <w:tab w:val="left" w:pos="800"/>
        </w:tabs>
        <w:overflowPunct w:val="0"/>
        <w:autoSpaceDE w:val="0"/>
        <w:autoSpaceDN w:val="0"/>
        <w:adjustRightInd w:val="0"/>
        <w:spacing w:line="360" w:lineRule="auto"/>
        <w:jc w:val="both"/>
        <w:rPr>
          <w:rFonts w:ascii="David" w:hAnsi="David"/>
          <w:b/>
          <w:bCs/>
          <w:i/>
          <w:iCs/>
          <w:spacing w:val="10"/>
          <w:rtl/>
        </w:rPr>
      </w:pPr>
    </w:p>
    <w:p w14:paraId="70168BA1" w14:textId="77777777" w:rsidR="00091FA6" w:rsidRDefault="00091FA6" w:rsidP="00923E98">
      <w:pPr>
        <w:spacing w:line="360" w:lineRule="auto"/>
        <w:ind w:left="720"/>
        <w:jc w:val="both"/>
        <w:rPr>
          <w:rFonts w:ascii="David" w:hAnsi="David"/>
          <w:rtl/>
        </w:rPr>
      </w:pPr>
      <w:r>
        <w:rPr>
          <w:rFonts w:ascii="David" w:hAnsi="David"/>
          <w:spacing w:val="10"/>
          <w:rtl/>
        </w:rPr>
        <w:t>עוד אוסיף, כי לא נעלם מעיניי בעת גזירת עונשו של הנאשם, העדכון של גורמי הטיפול בבית-המעצר "גלבוע"</w:t>
      </w:r>
      <w:r>
        <w:rPr>
          <w:rFonts w:ascii="David" w:hAnsi="David"/>
          <w:spacing w:val="10"/>
          <w:rtl/>
        </w:rPr>
        <w:tab/>
      </w:r>
      <w:r>
        <w:rPr>
          <w:rFonts w:ascii="David" w:hAnsi="David"/>
          <w:rtl/>
        </w:rPr>
        <w:t>שם עצור הנאשם מיום 20.05.2020, לפיו לחובת הנאשם עבירת משמעת אחת בלבד, בגין היותו מעורב בקטטה בתאו, כי בדיקות השתן שלו נקיות, וכי הוא נמצא בקשר רציף עם גורמי הטיפול, ומגיע לקבוצות אגפיות, ולשיחות מעקב עם העובדת-הסוציאלית.</w:t>
      </w:r>
    </w:p>
    <w:p w14:paraId="2BF7828C" w14:textId="77777777" w:rsidR="00091FA6" w:rsidRDefault="00091FA6" w:rsidP="00923E98">
      <w:pPr>
        <w:spacing w:line="360" w:lineRule="auto"/>
        <w:ind w:left="720"/>
        <w:jc w:val="both"/>
        <w:rPr>
          <w:rFonts w:ascii="David" w:hAnsi="David"/>
          <w:rtl/>
        </w:rPr>
      </w:pPr>
    </w:p>
    <w:p w14:paraId="5157ED6E" w14:textId="77777777" w:rsidR="00091FA6" w:rsidRDefault="00091FA6" w:rsidP="00923E98">
      <w:pPr>
        <w:spacing w:line="360" w:lineRule="auto"/>
        <w:ind w:left="720" w:hanging="720"/>
        <w:jc w:val="both"/>
        <w:rPr>
          <w:rFonts w:ascii="David" w:hAnsi="David"/>
          <w:rtl/>
        </w:rPr>
      </w:pPr>
      <w:r>
        <w:rPr>
          <w:rFonts w:ascii="David" w:hAnsi="David"/>
          <w:rtl/>
        </w:rPr>
        <w:t>13.</w:t>
      </w:r>
      <w:r>
        <w:rPr>
          <w:rFonts w:ascii="David" w:hAnsi="David"/>
          <w:rtl/>
        </w:rPr>
        <w:tab/>
        <w:t xml:space="preserve">מנגד יש להתחשב כשיקול לחומרא בעקרון ההרתעה בעבירות נשק, ובצורך ההולך וגובר למגרן, שעה שמעשים אלו הופכים ל"מכת-מדינה". </w:t>
      </w:r>
    </w:p>
    <w:p w14:paraId="353C741F" w14:textId="77777777" w:rsidR="00091FA6" w:rsidRDefault="00091FA6" w:rsidP="00923E98">
      <w:pPr>
        <w:spacing w:line="360" w:lineRule="auto"/>
        <w:ind w:left="720" w:hanging="720"/>
        <w:jc w:val="both"/>
        <w:rPr>
          <w:rFonts w:ascii="David" w:hAnsi="David"/>
          <w:rtl/>
        </w:rPr>
      </w:pPr>
    </w:p>
    <w:p w14:paraId="6B3F96F6" w14:textId="77777777" w:rsidR="00091FA6" w:rsidRDefault="00091FA6" w:rsidP="00923E98">
      <w:pPr>
        <w:spacing w:line="360" w:lineRule="auto"/>
        <w:ind w:left="720" w:hanging="720"/>
        <w:jc w:val="both"/>
        <w:rPr>
          <w:rFonts w:ascii="David" w:hAnsi="David"/>
          <w:rtl/>
        </w:rPr>
      </w:pPr>
      <w:r>
        <w:rPr>
          <w:rFonts w:ascii="David" w:hAnsi="David"/>
          <w:rtl/>
        </w:rPr>
        <w:tab/>
        <w:t>הזדמן לי לכתוב בעבר, ואדגיש זאת ביתר-שאת כעת, כי גדיעת תופעה זו, בעודה באיבה, עשויה להיות הפסע הראשון במסע הארוך להחזרת ביטחון הציבור ושלומו במרחב הציבורי והפרט גם יחד.</w:t>
      </w:r>
    </w:p>
    <w:p w14:paraId="018F4312" w14:textId="77777777" w:rsidR="00091FA6" w:rsidRDefault="00091FA6" w:rsidP="00923E98">
      <w:pPr>
        <w:spacing w:line="360" w:lineRule="auto"/>
        <w:ind w:left="720" w:hanging="720"/>
        <w:jc w:val="both"/>
        <w:rPr>
          <w:rFonts w:ascii="David" w:hAnsi="David"/>
          <w:rtl/>
        </w:rPr>
      </w:pPr>
    </w:p>
    <w:p w14:paraId="700CCBFF" w14:textId="77777777" w:rsidR="00091FA6" w:rsidRDefault="00091FA6" w:rsidP="00923E98">
      <w:pPr>
        <w:spacing w:line="360" w:lineRule="auto"/>
        <w:ind w:left="720" w:hanging="720"/>
        <w:jc w:val="both"/>
        <w:rPr>
          <w:rFonts w:ascii="David" w:hAnsi="David"/>
          <w:spacing w:val="10"/>
          <w:rtl/>
        </w:rPr>
      </w:pPr>
      <w:r>
        <w:rPr>
          <w:rFonts w:ascii="David" w:hAnsi="David"/>
          <w:spacing w:val="10"/>
          <w:rtl/>
        </w:rPr>
        <w:t>14.</w:t>
      </w:r>
      <w:r>
        <w:rPr>
          <w:rFonts w:ascii="David" w:hAnsi="David"/>
          <w:spacing w:val="10"/>
          <w:rtl/>
        </w:rPr>
        <w:tab/>
      </w:r>
      <w:r>
        <w:rPr>
          <w:rFonts w:ascii="David" w:hAnsi="David"/>
          <w:rtl/>
        </w:rPr>
        <w:t>בשקלול הנסיבות והנתונים השונים אני קובע, כי העונש הראוי בנסיבות הוא עונש של 22 חודשי מאסר בפועל, בניכוי ימי המעצר בהם נשא הנאשם עד כה מכוח המעצר עד תום ההליכים אשר הושת עליו, החל מיום 05.04.2020.</w:t>
      </w:r>
    </w:p>
    <w:p w14:paraId="35FAFA43" w14:textId="77777777" w:rsidR="00091FA6" w:rsidRDefault="00091FA6" w:rsidP="00923E98">
      <w:pPr>
        <w:pStyle w:val="Ruller40"/>
        <w:rPr>
          <w:sz w:val="22"/>
        </w:rPr>
      </w:pPr>
    </w:p>
    <w:p w14:paraId="785FAEAF" w14:textId="77777777" w:rsidR="00091FA6" w:rsidRDefault="00091FA6" w:rsidP="00923E98">
      <w:pPr>
        <w:spacing w:line="360" w:lineRule="auto"/>
        <w:jc w:val="both"/>
        <w:rPr>
          <w:rFonts w:ascii="David" w:hAnsi="David"/>
          <w:rtl/>
        </w:rPr>
      </w:pPr>
      <w:r>
        <w:rPr>
          <w:rFonts w:ascii="David" w:hAnsi="David"/>
          <w:rtl/>
        </w:rPr>
        <w:t>15.</w:t>
      </w:r>
      <w:r>
        <w:rPr>
          <w:rFonts w:ascii="David" w:hAnsi="David"/>
          <w:rtl/>
        </w:rPr>
        <w:tab/>
        <w:t>אשר על כן אני גוזר על הנאשם:</w:t>
      </w:r>
    </w:p>
    <w:p w14:paraId="09BD6152" w14:textId="77777777" w:rsidR="00091FA6" w:rsidRDefault="00091FA6" w:rsidP="00923E98">
      <w:pPr>
        <w:spacing w:line="360" w:lineRule="auto"/>
        <w:jc w:val="both"/>
        <w:rPr>
          <w:rFonts w:ascii="David" w:hAnsi="David"/>
          <w:rtl/>
        </w:rPr>
      </w:pPr>
    </w:p>
    <w:p w14:paraId="414B3013" w14:textId="77777777" w:rsidR="00091FA6" w:rsidRDefault="00091FA6" w:rsidP="00923E98">
      <w:pPr>
        <w:pStyle w:val="ListParagraph"/>
        <w:spacing w:after="0" w:line="360" w:lineRule="auto"/>
        <w:ind w:left="1440" w:hanging="720"/>
        <w:jc w:val="both"/>
        <w:rPr>
          <w:rFonts w:ascii="David" w:hAnsi="David" w:cs="David"/>
          <w:sz w:val="24"/>
          <w:szCs w:val="24"/>
          <w:rtl/>
        </w:rPr>
      </w:pPr>
      <w:r>
        <w:rPr>
          <w:rFonts w:ascii="David" w:hAnsi="David" w:cs="David"/>
          <w:sz w:val="24"/>
          <w:szCs w:val="24"/>
          <w:rtl/>
        </w:rPr>
        <w:t>א.</w:t>
      </w:r>
      <w:r>
        <w:rPr>
          <w:rFonts w:ascii="David" w:hAnsi="David" w:cs="David"/>
          <w:sz w:val="24"/>
          <w:szCs w:val="24"/>
          <w:rtl/>
        </w:rPr>
        <w:tab/>
        <w:t>מאסר למשך 22 חודשים, לריצוי בפועל, בניכוי ימי מעצרו החל מיום 05.04.2020.</w:t>
      </w:r>
    </w:p>
    <w:p w14:paraId="7C8025F6" w14:textId="77777777" w:rsidR="00091FA6" w:rsidRDefault="00091FA6" w:rsidP="00923E98">
      <w:pPr>
        <w:pStyle w:val="ListParagraph"/>
        <w:spacing w:after="0" w:line="360" w:lineRule="auto"/>
        <w:jc w:val="both"/>
        <w:rPr>
          <w:rFonts w:ascii="David" w:hAnsi="David" w:cs="David"/>
          <w:sz w:val="24"/>
          <w:szCs w:val="24"/>
          <w:rtl/>
        </w:rPr>
      </w:pPr>
    </w:p>
    <w:p w14:paraId="5B3D3F22" w14:textId="77777777" w:rsidR="00091FA6" w:rsidRDefault="00091FA6" w:rsidP="00923E98">
      <w:pPr>
        <w:spacing w:line="360" w:lineRule="auto"/>
        <w:ind w:left="1440" w:hanging="720"/>
        <w:jc w:val="both"/>
        <w:rPr>
          <w:rFonts w:ascii="David" w:hAnsi="David"/>
          <w:rtl/>
        </w:rPr>
      </w:pPr>
      <w:r>
        <w:rPr>
          <w:rFonts w:ascii="David" w:hAnsi="David"/>
          <w:rtl/>
        </w:rPr>
        <w:t>ב.</w:t>
      </w:r>
      <w:r>
        <w:rPr>
          <w:rFonts w:ascii="David" w:hAnsi="David"/>
          <w:rtl/>
        </w:rPr>
        <w:tab/>
        <w:t xml:space="preserve">מאסר על תנאי לתקופה של 10 חודשים שיופעל במידה והנאשם יעבור תוך 3 שנים מיום שחרורו, עבירת נשק או עבירה של הפרעה לגורמי אכיפת החוק, לרבות שוטר. </w:t>
      </w:r>
    </w:p>
    <w:p w14:paraId="57ABE36D" w14:textId="77777777" w:rsidR="00091FA6" w:rsidRDefault="00091FA6" w:rsidP="00923E98">
      <w:pPr>
        <w:spacing w:line="360" w:lineRule="auto"/>
        <w:ind w:left="1440" w:hanging="720"/>
        <w:jc w:val="both"/>
        <w:rPr>
          <w:rFonts w:ascii="David" w:hAnsi="David"/>
          <w:rtl/>
        </w:rPr>
      </w:pPr>
    </w:p>
    <w:p w14:paraId="7840B1E6" w14:textId="77777777" w:rsidR="00091FA6" w:rsidRDefault="00091FA6" w:rsidP="00923E98">
      <w:pPr>
        <w:spacing w:line="360" w:lineRule="auto"/>
        <w:ind w:left="1440" w:hanging="720"/>
        <w:jc w:val="both"/>
        <w:rPr>
          <w:rFonts w:ascii="David" w:hAnsi="David"/>
          <w:rtl/>
        </w:rPr>
      </w:pPr>
      <w:r>
        <w:rPr>
          <w:rFonts w:ascii="David" w:hAnsi="David"/>
          <w:rtl/>
        </w:rPr>
        <w:t>ג.</w:t>
      </w:r>
      <w:r>
        <w:rPr>
          <w:rFonts w:ascii="David" w:hAnsi="David"/>
          <w:rtl/>
        </w:rPr>
        <w:tab/>
        <w:t>לא מצאתי, בנסיבות העניין, להטיל על הנאשם קנס כספי.</w:t>
      </w:r>
    </w:p>
    <w:p w14:paraId="64F5B492" w14:textId="77777777" w:rsidR="00091FA6" w:rsidRDefault="00091FA6" w:rsidP="00923E98">
      <w:pPr>
        <w:spacing w:line="360" w:lineRule="auto"/>
        <w:ind w:left="1440" w:hanging="720"/>
        <w:jc w:val="both"/>
        <w:rPr>
          <w:rFonts w:ascii="David" w:hAnsi="David"/>
          <w:rtl/>
        </w:rPr>
      </w:pPr>
    </w:p>
    <w:p w14:paraId="411D3428" w14:textId="77777777" w:rsidR="00091FA6" w:rsidRDefault="00091FA6" w:rsidP="00923E98">
      <w:pPr>
        <w:shd w:val="clear" w:color="auto" w:fill="FFFFFF"/>
        <w:spacing w:line="360" w:lineRule="auto"/>
        <w:ind w:right="426"/>
        <w:jc w:val="both"/>
        <w:rPr>
          <w:rFonts w:ascii="David" w:hAnsi="David"/>
          <w:rtl/>
        </w:rPr>
      </w:pPr>
      <w:r>
        <w:rPr>
          <w:rFonts w:ascii="David" w:hAnsi="David"/>
          <w:b/>
          <w:bCs/>
          <w:u w:val="single"/>
          <w:rtl/>
        </w:rPr>
        <w:t>המזכירות תשלח עותק מגזר הדין לשב"ס</w:t>
      </w:r>
    </w:p>
    <w:p w14:paraId="1866CAAF" w14:textId="77777777" w:rsidR="00091FA6" w:rsidRPr="00DC0C2F" w:rsidRDefault="00DC0C2F">
      <w:pPr>
        <w:rPr>
          <w:rFonts w:ascii="Arial" w:hAnsi="Arial"/>
          <w:color w:val="FFFFFF"/>
          <w:sz w:val="2"/>
          <w:szCs w:val="2"/>
          <w:rtl/>
        </w:rPr>
      </w:pPr>
      <w:r w:rsidRPr="00DC0C2F">
        <w:rPr>
          <w:rFonts w:ascii="Arial" w:hAnsi="Arial"/>
          <w:color w:val="FFFFFF"/>
          <w:sz w:val="2"/>
          <w:szCs w:val="2"/>
          <w:rtl/>
        </w:rPr>
        <w:t>5129371</w:t>
      </w:r>
    </w:p>
    <w:p w14:paraId="3A7A617C" w14:textId="77777777" w:rsidR="00091FA6" w:rsidRPr="00DC0C2F" w:rsidRDefault="00DC0C2F">
      <w:pPr>
        <w:rPr>
          <w:color w:val="FFFFFF"/>
          <w:sz w:val="2"/>
          <w:szCs w:val="2"/>
          <w:rtl/>
        </w:rPr>
      </w:pPr>
      <w:r w:rsidRPr="00DC0C2F">
        <w:rPr>
          <w:color w:val="FFFFFF"/>
          <w:sz w:val="2"/>
          <w:szCs w:val="2"/>
          <w:rtl/>
        </w:rPr>
        <w:t>54678313</w:t>
      </w:r>
    </w:p>
    <w:p w14:paraId="03FA9796" w14:textId="77777777" w:rsidR="00091FA6" w:rsidRPr="002605EB" w:rsidRDefault="00DC0C2F">
      <w:pPr>
        <w:rPr>
          <w:rFonts w:cs="FrankRuehl"/>
          <w:b/>
          <w:bCs/>
          <w:sz w:val="28"/>
          <w:szCs w:val="28"/>
          <w:rtl/>
        </w:rPr>
      </w:pPr>
      <w:bookmarkStart w:id="7" w:name="Nitan"/>
      <w:r w:rsidRPr="002605EB">
        <w:rPr>
          <w:rFonts w:ascii="Arial" w:hAnsi="Arial"/>
          <w:b/>
          <w:bCs/>
          <w:rtl/>
        </w:rPr>
        <w:t xml:space="preserve">ניתן היום,  ה' אדר תשפ"א, 17 פברואר 2021, בהעדר הצדדים. </w:t>
      </w:r>
      <w:bookmarkEnd w:id="7"/>
    </w:p>
    <w:p w14:paraId="3F95F82F" w14:textId="77777777" w:rsidR="00091FA6" w:rsidRDefault="00091FA6" w:rsidP="00DC0C2F">
      <w:pPr>
        <w:jc w:val="center"/>
      </w:pPr>
      <w:r>
        <w:rPr>
          <w:rtl/>
        </w:rPr>
        <w:t xml:space="preserve">   </w:t>
      </w:r>
      <w:r>
        <w:rPr>
          <w:rtl/>
        </w:rPr>
        <w:tab/>
      </w:r>
      <w:r>
        <w:rPr>
          <w:rtl/>
        </w:rPr>
        <w:tab/>
      </w:r>
      <w:r>
        <w:rPr>
          <w:rtl/>
        </w:rPr>
        <w:tab/>
      </w:r>
      <w:r>
        <w:rPr>
          <w:rtl/>
        </w:rPr>
        <w:tab/>
      </w:r>
      <w:r>
        <w:rPr>
          <w:rtl/>
        </w:rPr>
        <w:tab/>
      </w:r>
    </w:p>
    <w:p w14:paraId="775F00BB" w14:textId="77777777" w:rsidR="00091FA6" w:rsidRDefault="00091FA6" w:rsidP="003E0C9F">
      <w:pPr>
        <w:jc w:val="center"/>
        <w:rPr>
          <w:rFonts w:ascii="Arial" w:hAnsi="Arial" w:cs="FrankRuehl"/>
          <w:sz w:val="28"/>
          <w:szCs w:val="28"/>
          <w:rtl/>
        </w:rPr>
      </w:pPr>
    </w:p>
    <w:p w14:paraId="12AC0816" w14:textId="77777777" w:rsidR="00091FA6" w:rsidRPr="002535D5" w:rsidRDefault="002535D5">
      <w:pPr>
        <w:rPr>
          <w:rFonts w:cs="FrankRuehl"/>
          <w:color w:val="FFFFFF"/>
          <w:sz w:val="2"/>
          <w:szCs w:val="2"/>
          <w:rtl/>
        </w:rPr>
      </w:pPr>
      <w:r w:rsidRPr="002535D5">
        <w:rPr>
          <w:rFonts w:cs="FrankRuehl"/>
          <w:color w:val="FFFFFF"/>
          <w:sz w:val="2"/>
          <w:szCs w:val="2"/>
          <w:rtl/>
        </w:rPr>
        <w:t>5129371</w:t>
      </w:r>
    </w:p>
    <w:p w14:paraId="6CBEFB19" w14:textId="77777777" w:rsidR="00091FA6" w:rsidRPr="002535D5" w:rsidRDefault="002535D5" w:rsidP="00DC0C2F">
      <w:pPr>
        <w:pStyle w:val="a3"/>
        <w:keepNext/>
        <w:rPr>
          <w:rFonts w:ascii="David" w:hAnsi="David"/>
          <w:color w:val="FFFFFF"/>
          <w:sz w:val="2"/>
          <w:szCs w:val="2"/>
          <w:rtl/>
        </w:rPr>
      </w:pPr>
      <w:r w:rsidRPr="002535D5">
        <w:rPr>
          <w:rFonts w:ascii="David" w:hAnsi="David"/>
          <w:color w:val="FFFFFF"/>
          <w:sz w:val="2"/>
          <w:szCs w:val="2"/>
          <w:rtl/>
        </w:rPr>
        <w:t>54678313</w:t>
      </w:r>
    </w:p>
    <w:p w14:paraId="75B3D661" w14:textId="77777777" w:rsidR="00DC0C2F" w:rsidRDefault="00DC0C2F" w:rsidP="00DC0C2F">
      <w:pPr>
        <w:pStyle w:val="a3"/>
        <w:rPr>
          <w:rtl/>
        </w:rPr>
      </w:pPr>
    </w:p>
    <w:p w14:paraId="0F344173" w14:textId="77777777" w:rsidR="00DC0C2F" w:rsidRDefault="00DC0C2F" w:rsidP="00DC0C2F">
      <w:pPr>
        <w:pStyle w:val="a3"/>
        <w:jc w:val="center"/>
        <w:rPr>
          <w:color w:val="0000FF"/>
          <w:u w:val="single"/>
          <w:rtl/>
        </w:rPr>
      </w:pPr>
      <w:hyperlink r:id="rId40" w:history="1">
        <w:r>
          <w:rPr>
            <w:color w:val="0000FF"/>
            <w:u w:val="single"/>
            <w:rtl/>
          </w:rPr>
          <w:t>בעניין עריכה ושינויים במסמכי פסיקה, חקיקה ועוד באתר נבו – הקש כאן</w:t>
        </w:r>
      </w:hyperlink>
    </w:p>
    <w:p w14:paraId="62BF9624" w14:textId="77777777" w:rsidR="002535D5" w:rsidRPr="002535D5" w:rsidRDefault="002535D5" w:rsidP="002535D5">
      <w:pPr>
        <w:pStyle w:val="a3"/>
        <w:keepNext/>
        <w:rPr>
          <w:rFonts w:ascii="David" w:hAnsi="David"/>
          <w:color w:val="000000"/>
          <w:sz w:val="22"/>
          <w:szCs w:val="22"/>
          <w:rtl/>
        </w:rPr>
      </w:pPr>
    </w:p>
    <w:p w14:paraId="6AEFDA36" w14:textId="77777777" w:rsidR="002535D5" w:rsidRPr="002535D5" w:rsidRDefault="002535D5" w:rsidP="002535D5">
      <w:pPr>
        <w:pStyle w:val="a3"/>
        <w:keepNext/>
        <w:rPr>
          <w:rFonts w:ascii="David" w:hAnsi="David"/>
          <w:color w:val="000000"/>
          <w:sz w:val="22"/>
          <w:szCs w:val="22"/>
          <w:rtl/>
        </w:rPr>
      </w:pPr>
      <w:r w:rsidRPr="002535D5">
        <w:rPr>
          <w:rFonts w:ascii="David" w:hAnsi="David"/>
          <w:color w:val="000000"/>
          <w:sz w:val="22"/>
          <w:szCs w:val="22"/>
          <w:rtl/>
        </w:rPr>
        <w:t>סארי ג'יוסי 54678313-/</w:t>
      </w:r>
    </w:p>
    <w:p w14:paraId="0E93427B" w14:textId="77777777" w:rsidR="00DC0C2F" w:rsidRPr="00DC0C2F" w:rsidRDefault="002535D5" w:rsidP="002535D5">
      <w:pPr>
        <w:pStyle w:val="a3"/>
        <w:rPr>
          <w:color w:val="0000FF"/>
          <w:u w:val="single"/>
          <w:rtl/>
        </w:rPr>
      </w:pPr>
      <w:r w:rsidRPr="002535D5">
        <w:rPr>
          <w:color w:val="000000"/>
          <w:u w:val="single"/>
          <w:rtl/>
        </w:rPr>
        <w:t>נוסח מסמך זה כפוף לשינויי ניסוח ועריכה</w:t>
      </w:r>
    </w:p>
    <w:sectPr w:rsidR="00DC0C2F" w:rsidRPr="00DC0C2F" w:rsidSect="002535D5">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4FB6B" w14:textId="77777777" w:rsidR="002B6272" w:rsidRDefault="002B6272">
      <w:r>
        <w:separator/>
      </w:r>
    </w:p>
  </w:endnote>
  <w:endnote w:type="continuationSeparator" w:id="0">
    <w:p w14:paraId="7517ED99" w14:textId="77777777" w:rsidR="002B6272" w:rsidRDefault="002B6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72E5D" w14:textId="77777777" w:rsidR="002535D5" w:rsidRDefault="002535D5" w:rsidP="002535D5">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5BA9D86" w14:textId="77777777" w:rsidR="00091FA6" w:rsidRPr="002535D5" w:rsidRDefault="002535D5" w:rsidP="002535D5">
    <w:pPr>
      <w:pStyle w:val="a4"/>
      <w:pBdr>
        <w:top w:val="single" w:sz="4" w:space="1" w:color="auto"/>
        <w:between w:val="single" w:sz="4" w:space="0" w:color="auto"/>
      </w:pBdr>
      <w:spacing w:after="60"/>
      <w:jc w:val="center"/>
      <w:rPr>
        <w:rFonts w:ascii="FrankRuehl" w:hAnsi="FrankRuehl" w:cs="FrankRuehl"/>
        <w:color w:val="000000"/>
      </w:rPr>
    </w:pPr>
    <w:r w:rsidRPr="002535D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AEBE0" w14:textId="77777777" w:rsidR="002535D5" w:rsidRDefault="002535D5" w:rsidP="002535D5">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75336">
      <w:rPr>
        <w:rFonts w:ascii="FrankRuehl" w:hAnsi="FrankRuehl" w:cs="FrankRuehl"/>
        <w:noProof/>
        <w:rtl/>
      </w:rPr>
      <w:t>1</w:t>
    </w:r>
    <w:r>
      <w:rPr>
        <w:rFonts w:ascii="FrankRuehl" w:hAnsi="FrankRuehl" w:cs="FrankRuehl"/>
        <w:rtl/>
      </w:rPr>
      <w:fldChar w:fldCharType="end"/>
    </w:r>
  </w:p>
  <w:p w14:paraId="7B57BAA0" w14:textId="77777777" w:rsidR="00091FA6" w:rsidRPr="002535D5" w:rsidRDefault="002535D5" w:rsidP="002535D5">
    <w:pPr>
      <w:pStyle w:val="a4"/>
      <w:pBdr>
        <w:top w:val="single" w:sz="4" w:space="1" w:color="auto"/>
        <w:between w:val="single" w:sz="4" w:space="0" w:color="auto"/>
      </w:pBdr>
      <w:spacing w:after="60"/>
      <w:jc w:val="center"/>
      <w:rPr>
        <w:rFonts w:ascii="FrankRuehl" w:hAnsi="FrankRuehl" w:cs="FrankRuehl"/>
        <w:color w:val="000000"/>
      </w:rPr>
    </w:pPr>
    <w:r w:rsidRPr="002535D5">
      <w:rPr>
        <w:rFonts w:ascii="FrankRuehl" w:hAnsi="FrankRuehl" w:cs="FrankRuehl"/>
        <w:color w:val="000000"/>
      </w:rPr>
      <w:pict w14:anchorId="6638BC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B5E357" w14:textId="77777777" w:rsidR="002B6272" w:rsidRDefault="002B6272">
      <w:r>
        <w:separator/>
      </w:r>
    </w:p>
  </w:footnote>
  <w:footnote w:type="continuationSeparator" w:id="0">
    <w:p w14:paraId="1640EF43" w14:textId="77777777" w:rsidR="002B6272" w:rsidRDefault="002B62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76226" w14:textId="77777777" w:rsidR="00DC0C2F" w:rsidRPr="002535D5" w:rsidRDefault="002535D5" w:rsidP="002535D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12376-04-20</w:t>
    </w:r>
    <w:r>
      <w:rPr>
        <w:rFonts w:ascii="David" w:hAnsi="David"/>
        <w:color w:val="000000"/>
        <w:sz w:val="22"/>
        <w:szCs w:val="22"/>
        <w:rtl/>
      </w:rPr>
      <w:tab/>
      <w:t xml:space="preserve"> מדינת ישראל נ' ורד ארפאעיה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FB1F5" w14:textId="77777777" w:rsidR="00091FA6" w:rsidRPr="002535D5" w:rsidRDefault="002535D5" w:rsidP="002535D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12376-04-20</w:t>
    </w:r>
    <w:r>
      <w:rPr>
        <w:rFonts w:ascii="David" w:hAnsi="David"/>
        <w:color w:val="000000"/>
        <w:sz w:val="22"/>
        <w:szCs w:val="22"/>
        <w:rtl/>
      </w:rPr>
      <w:tab/>
      <w:t xml:space="preserve"> מדינת ישראל נ' ורד ארפאעיה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23478920">
    <w:abstractNumId w:val="1"/>
  </w:num>
  <w:num w:numId="2" w16cid:durableId="364795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31F8A"/>
    <w:rsid w:val="00054FC4"/>
    <w:rsid w:val="0006726A"/>
    <w:rsid w:val="00091FA6"/>
    <w:rsid w:val="000E75A0"/>
    <w:rsid w:val="00100577"/>
    <w:rsid w:val="00162F7F"/>
    <w:rsid w:val="00185EC8"/>
    <w:rsid w:val="001E0B71"/>
    <w:rsid w:val="00212125"/>
    <w:rsid w:val="00212A3B"/>
    <w:rsid w:val="00217EF1"/>
    <w:rsid w:val="002535D5"/>
    <w:rsid w:val="002605EB"/>
    <w:rsid w:val="002A18B9"/>
    <w:rsid w:val="002B6272"/>
    <w:rsid w:val="002D6C61"/>
    <w:rsid w:val="00367565"/>
    <w:rsid w:val="003C499C"/>
    <w:rsid w:val="003E0C9F"/>
    <w:rsid w:val="00420633"/>
    <w:rsid w:val="004215DC"/>
    <w:rsid w:val="00507694"/>
    <w:rsid w:val="00522910"/>
    <w:rsid w:val="00553C12"/>
    <w:rsid w:val="005C7B0B"/>
    <w:rsid w:val="00683ABD"/>
    <w:rsid w:val="00684E84"/>
    <w:rsid w:val="006B0C73"/>
    <w:rsid w:val="006C2095"/>
    <w:rsid w:val="007049EF"/>
    <w:rsid w:val="00715D85"/>
    <w:rsid w:val="00757983"/>
    <w:rsid w:val="00775336"/>
    <w:rsid w:val="007D46DD"/>
    <w:rsid w:val="00821F29"/>
    <w:rsid w:val="00832D73"/>
    <w:rsid w:val="008819B4"/>
    <w:rsid w:val="00923E98"/>
    <w:rsid w:val="00976073"/>
    <w:rsid w:val="009E35A7"/>
    <w:rsid w:val="009E49A1"/>
    <w:rsid w:val="009F504D"/>
    <w:rsid w:val="00A0588B"/>
    <w:rsid w:val="00A504C4"/>
    <w:rsid w:val="00A86852"/>
    <w:rsid w:val="00B05847"/>
    <w:rsid w:val="00B22E0A"/>
    <w:rsid w:val="00BD67E7"/>
    <w:rsid w:val="00BE0015"/>
    <w:rsid w:val="00C02463"/>
    <w:rsid w:val="00C55E62"/>
    <w:rsid w:val="00C572E8"/>
    <w:rsid w:val="00CA0E34"/>
    <w:rsid w:val="00CA66CB"/>
    <w:rsid w:val="00D020F2"/>
    <w:rsid w:val="00D202F4"/>
    <w:rsid w:val="00D3203D"/>
    <w:rsid w:val="00DC0C2F"/>
    <w:rsid w:val="00E40B4C"/>
    <w:rsid w:val="00E64821"/>
    <w:rsid w:val="00E70F9C"/>
    <w:rsid w:val="00EB1FEF"/>
    <w:rsid w:val="00EC64E8"/>
    <w:rsid w:val="00ED2C3E"/>
    <w:rsid w:val="00F47294"/>
    <w:rsid w:val="00F75AFC"/>
    <w:rsid w:val="00F80F00"/>
    <w:rsid w:val="00FE716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04D3BAF"/>
  <w15:chartTrackingRefBased/>
  <w15:docId w15:val="{EB9BEC3C-3A09-40A3-BDD4-4937EF20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styleId="Hyperlink">
    <w:name w:val="Hyperlink"/>
    <w:semiHidden/>
    <w:rsid w:val="00ED2C3E"/>
    <w:rPr>
      <w:rFonts w:cs="Times New Roman"/>
      <w:color w:val="0000FF"/>
      <w:u w:val="single"/>
    </w:rPr>
  </w:style>
  <w:style w:type="paragraph" w:customStyle="1" w:styleId="ListParagraph">
    <w:name w:val="List Paragraph"/>
    <w:basedOn w:val="a"/>
    <w:qFormat/>
    <w:rsid w:val="00ED2C3E"/>
    <w:pPr>
      <w:spacing w:after="160" w:line="256" w:lineRule="auto"/>
      <w:ind w:left="720"/>
      <w:contextualSpacing/>
    </w:pPr>
    <w:rPr>
      <w:rFonts w:ascii="Calibri" w:hAnsi="Calibri" w:cs="Arial"/>
      <w:sz w:val="22"/>
      <w:szCs w:val="22"/>
    </w:rPr>
  </w:style>
  <w:style w:type="character" w:customStyle="1" w:styleId="Ruller5">
    <w:name w:val="Ruller5 תו"/>
    <w:link w:val="Ruller50"/>
    <w:locked/>
    <w:rsid w:val="00ED2C3E"/>
    <w:rPr>
      <w:rFonts w:ascii="Arial TUR" w:hAnsi="Arial TUR"/>
      <w:spacing w:val="10"/>
      <w:sz w:val="28"/>
    </w:rPr>
  </w:style>
  <w:style w:type="paragraph" w:customStyle="1" w:styleId="Ruller50">
    <w:name w:val="Ruller5"/>
    <w:basedOn w:val="a"/>
    <w:link w:val="Ruller5"/>
    <w:rsid w:val="00ED2C3E"/>
    <w:pPr>
      <w:overflowPunct w:val="0"/>
      <w:autoSpaceDE w:val="0"/>
      <w:autoSpaceDN w:val="0"/>
      <w:adjustRightInd w:val="0"/>
      <w:ind w:left="1642" w:right="1282"/>
      <w:jc w:val="both"/>
    </w:pPr>
    <w:rPr>
      <w:rFonts w:ascii="Arial TUR" w:hAnsi="Arial TUR" w:cs="Times New Roman"/>
      <w:spacing w:val="10"/>
      <w:sz w:val="20"/>
      <w:szCs w:val="28"/>
    </w:rPr>
  </w:style>
  <w:style w:type="character" w:customStyle="1" w:styleId="Ruller4">
    <w:name w:val="Ruller4 תו"/>
    <w:link w:val="Ruller40"/>
    <w:locked/>
    <w:rsid w:val="00ED2C3E"/>
    <w:rPr>
      <w:rFonts w:ascii="Arial TUR" w:hAnsi="Arial TUR"/>
      <w:spacing w:val="10"/>
      <w:sz w:val="28"/>
    </w:rPr>
  </w:style>
  <w:style w:type="paragraph" w:customStyle="1" w:styleId="Ruller40">
    <w:name w:val="Ruller4"/>
    <w:basedOn w:val="a"/>
    <w:link w:val="Ruller4"/>
    <w:rsid w:val="00ED2C3E"/>
    <w:pPr>
      <w:tabs>
        <w:tab w:val="left" w:pos="800"/>
      </w:tabs>
      <w:overflowPunct w:val="0"/>
      <w:autoSpaceDE w:val="0"/>
      <w:autoSpaceDN w:val="0"/>
      <w:adjustRightInd w:val="0"/>
      <w:spacing w:line="360" w:lineRule="auto"/>
      <w:jc w:val="both"/>
    </w:pPr>
    <w:rPr>
      <w:rFonts w:ascii="Arial TUR" w:hAnsi="Arial TUR" w:cs="Times New Roman"/>
      <w:spacing w:val="10"/>
      <w:sz w:val="20"/>
      <w:szCs w:val="28"/>
    </w:rPr>
  </w:style>
  <w:style w:type="paragraph" w:customStyle="1" w:styleId="Ruller41">
    <w:name w:val="Ruller 4 ממוספר"/>
    <w:basedOn w:val="a"/>
    <w:rsid w:val="00ED2C3E"/>
    <w:pPr>
      <w:overflowPunct w:val="0"/>
      <w:autoSpaceDE w:val="0"/>
      <w:autoSpaceDN w:val="0"/>
      <w:spacing w:line="360" w:lineRule="auto"/>
      <w:jc w:val="both"/>
    </w:pPr>
    <w:rPr>
      <w:rFonts w:ascii="Garamond" w:hAnsi="Garamond" w:cs="Times New Roman"/>
      <w:spacing w:val="10"/>
    </w:rPr>
  </w:style>
  <w:style w:type="paragraph" w:customStyle="1" w:styleId="David">
    <w:name w:val="סגנון (עברית ושפות אחרות) David מיושר לשני הצדדים מרווח בין שורות..."/>
    <w:basedOn w:val="a"/>
    <w:rsid w:val="00ED2C3E"/>
    <w:pPr>
      <w:spacing w:line="360" w:lineRule="auto"/>
      <w:jc w:val="both"/>
    </w:pPr>
  </w:style>
  <w:style w:type="paragraph" w:customStyle="1" w:styleId="p00">
    <w:name w:val="p00"/>
    <w:basedOn w:val="a"/>
    <w:rsid w:val="00ED2C3E"/>
    <w:pPr>
      <w:autoSpaceDE w:val="0"/>
      <w:autoSpaceDN w:val="0"/>
      <w:spacing w:before="60"/>
      <w:ind w:left="2835"/>
      <w:jc w:val="both"/>
    </w:pPr>
    <w:rPr>
      <w:rFonts w:cs="Times New Roman"/>
      <w:sz w:val="20"/>
      <w:szCs w:val="20"/>
    </w:rPr>
  </w:style>
  <w:style w:type="character" w:customStyle="1" w:styleId="default">
    <w:name w:val="default"/>
    <w:rsid w:val="00ED2C3E"/>
    <w:rPr>
      <w:rFonts w:ascii="Times New Roman" w:hAnsi="Times New Roman" w:cs="Times New Roman"/>
    </w:rPr>
  </w:style>
  <w:style w:type="character" w:styleId="aa">
    <w:name w:val="line number"/>
    <w:semiHidden/>
    <w:rsid w:val="00ED2C3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6686085" TargetMode="External"/><Relationship Id="rId26" Type="http://schemas.openxmlformats.org/officeDocument/2006/relationships/hyperlink" Target="http://www.nevo.co.il/case/25824863" TargetMode="External"/><Relationship Id="rId39" Type="http://schemas.openxmlformats.org/officeDocument/2006/relationships/hyperlink" Target="http://www.nevo.co.il/case/6248029" TargetMode="External"/><Relationship Id="rId21" Type="http://schemas.openxmlformats.org/officeDocument/2006/relationships/hyperlink" Target="http://www.nevo.co.il/case/25612982" TargetMode="External"/><Relationship Id="rId34" Type="http://schemas.openxmlformats.org/officeDocument/2006/relationships/hyperlink" Target="http://www.nevo.co.il/case/23750625"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case/26202327" TargetMode="External"/><Relationship Id="rId29" Type="http://schemas.openxmlformats.org/officeDocument/2006/relationships/hyperlink" Target="http://www.nevo.co.il/case/5568354"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338.a.1"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7791493" TargetMode="External"/><Relationship Id="rId37" Type="http://schemas.openxmlformats.org/officeDocument/2006/relationships/hyperlink" Target="http://www.nevo.co.il/law/70301/40ja.1"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evo.co.il/law/70301/275" TargetMode="External"/><Relationship Id="rId23" Type="http://schemas.openxmlformats.org/officeDocument/2006/relationships/hyperlink" Target="http://www.nevo.co.il/law/70301/338.a.1" TargetMode="External"/><Relationship Id="rId28" Type="http://schemas.openxmlformats.org/officeDocument/2006/relationships/hyperlink" Target="http://www.nevo.co.il/case/5950172" TargetMode="External"/><Relationship Id="rId36" Type="http://schemas.openxmlformats.org/officeDocument/2006/relationships/hyperlink" Target="http://www.nevo.co.il/case/17938943" TargetMode="External"/><Relationship Id="rId10" Type="http://schemas.openxmlformats.org/officeDocument/2006/relationships/hyperlink" Target="http://www.nevo.co.il/law/70301/275" TargetMode="External"/><Relationship Id="rId19" Type="http://schemas.openxmlformats.org/officeDocument/2006/relationships/hyperlink" Target="http://www.nevo.co.il/case/5578534" TargetMode="External"/><Relationship Id="rId31" Type="http://schemas.openxmlformats.org/officeDocument/2006/relationships/hyperlink" Target="http://www.nevo.co.il/case/26538254"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2137915" TargetMode="External"/><Relationship Id="rId27" Type="http://schemas.openxmlformats.org/officeDocument/2006/relationships/hyperlink" Target="http://www.nevo.co.il/case/5995135" TargetMode="External"/><Relationship Id="rId30" Type="http://schemas.openxmlformats.org/officeDocument/2006/relationships/hyperlink" Target="http://www.nevo.co.il/case/27171364" TargetMode="External"/><Relationship Id="rId35" Type="http://schemas.openxmlformats.org/officeDocument/2006/relationships/hyperlink" Target="http://www.nevo.co.il/case/17941073" TargetMode="External"/><Relationship Id="rId43" Type="http://schemas.openxmlformats.org/officeDocument/2006/relationships/footer" Target="footer1.xml"/><Relationship Id="rId8" Type="http://schemas.openxmlformats.org/officeDocument/2006/relationships/hyperlink" Target="http://www.nevo.co.il/law/70301" TargetMode="External"/><Relationship Id="rId3" Type="http://schemas.openxmlformats.org/officeDocument/2006/relationships/styles" Target="styles.xml"/><Relationship Id="rId12" Type="http://schemas.openxmlformats.org/officeDocument/2006/relationships/hyperlink" Target="http://www.nevo.co.il/law/70301/40ja.1" TargetMode="External"/><Relationship Id="rId17" Type="http://schemas.openxmlformats.org/officeDocument/2006/relationships/hyperlink" Target="http://www.nevo.co.il/case/26418313" TargetMode="External"/><Relationship Id="rId25" Type="http://schemas.openxmlformats.org/officeDocument/2006/relationships/hyperlink" Target="http://www.nevo.co.il/case/21474168" TargetMode="External"/><Relationship Id="rId33" Type="http://schemas.openxmlformats.org/officeDocument/2006/relationships/hyperlink" Target="http://www.nevo.co.il/case/5821327" TargetMode="External"/><Relationship Id="rId38" Type="http://schemas.openxmlformats.org/officeDocument/2006/relationships/hyperlink" Target="http://www.nevo.co.il/law/70301" TargetMode="External"/><Relationship Id="rId46" Type="http://schemas.openxmlformats.org/officeDocument/2006/relationships/theme" Target="theme/theme1.xml"/><Relationship Id="rId20" Type="http://schemas.openxmlformats.org/officeDocument/2006/relationships/hyperlink" Target="http://www.nevo.co.il/case/22317462"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4667</Words>
  <Characters>23339</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27951</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3866748</vt:i4>
      </vt:variant>
      <vt:variant>
        <vt:i4>93</vt:i4>
      </vt:variant>
      <vt:variant>
        <vt:i4>0</vt:i4>
      </vt:variant>
      <vt:variant>
        <vt:i4>5</vt:i4>
      </vt:variant>
      <vt:variant>
        <vt:lpwstr>http://www.nevo.co.il/case/6248029</vt:lpwstr>
      </vt:variant>
      <vt:variant>
        <vt:lpwstr/>
      </vt:variant>
      <vt:variant>
        <vt:i4>7995492</vt:i4>
      </vt:variant>
      <vt:variant>
        <vt:i4>90</vt:i4>
      </vt:variant>
      <vt:variant>
        <vt:i4>0</vt:i4>
      </vt:variant>
      <vt:variant>
        <vt:i4>5</vt:i4>
      </vt:variant>
      <vt:variant>
        <vt:lpwstr>http://www.nevo.co.il/law/70301</vt:lpwstr>
      </vt:variant>
      <vt:variant>
        <vt:lpwstr/>
      </vt:variant>
      <vt:variant>
        <vt:i4>3473445</vt:i4>
      </vt:variant>
      <vt:variant>
        <vt:i4>87</vt:i4>
      </vt:variant>
      <vt:variant>
        <vt:i4>0</vt:i4>
      </vt:variant>
      <vt:variant>
        <vt:i4>5</vt:i4>
      </vt:variant>
      <vt:variant>
        <vt:lpwstr>http://www.nevo.co.il/law/70301/40ja.1</vt:lpwstr>
      </vt:variant>
      <vt:variant>
        <vt:lpwstr/>
      </vt:variant>
      <vt:variant>
        <vt:i4>3407993</vt:i4>
      </vt:variant>
      <vt:variant>
        <vt:i4>84</vt:i4>
      </vt:variant>
      <vt:variant>
        <vt:i4>0</vt:i4>
      </vt:variant>
      <vt:variant>
        <vt:i4>5</vt:i4>
      </vt:variant>
      <vt:variant>
        <vt:lpwstr>http://www.nevo.co.il/case/17938943</vt:lpwstr>
      </vt:variant>
      <vt:variant>
        <vt:lpwstr/>
      </vt:variant>
      <vt:variant>
        <vt:i4>4063351</vt:i4>
      </vt:variant>
      <vt:variant>
        <vt:i4>81</vt:i4>
      </vt:variant>
      <vt:variant>
        <vt:i4>0</vt:i4>
      </vt:variant>
      <vt:variant>
        <vt:i4>5</vt:i4>
      </vt:variant>
      <vt:variant>
        <vt:lpwstr>http://www.nevo.co.il/case/17941073</vt:lpwstr>
      </vt:variant>
      <vt:variant>
        <vt:lpwstr/>
      </vt:variant>
      <vt:variant>
        <vt:i4>3604596</vt:i4>
      </vt:variant>
      <vt:variant>
        <vt:i4>78</vt:i4>
      </vt:variant>
      <vt:variant>
        <vt:i4>0</vt:i4>
      </vt:variant>
      <vt:variant>
        <vt:i4>5</vt:i4>
      </vt:variant>
      <vt:variant>
        <vt:lpwstr>http://www.nevo.co.il/case/23750625</vt:lpwstr>
      </vt:variant>
      <vt:variant>
        <vt:lpwstr/>
      </vt:variant>
      <vt:variant>
        <vt:i4>3342463</vt:i4>
      </vt:variant>
      <vt:variant>
        <vt:i4>75</vt:i4>
      </vt:variant>
      <vt:variant>
        <vt:i4>0</vt:i4>
      </vt:variant>
      <vt:variant>
        <vt:i4>5</vt:i4>
      </vt:variant>
      <vt:variant>
        <vt:lpwstr>http://www.nevo.co.il/case/5821327</vt:lpwstr>
      </vt:variant>
      <vt:variant>
        <vt:lpwstr/>
      </vt:variant>
      <vt:variant>
        <vt:i4>3735675</vt:i4>
      </vt:variant>
      <vt:variant>
        <vt:i4>72</vt:i4>
      </vt:variant>
      <vt:variant>
        <vt:i4>0</vt:i4>
      </vt:variant>
      <vt:variant>
        <vt:i4>5</vt:i4>
      </vt:variant>
      <vt:variant>
        <vt:lpwstr>http://www.nevo.co.il/case/7791493</vt:lpwstr>
      </vt:variant>
      <vt:variant>
        <vt:lpwstr/>
      </vt:variant>
      <vt:variant>
        <vt:i4>3801203</vt:i4>
      </vt:variant>
      <vt:variant>
        <vt:i4>69</vt:i4>
      </vt:variant>
      <vt:variant>
        <vt:i4>0</vt:i4>
      </vt:variant>
      <vt:variant>
        <vt:i4>5</vt:i4>
      </vt:variant>
      <vt:variant>
        <vt:lpwstr>http://www.nevo.co.il/case/26538254</vt:lpwstr>
      </vt:variant>
      <vt:variant>
        <vt:lpwstr/>
      </vt:variant>
      <vt:variant>
        <vt:i4>3407991</vt:i4>
      </vt:variant>
      <vt:variant>
        <vt:i4>66</vt:i4>
      </vt:variant>
      <vt:variant>
        <vt:i4>0</vt:i4>
      </vt:variant>
      <vt:variant>
        <vt:i4>5</vt:i4>
      </vt:variant>
      <vt:variant>
        <vt:lpwstr>http://www.nevo.co.il/case/27171364</vt:lpwstr>
      </vt:variant>
      <vt:variant>
        <vt:lpwstr/>
      </vt:variant>
      <vt:variant>
        <vt:i4>3407996</vt:i4>
      </vt:variant>
      <vt:variant>
        <vt:i4>63</vt:i4>
      </vt:variant>
      <vt:variant>
        <vt:i4>0</vt:i4>
      </vt:variant>
      <vt:variant>
        <vt:i4>5</vt:i4>
      </vt:variant>
      <vt:variant>
        <vt:lpwstr>http://www.nevo.co.il/case/5568354</vt:lpwstr>
      </vt:variant>
      <vt:variant>
        <vt:lpwstr/>
      </vt:variant>
      <vt:variant>
        <vt:i4>3342458</vt:i4>
      </vt:variant>
      <vt:variant>
        <vt:i4>60</vt:i4>
      </vt:variant>
      <vt:variant>
        <vt:i4>0</vt:i4>
      </vt:variant>
      <vt:variant>
        <vt:i4>5</vt:i4>
      </vt:variant>
      <vt:variant>
        <vt:lpwstr>http://www.nevo.co.il/case/5950172</vt:lpwstr>
      </vt:variant>
      <vt:variant>
        <vt:lpwstr/>
      </vt:variant>
      <vt:variant>
        <vt:i4>3670139</vt:i4>
      </vt:variant>
      <vt:variant>
        <vt:i4>57</vt:i4>
      </vt:variant>
      <vt:variant>
        <vt:i4>0</vt:i4>
      </vt:variant>
      <vt:variant>
        <vt:i4>5</vt:i4>
      </vt:variant>
      <vt:variant>
        <vt:lpwstr>http://www.nevo.co.il/case/5995135</vt:lpwstr>
      </vt:variant>
      <vt:variant>
        <vt:lpwstr/>
      </vt:variant>
      <vt:variant>
        <vt:i4>3670139</vt:i4>
      </vt:variant>
      <vt:variant>
        <vt:i4>54</vt:i4>
      </vt:variant>
      <vt:variant>
        <vt:i4>0</vt:i4>
      </vt:variant>
      <vt:variant>
        <vt:i4>5</vt:i4>
      </vt:variant>
      <vt:variant>
        <vt:lpwstr>http://www.nevo.co.il/case/25824863</vt:lpwstr>
      </vt:variant>
      <vt:variant>
        <vt:lpwstr/>
      </vt:variant>
      <vt:variant>
        <vt:i4>3407987</vt:i4>
      </vt:variant>
      <vt:variant>
        <vt:i4>51</vt:i4>
      </vt:variant>
      <vt:variant>
        <vt:i4>0</vt:i4>
      </vt:variant>
      <vt:variant>
        <vt:i4>5</vt:i4>
      </vt:variant>
      <vt:variant>
        <vt:lpwstr>http://www.nevo.co.il/case/21474168</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6684735</vt:i4>
      </vt:variant>
      <vt:variant>
        <vt:i4>45</vt:i4>
      </vt:variant>
      <vt:variant>
        <vt:i4>0</vt:i4>
      </vt:variant>
      <vt:variant>
        <vt:i4>5</vt:i4>
      </vt:variant>
      <vt:variant>
        <vt:lpwstr>http://www.nevo.co.il/law/70301/338.a.1</vt:lpwstr>
      </vt:variant>
      <vt:variant>
        <vt:lpwstr/>
      </vt:variant>
      <vt:variant>
        <vt:i4>3473532</vt:i4>
      </vt:variant>
      <vt:variant>
        <vt:i4>42</vt:i4>
      </vt:variant>
      <vt:variant>
        <vt:i4>0</vt:i4>
      </vt:variant>
      <vt:variant>
        <vt:i4>5</vt:i4>
      </vt:variant>
      <vt:variant>
        <vt:lpwstr>http://www.nevo.co.il/case/22137915</vt:lpwstr>
      </vt:variant>
      <vt:variant>
        <vt:lpwstr/>
      </vt:variant>
      <vt:variant>
        <vt:i4>4063353</vt:i4>
      </vt:variant>
      <vt:variant>
        <vt:i4>39</vt:i4>
      </vt:variant>
      <vt:variant>
        <vt:i4>0</vt:i4>
      </vt:variant>
      <vt:variant>
        <vt:i4>5</vt:i4>
      </vt:variant>
      <vt:variant>
        <vt:lpwstr>http://www.nevo.co.il/case/25612982</vt:lpwstr>
      </vt:variant>
      <vt:variant>
        <vt:lpwstr/>
      </vt:variant>
      <vt:variant>
        <vt:i4>3145843</vt:i4>
      </vt:variant>
      <vt:variant>
        <vt:i4>36</vt:i4>
      </vt:variant>
      <vt:variant>
        <vt:i4>0</vt:i4>
      </vt:variant>
      <vt:variant>
        <vt:i4>5</vt:i4>
      </vt:variant>
      <vt:variant>
        <vt:lpwstr>http://www.nevo.co.il/case/22317462</vt:lpwstr>
      </vt:variant>
      <vt:variant>
        <vt:lpwstr/>
      </vt:variant>
      <vt:variant>
        <vt:i4>3342458</vt:i4>
      </vt:variant>
      <vt:variant>
        <vt:i4>33</vt:i4>
      </vt:variant>
      <vt:variant>
        <vt:i4>0</vt:i4>
      </vt:variant>
      <vt:variant>
        <vt:i4>5</vt:i4>
      </vt:variant>
      <vt:variant>
        <vt:lpwstr>http://www.nevo.co.il/case/5578534</vt:lpwstr>
      </vt:variant>
      <vt:variant>
        <vt:lpwstr/>
      </vt:variant>
      <vt:variant>
        <vt:i4>3801210</vt:i4>
      </vt:variant>
      <vt:variant>
        <vt:i4>30</vt:i4>
      </vt:variant>
      <vt:variant>
        <vt:i4>0</vt:i4>
      </vt:variant>
      <vt:variant>
        <vt:i4>5</vt:i4>
      </vt:variant>
      <vt:variant>
        <vt:lpwstr>http://www.nevo.co.il/case/26686085</vt:lpwstr>
      </vt:variant>
      <vt:variant>
        <vt:lpwstr/>
      </vt:variant>
      <vt:variant>
        <vt:i4>4128880</vt:i4>
      </vt:variant>
      <vt:variant>
        <vt:i4>27</vt:i4>
      </vt:variant>
      <vt:variant>
        <vt:i4>0</vt:i4>
      </vt:variant>
      <vt:variant>
        <vt:i4>5</vt:i4>
      </vt:variant>
      <vt:variant>
        <vt:lpwstr>http://www.nevo.co.il/case/26418313</vt:lpwstr>
      </vt:variant>
      <vt:variant>
        <vt:lpwstr/>
      </vt:variant>
      <vt:variant>
        <vt:i4>3145841</vt:i4>
      </vt:variant>
      <vt:variant>
        <vt:i4>24</vt:i4>
      </vt:variant>
      <vt:variant>
        <vt:i4>0</vt:i4>
      </vt:variant>
      <vt:variant>
        <vt:i4>5</vt:i4>
      </vt:variant>
      <vt:variant>
        <vt:lpwstr>http://www.nevo.co.il/case/26202327</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3473445</vt:i4>
      </vt:variant>
      <vt:variant>
        <vt:i4>12</vt:i4>
      </vt:variant>
      <vt:variant>
        <vt:i4>0</vt:i4>
      </vt:variant>
      <vt:variant>
        <vt:i4>5</vt:i4>
      </vt:variant>
      <vt:variant>
        <vt:lpwstr>http://www.nevo.co.il/law/70301/40ja.1</vt:lpwstr>
      </vt:variant>
      <vt:variant>
        <vt:lpwstr/>
      </vt:variant>
      <vt:variant>
        <vt:i4>6684735</vt:i4>
      </vt:variant>
      <vt:variant>
        <vt:i4>9</vt:i4>
      </vt:variant>
      <vt:variant>
        <vt:i4>0</vt:i4>
      </vt:variant>
      <vt:variant>
        <vt:i4>5</vt:i4>
      </vt:variant>
      <vt:variant>
        <vt:lpwstr>http://www.nevo.co.il/law/70301/338.a.1</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2025-01-19T16:32:00Z</dcterms:created>
  <dcterms:modified xsi:type="dcterms:W3CDTF">2025-01-19T16:32:00Z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12376</vt:lpwstr>
  </property>
  <property fmtid="{D5CDD505-2E9C-101B-9397-08002B2CF9AE}" pid="6" name="NEWPARTB">
    <vt:lpwstr>04</vt:lpwstr>
  </property>
  <property fmtid="{D5CDD505-2E9C-101B-9397-08002B2CF9AE}" pid="7" name="NEWPARTC">
    <vt:lpwstr>20</vt:lpwstr>
  </property>
  <property fmtid="{D5CDD505-2E9C-101B-9397-08002B2CF9AE}" pid="8" name="APPELLEE">
    <vt:lpwstr>ורד ארפאעיה</vt:lpwstr>
  </property>
  <property fmtid="{D5CDD505-2E9C-101B-9397-08002B2CF9AE}" pid="9" name="JUDGE">
    <vt:lpwstr>סארי ג'יוסי</vt:lpwstr>
  </property>
  <property fmtid="{D5CDD505-2E9C-101B-9397-08002B2CF9AE}" pid="10" name="CITY">
    <vt:lpwstr>חי'</vt:lpwstr>
  </property>
  <property fmtid="{D5CDD505-2E9C-101B-9397-08002B2CF9AE}" pid="11" name="DATE">
    <vt:lpwstr>20210217</vt:lpwstr>
  </property>
  <property fmtid="{D5CDD505-2E9C-101B-9397-08002B2CF9AE}" pid="12" name="TYPE_N_DATE">
    <vt:lpwstr>39020210217</vt:lpwstr>
  </property>
  <property fmtid="{D5CDD505-2E9C-101B-9397-08002B2CF9AE}" pid="13" name="WORDNUMPAGES">
    <vt:lpwstr>16</vt:lpwstr>
  </property>
  <property fmtid="{D5CDD505-2E9C-101B-9397-08002B2CF9AE}" pid="14" name="TYPE_ABS_DATE">
    <vt:lpwstr>390120210217</vt:lpwstr>
  </property>
  <property fmtid="{D5CDD505-2E9C-101B-9397-08002B2CF9AE}" pid="15" name="APPELLANT">
    <vt:lpwstr>מדינת ישראל</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26202327;26418313;26686085;5578534;22317462;25612982;22137915;21474168;25824863;5995135;5950172;5568354;27171364;26538254;7791493;5821327;23750625;17941073;17938943;6248029</vt:lpwstr>
  </property>
  <property fmtid="{D5CDD505-2E9C-101B-9397-08002B2CF9AE}" pid="36" name="LAWLISTTMP1">
    <vt:lpwstr>70301/144.b;275;338.a.1;40ja.1</vt:lpwstr>
  </property>
  <property fmtid="{D5CDD505-2E9C-101B-9397-08002B2CF9AE}" pid="37" name="METAKZER">
    <vt:lpwstr>מיכל</vt:lpwstr>
  </property>
  <property fmtid="{D5CDD505-2E9C-101B-9397-08002B2CF9AE}" pid="38" name="NOSE1ID">
    <vt:lpwstr>77</vt:lpwstr>
  </property>
  <property fmtid="{D5CDD505-2E9C-101B-9397-08002B2CF9AE}" pid="39" name="NOSE2ID">
    <vt:lpwstr>1446</vt:lpwstr>
  </property>
  <property fmtid="{D5CDD505-2E9C-101B-9397-08002B2CF9AE}" pid="40" name="NOSE3ID">
    <vt:lpwstr>13800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נשק</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20210224</vt:lpwstr>
  </property>
</Properties>
</file>