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2059B" w:rsidRPr="00867A1F" w14:paraId="694B98DE" w14:textId="77777777" w:rsidTr="00E30D30">
        <w:trPr>
          <w:trHeight w:hRule="exact" w:val="418"/>
          <w:jc w:val="center"/>
        </w:trPr>
        <w:tc>
          <w:tcPr>
            <w:tcW w:w="8721" w:type="dxa"/>
            <w:gridSpan w:val="2"/>
          </w:tcPr>
          <w:p w14:paraId="49309EDE" w14:textId="77777777" w:rsidR="0002059B" w:rsidRPr="00867A1F" w:rsidRDefault="0002059B" w:rsidP="00875796">
            <w:pPr>
              <w:pStyle w:val="a3"/>
              <w:jc w:val="center"/>
              <w:rPr>
                <w:rFonts w:ascii="Tahoma" w:hAnsi="Tahoma" w:cs="Tahoma"/>
                <w:color w:val="000080"/>
                <w:rtl/>
              </w:rPr>
            </w:pPr>
            <w:bookmarkStart w:id="0" w:name="LastJudge"/>
            <w:r w:rsidRPr="00867A1F">
              <w:rPr>
                <w:rFonts w:ascii="Tahoma" w:hAnsi="Tahoma" w:cs="Tahoma"/>
                <w:b/>
                <w:bCs/>
                <w:color w:val="000080"/>
                <w:rtl/>
              </w:rPr>
              <w:t>בית המשפט המחוזי בירושלים</w:t>
            </w:r>
          </w:p>
        </w:tc>
      </w:tr>
      <w:tr w:rsidR="0002059B" w:rsidRPr="00867A1F" w14:paraId="0A4E981E" w14:textId="77777777" w:rsidTr="00E30D30">
        <w:trPr>
          <w:trHeight w:val="337"/>
          <w:jc w:val="center"/>
        </w:trPr>
        <w:tc>
          <w:tcPr>
            <w:tcW w:w="5057" w:type="dxa"/>
          </w:tcPr>
          <w:p w14:paraId="14345DE9" w14:textId="77777777" w:rsidR="0002059B" w:rsidRPr="00867A1F" w:rsidRDefault="0002059B" w:rsidP="00875796">
            <w:pPr>
              <w:rPr>
                <w:rFonts w:cs="FrankRuehl"/>
                <w:b/>
                <w:bCs/>
                <w:sz w:val="28"/>
                <w:szCs w:val="28"/>
                <w:rtl/>
              </w:rPr>
            </w:pPr>
            <w:r w:rsidRPr="00867A1F">
              <w:rPr>
                <w:rFonts w:cs="FrankRuehl"/>
                <w:b/>
                <w:bCs/>
                <w:sz w:val="28"/>
                <w:szCs w:val="28"/>
                <w:rtl/>
              </w:rPr>
              <w:t>ת"פ</w:t>
            </w:r>
            <w:r w:rsidRPr="00867A1F">
              <w:rPr>
                <w:rFonts w:cs="FrankRuehl" w:hint="cs"/>
                <w:b/>
                <w:bCs/>
                <w:sz w:val="28"/>
                <w:szCs w:val="28"/>
                <w:rtl/>
              </w:rPr>
              <w:t xml:space="preserve"> </w:t>
            </w:r>
            <w:r w:rsidRPr="00867A1F">
              <w:rPr>
                <w:rFonts w:cs="FrankRuehl"/>
                <w:b/>
                <w:bCs/>
                <w:sz w:val="28"/>
                <w:szCs w:val="28"/>
                <w:rtl/>
              </w:rPr>
              <w:t>14593-04-20</w:t>
            </w:r>
            <w:r w:rsidRPr="00867A1F">
              <w:rPr>
                <w:rFonts w:cs="FrankRuehl" w:hint="cs"/>
                <w:b/>
                <w:bCs/>
                <w:sz w:val="28"/>
                <w:szCs w:val="28"/>
                <w:rtl/>
              </w:rPr>
              <w:t xml:space="preserve"> </w:t>
            </w:r>
            <w:r w:rsidRPr="00867A1F">
              <w:rPr>
                <w:rFonts w:cs="FrankRuehl"/>
                <w:b/>
                <w:bCs/>
                <w:sz w:val="28"/>
                <w:szCs w:val="28"/>
                <w:rtl/>
              </w:rPr>
              <w:t>מדינת ישראל נ' עאסי(עציר) ואח'</w:t>
            </w:r>
          </w:p>
          <w:p w14:paraId="38035E48" w14:textId="77777777" w:rsidR="0002059B" w:rsidRPr="00867A1F" w:rsidRDefault="0002059B" w:rsidP="00875796">
            <w:pPr>
              <w:pStyle w:val="a3"/>
              <w:rPr>
                <w:rFonts w:cs="FrankRuehl"/>
                <w:sz w:val="12"/>
                <w:szCs w:val="12"/>
                <w:rtl/>
              </w:rPr>
            </w:pPr>
          </w:p>
        </w:tc>
        <w:tc>
          <w:tcPr>
            <w:tcW w:w="3664" w:type="dxa"/>
          </w:tcPr>
          <w:p w14:paraId="7444B131" w14:textId="77777777" w:rsidR="0002059B" w:rsidRPr="00867A1F" w:rsidRDefault="0002059B" w:rsidP="00875796">
            <w:pPr>
              <w:pStyle w:val="a3"/>
              <w:jc w:val="right"/>
              <w:rPr>
                <w:rFonts w:cs="FrankRuehl"/>
                <w:sz w:val="28"/>
                <w:szCs w:val="28"/>
                <w:rtl/>
              </w:rPr>
            </w:pPr>
          </w:p>
        </w:tc>
      </w:tr>
    </w:tbl>
    <w:p w14:paraId="042E7F5C" w14:textId="77777777" w:rsidR="0002059B" w:rsidRPr="00867A1F" w:rsidRDefault="0002059B" w:rsidP="0002059B">
      <w:pPr>
        <w:pStyle w:val="a3"/>
        <w:rPr>
          <w:sz w:val="2"/>
          <w:szCs w:val="2"/>
          <w:vertAlign w:val="subscript"/>
          <w:rtl/>
        </w:rPr>
      </w:pPr>
      <w:r w:rsidRPr="00867A1F">
        <w:rPr>
          <w:rFonts w:hint="cs"/>
          <w:rtl/>
        </w:rPr>
        <w:t xml:space="preserve"> </w:t>
      </w:r>
    </w:p>
    <w:p w14:paraId="06D89257" w14:textId="77777777" w:rsidR="0002059B" w:rsidRPr="00867A1F" w:rsidRDefault="0002059B" w:rsidP="0002059B">
      <w:pPr>
        <w:rPr>
          <w:rFonts w:ascii="David" w:hAnsi="David"/>
          <w:sz w:val="26"/>
          <w:szCs w:val="26"/>
          <w:rtl/>
        </w:rPr>
      </w:pPr>
    </w:p>
    <w:p w14:paraId="3D72C3A3" w14:textId="77777777" w:rsidR="0002059B" w:rsidRPr="00867A1F" w:rsidRDefault="0002059B" w:rsidP="0002059B">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31"/>
        <w:gridCol w:w="3540"/>
      </w:tblGrid>
      <w:tr w:rsidR="0002059B" w:rsidRPr="00867A1F" w14:paraId="1C00F383" w14:textId="77777777" w:rsidTr="0002059B">
        <w:trPr>
          <w:trHeight w:val="455"/>
          <w:jc w:val="center"/>
        </w:trPr>
        <w:tc>
          <w:tcPr>
            <w:tcW w:w="923" w:type="dxa"/>
            <w:tcBorders>
              <w:top w:val="nil"/>
              <w:left w:val="nil"/>
              <w:bottom w:val="nil"/>
              <w:right w:val="nil"/>
            </w:tcBorders>
            <w:shd w:val="clear" w:color="auto" w:fill="auto"/>
          </w:tcPr>
          <w:p w14:paraId="76C8083F" w14:textId="77777777" w:rsidR="0002059B" w:rsidRPr="00867A1F" w:rsidRDefault="0002059B" w:rsidP="0002059B">
            <w:pPr>
              <w:jc w:val="both"/>
              <w:rPr>
                <w:rFonts w:ascii="David" w:hAnsi="David"/>
                <w:b/>
                <w:bCs/>
                <w:sz w:val="26"/>
                <w:szCs w:val="26"/>
              </w:rPr>
            </w:pPr>
            <w:r w:rsidRPr="00867A1F">
              <w:rPr>
                <w:rFonts w:ascii="David" w:hAnsi="David" w:hint="cs"/>
                <w:b/>
                <w:bCs/>
                <w:sz w:val="26"/>
                <w:szCs w:val="26"/>
                <w:rtl/>
              </w:rPr>
              <w:t>ל</w:t>
            </w:r>
            <w:r w:rsidRPr="00867A1F">
              <w:rPr>
                <w:rFonts w:ascii="David" w:hAnsi="David"/>
                <w:b/>
                <w:bCs/>
                <w:sz w:val="26"/>
                <w:szCs w:val="26"/>
                <w:rtl/>
              </w:rPr>
              <w:t xml:space="preserve">פני </w:t>
            </w:r>
          </w:p>
          <w:p w14:paraId="72F15664" w14:textId="77777777" w:rsidR="0002059B" w:rsidRPr="00867A1F" w:rsidRDefault="0002059B" w:rsidP="00875796">
            <w:pPr>
              <w:rPr>
                <w:rFonts w:ascii="David" w:hAnsi="David"/>
                <w:sz w:val="26"/>
                <w:szCs w:val="26"/>
              </w:rPr>
            </w:pPr>
          </w:p>
          <w:p w14:paraId="2F8C1DC2" w14:textId="77777777" w:rsidR="0002059B" w:rsidRPr="00867A1F" w:rsidRDefault="0002059B" w:rsidP="0002059B">
            <w:pPr>
              <w:tabs>
                <w:tab w:val="left" w:pos="424"/>
              </w:tabs>
              <w:rPr>
                <w:rFonts w:ascii="David" w:hAnsi="David"/>
                <w:sz w:val="20"/>
                <w:szCs w:val="20"/>
              </w:rPr>
            </w:pPr>
          </w:p>
        </w:tc>
        <w:tc>
          <w:tcPr>
            <w:tcW w:w="7897" w:type="dxa"/>
            <w:gridSpan w:val="3"/>
            <w:tcBorders>
              <w:top w:val="nil"/>
              <w:left w:val="nil"/>
              <w:bottom w:val="nil"/>
              <w:right w:val="nil"/>
            </w:tcBorders>
            <w:shd w:val="clear" w:color="auto" w:fill="auto"/>
          </w:tcPr>
          <w:p w14:paraId="2D5E76D1" w14:textId="77777777" w:rsidR="0002059B" w:rsidRPr="00867A1F" w:rsidRDefault="0002059B" w:rsidP="00875796">
            <w:pPr>
              <w:rPr>
                <w:rFonts w:ascii="David" w:hAnsi="David"/>
                <w:b/>
                <w:bCs/>
                <w:sz w:val="26"/>
                <w:szCs w:val="26"/>
              </w:rPr>
            </w:pPr>
            <w:r w:rsidRPr="00867A1F">
              <w:rPr>
                <w:rFonts w:ascii="David" w:hAnsi="David"/>
                <w:b/>
                <w:bCs/>
                <w:sz w:val="26"/>
                <w:szCs w:val="26"/>
                <w:rtl/>
              </w:rPr>
              <w:t>כבוד השופטת חנה מרים לומפ</w:t>
            </w:r>
          </w:p>
        </w:tc>
      </w:tr>
      <w:tr w:rsidR="0002059B" w:rsidRPr="00867A1F" w14:paraId="3201471F" w14:textId="77777777" w:rsidTr="0002059B">
        <w:trPr>
          <w:trHeight w:val="355"/>
          <w:jc w:val="center"/>
        </w:trPr>
        <w:tc>
          <w:tcPr>
            <w:tcW w:w="923" w:type="dxa"/>
            <w:tcBorders>
              <w:top w:val="nil"/>
              <w:left w:val="nil"/>
              <w:bottom w:val="nil"/>
              <w:right w:val="nil"/>
            </w:tcBorders>
            <w:shd w:val="clear" w:color="auto" w:fill="auto"/>
          </w:tcPr>
          <w:p w14:paraId="6B8ABC48" w14:textId="77777777" w:rsidR="0002059B" w:rsidRPr="00867A1F" w:rsidRDefault="0002059B" w:rsidP="0002059B">
            <w:pPr>
              <w:jc w:val="both"/>
              <w:rPr>
                <w:rFonts w:ascii="David" w:hAnsi="David"/>
                <w:b/>
                <w:bCs/>
                <w:sz w:val="26"/>
                <w:szCs w:val="26"/>
              </w:rPr>
            </w:pPr>
            <w:bookmarkStart w:id="1" w:name="FirstAppellant"/>
            <w:r w:rsidRPr="00867A1F">
              <w:rPr>
                <w:rFonts w:ascii="David" w:hAnsi="David"/>
                <w:b/>
                <w:bCs/>
                <w:sz w:val="26"/>
                <w:szCs w:val="26"/>
                <w:rtl/>
              </w:rPr>
              <w:t>בעניין:</w:t>
            </w:r>
          </w:p>
        </w:tc>
        <w:tc>
          <w:tcPr>
            <w:tcW w:w="4126" w:type="dxa"/>
            <w:tcBorders>
              <w:top w:val="nil"/>
              <w:left w:val="nil"/>
              <w:bottom w:val="nil"/>
              <w:right w:val="nil"/>
            </w:tcBorders>
            <w:shd w:val="clear" w:color="auto" w:fill="auto"/>
          </w:tcPr>
          <w:p w14:paraId="4466123D" w14:textId="77777777" w:rsidR="0002059B" w:rsidRPr="00867A1F" w:rsidRDefault="0002059B" w:rsidP="00875796">
            <w:pPr>
              <w:rPr>
                <w:rFonts w:ascii="David" w:hAnsi="David"/>
                <w:b/>
                <w:bCs/>
                <w:sz w:val="26"/>
                <w:szCs w:val="26"/>
              </w:rPr>
            </w:pPr>
            <w:r w:rsidRPr="00867A1F">
              <w:rPr>
                <w:rFonts w:ascii="David" w:hAnsi="David"/>
                <w:b/>
                <w:bCs/>
                <w:sz w:val="26"/>
                <w:szCs w:val="26"/>
                <w:rtl/>
              </w:rPr>
              <w:t>מדינת ישראל</w:t>
            </w:r>
          </w:p>
        </w:tc>
        <w:tc>
          <w:tcPr>
            <w:tcW w:w="3771" w:type="dxa"/>
            <w:gridSpan w:val="2"/>
            <w:tcBorders>
              <w:top w:val="nil"/>
              <w:left w:val="nil"/>
              <w:bottom w:val="nil"/>
              <w:right w:val="nil"/>
            </w:tcBorders>
            <w:shd w:val="clear" w:color="auto" w:fill="auto"/>
          </w:tcPr>
          <w:p w14:paraId="1AD68036" w14:textId="77777777" w:rsidR="0002059B" w:rsidRPr="00867A1F" w:rsidRDefault="0002059B" w:rsidP="0002059B">
            <w:pPr>
              <w:jc w:val="both"/>
              <w:rPr>
                <w:rFonts w:ascii="David" w:hAnsi="David"/>
                <w:b/>
                <w:bCs/>
                <w:sz w:val="26"/>
                <w:szCs w:val="26"/>
              </w:rPr>
            </w:pPr>
          </w:p>
        </w:tc>
      </w:tr>
      <w:tr w:rsidR="0002059B" w:rsidRPr="00867A1F" w14:paraId="484CAEBC" w14:textId="77777777" w:rsidTr="0002059B">
        <w:trPr>
          <w:trHeight w:val="355"/>
          <w:jc w:val="center"/>
        </w:trPr>
        <w:tc>
          <w:tcPr>
            <w:tcW w:w="923" w:type="dxa"/>
            <w:tcBorders>
              <w:top w:val="nil"/>
              <w:left w:val="nil"/>
              <w:bottom w:val="nil"/>
              <w:right w:val="nil"/>
            </w:tcBorders>
            <w:shd w:val="clear" w:color="auto" w:fill="auto"/>
          </w:tcPr>
          <w:p w14:paraId="7612503E" w14:textId="77777777" w:rsidR="0002059B" w:rsidRPr="00867A1F" w:rsidRDefault="0002059B" w:rsidP="0002059B">
            <w:pPr>
              <w:jc w:val="both"/>
              <w:rPr>
                <w:rFonts w:ascii="David" w:hAnsi="David"/>
                <w:sz w:val="26"/>
                <w:szCs w:val="26"/>
                <w:rtl/>
              </w:rPr>
            </w:pPr>
            <w:bookmarkStart w:id="2" w:name="FirstLawyer"/>
            <w:bookmarkEnd w:id="1"/>
          </w:p>
        </w:tc>
        <w:tc>
          <w:tcPr>
            <w:tcW w:w="4357" w:type="dxa"/>
            <w:gridSpan w:val="2"/>
            <w:tcBorders>
              <w:top w:val="nil"/>
              <w:left w:val="nil"/>
              <w:bottom w:val="nil"/>
              <w:right w:val="nil"/>
            </w:tcBorders>
            <w:shd w:val="clear" w:color="auto" w:fill="auto"/>
          </w:tcPr>
          <w:p w14:paraId="379D4E83" w14:textId="77777777" w:rsidR="0002059B" w:rsidRPr="00867A1F" w:rsidRDefault="0002059B" w:rsidP="0002059B">
            <w:pPr>
              <w:jc w:val="both"/>
              <w:rPr>
                <w:rFonts w:ascii="David" w:hAnsi="David"/>
                <w:sz w:val="26"/>
                <w:szCs w:val="26"/>
                <w:rtl/>
              </w:rPr>
            </w:pPr>
            <w:r w:rsidRPr="00867A1F">
              <w:rPr>
                <w:rFonts w:ascii="David" w:hAnsi="David"/>
                <w:sz w:val="26"/>
                <w:szCs w:val="26"/>
                <w:rtl/>
              </w:rPr>
              <w:t>באמצעות פרקליטות מחוז ירושלים (פלילי)</w:t>
            </w:r>
            <w:r w:rsidRPr="00867A1F">
              <w:rPr>
                <w:rFonts w:ascii="David" w:hAnsi="David" w:hint="cs"/>
                <w:sz w:val="26"/>
                <w:szCs w:val="26"/>
                <w:rtl/>
              </w:rPr>
              <w:t xml:space="preserve"> </w:t>
            </w:r>
            <w:r w:rsidRPr="00867A1F">
              <w:rPr>
                <w:rFonts w:ascii="David" w:hAnsi="David"/>
                <w:sz w:val="26"/>
                <w:szCs w:val="26"/>
                <w:rtl/>
              </w:rPr>
              <w:t>על ידי ב"כ עו"ד אריאלה נבון</w:t>
            </w:r>
          </w:p>
        </w:tc>
        <w:tc>
          <w:tcPr>
            <w:tcW w:w="3540" w:type="dxa"/>
            <w:tcBorders>
              <w:top w:val="nil"/>
              <w:left w:val="nil"/>
              <w:bottom w:val="nil"/>
              <w:right w:val="nil"/>
            </w:tcBorders>
            <w:shd w:val="clear" w:color="auto" w:fill="auto"/>
          </w:tcPr>
          <w:p w14:paraId="28D9D853" w14:textId="77777777" w:rsidR="0002059B" w:rsidRPr="00867A1F" w:rsidRDefault="0002059B" w:rsidP="0002059B">
            <w:pPr>
              <w:jc w:val="right"/>
              <w:rPr>
                <w:rFonts w:ascii="David" w:hAnsi="David"/>
                <w:b/>
                <w:bCs/>
                <w:sz w:val="26"/>
                <w:szCs w:val="26"/>
                <w:rtl/>
              </w:rPr>
            </w:pPr>
            <w:r w:rsidRPr="00867A1F">
              <w:rPr>
                <w:rFonts w:ascii="David" w:hAnsi="David"/>
                <w:b/>
                <w:bCs/>
                <w:sz w:val="26"/>
                <w:szCs w:val="26"/>
                <w:rtl/>
              </w:rPr>
              <w:t>המאשימה</w:t>
            </w:r>
          </w:p>
        </w:tc>
      </w:tr>
      <w:bookmarkEnd w:id="2"/>
      <w:tr w:rsidR="0002059B" w:rsidRPr="00867A1F" w14:paraId="54DCEA32" w14:textId="77777777" w:rsidTr="0002059B">
        <w:trPr>
          <w:trHeight w:val="355"/>
          <w:jc w:val="center"/>
        </w:trPr>
        <w:tc>
          <w:tcPr>
            <w:tcW w:w="923" w:type="dxa"/>
            <w:tcBorders>
              <w:top w:val="nil"/>
              <w:left w:val="nil"/>
              <w:bottom w:val="nil"/>
              <w:right w:val="nil"/>
            </w:tcBorders>
            <w:shd w:val="clear" w:color="auto" w:fill="auto"/>
          </w:tcPr>
          <w:p w14:paraId="40D8402F" w14:textId="77777777" w:rsidR="0002059B" w:rsidRPr="00867A1F" w:rsidRDefault="0002059B" w:rsidP="0002059B">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43231567" w14:textId="77777777" w:rsidR="0002059B" w:rsidRPr="00867A1F" w:rsidRDefault="0002059B" w:rsidP="0002059B">
            <w:pPr>
              <w:jc w:val="center"/>
              <w:rPr>
                <w:rFonts w:ascii="David" w:hAnsi="David"/>
                <w:b/>
                <w:bCs/>
                <w:sz w:val="12"/>
                <w:szCs w:val="12"/>
                <w:rtl/>
              </w:rPr>
            </w:pPr>
          </w:p>
          <w:p w14:paraId="33F8F173" w14:textId="77777777" w:rsidR="0002059B" w:rsidRPr="00867A1F" w:rsidRDefault="0002059B" w:rsidP="0002059B">
            <w:pPr>
              <w:jc w:val="center"/>
              <w:rPr>
                <w:rFonts w:ascii="David" w:hAnsi="David"/>
                <w:b/>
                <w:bCs/>
                <w:sz w:val="26"/>
                <w:szCs w:val="26"/>
                <w:rtl/>
              </w:rPr>
            </w:pPr>
            <w:r w:rsidRPr="00867A1F">
              <w:rPr>
                <w:rFonts w:ascii="David" w:hAnsi="David"/>
                <w:b/>
                <w:bCs/>
                <w:sz w:val="26"/>
                <w:szCs w:val="26"/>
                <w:rtl/>
              </w:rPr>
              <w:t>נגד</w:t>
            </w:r>
          </w:p>
          <w:p w14:paraId="7053AB3B" w14:textId="77777777" w:rsidR="0002059B" w:rsidRPr="00867A1F" w:rsidRDefault="0002059B" w:rsidP="0002059B">
            <w:pPr>
              <w:jc w:val="both"/>
              <w:rPr>
                <w:rFonts w:ascii="David" w:hAnsi="David"/>
                <w:b/>
                <w:bCs/>
                <w:sz w:val="12"/>
                <w:szCs w:val="12"/>
              </w:rPr>
            </w:pPr>
          </w:p>
        </w:tc>
      </w:tr>
      <w:tr w:rsidR="0002059B" w:rsidRPr="00867A1F" w14:paraId="4D2772CE" w14:textId="77777777" w:rsidTr="0002059B">
        <w:trPr>
          <w:trHeight w:val="355"/>
          <w:jc w:val="center"/>
        </w:trPr>
        <w:tc>
          <w:tcPr>
            <w:tcW w:w="923" w:type="dxa"/>
            <w:tcBorders>
              <w:top w:val="nil"/>
              <w:left w:val="nil"/>
              <w:bottom w:val="nil"/>
              <w:right w:val="nil"/>
            </w:tcBorders>
            <w:shd w:val="clear" w:color="auto" w:fill="auto"/>
          </w:tcPr>
          <w:p w14:paraId="3A11726E" w14:textId="77777777" w:rsidR="0002059B" w:rsidRPr="00867A1F" w:rsidRDefault="0002059B" w:rsidP="00875796">
            <w:pPr>
              <w:rPr>
                <w:rFonts w:ascii="David" w:hAnsi="David"/>
                <w:sz w:val="26"/>
                <w:szCs w:val="26"/>
                <w:rtl/>
              </w:rPr>
            </w:pPr>
          </w:p>
        </w:tc>
        <w:tc>
          <w:tcPr>
            <w:tcW w:w="4126" w:type="dxa"/>
            <w:tcBorders>
              <w:top w:val="nil"/>
              <w:left w:val="nil"/>
              <w:bottom w:val="nil"/>
              <w:right w:val="nil"/>
            </w:tcBorders>
            <w:shd w:val="clear" w:color="auto" w:fill="auto"/>
          </w:tcPr>
          <w:p w14:paraId="4A5FBFE0" w14:textId="77777777" w:rsidR="0002059B" w:rsidRPr="00867A1F" w:rsidRDefault="0002059B" w:rsidP="00875796">
            <w:pPr>
              <w:rPr>
                <w:rFonts w:ascii="David" w:hAnsi="David"/>
                <w:b/>
                <w:bCs/>
                <w:sz w:val="26"/>
                <w:szCs w:val="26"/>
                <w:rtl/>
              </w:rPr>
            </w:pPr>
            <w:r w:rsidRPr="00867A1F">
              <w:rPr>
                <w:rFonts w:ascii="David" w:hAnsi="David"/>
                <w:b/>
                <w:bCs/>
                <w:sz w:val="26"/>
                <w:szCs w:val="26"/>
                <w:rtl/>
              </w:rPr>
              <w:t>1.נסראללה -מוניר עאסי (עציר)</w:t>
            </w:r>
          </w:p>
          <w:p w14:paraId="5650CD04" w14:textId="77777777" w:rsidR="0002059B" w:rsidRPr="00867A1F" w:rsidRDefault="0002059B" w:rsidP="00875796">
            <w:pPr>
              <w:rPr>
                <w:rFonts w:ascii="David" w:hAnsi="David"/>
                <w:b/>
                <w:bCs/>
                <w:sz w:val="26"/>
                <w:szCs w:val="26"/>
                <w:rtl/>
              </w:rPr>
            </w:pPr>
            <w:r w:rsidRPr="00867A1F">
              <w:rPr>
                <w:rFonts w:ascii="David" w:hAnsi="David"/>
                <w:b/>
                <w:bCs/>
                <w:sz w:val="26"/>
                <w:szCs w:val="26"/>
                <w:rtl/>
              </w:rPr>
              <w:t>2.בהאא אלדין אבו תאיה (עציר)</w:t>
            </w:r>
          </w:p>
        </w:tc>
        <w:tc>
          <w:tcPr>
            <w:tcW w:w="3771" w:type="dxa"/>
            <w:gridSpan w:val="2"/>
            <w:tcBorders>
              <w:top w:val="nil"/>
              <w:left w:val="nil"/>
              <w:bottom w:val="nil"/>
              <w:right w:val="nil"/>
            </w:tcBorders>
            <w:shd w:val="clear" w:color="auto" w:fill="auto"/>
          </w:tcPr>
          <w:p w14:paraId="74D5E7B8" w14:textId="77777777" w:rsidR="0002059B" w:rsidRPr="00867A1F" w:rsidRDefault="0002059B" w:rsidP="0002059B">
            <w:pPr>
              <w:jc w:val="right"/>
              <w:rPr>
                <w:rFonts w:ascii="David" w:hAnsi="David"/>
                <w:b/>
                <w:bCs/>
                <w:sz w:val="26"/>
                <w:szCs w:val="26"/>
              </w:rPr>
            </w:pPr>
          </w:p>
        </w:tc>
      </w:tr>
      <w:tr w:rsidR="0002059B" w:rsidRPr="00867A1F" w14:paraId="09D7295A" w14:textId="77777777" w:rsidTr="0002059B">
        <w:trPr>
          <w:trHeight w:val="355"/>
          <w:jc w:val="center"/>
        </w:trPr>
        <w:tc>
          <w:tcPr>
            <w:tcW w:w="923" w:type="dxa"/>
            <w:tcBorders>
              <w:top w:val="nil"/>
              <w:left w:val="nil"/>
              <w:bottom w:val="nil"/>
              <w:right w:val="nil"/>
            </w:tcBorders>
            <w:shd w:val="clear" w:color="auto" w:fill="auto"/>
          </w:tcPr>
          <w:p w14:paraId="7D6C3780" w14:textId="77777777" w:rsidR="0002059B" w:rsidRPr="00867A1F" w:rsidRDefault="0002059B" w:rsidP="0002059B">
            <w:pPr>
              <w:jc w:val="both"/>
              <w:rPr>
                <w:rFonts w:ascii="David" w:hAnsi="David"/>
                <w:sz w:val="26"/>
                <w:szCs w:val="26"/>
                <w:rtl/>
              </w:rPr>
            </w:pPr>
          </w:p>
        </w:tc>
        <w:tc>
          <w:tcPr>
            <w:tcW w:w="4126" w:type="dxa"/>
            <w:tcBorders>
              <w:top w:val="nil"/>
              <w:left w:val="nil"/>
              <w:bottom w:val="nil"/>
              <w:right w:val="nil"/>
            </w:tcBorders>
            <w:shd w:val="clear" w:color="auto" w:fill="auto"/>
          </w:tcPr>
          <w:p w14:paraId="3B9A3491" w14:textId="77777777" w:rsidR="0002059B" w:rsidRPr="00867A1F" w:rsidRDefault="0002059B" w:rsidP="0002059B">
            <w:pPr>
              <w:jc w:val="both"/>
              <w:rPr>
                <w:rFonts w:ascii="David" w:hAnsi="David"/>
                <w:sz w:val="26"/>
                <w:szCs w:val="26"/>
                <w:rtl/>
              </w:rPr>
            </w:pPr>
            <w:r w:rsidRPr="00867A1F">
              <w:rPr>
                <w:rFonts w:ascii="David" w:hAnsi="David" w:hint="cs"/>
                <w:sz w:val="26"/>
                <w:szCs w:val="26"/>
                <w:rtl/>
              </w:rPr>
              <w:t xml:space="preserve">שניהם </w:t>
            </w:r>
            <w:r w:rsidRPr="00867A1F">
              <w:rPr>
                <w:rFonts w:ascii="David" w:hAnsi="David"/>
                <w:sz w:val="26"/>
                <w:szCs w:val="26"/>
                <w:rtl/>
              </w:rPr>
              <w:t>על ידי ב"כ עו"ד ריאד סוואעד</w:t>
            </w:r>
          </w:p>
        </w:tc>
        <w:tc>
          <w:tcPr>
            <w:tcW w:w="3771" w:type="dxa"/>
            <w:gridSpan w:val="2"/>
            <w:tcBorders>
              <w:top w:val="nil"/>
              <w:left w:val="nil"/>
              <w:bottom w:val="nil"/>
              <w:right w:val="nil"/>
            </w:tcBorders>
            <w:shd w:val="clear" w:color="auto" w:fill="auto"/>
          </w:tcPr>
          <w:p w14:paraId="25DF7D50" w14:textId="77777777" w:rsidR="0002059B" w:rsidRPr="00867A1F" w:rsidRDefault="0002059B" w:rsidP="0002059B">
            <w:pPr>
              <w:jc w:val="right"/>
              <w:rPr>
                <w:rFonts w:ascii="David" w:hAnsi="David"/>
                <w:b/>
                <w:bCs/>
                <w:sz w:val="26"/>
                <w:szCs w:val="26"/>
              </w:rPr>
            </w:pPr>
            <w:r w:rsidRPr="00867A1F">
              <w:rPr>
                <w:rFonts w:ascii="David" w:hAnsi="David"/>
                <w:b/>
                <w:bCs/>
                <w:sz w:val="26"/>
                <w:szCs w:val="26"/>
                <w:rtl/>
              </w:rPr>
              <w:t>הנאשמים</w:t>
            </w:r>
          </w:p>
        </w:tc>
      </w:tr>
    </w:tbl>
    <w:p w14:paraId="1E5A1985" w14:textId="77777777" w:rsidR="0002059B" w:rsidRPr="00867A1F" w:rsidRDefault="0002059B" w:rsidP="0002059B">
      <w:pPr>
        <w:rPr>
          <w:rFonts w:ascii="David" w:hAnsi="David"/>
          <w:sz w:val="26"/>
          <w:szCs w:val="26"/>
        </w:rPr>
      </w:pPr>
    </w:p>
    <w:p w14:paraId="0191C329" w14:textId="77777777" w:rsidR="00FD2A94" w:rsidRPr="00FD2A94" w:rsidRDefault="00FD2A94" w:rsidP="00FD2A94">
      <w:pPr>
        <w:spacing w:before="120" w:after="120" w:line="240" w:lineRule="exact"/>
        <w:ind w:left="283" w:hanging="283"/>
        <w:jc w:val="both"/>
        <w:rPr>
          <w:rFonts w:ascii="FrankRuehl" w:hAnsi="FrankRuehl" w:cs="FrankRuehl"/>
          <w:rtl/>
        </w:rPr>
      </w:pPr>
      <w:bookmarkStart w:id="3" w:name="LawTable"/>
      <w:bookmarkEnd w:id="3"/>
    </w:p>
    <w:p w14:paraId="4FF8A614" w14:textId="77777777" w:rsidR="00FD2A94" w:rsidRPr="00FD2A94" w:rsidRDefault="00FD2A94" w:rsidP="00FD2A94">
      <w:pPr>
        <w:spacing w:before="120" w:after="120" w:line="240" w:lineRule="exact"/>
        <w:ind w:left="283" w:hanging="283"/>
        <w:jc w:val="both"/>
        <w:rPr>
          <w:rFonts w:ascii="FrankRuehl" w:hAnsi="FrankRuehl" w:cs="FrankRuehl"/>
          <w:rtl/>
        </w:rPr>
      </w:pPr>
      <w:r w:rsidRPr="00FD2A94">
        <w:rPr>
          <w:rFonts w:ascii="FrankRuehl" w:hAnsi="FrankRuehl" w:cs="FrankRuehl"/>
          <w:rtl/>
        </w:rPr>
        <w:t xml:space="preserve">חקיקה שאוזכרה: </w:t>
      </w:r>
    </w:p>
    <w:p w14:paraId="11083139" w14:textId="77777777" w:rsidR="00FD2A94" w:rsidRPr="00FD2A94" w:rsidRDefault="00FD2A94" w:rsidP="00FD2A94">
      <w:pPr>
        <w:spacing w:before="120" w:after="120" w:line="240" w:lineRule="exact"/>
        <w:ind w:left="283" w:hanging="283"/>
        <w:jc w:val="both"/>
        <w:rPr>
          <w:rFonts w:ascii="FrankRuehl" w:hAnsi="FrankRuehl" w:cs="FrankRuehl"/>
          <w:color w:val="0000FF"/>
          <w:rtl/>
        </w:rPr>
      </w:pPr>
      <w:hyperlink r:id="rId7" w:history="1">
        <w:r w:rsidRPr="00FD2A94">
          <w:rPr>
            <w:rStyle w:val="Hyperlink"/>
            <w:rFonts w:ascii="FrankRuehl" w:hAnsi="FrankRuehl" w:cs="FrankRuehl"/>
            <w:u w:val="none"/>
            <w:rtl/>
          </w:rPr>
          <w:t>חוק העונשין, תשל"ז-1977</w:t>
        </w:r>
      </w:hyperlink>
      <w:r w:rsidRPr="00FD2A94">
        <w:rPr>
          <w:rFonts w:ascii="FrankRuehl" w:hAnsi="FrankRuehl" w:cs="FrankRuehl"/>
          <w:color w:val="0000FF"/>
          <w:rtl/>
        </w:rPr>
        <w:t xml:space="preserve">: סע'  </w:t>
      </w:r>
      <w:hyperlink r:id="rId8" w:history="1">
        <w:r w:rsidRPr="00FD2A94">
          <w:rPr>
            <w:rStyle w:val="Hyperlink"/>
            <w:rFonts w:ascii="FrankRuehl" w:hAnsi="FrankRuehl" w:cs="FrankRuehl"/>
            <w:u w:val="none"/>
          </w:rPr>
          <w:t xml:space="preserve">40 </w:t>
        </w:r>
        <w:r w:rsidRPr="00FD2A94">
          <w:rPr>
            <w:rStyle w:val="Hyperlink"/>
            <w:rFonts w:ascii="FrankRuehl" w:hAnsi="FrankRuehl" w:cs="FrankRuehl"/>
            <w:u w:val="none"/>
            <w:rtl/>
          </w:rPr>
          <w:t>ב</w:t>
        </w:r>
      </w:hyperlink>
      <w:r w:rsidRPr="00FD2A94">
        <w:rPr>
          <w:rFonts w:ascii="FrankRuehl" w:hAnsi="FrankRuehl" w:cs="FrankRuehl"/>
          <w:color w:val="0000FF"/>
          <w:rtl/>
        </w:rPr>
        <w:t xml:space="preserve">, </w:t>
      </w:r>
      <w:hyperlink r:id="rId9" w:history="1">
        <w:r w:rsidRPr="00FD2A94">
          <w:rPr>
            <w:rStyle w:val="Hyperlink"/>
            <w:rFonts w:ascii="FrankRuehl" w:hAnsi="FrankRuehl" w:cs="FrankRuehl"/>
            <w:u w:val="none"/>
          </w:rPr>
          <w:t xml:space="preserve">40 </w:t>
        </w:r>
        <w:r w:rsidRPr="00FD2A94">
          <w:rPr>
            <w:rStyle w:val="Hyperlink"/>
            <w:rFonts w:ascii="FrankRuehl" w:hAnsi="FrankRuehl" w:cs="FrankRuehl"/>
            <w:u w:val="none"/>
            <w:rtl/>
          </w:rPr>
          <w:t>ט</w:t>
        </w:r>
        <w:r w:rsidRPr="00FD2A94">
          <w:rPr>
            <w:rStyle w:val="Hyperlink"/>
            <w:rFonts w:ascii="FrankRuehl" w:hAnsi="FrankRuehl" w:cs="FrankRuehl"/>
            <w:u w:val="none"/>
          </w:rPr>
          <w:t>'</w:t>
        </w:r>
      </w:hyperlink>
      <w:r w:rsidRPr="00FD2A94">
        <w:rPr>
          <w:rFonts w:ascii="FrankRuehl" w:hAnsi="FrankRuehl" w:cs="FrankRuehl"/>
          <w:color w:val="0000FF"/>
          <w:rtl/>
        </w:rPr>
        <w:t xml:space="preserve">, </w:t>
      </w:r>
      <w:hyperlink r:id="rId10" w:history="1">
        <w:r w:rsidRPr="00FD2A94">
          <w:rPr>
            <w:rStyle w:val="Hyperlink"/>
            <w:rFonts w:ascii="FrankRuehl" w:hAnsi="FrankRuehl" w:cs="FrankRuehl"/>
            <w:u w:val="none"/>
          </w:rPr>
          <w:t>144</w:t>
        </w:r>
      </w:hyperlink>
      <w:r w:rsidRPr="00FD2A94">
        <w:rPr>
          <w:rFonts w:ascii="FrankRuehl" w:hAnsi="FrankRuehl" w:cs="FrankRuehl"/>
          <w:color w:val="0000FF"/>
          <w:rtl/>
        </w:rPr>
        <w:t xml:space="preserve">(א), </w:t>
      </w:r>
      <w:hyperlink r:id="rId11" w:history="1">
        <w:r w:rsidRPr="00FD2A94">
          <w:rPr>
            <w:rStyle w:val="Hyperlink"/>
            <w:rFonts w:ascii="FrankRuehl" w:hAnsi="FrankRuehl" w:cs="FrankRuehl"/>
            <w:u w:val="none"/>
          </w:rPr>
          <w:t>144</w:t>
        </w:r>
      </w:hyperlink>
      <w:r w:rsidRPr="00FD2A94">
        <w:rPr>
          <w:rFonts w:ascii="FrankRuehl" w:hAnsi="FrankRuehl" w:cs="FrankRuehl"/>
          <w:color w:val="0000FF"/>
          <w:rtl/>
        </w:rPr>
        <w:t xml:space="preserve">(ב), </w:t>
      </w:r>
      <w:hyperlink r:id="rId12" w:history="1">
        <w:r w:rsidRPr="00FD2A94">
          <w:rPr>
            <w:rStyle w:val="Hyperlink"/>
            <w:rFonts w:ascii="FrankRuehl" w:hAnsi="FrankRuehl" w:cs="FrankRuehl"/>
            <w:u w:val="none"/>
          </w:rPr>
          <w:t xml:space="preserve">40 </w:t>
        </w:r>
        <w:r w:rsidRPr="00FD2A94">
          <w:rPr>
            <w:rStyle w:val="Hyperlink"/>
            <w:rFonts w:ascii="FrankRuehl" w:hAnsi="FrankRuehl" w:cs="FrankRuehl"/>
            <w:u w:val="none"/>
            <w:rtl/>
          </w:rPr>
          <w:t>יא</w:t>
        </w:r>
      </w:hyperlink>
      <w:r w:rsidRPr="00FD2A94">
        <w:rPr>
          <w:rFonts w:ascii="FrankRuehl" w:hAnsi="FrankRuehl" w:cs="FrankRuehl"/>
          <w:color w:val="0000FF"/>
          <w:rtl/>
        </w:rPr>
        <w:t xml:space="preserve">, </w:t>
      </w:r>
      <w:hyperlink r:id="rId13" w:history="1">
        <w:r w:rsidRPr="00FD2A94">
          <w:rPr>
            <w:rStyle w:val="Hyperlink"/>
            <w:rFonts w:ascii="FrankRuehl" w:hAnsi="FrankRuehl" w:cs="FrankRuehl"/>
            <w:u w:val="none"/>
          </w:rPr>
          <w:t>499</w:t>
        </w:r>
      </w:hyperlink>
      <w:r w:rsidRPr="00FD2A94">
        <w:rPr>
          <w:rFonts w:ascii="FrankRuehl" w:hAnsi="FrankRuehl" w:cs="FrankRuehl"/>
          <w:color w:val="0000FF"/>
          <w:rtl/>
        </w:rPr>
        <w:t>(א)(1)</w:t>
      </w:r>
    </w:p>
    <w:p w14:paraId="0255227D" w14:textId="77777777" w:rsidR="0002059B" w:rsidRPr="00FD2A94" w:rsidRDefault="0002059B" w:rsidP="00FD2A94">
      <w:pPr>
        <w:rPr>
          <w:rFonts w:ascii="Arial" w:hAnsi="Arial"/>
          <w:sz w:val="12"/>
          <w:szCs w:val="12"/>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059B" w14:paraId="4005B195" w14:textId="77777777" w:rsidTr="0002059B">
        <w:trPr>
          <w:trHeight w:val="355"/>
          <w:jc w:val="center"/>
        </w:trPr>
        <w:tc>
          <w:tcPr>
            <w:tcW w:w="8820" w:type="dxa"/>
            <w:tcBorders>
              <w:top w:val="nil"/>
              <w:left w:val="nil"/>
              <w:bottom w:val="nil"/>
              <w:right w:val="nil"/>
            </w:tcBorders>
            <w:shd w:val="clear" w:color="auto" w:fill="auto"/>
          </w:tcPr>
          <w:p w14:paraId="1718D387" w14:textId="77777777" w:rsidR="00867A1F" w:rsidRPr="00E30D30" w:rsidRDefault="00867A1F" w:rsidP="00867A1F">
            <w:pPr>
              <w:jc w:val="center"/>
              <w:rPr>
                <w:rFonts w:ascii="Arial" w:hAnsi="Arial" w:cs="FrankRuehl"/>
                <w:b/>
                <w:bCs/>
                <w:sz w:val="32"/>
                <w:szCs w:val="32"/>
                <w:u w:val="single"/>
                <w:rtl/>
              </w:rPr>
            </w:pPr>
            <w:bookmarkStart w:id="5" w:name="PsakDin"/>
            <w:bookmarkEnd w:id="0"/>
            <w:r w:rsidRPr="00E30D30">
              <w:rPr>
                <w:rFonts w:ascii="Arial" w:hAnsi="Arial" w:cs="FrankRuehl"/>
                <w:b/>
                <w:bCs/>
                <w:sz w:val="32"/>
                <w:szCs w:val="32"/>
                <w:u w:val="single"/>
                <w:rtl/>
              </w:rPr>
              <w:t>גזר דין</w:t>
            </w:r>
          </w:p>
          <w:bookmarkEnd w:id="5"/>
          <w:p w14:paraId="2E77ABC7" w14:textId="77777777" w:rsidR="0002059B" w:rsidRPr="00867A1F" w:rsidRDefault="0002059B" w:rsidP="00867A1F">
            <w:pPr>
              <w:jc w:val="center"/>
              <w:rPr>
                <w:rFonts w:ascii="David" w:hAnsi="David"/>
                <w:bCs/>
                <w:sz w:val="28"/>
                <w:szCs w:val="28"/>
                <w:u w:val="single"/>
                <w:rtl/>
              </w:rPr>
            </w:pPr>
          </w:p>
        </w:tc>
      </w:tr>
    </w:tbl>
    <w:p w14:paraId="357A7520" w14:textId="77777777" w:rsidR="0002059B" w:rsidRPr="00844EB9" w:rsidRDefault="0002059B" w:rsidP="0002059B">
      <w:pPr>
        <w:rPr>
          <w:rFonts w:ascii="Arial" w:hAnsi="Arial"/>
          <w:sz w:val="12"/>
          <w:szCs w:val="12"/>
          <w:rtl/>
        </w:rPr>
      </w:pPr>
    </w:p>
    <w:p w14:paraId="35EC17DB" w14:textId="77777777" w:rsidR="0002059B" w:rsidRPr="00D0689C" w:rsidRDefault="0002059B" w:rsidP="0002059B">
      <w:pPr>
        <w:rPr>
          <w:b/>
          <w:bCs/>
          <w:u w:val="single"/>
          <w:rtl/>
        </w:rPr>
      </w:pPr>
      <w:r w:rsidRPr="00D0689C">
        <w:rPr>
          <w:rFonts w:hint="cs"/>
          <w:b/>
          <w:bCs/>
          <w:u w:val="single"/>
          <w:rtl/>
        </w:rPr>
        <w:t>רקע</w:t>
      </w:r>
    </w:p>
    <w:p w14:paraId="3D5BEE1F" w14:textId="77777777" w:rsidR="0002059B" w:rsidRDefault="0002059B" w:rsidP="0002059B">
      <w:pPr>
        <w:pStyle w:val="a9"/>
        <w:numPr>
          <w:ilvl w:val="0"/>
          <w:numId w:val="1"/>
        </w:numPr>
        <w:spacing w:line="360" w:lineRule="auto"/>
        <w:ind w:left="425" w:hanging="425"/>
        <w:jc w:val="both"/>
      </w:pPr>
      <w:bookmarkStart w:id="6" w:name="ABSTRACT_START"/>
      <w:bookmarkEnd w:id="6"/>
      <w:r>
        <w:rPr>
          <w:rFonts w:hint="cs"/>
          <w:rtl/>
        </w:rPr>
        <w:t xml:space="preserve">הנאשמים הורשעו, בעקבות הסדר טיעון, בכתב אישום מתוקן בעבירות של נשיאה והובלת נשק וקשירת קשר לפשע, לפי </w:t>
      </w:r>
      <w:hyperlink r:id="rId14" w:history="1">
        <w:r w:rsidR="00E30D30" w:rsidRPr="00E30D30">
          <w:rPr>
            <w:rStyle w:val="Hyperlink"/>
            <w:rFonts w:hint="eastAsia"/>
            <w:rtl/>
          </w:rPr>
          <w:t>סעיפים</w:t>
        </w:r>
        <w:r w:rsidR="00E30D30" w:rsidRPr="00E30D30">
          <w:rPr>
            <w:rStyle w:val="Hyperlink"/>
            <w:rtl/>
          </w:rPr>
          <w:t xml:space="preserve"> 144(ב)</w:t>
        </w:r>
      </w:hyperlink>
      <w:r>
        <w:rPr>
          <w:rFonts w:hint="cs"/>
          <w:rtl/>
        </w:rPr>
        <w:t xml:space="preserve"> רישא ו-</w:t>
      </w:r>
      <w:hyperlink r:id="rId15" w:history="1">
        <w:r w:rsidR="00E30D30" w:rsidRPr="00E30D30">
          <w:rPr>
            <w:rStyle w:val="Hyperlink"/>
            <w:rtl/>
          </w:rPr>
          <w:t>499(א)(1)</w:t>
        </w:r>
      </w:hyperlink>
      <w:r>
        <w:rPr>
          <w:rFonts w:hint="cs"/>
          <w:rtl/>
        </w:rPr>
        <w:t xml:space="preserve"> ל</w:t>
      </w:r>
      <w:hyperlink r:id="rId16" w:history="1">
        <w:r w:rsidR="00867A1F" w:rsidRPr="00867A1F">
          <w:rPr>
            <w:color w:val="0000FF"/>
            <w:u w:val="single"/>
            <w:rtl/>
          </w:rPr>
          <w:t>חוק העונשין</w:t>
        </w:r>
      </w:hyperlink>
      <w:r>
        <w:rPr>
          <w:rFonts w:hint="cs"/>
          <w:rtl/>
        </w:rPr>
        <w:t>, התשל"ז-1977 (להלן: "</w:t>
      </w:r>
      <w:r w:rsidRPr="00D0689C">
        <w:rPr>
          <w:rFonts w:hint="cs"/>
          <w:b/>
          <w:bCs/>
          <w:rtl/>
        </w:rPr>
        <w:t>החוק</w:t>
      </w:r>
      <w:r>
        <w:rPr>
          <w:rFonts w:hint="cs"/>
          <w:rtl/>
        </w:rPr>
        <w:t xml:space="preserve">"). </w:t>
      </w:r>
      <w:bookmarkStart w:id="7" w:name="ABSTRACT_END"/>
      <w:bookmarkEnd w:id="7"/>
      <w:r>
        <w:rPr>
          <w:rFonts w:hint="cs"/>
          <w:rtl/>
        </w:rPr>
        <w:t>לא הייתה הסכמה בין הצדדים לעניין העונש. מאחר שמדובר בנאשמים צעירים בני 19 ו-20, קיימת חובה לקבלת תסקיר שירות המבחן בעניינם טרם הטיעונים לעונש. עם זאת, בא כוחם לא ביקש תסקיר שירות המבחן, לנוכח שביתת העובדים הסוציאליים באותה העת, ובהסכמה הוגשו תסקירי המעצר לעניין העונש, וכן התקבל דיווח משב"ס על אודות תפקודם בעת המעצר.</w:t>
      </w:r>
    </w:p>
    <w:p w14:paraId="0ACAF2A2" w14:textId="77777777" w:rsidR="0002059B" w:rsidRPr="00124F9C" w:rsidRDefault="0002059B" w:rsidP="0002059B">
      <w:pPr>
        <w:spacing w:line="360" w:lineRule="auto"/>
        <w:jc w:val="both"/>
        <w:rPr>
          <w:sz w:val="12"/>
          <w:szCs w:val="12"/>
        </w:rPr>
      </w:pPr>
    </w:p>
    <w:p w14:paraId="26CADC63" w14:textId="77777777" w:rsidR="0002059B" w:rsidRDefault="0002059B" w:rsidP="0002059B">
      <w:pPr>
        <w:pStyle w:val="a9"/>
        <w:numPr>
          <w:ilvl w:val="0"/>
          <w:numId w:val="1"/>
        </w:numPr>
        <w:spacing w:line="360" w:lineRule="auto"/>
        <w:ind w:left="425" w:hanging="425"/>
        <w:jc w:val="both"/>
        <w:rPr>
          <w:rtl/>
        </w:rPr>
      </w:pPr>
      <w:r>
        <w:rPr>
          <w:rFonts w:hint="cs"/>
          <w:rtl/>
        </w:rPr>
        <w:t>מעובדות כתב האישום המתוקן עולה, כי בין עומר זגייר, יליד 1998 (להלן: "</w:t>
      </w:r>
      <w:r w:rsidRPr="00D0689C">
        <w:rPr>
          <w:rFonts w:hint="cs"/>
          <w:b/>
          <w:bCs/>
          <w:rtl/>
        </w:rPr>
        <w:t>עומר</w:t>
      </w:r>
      <w:r>
        <w:rPr>
          <w:rFonts w:hint="cs"/>
          <w:rtl/>
        </w:rPr>
        <w:t>"), לנאשם 1 ישנה היכרות מוקדמת. במועד שאינו ידוע במדויק למאשימה, סמוך ליום 25.3.20, ניפגשו הנאשמים עם עומר בשטח פתוח הנמצא בסמוך לביתם של נאשם 1 ועומר בשכונת סילוואן בירושלים (להלן: "</w:t>
      </w:r>
      <w:r w:rsidRPr="00124F9C">
        <w:rPr>
          <w:rFonts w:hint="cs"/>
          <w:b/>
          <w:bCs/>
          <w:rtl/>
        </w:rPr>
        <w:t>המקום</w:t>
      </w:r>
      <w:r>
        <w:rPr>
          <w:rFonts w:hint="cs"/>
          <w:rtl/>
        </w:rPr>
        <w:t>/</w:t>
      </w:r>
      <w:r w:rsidRPr="00124F9C">
        <w:rPr>
          <w:rFonts w:hint="cs"/>
          <w:b/>
          <w:bCs/>
          <w:rtl/>
        </w:rPr>
        <w:t>ההר</w:t>
      </w:r>
      <w:r>
        <w:rPr>
          <w:rFonts w:hint="cs"/>
          <w:rtl/>
        </w:rPr>
        <w:t>").</w:t>
      </w:r>
    </w:p>
    <w:p w14:paraId="4F7589E5" w14:textId="77777777" w:rsidR="0002059B" w:rsidRPr="00124F9C" w:rsidRDefault="0002059B" w:rsidP="0002059B">
      <w:pPr>
        <w:spacing w:line="360" w:lineRule="auto"/>
        <w:ind w:left="425" w:hanging="425"/>
        <w:jc w:val="both"/>
        <w:rPr>
          <w:sz w:val="12"/>
          <w:szCs w:val="12"/>
          <w:rtl/>
        </w:rPr>
      </w:pPr>
    </w:p>
    <w:p w14:paraId="6B37FE6A" w14:textId="77777777" w:rsidR="0002059B" w:rsidRDefault="0002059B" w:rsidP="0002059B">
      <w:pPr>
        <w:pStyle w:val="a9"/>
        <w:numPr>
          <w:ilvl w:val="0"/>
          <w:numId w:val="1"/>
        </w:numPr>
        <w:spacing w:line="360" w:lineRule="auto"/>
        <w:ind w:left="425" w:hanging="425"/>
        <w:jc w:val="both"/>
        <w:rPr>
          <w:rtl/>
        </w:rPr>
      </w:pPr>
      <w:r>
        <w:rPr>
          <w:rFonts w:hint="cs"/>
          <w:rtl/>
        </w:rPr>
        <w:t>במהלך המפגש ביקש נאשם 2 לקנות מעומר את המחשב הנייד שברשותו מסוג טושיבה (להלן: "</w:t>
      </w:r>
      <w:r w:rsidRPr="00D00842">
        <w:rPr>
          <w:rFonts w:hint="cs"/>
          <w:b/>
          <w:bCs/>
          <w:rtl/>
        </w:rPr>
        <w:t>המחשב</w:t>
      </w:r>
      <w:r>
        <w:rPr>
          <w:rFonts w:hint="cs"/>
          <w:rtl/>
        </w:rPr>
        <w:t xml:space="preserve">") בתמורה לסך של 1,500 </w:t>
      </w:r>
      <w:r>
        <w:rPr>
          <w:rtl/>
        </w:rPr>
        <w:t>–</w:t>
      </w:r>
      <w:r>
        <w:rPr>
          <w:rFonts w:hint="cs"/>
          <w:rtl/>
        </w:rPr>
        <w:t xml:space="preserve"> 2,000 ₪. עומר הסכים להצעה ומסר לנאשם 1 את המחשב, ואילו נאשם 2 התחייב להעביר לעומר את התשלום במועד מאוחר יותר. כמו כן, נאשם 2 מסר לעומר, כי בכוונתו למכור את מחשב הנייד. נאשם 1 נכח במקום באותה עת.</w:t>
      </w:r>
    </w:p>
    <w:p w14:paraId="5E281BBF" w14:textId="77777777" w:rsidR="0002059B" w:rsidRPr="00124F9C" w:rsidRDefault="0002059B" w:rsidP="0002059B">
      <w:pPr>
        <w:spacing w:line="360" w:lineRule="auto"/>
        <w:ind w:left="425" w:hanging="425"/>
        <w:jc w:val="both"/>
        <w:rPr>
          <w:sz w:val="12"/>
          <w:szCs w:val="12"/>
          <w:rtl/>
        </w:rPr>
      </w:pPr>
    </w:p>
    <w:p w14:paraId="43BD5650" w14:textId="77777777" w:rsidR="0002059B" w:rsidRDefault="0002059B" w:rsidP="0002059B">
      <w:pPr>
        <w:pStyle w:val="a9"/>
        <w:numPr>
          <w:ilvl w:val="0"/>
          <w:numId w:val="1"/>
        </w:numPr>
        <w:spacing w:line="360" w:lineRule="auto"/>
        <w:ind w:left="425" w:hanging="425"/>
        <w:jc w:val="both"/>
        <w:rPr>
          <w:rtl/>
        </w:rPr>
      </w:pPr>
      <w:r>
        <w:rPr>
          <w:rFonts w:hint="cs"/>
          <w:rtl/>
        </w:rPr>
        <w:t xml:space="preserve">ביום 27.3.20 בסמוך לשעה 13:30, נפגש עומר עם נאשם 1 בהר והבחין בו מחזיק במחסנית. עומר ביקש מנאשם 1 להצטלם עם המחסנית. נאשם 1 נענה לבקשתו, עומר החזיק במחסנית ונאשם 1 תיעד אותו בסרטון בו נראה עומר מחביא מחסנית באדמה. </w:t>
      </w:r>
    </w:p>
    <w:p w14:paraId="51A5126E" w14:textId="77777777" w:rsidR="0002059B" w:rsidRPr="00F30ABE" w:rsidRDefault="0002059B" w:rsidP="0002059B">
      <w:pPr>
        <w:spacing w:line="360" w:lineRule="auto"/>
        <w:ind w:left="425" w:hanging="425"/>
        <w:jc w:val="both"/>
        <w:rPr>
          <w:sz w:val="12"/>
          <w:szCs w:val="12"/>
          <w:rtl/>
        </w:rPr>
      </w:pPr>
    </w:p>
    <w:p w14:paraId="44C0D7DC" w14:textId="77777777" w:rsidR="0002059B" w:rsidRDefault="0002059B" w:rsidP="0002059B">
      <w:pPr>
        <w:pStyle w:val="a9"/>
        <w:numPr>
          <w:ilvl w:val="0"/>
          <w:numId w:val="1"/>
        </w:numPr>
        <w:spacing w:line="360" w:lineRule="auto"/>
        <w:ind w:left="425" w:hanging="425"/>
        <w:jc w:val="both"/>
        <w:rPr>
          <w:rtl/>
        </w:rPr>
      </w:pPr>
      <w:r>
        <w:rPr>
          <w:rFonts w:hint="cs"/>
          <w:rtl/>
        </w:rPr>
        <w:t>בשלב מסוים, בסמוך לשעה 15:00, התקשר נאשם 2 לנאשם 1 וסיפר לו שיש ברשותו נשק ומשכך קבעו הנאשמים להיפגש בהר. בהמשך למתואר הגיע נאשם 2 להר ופגש בנאשם 1 ובעומר. נאשם 2 הגיע כשהוא מחזיק בנשק בעודו מפורק לחלקים, נשק דמוי תת מקלע מאולתר אשר בכוחו להמית אדם (להלן: "</w:t>
      </w:r>
      <w:r w:rsidRPr="00F30ABE">
        <w:rPr>
          <w:rFonts w:hint="cs"/>
          <w:b/>
          <w:bCs/>
          <w:rtl/>
        </w:rPr>
        <w:t>הנשק</w:t>
      </w:r>
      <w:r>
        <w:rPr>
          <w:rFonts w:hint="cs"/>
          <w:rtl/>
        </w:rPr>
        <w:t xml:space="preserve">"). הנאשמים הרכיבו יחד את הנשק. כל העת נכח במקום עומר שאף בשלב מסוים החזיק בנשק ובחן אותו. בהמשך לאמור לעיל, החביאו הנאשמים את הנשק במכונת כביסה שנמצאה בהר. </w:t>
      </w:r>
    </w:p>
    <w:p w14:paraId="3525DADB" w14:textId="77777777" w:rsidR="0002059B" w:rsidRPr="00F30ABE" w:rsidRDefault="0002059B" w:rsidP="0002059B">
      <w:pPr>
        <w:spacing w:line="360" w:lineRule="auto"/>
        <w:ind w:left="425" w:hanging="425"/>
        <w:jc w:val="both"/>
        <w:rPr>
          <w:sz w:val="12"/>
          <w:szCs w:val="12"/>
          <w:rtl/>
        </w:rPr>
      </w:pPr>
    </w:p>
    <w:p w14:paraId="0849C56D" w14:textId="77777777" w:rsidR="0002059B" w:rsidRDefault="0002059B" w:rsidP="0002059B">
      <w:pPr>
        <w:pStyle w:val="a9"/>
        <w:numPr>
          <w:ilvl w:val="0"/>
          <w:numId w:val="1"/>
        </w:numPr>
        <w:spacing w:line="360" w:lineRule="auto"/>
        <w:ind w:left="425" w:hanging="425"/>
        <w:jc w:val="both"/>
        <w:rPr>
          <w:rtl/>
        </w:rPr>
      </w:pPr>
      <w:r>
        <w:rPr>
          <w:rFonts w:hint="cs"/>
          <w:rtl/>
        </w:rPr>
        <w:t>במועד סמוך למתואר לעיל במועד שאינו ידוע במדויק למאשימה, סיכמו הנאשמים עם עומר, כי יפעלו למכירת הנשק, וכי עומר יקבל חלק מהתשלום בעד מכירת הנשק בתמורה למחשב שנתן לנאשם 2.</w:t>
      </w:r>
    </w:p>
    <w:p w14:paraId="11278D1D" w14:textId="77777777" w:rsidR="0002059B" w:rsidRPr="00871E7C" w:rsidRDefault="0002059B" w:rsidP="0002059B">
      <w:pPr>
        <w:spacing w:line="360" w:lineRule="auto"/>
        <w:ind w:left="425" w:hanging="425"/>
        <w:jc w:val="both"/>
        <w:rPr>
          <w:sz w:val="12"/>
          <w:szCs w:val="12"/>
          <w:rtl/>
        </w:rPr>
      </w:pPr>
    </w:p>
    <w:p w14:paraId="355D52F3" w14:textId="77777777" w:rsidR="0002059B" w:rsidRDefault="0002059B" w:rsidP="0002059B">
      <w:pPr>
        <w:pStyle w:val="a9"/>
        <w:numPr>
          <w:ilvl w:val="0"/>
          <w:numId w:val="1"/>
        </w:numPr>
        <w:spacing w:line="360" w:lineRule="auto"/>
        <w:ind w:left="425" w:hanging="425"/>
        <w:jc w:val="both"/>
        <w:rPr>
          <w:rtl/>
        </w:rPr>
      </w:pPr>
      <w:r>
        <w:rPr>
          <w:rFonts w:hint="cs"/>
          <w:rtl/>
        </w:rPr>
        <w:t>לאחר האירוע המתואר לעיל, ביום 29.3.20 בסמוך לשעה 15:00, נפגש עומר עם נאשם 1 בהר, כשנאשם 1 מחזיק בנשק. בשלב מסוים, עומר צילם את נאשם 1 כשהוא יושב סמוך לנשק המונח על כיסא יחד עם שתי מחסניות (להלן: "</w:t>
      </w:r>
      <w:r w:rsidRPr="00D00842">
        <w:rPr>
          <w:rFonts w:hint="cs"/>
          <w:b/>
          <w:bCs/>
          <w:rtl/>
        </w:rPr>
        <w:t>הסרטון</w:t>
      </w:r>
      <w:r>
        <w:rPr>
          <w:rFonts w:hint="cs"/>
          <w:rtl/>
        </w:rPr>
        <w:t xml:space="preserve">"). עומר צילם את הסרטון בידיעה שהכסף שאמור להתקבל עבור המחשב הוא ממכירת הנשק. לאחר מכן, עומר הלך מהמקום. בשלב מסוים, ערך עומר את הסרטון ושלח אותו בחזרה לנאשם 1. </w:t>
      </w:r>
    </w:p>
    <w:p w14:paraId="5843FDB5" w14:textId="77777777" w:rsidR="0002059B" w:rsidRPr="00F30ABE" w:rsidRDefault="0002059B" w:rsidP="0002059B">
      <w:pPr>
        <w:spacing w:line="360" w:lineRule="auto"/>
        <w:ind w:left="425" w:hanging="425"/>
        <w:jc w:val="both"/>
        <w:rPr>
          <w:sz w:val="12"/>
          <w:szCs w:val="12"/>
          <w:rtl/>
        </w:rPr>
      </w:pPr>
    </w:p>
    <w:p w14:paraId="4368E2E5" w14:textId="77777777" w:rsidR="0002059B" w:rsidRDefault="0002059B" w:rsidP="0002059B">
      <w:pPr>
        <w:pStyle w:val="a9"/>
        <w:numPr>
          <w:ilvl w:val="0"/>
          <w:numId w:val="1"/>
        </w:numPr>
        <w:spacing w:line="360" w:lineRule="auto"/>
        <w:ind w:left="425" w:hanging="425"/>
        <w:jc w:val="both"/>
        <w:rPr>
          <w:rtl/>
        </w:rPr>
      </w:pPr>
      <w:r>
        <w:rPr>
          <w:rFonts w:hint="cs"/>
          <w:rtl/>
        </w:rPr>
        <w:t>בהמשך לאותו היום, בסמוך לשעה 20:00, נפגש עומר עם הנאשמים, מ.ש. ואחרים שזהותם אינה ידועה במדויק למאשימה בהר, כאשר באותה העת החזיקו הנאשמים בנשק.</w:t>
      </w:r>
    </w:p>
    <w:p w14:paraId="29D53260" w14:textId="77777777" w:rsidR="0002059B" w:rsidRPr="00F30ABE" w:rsidRDefault="0002059B" w:rsidP="0002059B">
      <w:pPr>
        <w:spacing w:line="360" w:lineRule="auto"/>
        <w:ind w:left="425" w:hanging="425"/>
        <w:jc w:val="both"/>
        <w:rPr>
          <w:sz w:val="12"/>
          <w:szCs w:val="12"/>
          <w:rtl/>
        </w:rPr>
      </w:pPr>
    </w:p>
    <w:p w14:paraId="72FA55C7" w14:textId="77777777" w:rsidR="0002059B" w:rsidRDefault="0002059B" w:rsidP="0002059B">
      <w:pPr>
        <w:pStyle w:val="a9"/>
        <w:numPr>
          <w:ilvl w:val="0"/>
          <w:numId w:val="1"/>
        </w:numPr>
        <w:spacing w:line="360" w:lineRule="auto"/>
        <w:ind w:left="425" w:hanging="425"/>
        <w:jc w:val="both"/>
        <w:rPr>
          <w:rtl/>
        </w:rPr>
      </w:pPr>
      <w:r>
        <w:rPr>
          <w:rFonts w:hint="cs"/>
          <w:rtl/>
        </w:rPr>
        <w:t>במהלך המפגש החזיק מ.ש בנשק והתעניין ברכישתו מהנאשמים. הנאשמים רצו למכור את הנשק למ.ש, אולם בסופו של דבר, מאחר שמ.ש חשש מנוכחות המשטרה באוזר, החליט מ.ש שלא לקנות את הנשק.</w:t>
      </w:r>
    </w:p>
    <w:p w14:paraId="08B9A962" w14:textId="77777777" w:rsidR="0002059B" w:rsidRPr="00F30ABE" w:rsidRDefault="0002059B" w:rsidP="0002059B">
      <w:pPr>
        <w:spacing w:line="360" w:lineRule="auto"/>
        <w:ind w:left="425" w:hanging="425"/>
        <w:jc w:val="both"/>
        <w:rPr>
          <w:sz w:val="12"/>
          <w:szCs w:val="12"/>
          <w:rtl/>
        </w:rPr>
      </w:pPr>
    </w:p>
    <w:p w14:paraId="55A3D244" w14:textId="77777777" w:rsidR="0002059B" w:rsidRDefault="0002059B" w:rsidP="0002059B">
      <w:pPr>
        <w:pStyle w:val="a9"/>
        <w:numPr>
          <w:ilvl w:val="0"/>
          <w:numId w:val="1"/>
        </w:numPr>
        <w:spacing w:line="360" w:lineRule="auto"/>
        <w:ind w:left="425" w:hanging="425"/>
        <w:jc w:val="both"/>
        <w:rPr>
          <w:rtl/>
        </w:rPr>
      </w:pPr>
      <w:r>
        <w:rPr>
          <w:rFonts w:hint="cs"/>
          <w:rtl/>
        </w:rPr>
        <w:t>לאחר המתואר, ביום 30.3.20 בסמוך לשעה 15:00, יצר נאשם 1 קשר עם עומר וביקש ממנו להגיע על מנת להחביא את הנשק ביחד. עומר נענה לבקשה ופגש בנאשם 1 בהר.</w:t>
      </w:r>
    </w:p>
    <w:p w14:paraId="08C6675A" w14:textId="77777777" w:rsidR="0002059B" w:rsidRPr="00F30ABE" w:rsidRDefault="0002059B" w:rsidP="0002059B">
      <w:pPr>
        <w:spacing w:line="360" w:lineRule="auto"/>
        <w:ind w:left="425" w:hanging="425"/>
        <w:jc w:val="both"/>
        <w:rPr>
          <w:sz w:val="12"/>
          <w:szCs w:val="12"/>
          <w:rtl/>
        </w:rPr>
      </w:pPr>
    </w:p>
    <w:p w14:paraId="3E77A9B5" w14:textId="77777777" w:rsidR="0002059B" w:rsidRDefault="0002059B" w:rsidP="0002059B">
      <w:pPr>
        <w:pStyle w:val="a9"/>
        <w:numPr>
          <w:ilvl w:val="0"/>
          <w:numId w:val="1"/>
        </w:numPr>
        <w:spacing w:line="360" w:lineRule="auto"/>
        <w:ind w:left="425" w:hanging="425"/>
        <w:jc w:val="both"/>
        <w:rPr>
          <w:rtl/>
        </w:rPr>
      </w:pPr>
      <w:r>
        <w:rPr>
          <w:rFonts w:hint="cs"/>
          <w:rtl/>
        </w:rPr>
        <w:t>במהלך המפגש, הלכו הנאשם 1 ועומר והחביאו את הנשק במקום סמוך להר. סמוך לאחר מכן, הגיעו כוחות המשטרה למקום ותפסו את הנשק. במהלך חיפוש של כוחות המשטרה במקרה, נראה עומר כשהוא מתצפת לעבר הנשק.</w:t>
      </w:r>
    </w:p>
    <w:p w14:paraId="0FB65F92" w14:textId="77777777" w:rsidR="0002059B" w:rsidRPr="00F30ABE" w:rsidRDefault="0002059B" w:rsidP="0002059B">
      <w:pPr>
        <w:spacing w:line="360" w:lineRule="auto"/>
        <w:ind w:left="425" w:hanging="425"/>
        <w:jc w:val="both"/>
        <w:rPr>
          <w:sz w:val="12"/>
          <w:szCs w:val="12"/>
          <w:rtl/>
        </w:rPr>
      </w:pPr>
    </w:p>
    <w:p w14:paraId="627D1D35" w14:textId="77777777" w:rsidR="0002059B" w:rsidRDefault="0002059B" w:rsidP="0002059B">
      <w:pPr>
        <w:pStyle w:val="a9"/>
        <w:numPr>
          <w:ilvl w:val="0"/>
          <w:numId w:val="1"/>
        </w:numPr>
        <w:spacing w:line="360" w:lineRule="auto"/>
        <w:ind w:left="425" w:hanging="425"/>
        <w:jc w:val="both"/>
      </w:pPr>
      <w:r>
        <w:rPr>
          <w:rFonts w:hint="cs"/>
          <w:rtl/>
        </w:rPr>
        <w:t>במעשיהם המתוארים לעיל, נשאו והובילו הנאשמים נשק בלא רשות על פי דין לנשיאתו או להובלתו וכן קשרו קשר עם אדם לעשות פשע.</w:t>
      </w:r>
    </w:p>
    <w:p w14:paraId="74D66ACB" w14:textId="77777777" w:rsidR="0002059B" w:rsidRDefault="0002059B" w:rsidP="0002059B">
      <w:pPr>
        <w:spacing w:line="360" w:lineRule="auto"/>
        <w:jc w:val="both"/>
        <w:rPr>
          <w:b/>
          <w:bCs/>
          <w:u w:val="single"/>
          <w:rtl/>
        </w:rPr>
      </w:pPr>
    </w:p>
    <w:p w14:paraId="60CBE734" w14:textId="77777777" w:rsidR="0002059B" w:rsidRPr="000D7A2A" w:rsidRDefault="0002059B" w:rsidP="0002059B">
      <w:pPr>
        <w:spacing w:line="360" w:lineRule="auto"/>
        <w:jc w:val="both"/>
        <w:rPr>
          <w:b/>
          <w:bCs/>
          <w:u w:val="single"/>
          <w:rtl/>
        </w:rPr>
      </w:pPr>
      <w:r w:rsidRPr="000D7A2A">
        <w:rPr>
          <w:rFonts w:hint="cs"/>
          <w:b/>
          <w:bCs/>
          <w:u w:val="single"/>
          <w:rtl/>
        </w:rPr>
        <w:lastRenderedPageBreak/>
        <w:t>תסקירי שירות המבחן</w:t>
      </w:r>
    </w:p>
    <w:p w14:paraId="0971A0AB" w14:textId="77777777" w:rsidR="0002059B" w:rsidRPr="00871E7C" w:rsidRDefault="0002059B" w:rsidP="0002059B">
      <w:pPr>
        <w:pStyle w:val="a9"/>
        <w:numPr>
          <w:ilvl w:val="0"/>
          <w:numId w:val="1"/>
        </w:numPr>
        <w:spacing w:line="360" w:lineRule="auto"/>
        <w:ind w:left="425" w:hanging="425"/>
        <w:jc w:val="both"/>
        <w:rPr>
          <w:u w:val="single"/>
        </w:rPr>
      </w:pPr>
      <w:r w:rsidRPr="002C0D1C">
        <w:rPr>
          <w:rFonts w:hint="cs"/>
          <w:rtl/>
        </w:rPr>
        <w:t>כאמור, התסקירים שהוגשו לעיוני הם תסקירי מעצר, וזאת נוכח שביתת העובדים הסוציאליים</w:t>
      </w:r>
      <w:r>
        <w:rPr>
          <w:rFonts w:hint="cs"/>
          <w:rtl/>
        </w:rPr>
        <w:t xml:space="preserve"> באותה העת, ועל כן שירות המבחן לא התייחס לאפשרות שיקום וטיפול בעניינם של הנאשמים</w:t>
      </w:r>
      <w:r w:rsidRPr="002C0D1C">
        <w:rPr>
          <w:rFonts w:hint="cs"/>
          <w:rtl/>
        </w:rPr>
        <w:t xml:space="preserve">. </w:t>
      </w:r>
    </w:p>
    <w:p w14:paraId="672D6D60" w14:textId="77777777" w:rsidR="0002059B" w:rsidRPr="00871E7C" w:rsidRDefault="0002059B" w:rsidP="0002059B">
      <w:pPr>
        <w:pStyle w:val="a9"/>
        <w:spacing w:line="360" w:lineRule="auto"/>
        <w:ind w:left="425"/>
        <w:jc w:val="both"/>
        <w:rPr>
          <w:sz w:val="12"/>
          <w:szCs w:val="12"/>
          <w:u w:val="single"/>
        </w:rPr>
      </w:pPr>
    </w:p>
    <w:p w14:paraId="54C9F0FD" w14:textId="77777777" w:rsidR="0002059B" w:rsidRPr="00871E7C" w:rsidRDefault="0002059B" w:rsidP="0002059B">
      <w:pPr>
        <w:pStyle w:val="a9"/>
        <w:numPr>
          <w:ilvl w:val="0"/>
          <w:numId w:val="1"/>
        </w:numPr>
        <w:spacing w:line="360" w:lineRule="auto"/>
        <w:ind w:left="425" w:hanging="425"/>
        <w:jc w:val="both"/>
        <w:rPr>
          <w:u w:val="single"/>
        </w:rPr>
      </w:pPr>
      <w:r w:rsidRPr="002C0D1C">
        <w:rPr>
          <w:rFonts w:hint="cs"/>
          <w:rtl/>
        </w:rPr>
        <w:t>מתסקיר שירות המבחן בעניינו של נאשם 1 עולה</w:t>
      </w:r>
      <w:r>
        <w:rPr>
          <w:rFonts w:hint="cs"/>
          <w:rtl/>
        </w:rPr>
        <w:t>, כי הוא</w:t>
      </w:r>
      <w:r w:rsidRPr="002C0D1C">
        <w:rPr>
          <w:rFonts w:hint="cs"/>
          <w:rtl/>
        </w:rPr>
        <w:t xml:space="preserve"> יליד 2001, רווק, בן שלישי מבין ארבעה אחים. טרם מעצרו התגורר בשכונת סילוואן יחד עם הוריו ואחיו ועבד בעבודות ניקיון. אביו עובד בעיריית ירושלים בשירותי אחזקה</w:t>
      </w:r>
      <w:r>
        <w:rPr>
          <w:rFonts w:hint="cs"/>
          <w:rtl/>
        </w:rPr>
        <w:t>,</w:t>
      </w:r>
      <w:r w:rsidRPr="002C0D1C">
        <w:rPr>
          <w:rFonts w:hint="cs"/>
          <w:rtl/>
        </w:rPr>
        <w:t xml:space="preserve"> ואמו עקרת בית הסובלת ממחלה קשה. משפחתו מנהלת אורח חיים נורמטיבי</w:t>
      </w:r>
      <w:r>
        <w:rPr>
          <w:rFonts w:hint="cs"/>
          <w:rtl/>
        </w:rPr>
        <w:t xml:space="preserve"> והמצב הכלכלי אינו פשוט. נאשם 1 השלים 12 שנות לימוד עם בגרות חלקית. אמו מסרה שלא השלים את לימודיו בעקבות מחלתה, דבר שהשפיע עליו מאוד והוא התגייס לסייע בעבודות הבית בזמן שעברה טיפולים. לאחר סיום לימודיו הוא החל לעבוד ולסייע בפרנסת המשפחה על מנת לאפשר את לימודי אחיו הגדולים באוניברסיטה. </w:t>
      </w:r>
    </w:p>
    <w:p w14:paraId="622EF013" w14:textId="77777777" w:rsidR="0002059B" w:rsidRPr="00871E7C" w:rsidRDefault="0002059B" w:rsidP="0002059B">
      <w:pPr>
        <w:pStyle w:val="a9"/>
        <w:spacing w:line="360" w:lineRule="auto"/>
        <w:ind w:left="425"/>
        <w:jc w:val="both"/>
        <w:rPr>
          <w:sz w:val="12"/>
          <w:szCs w:val="12"/>
          <w:u w:val="single"/>
        </w:rPr>
      </w:pPr>
    </w:p>
    <w:p w14:paraId="3DBD04C2" w14:textId="77777777" w:rsidR="0002059B" w:rsidRPr="002C0D1C" w:rsidRDefault="0002059B" w:rsidP="0002059B">
      <w:pPr>
        <w:pStyle w:val="a9"/>
        <w:numPr>
          <w:ilvl w:val="0"/>
          <w:numId w:val="1"/>
        </w:numPr>
        <w:spacing w:line="360" w:lineRule="auto"/>
        <w:ind w:left="425" w:hanging="425"/>
        <w:jc w:val="both"/>
        <w:rPr>
          <w:u w:val="single"/>
        </w:rPr>
      </w:pPr>
      <w:r>
        <w:rPr>
          <w:rFonts w:hint="cs"/>
          <w:rtl/>
        </w:rPr>
        <w:t xml:space="preserve">עוד עולה מתסקיר שירות המבחן, כי נאשם 1 שלל שימוש בחומרים פסיכו-אקטיביים. הוא מסר לקצינת המבחן, כי המעצר קשה לו, כמפורט בפסקה 2 לעמ' 2 לתסקיר. אשר לגורמי הסיכון וגורמי הסיכוי </w:t>
      </w:r>
      <w:r>
        <w:rPr>
          <w:rtl/>
        </w:rPr>
        <w:t>–</w:t>
      </w:r>
      <w:r>
        <w:rPr>
          <w:rFonts w:hint="cs"/>
          <w:rtl/>
        </w:rPr>
        <w:t xml:space="preserve"> קצינת המבחן התרשמה, שההליך הפלילי הציב לו גבולות וגרם להרתעתו. עוד התרשמה קצינת המבחן, כי הנאשם חש בושה בשל מצבו הנוכחי, הוא צעיר חסר בשלות ובעל ביטחון עצמי נמוך, פגיע ורגיש. להערכתה, חבירתו לגורמים שוליים מהווה עבורו מענה לצרכים שונים, בין היתר, צורך בשייכות, הגברת ביטחון עצמי והעלאת דימויו הגברי. קצינת המבחן לא התרשמה מדפוסים שוליים מושרשים, ציינה שהוא נעדר עבר פלילי ומבטא רצון להתקדם בחייו, הוא מתבייש ממצבו הנוכחי ומורתע מההליכים המתנהלים נגדו. להערכת שירות המבחן, הערכת הסיכון היא מתונה.</w:t>
      </w:r>
    </w:p>
    <w:p w14:paraId="176C69FC" w14:textId="77777777" w:rsidR="0002059B" w:rsidRPr="0044173C" w:rsidRDefault="0002059B" w:rsidP="0002059B">
      <w:pPr>
        <w:spacing w:line="360" w:lineRule="auto"/>
        <w:jc w:val="both"/>
        <w:rPr>
          <w:sz w:val="12"/>
          <w:szCs w:val="12"/>
          <w:u w:val="single"/>
        </w:rPr>
      </w:pPr>
    </w:p>
    <w:p w14:paraId="352AA46A" w14:textId="77777777" w:rsidR="0002059B" w:rsidRDefault="0002059B" w:rsidP="0002059B">
      <w:pPr>
        <w:pStyle w:val="a9"/>
        <w:numPr>
          <w:ilvl w:val="0"/>
          <w:numId w:val="1"/>
        </w:numPr>
        <w:spacing w:line="360" w:lineRule="auto"/>
        <w:ind w:left="425" w:hanging="425"/>
        <w:jc w:val="both"/>
        <w:rPr>
          <w:u w:val="single"/>
        </w:rPr>
      </w:pPr>
      <w:r>
        <w:rPr>
          <w:rFonts w:hint="cs"/>
          <w:rtl/>
        </w:rPr>
        <w:t>מדיווח שירות בתי הסוהר עולה, כי הנאשם שוהה באגף עצורים וטרם שולב בטיפול קבוצתי.</w:t>
      </w:r>
    </w:p>
    <w:p w14:paraId="3FF2555E" w14:textId="77777777" w:rsidR="0002059B" w:rsidRPr="0044173C" w:rsidRDefault="0002059B" w:rsidP="0002059B">
      <w:pPr>
        <w:pStyle w:val="a9"/>
        <w:spacing w:line="360" w:lineRule="auto"/>
        <w:ind w:left="425"/>
        <w:jc w:val="both"/>
        <w:rPr>
          <w:sz w:val="12"/>
          <w:szCs w:val="12"/>
          <w:u w:val="single"/>
        </w:rPr>
      </w:pPr>
    </w:p>
    <w:p w14:paraId="4EC1CF57" w14:textId="77777777" w:rsidR="0002059B" w:rsidRDefault="0002059B" w:rsidP="0002059B">
      <w:pPr>
        <w:pStyle w:val="a9"/>
        <w:numPr>
          <w:ilvl w:val="0"/>
          <w:numId w:val="1"/>
        </w:numPr>
        <w:spacing w:line="360" w:lineRule="auto"/>
        <w:ind w:left="425" w:hanging="425"/>
        <w:jc w:val="both"/>
      </w:pPr>
      <w:r>
        <w:rPr>
          <w:rFonts w:hint="cs"/>
          <w:rtl/>
        </w:rPr>
        <w:t>מתסקיר שירות המבחן בעניינו של נאשם 2 עולה, כי הנאשם יליד שנת 2000, מאורס לבת דודתו, הוא הבן השני למשפחה המונה חמישה ילדים, אביו קבלן שיפוצים העובד באופן מזדמן ואמו עקרת בית. בני משפחתו נעדרי עבר פלילי ומנהלים אורח חיים נורמטיבי. נאשם 2 מסר, כי מגיל צעיר סייע להוריו, הוא סיים 9 שנות לימוד ללא בגרות, נשר מבית הספר והצטרף לאביו והחל לעבוד עמו. לאחר שמלאו לו 18 שנים, החל לעבוד באופן עצמאי.</w:t>
      </w:r>
      <w:r w:rsidRPr="0043573C">
        <w:rPr>
          <w:rFonts w:hint="cs"/>
          <w:rtl/>
        </w:rPr>
        <w:t xml:space="preserve"> </w:t>
      </w:r>
      <w:r>
        <w:rPr>
          <w:rFonts w:hint="cs"/>
          <w:rtl/>
        </w:rPr>
        <w:t xml:space="preserve">הוא נעדר עבר פלילי. הנאשם מסר, כי הוא משתמש בקנאביס באופן מזדמן ושלל שימוש באלכוהול. אשר לתפקודו במעצר </w:t>
      </w:r>
      <w:r>
        <w:rPr>
          <w:rtl/>
        </w:rPr>
        <w:t>–</w:t>
      </w:r>
      <w:r>
        <w:rPr>
          <w:rFonts w:hint="cs"/>
          <w:rtl/>
        </w:rPr>
        <w:t xml:space="preserve"> שירות המבחן התרשם, כי הוא מגיב באופן מותאם לתנאים בהם הוא מצוי. אשר לגורמי הסיכון וגורמי הסיכוי </w:t>
      </w:r>
      <w:r>
        <w:rPr>
          <w:rtl/>
        </w:rPr>
        <w:t>–</w:t>
      </w:r>
      <w:r>
        <w:rPr>
          <w:rFonts w:hint="cs"/>
          <w:rtl/>
        </w:rPr>
        <w:t xml:space="preserve"> שירות המבחן התרשם מהיעדר דפוסי חשיבה עברייניים מושרשים. מאידך גיסא, הוא משליך אחריות להתנהלותו על גורמים חיצוניים, אימפולסיבי ובודק גבולות. על כן שירות המבחן העריך כי הסיכוי להישנות עבירות דומות הוא משמעותי.</w:t>
      </w:r>
    </w:p>
    <w:p w14:paraId="7C3C0E6C" w14:textId="77777777" w:rsidR="0002059B" w:rsidRPr="0043573C" w:rsidRDefault="0002059B" w:rsidP="0002059B">
      <w:pPr>
        <w:pStyle w:val="a9"/>
        <w:spacing w:line="360" w:lineRule="auto"/>
        <w:ind w:left="425"/>
        <w:jc w:val="both"/>
        <w:rPr>
          <w:sz w:val="12"/>
          <w:szCs w:val="12"/>
        </w:rPr>
      </w:pPr>
    </w:p>
    <w:p w14:paraId="270252ED" w14:textId="77777777" w:rsidR="0002059B" w:rsidRDefault="0002059B" w:rsidP="0002059B">
      <w:pPr>
        <w:pStyle w:val="a9"/>
        <w:numPr>
          <w:ilvl w:val="0"/>
          <w:numId w:val="1"/>
        </w:numPr>
        <w:spacing w:line="360" w:lineRule="auto"/>
        <w:ind w:left="425" w:hanging="425"/>
        <w:jc w:val="both"/>
      </w:pPr>
      <w:r>
        <w:rPr>
          <w:rFonts w:hint="cs"/>
          <w:rtl/>
        </w:rPr>
        <w:t>מדיווח שירות בתי הסוהר עולה, כי הנאשם לוקח חלק בקבוצה ראשונית בתחום התמודדות במעצר ומשתדל להבין את תכני הקבוצה, אך מתקשה בהבעת שפה.</w:t>
      </w:r>
    </w:p>
    <w:p w14:paraId="1F341428" w14:textId="77777777" w:rsidR="0002059B" w:rsidRDefault="0002059B" w:rsidP="0002059B">
      <w:pPr>
        <w:pStyle w:val="a9"/>
        <w:spacing w:line="360" w:lineRule="auto"/>
        <w:ind w:left="425"/>
        <w:jc w:val="both"/>
      </w:pPr>
    </w:p>
    <w:p w14:paraId="2BF61601" w14:textId="77777777" w:rsidR="0002059B" w:rsidRPr="005B674A" w:rsidRDefault="0002059B" w:rsidP="0002059B">
      <w:pPr>
        <w:spacing w:line="360" w:lineRule="auto"/>
        <w:jc w:val="both"/>
        <w:rPr>
          <w:b/>
          <w:bCs/>
          <w:u w:val="single"/>
        </w:rPr>
      </w:pPr>
      <w:r w:rsidRPr="005B674A">
        <w:rPr>
          <w:rFonts w:hint="cs"/>
          <w:b/>
          <w:bCs/>
          <w:u w:val="single"/>
          <w:rtl/>
        </w:rPr>
        <w:t>טיעוני הצדדים לעונש</w:t>
      </w:r>
    </w:p>
    <w:p w14:paraId="1AB6E52E" w14:textId="77777777" w:rsidR="0002059B" w:rsidRDefault="0002059B" w:rsidP="0002059B">
      <w:pPr>
        <w:pStyle w:val="a9"/>
        <w:numPr>
          <w:ilvl w:val="0"/>
          <w:numId w:val="1"/>
        </w:numPr>
        <w:spacing w:line="360" w:lineRule="auto"/>
        <w:ind w:left="425" w:hanging="425"/>
        <w:jc w:val="both"/>
      </w:pPr>
      <w:r>
        <w:rPr>
          <w:rFonts w:hint="cs"/>
          <w:rtl/>
        </w:rPr>
        <w:t>ב"כ המאשימה הדגישה, כי אין מדובר באירוע רגעי חד-פעמי, אלא בנאשמים אשר נפגשו מספר פעמים כאשר הם נושאים נשק. הם הצטלמו איתו ואף ניסו למוכרו. עוד הדגישה את הסיכון הגדול הכרוך במעשיהם, כאשר הנשק יכול היה להגיע לידיים עויינות. לדבריה, הנאשמים פגעו בביטחון המדינה, בתחושת הביטחון של הציבור וכן היו עלולים לפגוע בשלמות הגוף. עוד טענה, כי מדובר בעבירה שהעונש הקבוע לצידה הוא שנות מאסר ממושכות והדבר מלמד על חומרתה. לתמיכה בטיעוניה הפנתה לפסיקה הקובעת, כי יש להחמיר בענישה בעבירות נשק. עוד הפנתה למתחמי עונש הולם שנקבעו במקרים דומים, ועתרה למתחם עונש הולם הנע בין 33 ל-60 חודשי מאסר בפועל, כאשר לצידם עונשי מאסר על תנאי וקנס. אשר לעונש בתוך המתחם טענה, כי מאחר שמדובר בנאשמים צעירים שלקחו אחריות למעשיהם וחסכו זמן שיפוטי והם נעדרי עבר פלילי, עונשם צריך להיות מצוי בחלק התחתון של המתחם.</w:t>
      </w:r>
    </w:p>
    <w:p w14:paraId="7582CDC1" w14:textId="77777777" w:rsidR="0002059B" w:rsidRPr="005B674A" w:rsidRDefault="0002059B" w:rsidP="0002059B">
      <w:pPr>
        <w:pStyle w:val="a9"/>
        <w:tabs>
          <w:tab w:val="left" w:pos="1409"/>
        </w:tabs>
        <w:spacing w:line="360" w:lineRule="auto"/>
        <w:ind w:left="425"/>
        <w:jc w:val="both"/>
        <w:rPr>
          <w:sz w:val="12"/>
          <w:szCs w:val="12"/>
        </w:rPr>
      </w:pPr>
      <w:r>
        <w:rPr>
          <w:rtl/>
        </w:rPr>
        <w:tab/>
      </w:r>
    </w:p>
    <w:p w14:paraId="361C6039" w14:textId="77777777" w:rsidR="0002059B" w:rsidRDefault="0002059B" w:rsidP="0002059B">
      <w:pPr>
        <w:pStyle w:val="a9"/>
        <w:numPr>
          <w:ilvl w:val="0"/>
          <w:numId w:val="1"/>
        </w:numPr>
        <w:spacing w:line="360" w:lineRule="auto"/>
        <w:ind w:left="425" w:hanging="425"/>
        <w:jc w:val="both"/>
      </w:pPr>
      <w:r>
        <w:rPr>
          <w:rFonts w:hint="cs"/>
          <w:rtl/>
        </w:rPr>
        <w:t xml:space="preserve">מנגד, טען ב"כ הנאשמים כי עוצמת הפגיעה בערך החברתי המוגן בנסיבות תיק זה אינה גבוהה מאחר שהנשק נתפס על ידי כוחות הביטחון. מדובר בנשק מאולתר, לא מתוחכם ולא בוצעה בו כל פגיעה ברכוש או בגוף. ב"כ הנאשמים סבר, שלאור גילם הצעיר, יש לקבוע מתחם נמוך ביותר לאור תפיסתם והתנהגותם והיעדר כל תחכום במעשיהם. הנאשמים לא ירו בנשק, לא מכרו אותו לגורמים עוינים ולא הסבו נזק כלשהו. ב"כ הנאשמים עתר למתחם עונש שנע בין 9 חודשי מאסר ועד ל-24 חודשים והגיש פסיקה לתמיכה בטיעוניו. </w:t>
      </w:r>
    </w:p>
    <w:p w14:paraId="79A42EF7" w14:textId="77777777" w:rsidR="0002059B" w:rsidRPr="00950D2E" w:rsidRDefault="0002059B" w:rsidP="0002059B">
      <w:pPr>
        <w:pStyle w:val="a9"/>
        <w:spacing w:line="360" w:lineRule="auto"/>
        <w:ind w:left="425"/>
        <w:jc w:val="both"/>
        <w:rPr>
          <w:sz w:val="12"/>
          <w:szCs w:val="12"/>
        </w:rPr>
      </w:pPr>
    </w:p>
    <w:p w14:paraId="2AAAA5C7" w14:textId="77777777" w:rsidR="0002059B" w:rsidRDefault="0002059B" w:rsidP="0002059B">
      <w:pPr>
        <w:pStyle w:val="a9"/>
        <w:numPr>
          <w:ilvl w:val="0"/>
          <w:numId w:val="1"/>
        </w:numPr>
        <w:spacing w:line="360" w:lineRule="auto"/>
        <w:ind w:left="425" w:hanging="425"/>
        <w:jc w:val="both"/>
      </w:pPr>
      <w:r>
        <w:rPr>
          <w:rFonts w:hint="cs"/>
          <w:rtl/>
        </w:rPr>
        <w:t>ב"כ הנאשמים הדגיש, כי מדובר בבגירים צעירים שלקחו אחריות למעשיהם וחסכו זמן שיפוטי, על אף שהוצעה להם חלופת מעצר הם בחרו שלא להשתחרר ולסיים את התיק, ובכך חסכו זמן שיפוטי וסבל לבני משפחותיהם. מדובר בצעירים נורמטיביים, שפוטנציאל השיקום בעניינם הוא גבוה, המצדיק אף סטייה ממתחם העונש ההולם. בנוסף ביקש להתחשב בהם עקב התפשטות וירוס הקורונה, דבר הפוגע בזכויות העצורים והאסירים ויש לו השלכות בריאותיות עליהם. בנוסף, בשל מצב זה, נפגעו גם זכויותיהם הדיוניות, כאשר הם לא יכלו להתייצב לדיון אלא השתתפו בו מרחוק. עוד ביקש להקל בעונשם מטעמי צדק. מכל מקום, למצער טען שיש להטיל עליהם עונש ברף התחתון של המתחם, כפי שגם אישרה ב"כ המאשימה. עוד הפנה למצבן הבריאותי של אמותיהם של הנאשמים והגיש תעודות רפואיות לתמיכה בדבריו.</w:t>
      </w:r>
    </w:p>
    <w:p w14:paraId="6FA69A6F" w14:textId="77777777" w:rsidR="0002059B" w:rsidRPr="00E729F8" w:rsidRDefault="0002059B" w:rsidP="0002059B">
      <w:pPr>
        <w:pStyle w:val="a9"/>
        <w:spacing w:line="360" w:lineRule="auto"/>
        <w:ind w:left="425"/>
        <w:jc w:val="both"/>
        <w:rPr>
          <w:sz w:val="12"/>
          <w:szCs w:val="12"/>
        </w:rPr>
      </w:pPr>
    </w:p>
    <w:p w14:paraId="657F77AD" w14:textId="77777777" w:rsidR="0002059B" w:rsidRDefault="0002059B" w:rsidP="0002059B">
      <w:pPr>
        <w:pStyle w:val="a9"/>
        <w:numPr>
          <w:ilvl w:val="0"/>
          <w:numId w:val="1"/>
        </w:numPr>
        <w:spacing w:line="360" w:lineRule="auto"/>
        <w:ind w:left="425" w:hanging="425"/>
        <w:jc w:val="both"/>
      </w:pPr>
      <w:r>
        <w:rPr>
          <w:rFonts w:hint="cs"/>
          <w:rtl/>
        </w:rPr>
        <w:t xml:space="preserve">בעניינו של נאשם 2, העיד לעונש מר עדי אלקיים, שמסר כי היה מעסיקו של הנאשם טרם מעצרו. הוא היה עובד חרוץ, ישר, בעל אופי טוב שמעד. הוא ציין, כי הוא טיפוס חיובי מאוד שלא עשה צרות, והביע תקווה שימשיך לעבוד אצלו כשישתחרר מהכלא. </w:t>
      </w:r>
    </w:p>
    <w:p w14:paraId="661F22A7" w14:textId="77777777" w:rsidR="0002059B" w:rsidRPr="00E729F8" w:rsidRDefault="0002059B" w:rsidP="0002059B">
      <w:pPr>
        <w:pStyle w:val="a9"/>
        <w:spacing w:line="360" w:lineRule="auto"/>
        <w:ind w:left="425"/>
        <w:jc w:val="both"/>
        <w:rPr>
          <w:sz w:val="12"/>
          <w:szCs w:val="12"/>
        </w:rPr>
      </w:pPr>
    </w:p>
    <w:p w14:paraId="538155B5" w14:textId="77777777" w:rsidR="0002059B" w:rsidRDefault="0002059B" w:rsidP="0002059B">
      <w:pPr>
        <w:pStyle w:val="a9"/>
        <w:numPr>
          <w:ilvl w:val="0"/>
          <w:numId w:val="1"/>
        </w:numPr>
        <w:spacing w:line="360" w:lineRule="auto"/>
        <w:ind w:left="425" w:hanging="425"/>
        <w:jc w:val="both"/>
      </w:pPr>
      <w:r>
        <w:rPr>
          <w:rFonts w:hint="cs"/>
          <w:rtl/>
        </w:rPr>
        <w:t>נאשם 1 בדברו האחרון, הביע חרטה על מעשיו וביקש כי תינתן לו הזדמנות. הוא לקח אחריות על המעשים, הבין ששגה וציין, כי בני משפחתו מגנים את המעשה.</w:t>
      </w:r>
    </w:p>
    <w:p w14:paraId="23C1CFF5" w14:textId="77777777" w:rsidR="0002059B" w:rsidRPr="00E729F8" w:rsidRDefault="0002059B" w:rsidP="0002059B">
      <w:pPr>
        <w:pStyle w:val="a9"/>
        <w:spacing w:line="360" w:lineRule="auto"/>
        <w:ind w:left="425"/>
        <w:jc w:val="both"/>
        <w:rPr>
          <w:sz w:val="12"/>
          <w:szCs w:val="12"/>
        </w:rPr>
      </w:pPr>
    </w:p>
    <w:p w14:paraId="5D539D41" w14:textId="77777777" w:rsidR="0002059B" w:rsidRDefault="0002059B" w:rsidP="0002059B">
      <w:pPr>
        <w:pStyle w:val="a9"/>
        <w:numPr>
          <w:ilvl w:val="0"/>
          <w:numId w:val="1"/>
        </w:numPr>
        <w:spacing w:line="360" w:lineRule="auto"/>
        <w:ind w:left="425" w:hanging="425"/>
        <w:jc w:val="both"/>
      </w:pPr>
      <w:r>
        <w:rPr>
          <w:rFonts w:hint="cs"/>
          <w:rtl/>
        </w:rPr>
        <w:t>נאשם 2, בדברו האחרון, הצטער על מעשיו, ציין שהוא עדיין אדם צעיר שלא עשה משהו בחייו. בית הסוהר הוא לא מקום בשבילו, כאשר הוא יושב בחברת עבריינים וקשה לו בבית הסוהר.</w:t>
      </w:r>
    </w:p>
    <w:p w14:paraId="6BC4A9BE" w14:textId="77777777" w:rsidR="0002059B" w:rsidRDefault="0002059B" w:rsidP="0002059B">
      <w:pPr>
        <w:spacing w:line="360" w:lineRule="auto"/>
        <w:jc w:val="both"/>
        <w:rPr>
          <w:rFonts w:ascii="David" w:hAnsi="David"/>
          <w:b/>
          <w:bCs/>
          <w:u w:val="single"/>
          <w:rtl/>
        </w:rPr>
      </w:pPr>
    </w:p>
    <w:p w14:paraId="72B0C3C6" w14:textId="77777777" w:rsidR="0002059B" w:rsidRPr="00200888" w:rsidRDefault="0002059B" w:rsidP="0002059B">
      <w:pPr>
        <w:spacing w:line="360" w:lineRule="auto"/>
        <w:jc w:val="both"/>
        <w:rPr>
          <w:rFonts w:ascii="David" w:hAnsi="David"/>
          <w:rtl/>
        </w:rPr>
      </w:pPr>
      <w:r w:rsidRPr="00200888">
        <w:rPr>
          <w:rFonts w:ascii="David" w:hAnsi="David"/>
          <w:b/>
          <w:bCs/>
          <w:u w:val="single"/>
          <w:rtl/>
        </w:rPr>
        <w:t>מתחם העונש ההולם</w:t>
      </w:r>
    </w:p>
    <w:p w14:paraId="0253768C" w14:textId="77777777" w:rsidR="0002059B" w:rsidRDefault="0002059B" w:rsidP="0002059B">
      <w:pPr>
        <w:pStyle w:val="a9"/>
        <w:numPr>
          <w:ilvl w:val="0"/>
          <w:numId w:val="1"/>
        </w:numPr>
        <w:spacing w:line="360" w:lineRule="auto"/>
        <w:ind w:left="425" w:hanging="425"/>
        <w:jc w:val="both"/>
        <w:rPr>
          <w:rFonts w:ascii="David" w:hAnsi="David"/>
        </w:rPr>
      </w:pPr>
      <w:r w:rsidRPr="00200888">
        <w:rPr>
          <w:rFonts w:ascii="David" w:hAnsi="David"/>
          <w:rtl/>
        </w:rPr>
        <w:t xml:space="preserve">על פי </w:t>
      </w:r>
      <w:hyperlink r:id="rId17" w:history="1">
        <w:r w:rsidR="00E30D30" w:rsidRPr="00E30D30">
          <w:rPr>
            <w:rStyle w:val="Hyperlink"/>
            <w:rFonts w:ascii="David" w:hAnsi="David"/>
            <w:rtl/>
          </w:rPr>
          <w:t>סעיף 40 ב</w:t>
        </w:r>
      </w:hyperlink>
      <w:r w:rsidRPr="00867A1F">
        <w:rPr>
          <w:rFonts w:ascii="David" w:hAnsi="David"/>
          <w:color w:val="000000"/>
          <w:rtl/>
        </w:rPr>
        <w:t>'</w:t>
      </w:r>
      <w:r w:rsidRPr="00200888">
        <w:rPr>
          <w:rFonts w:ascii="David" w:hAnsi="David"/>
          <w:rtl/>
        </w:rPr>
        <w:t xml:space="preserve"> ל</w:t>
      </w:r>
      <w:hyperlink r:id="rId18" w:history="1">
        <w:r w:rsidR="00867A1F" w:rsidRPr="00867A1F">
          <w:rPr>
            <w:rFonts w:ascii="David" w:hAnsi="David"/>
            <w:color w:val="0000FF"/>
            <w:u w:val="single"/>
            <w:rtl/>
          </w:rPr>
          <w:t>חוק העונשין</w:t>
        </w:r>
      </w:hyperlink>
      <w:r w:rsidRPr="00200888">
        <w:rPr>
          <w:rFonts w:ascii="David" w:hAnsi="David"/>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56F796D3" w14:textId="77777777" w:rsidR="0002059B" w:rsidRPr="00200888" w:rsidRDefault="0002059B" w:rsidP="0002059B">
      <w:pPr>
        <w:pStyle w:val="a9"/>
        <w:spacing w:line="360" w:lineRule="auto"/>
        <w:ind w:left="425"/>
        <w:jc w:val="both"/>
        <w:rPr>
          <w:rFonts w:ascii="David" w:hAnsi="David"/>
          <w:sz w:val="12"/>
          <w:szCs w:val="12"/>
        </w:rPr>
      </w:pPr>
    </w:p>
    <w:p w14:paraId="7361FECF" w14:textId="77777777" w:rsidR="0002059B" w:rsidRDefault="0002059B" w:rsidP="0002059B">
      <w:pPr>
        <w:pStyle w:val="a9"/>
        <w:numPr>
          <w:ilvl w:val="0"/>
          <w:numId w:val="1"/>
        </w:numPr>
        <w:spacing w:line="360" w:lineRule="auto"/>
        <w:ind w:left="425" w:hanging="425"/>
        <w:jc w:val="both"/>
        <w:rPr>
          <w:rFonts w:ascii="David" w:hAnsi="David"/>
        </w:rPr>
      </w:pPr>
      <w:r w:rsidRPr="00200888">
        <w:rPr>
          <w:rFonts w:ascii="David" w:hAnsi="David"/>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w:t>
      </w:r>
    </w:p>
    <w:p w14:paraId="11793A19" w14:textId="77777777" w:rsidR="0002059B" w:rsidRPr="00200888" w:rsidRDefault="0002059B" w:rsidP="0002059B">
      <w:pPr>
        <w:pStyle w:val="a9"/>
        <w:spacing w:line="360" w:lineRule="auto"/>
        <w:ind w:left="425"/>
        <w:jc w:val="both"/>
        <w:rPr>
          <w:rFonts w:ascii="David" w:hAnsi="David"/>
          <w:sz w:val="12"/>
          <w:szCs w:val="12"/>
        </w:rPr>
      </w:pPr>
    </w:p>
    <w:p w14:paraId="72B67DF6" w14:textId="77777777" w:rsidR="0002059B" w:rsidRPr="00844EB9" w:rsidRDefault="0002059B" w:rsidP="0002059B">
      <w:pPr>
        <w:pStyle w:val="a9"/>
        <w:numPr>
          <w:ilvl w:val="0"/>
          <w:numId w:val="1"/>
        </w:numPr>
        <w:spacing w:line="360" w:lineRule="auto"/>
        <w:ind w:left="425" w:hanging="425"/>
        <w:jc w:val="both"/>
        <w:rPr>
          <w:rFonts w:ascii="David" w:hAnsi="David"/>
          <w:sz w:val="12"/>
          <w:szCs w:val="12"/>
        </w:rPr>
      </w:pPr>
      <w:r>
        <w:rPr>
          <w:rFonts w:ascii="David" w:hAnsi="David"/>
          <w:rtl/>
        </w:rPr>
        <w:t xml:space="preserve">נשק </w:t>
      </w:r>
      <w:r w:rsidRPr="00200888">
        <w:rPr>
          <w:rFonts w:ascii="David" w:hAnsi="David"/>
          <w:rtl/>
        </w:rPr>
        <w:t xml:space="preserve">הוא מטבעו כלי קטלני, </w:t>
      </w:r>
      <w:r>
        <w:rPr>
          <w:rFonts w:ascii="David" w:hAnsi="David" w:hint="cs"/>
          <w:rtl/>
        </w:rPr>
        <w:t>ה</w:t>
      </w:r>
      <w:r w:rsidRPr="00200888">
        <w:rPr>
          <w:rFonts w:ascii="David" w:hAnsi="David"/>
          <w:rtl/>
        </w:rPr>
        <w:t xml:space="preserve">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אף אם מבצעי העבירות בחוליות השונות בשרשרת העברת הנשק, אינם מודעים לתכלית השימוש בו. </w:t>
      </w:r>
    </w:p>
    <w:p w14:paraId="5E0B3F00" w14:textId="77777777" w:rsidR="0002059B" w:rsidRPr="00200888" w:rsidRDefault="0002059B" w:rsidP="0002059B">
      <w:pPr>
        <w:pStyle w:val="a9"/>
        <w:spacing w:line="360" w:lineRule="auto"/>
        <w:ind w:left="425"/>
        <w:jc w:val="both"/>
        <w:rPr>
          <w:rFonts w:ascii="David" w:hAnsi="David"/>
          <w:sz w:val="12"/>
          <w:szCs w:val="12"/>
        </w:rPr>
      </w:pPr>
    </w:p>
    <w:p w14:paraId="707CCDEC" w14:textId="77777777" w:rsidR="0002059B" w:rsidRPr="00200888" w:rsidRDefault="0002059B" w:rsidP="0002059B">
      <w:pPr>
        <w:pStyle w:val="a9"/>
        <w:numPr>
          <w:ilvl w:val="0"/>
          <w:numId w:val="1"/>
        </w:numPr>
        <w:spacing w:line="360" w:lineRule="auto"/>
        <w:ind w:left="425" w:hanging="425"/>
        <w:jc w:val="both"/>
        <w:rPr>
          <w:rFonts w:ascii="David" w:hAnsi="David"/>
          <w:b/>
          <w:bCs/>
        </w:rPr>
      </w:pPr>
      <w:r w:rsidRPr="00200888">
        <w:rPr>
          <w:rFonts w:ascii="David" w:hAnsi="David"/>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כב' השופט </w:t>
      </w:r>
      <w:r>
        <w:rPr>
          <w:rFonts w:ascii="David" w:hAnsi="David" w:hint="cs"/>
          <w:rtl/>
        </w:rPr>
        <w:t xml:space="preserve">צ' </w:t>
      </w:r>
      <w:r w:rsidRPr="00200888">
        <w:rPr>
          <w:rFonts w:ascii="David" w:hAnsi="David"/>
          <w:rtl/>
        </w:rPr>
        <w:t xml:space="preserve">זילברטל חזר על כך </w:t>
      </w:r>
      <w:r>
        <w:rPr>
          <w:rFonts w:ascii="David" w:hAnsi="David" w:hint="cs"/>
          <w:rtl/>
        </w:rPr>
        <w:t>ב</w:t>
      </w:r>
      <w:hyperlink r:id="rId19" w:history="1">
        <w:r w:rsidR="00867A1F" w:rsidRPr="00867A1F">
          <w:rPr>
            <w:color w:val="0000FF"/>
            <w:u w:val="single"/>
            <w:rtl/>
          </w:rPr>
          <w:t>ע"פ 6989/13</w:t>
        </w:r>
      </w:hyperlink>
      <w:r>
        <w:rPr>
          <w:rFonts w:hint="cs"/>
          <w:rtl/>
        </w:rPr>
        <w:t xml:space="preserve"> </w:t>
      </w:r>
      <w:r w:rsidRPr="00E942EF">
        <w:rPr>
          <w:b/>
          <w:bCs/>
          <w:rtl/>
        </w:rPr>
        <w:t>חנא פרח נ' מדינת ישראל</w:t>
      </w:r>
      <w:r>
        <w:rPr>
          <w:rFonts w:hint="cs"/>
          <w:rtl/>
        </w:rPr>
        <w:t xml:space="preserve"> (</w:t>
      </w:r>
      <w:r>
        <w:rPr>
          <w:rtl/>
        </w:rPr>
        <w:t>25.02.</w:t>
      </w:r>
      <w:r>
        <w:rPr>
          <w:rFonts w:hint="cs"/>
          <w:rtl/>
        </w:rPr>
        <w:t>14)</w:t>
      </w:r>
      <w:r w:rsidRPr="00200888">
        <w:rPr>
          <w:rFonts w:ascii="David" w:hAnsi="David"/>
          <w:rtl/>
        </w:rPr>
        <w:t>:</w:t>
      </w:r>
    </w:p>
    <w:p w14:paraId="7EF4B84A" w14:textId="77777777" w:rsidR="0002059B" w:rsidRPr="00200888" w:rsidRDefault="0002059B" w:rsidP="0002059B">
      <w:pPr>
        <w:spacing w:after="200" w:line="360" w:lineRule="auto"/>
        <w:ind w:left="927"/>
        <w:contextualSpacing/>
        <w:jc w:val="both"/>
        <w:rPr>
          <w:rFonts w:ascii="David" w:hAnsi="David"/>
          <w:b/>
          <w:bCs/>
          <w:sz w:val="12"/>
          <w:szCs w:val="12"/>
        </w:rPr>
      </w:pPr>
    </w:p>
    <w:p w14:paraId="0D4EDBE8" w14:textId="77777777" w:rsidR="0002059B" w:rsidRDefault="0002059B" w:rsidP="0002059B">
      <w:pPr>
        <w:spacing w:after="200" w:line="360" w:lineRule="auto"/>
        <w:ind w:left="567" w:right="567"/>
        <w:contextualSpacing/>
        <w:jc w:val="both"/>
        <w:rPr>
          <w:rFonts w:ascii="David" w:hAnsi="David"/>
          <w:b/>
          <w:bCs/>
          <w:rtl/>
        </w:rPr>
      </w:pPr>
      <w:r w:rsidRPr="00200888">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0" w:history="1">
        <w:r w:rsidR="00867A1F" w:rsidRPr="00867A1F">
          <w:rPr>
            <w:rFonts w:ascii="David" w:hAnsi="David"/>
            <w:b/>
            <w:bCs/>
            <w:color w:val="0000FF"/>
            <w:u w:val="single"/>
            <w:rtl/>
          </w:rPr>
          <w:t>ע"פ 3156/11</w:t>
        </w:r>
      </w:hyperlink>
      <w:r w:rsidRPr="00200888">
        <w:rPr>
          <w:rFonts w:ascii="David" w:hAnsi="David"/>
          <w:b/>
          <w:bCs/>
          <w:rtl/>
        </w:rPr>
        <w:t xml:space="preserve"> 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1" w:history="1">
        <w:r w:rsidR="00867A1F" w:rsidRPr="00867A1F">
          <w:rPr>
            <w:rFonts w:ascii="David" w:hAnsi="David"/>
            <w:b/>
            <w:bCs/>
            <w:color w:val="0000FF"/>
            <w:u w:val="single"/>
            <w:rtl/>
          </w:rPr>
          <w:t>ע"פ 2006/12</w:t>
        </w:r>
      </w:hyperlink>
      <w:r w:rsidRPr="00200888">
        <w:rPr>
          <w:rFonts w:ascii="David" w:hAnsi="David"/>
          <w:b/>
          <w:bCs/>
          <w:rtl/>
        </w:rPr>
        <w:t xml:space="preserve"> מדינת ישראל נ' אסדי (28.3.2012), (להלן: עניין אסדי); </w:t>
      </w:r>
      <w:hyperlink r:id="rId22" w:history="1">
        <w:r w:rsidR="00867A1F" w:rsidRPr="00867A1F">
          <w:rPr>
            <w:rFonts w:ascii="David" w:hAnsi="David"/>
            <w:b/>
            <w:bCs/>
            <w:color w:val="0000FF"/>
            <w:u w:val="single"/>
            <w:rtl/>
          </w:rPr>
          <w:t>ע"פ 7502/12</w:t>
        </w:r>
      </w:hyperlink>
      <w:r w:rsidRPr="00200888">
        <w:rPr>
          <w:rFonts w:ascii="David" w:hAnsi="David"/>
          <w:b/>
          <w:bCs/>
          <w:rtl/>
        </w:rPr>
        <w:t xml:space="preserve"> כוויס נ' מד</w:t>
      </w:r>
      <w:r>
        <w:rPr>
          <w:rFonts w:ascii="David" w:hAnsi="David"/>
          <w:b/>
          <w:bCs/>
          <w:rtl/>
        </w:rPr>
        <w:t>ינת ישראל, פסקה 6 (25.6.2013))</w:t>
      </w:r>
      <w:r>
        <w:rPr>
          <w:rFonts w:ascii="David" w:hAnsi="David" w:hint="cs"/>
          <w:b/>
          <w:bCs/>
          <w:rtl/>
        </w:rPr>
        <w:t>".</w:t>
      </w:r>
    </w:p>
    <w:p w14:paraId="255711D9" w14:textId="77777777" w:rsidR="0002059B" w:rsidRPr="00200888" w:rsidRDefault="0002059B" w:rsidP="0002059B">
      <w:pPr>
        <w:pStyle w:val="a9"/>
        <w:numPr>
          <w:ilvl w:val="0"/>
          <w:numId w:val="1"/>
        </w:numPr>
        <w:spacing w:line="360" w:lineRule="auto"/>
        <w:ind w:left="425" w:hanging="425"/>
        <w:jc w:val="both"/>
        <w:rPr>
          <w:rFonts w:ascii="David" w:hAnsi="David"/>
        </w:rPr>
      </w:pPr>
      <w:r w:rsidRPr="00200888">
        <w:rPr>
          <w:rFonts w:ascii="David" w:hAnsi="David"/>
          <w:rtl/>
        </w:rPr>
        <w:t>המגמה להחמיר בענישה בעבירות נשק באה לידי ביטוי בשורה ארוכה של פ</w:t>
      </w:r>
      <w:r>
        <w:rPr>
          <w:rFonts w:ascii="David" w:hAnsi="David" w:hint="cs"/>
          <w:rtl/>
        </w:rPr>
        <w:t>י</w:t>
      </w:r>
      <w:r w:rsidRPr="00200888">
        <w:rPr>
          <w:rFonts w:ascii="David" w:hAnsi="David"/>
          <w:rtl/>
        </w:rPr>
        <w:t>סק דין שניתנו על ידי בית משפט העליון, בין היתר, ב</w:t>
      </w:r>
      <w:hyperlink r:id="rId23" w:history="1">
        <w:r w:rsidR="00867A1F" w:rsidRPr="00867A1F">
          <w:rPr>
            <w:rFonts w:ascii="David" w:hAnsi="David"/>
            <w:color w:val="0000FF"/>
            <w:u w:val="single"/>
            <w:rtl/>
          </w:rPr>
          <w:t>ע"פ 1323/13</w:t>
        </w:r>
      </w:hyperlink>
      <w:r w:rsidRPr="00200888">
        <w:rPr>
          <w:rFonts w:ascii="David" w:hAnsi="David"/>
          <w:rtl/>
        </w:rPr>
        <w:t xml:space="preserve"> </w:t>
      </w:r>
      <w:r w:rsidRPr="00200888">
        <w:rPr>
          <w:rFonts w:ascii="David" w:hAnsi="David"/>
          <w:b/>
          <w:bCs/>
          <w:rtl/>
        </w:rPr>
        <w:t>רך חסן  נגד מדינת ישראל</w:t>
      </w:r>
      <w:r w:rsidRPr="00200888">
        <w:rPr>
          <w:rFonts w:ascii="David" w:hAnsi="David"/>
          <w:rtl/>
        </w:rPr>
        <w:t xml:space="preserve">  (ניתן ביום 5.6.13), שם קבעה כבוד השופטת</w:t>
      </w:r>
      <w:r>
        <w:rPr>
          <w:rFonts w:ascii="David" w:hAnsi="David" w:hint="cs"/>
          <w:rtl/>
        </w:rPr>
        <w:t xml:space="preserve"> ע'</w:t>
      </w:r>
      <w:r w:rsidRPr="00200888">
        <w:rPr>
          <w:rFonts w:ascii="David" w:hAnsi="David"/>
          <w:rtl/>
        </w:rPr>
        <w:t xml:space="preserve"> ארבל:</w:t>
      </w:r>
    </w:p>
    <w:p w14:paraId="18547F03" w14:textId="77777777" w:rsidR="0002059B" w:rsidRPr="00200888" w:rsidRDefault="0002059B" w:rsidP="0002059B">
      <w:pPr>
        <w:spacing w:after="200" w:line="360" w:lineRule="auto"/>
        <w:ind w:left="283"/>
        <w:contextualSpacing/>
        <w:jc w:val="both"/>
        <w:rPr>
          <w:rFonts w:ascii="David" w:hAnsi="David"/>
          <w:sz w:val="12"/>
          <w:szCs w:val="12"/>
        </w:rPr>
      </w:pPr>
    </w:p>
    <w:p w14:paraId="7C994D02" w14:textId="77777777" w:rsidR="0002059B" w:rsidRPr="00200888" w:rsidRDefault="0002059B" w:rsidP="0002059B">
      <w:pPr>
        <w:spacing w:after="200" w:line="360" w:lineRule="auto"/>
        <w:ind w:left="567" w:right="567"/>
        <w:contextualSpacing/>
        <w:jc w:val="both"/>
        <w:rPr>
          <w:rFonts w:ascii="David" w:hAnsi="David"/>
          <w:rtl/>
        </w:rPr>
      </w:pPr>
      <w:r w:rsidRPr="00200888">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02C4B67" w14:textId="77777777" w:rsidR="0002059B" w:rsidRPr="00200888" w:rsidRDefault="0002059B" w:rsidP="0002059B">
      <w:pPr>
        <w:spacing w:line="360" w:lineRule="auto"/>
        <w:ind w:right="567"/>
        <w:jc w:val="both"/>
        <w:rPr>
          <w:rFonts w:ascii="David" w:hAnsi="David"/>
          <w:sz w:val="12"/>
          <w:szCs w:val="12"/>
          <w:rtl/>
        </w:rPr>
      </w:pPr>
    </w:p>
    <w:p w14:paraId="5E5563B1" w14:textId="77777777" w:rsidR="0002059B" w:rsidRPr="00200888" w:rsidRDefault="0002059B" w:rsidP="0002059B">
      <w:pPr>
        <w:pStyle w:val="a9"/>
        <w:numPr>
          <w:ilvl w:val="0"/>
          <w:numId w:val="1"/>
        </w:numPr>
        <w:spacing w:line="360" w:lineRule="auto"/>
        <w:ind w:left="425" w:hanging="425"/>
        <w:jc w:val="both"/>
        <w:rPr>
          <w:rFonts w:ascii="David" w:hAnsi="David"/>
        </w:rPr>
      </w:pPr>
      <w:r w:rsidRPr="00200888">
        <w:rPr>
          <w:rFonts w:ascii="David" w:hAnsi="David"/>
          <w:rtl/>
        </w:rPr>
        <w:t>ב</w:t>
      </w:r>
      <w:hyperlink r:id="rId24" w:history="1">
        <w:r w:rsidR="00867A1F" w:rsidRPr="00867A1F">
          <w:rPr>
            <w:rFonts w:ascii="David" w:hAnsi="David"/>
            <w:color w:val="0000FF"/>
            <w:u w:val="single"/>
            <w:rtl/>
          </w:rPr>
          <w:t>ע"פ 2251/11</w:t>
        </w:r>
      </w:hyperlink>
      <w:r w:rsidRPr="00200888">
        <w:rPr>
          <w:rFonts w:ascii="David" w:hAnsi="David"/>
          <w:rtl/>
        </w:rPr>
        <w:t xml:space="preserve"> </w:t>
      </w:r>
      <w:r w:rsidRPr="00200888">
        <w:rPr>
          <w:rFonts w:ascii="David" w:hAnsi="David"/>
          <w:b/>
          <w:bCs/>
          <w:rtl/>
        </w:rPr>
        <w:t>נפאע נ' מדינת ישראל</w:t>
      </w:r>
      <w:r w:rsidRPr="00200888">
        <w:rPr>
          <w:rFonts w:ascii="David" w:hAnsi="David"/>
          <w:rtl/>
        </w:rPr>
        <w:t xml:space="preserve"> (ניתן ביום 4.12.11) קבעה כבוד השופטת</w:t>
      </w:r>
      <w:r>
        <w:rPr>
          <w:rFonts w:ascii="David" w:hAnsi="David" w:hint="cs"/>
          <w:rtl/>
        </w:rPr>
        <w:t xml:space="preserve"> א'</w:t>
      </w:r>
      <w:r w:rsidRPr="00200888">
        <w:rPr>
          <w:rFonts w:ascii="David" w:hAnsi="David"/>
          <w:rtl/>
        </w:rPr>
        <w:t xml:space="preserve"> חיות כך: "</w:t>
      </w:r>
      <w:r w:rsidRPr="00200888">
        <w:rPr>
          <w:rFonts w:ascii="David" w:hAnsi="David"/>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200888">
        <w:rPr>
          <w:rFonts w:ascii="David" w:hAnsi="David"/>
          <w:rtl/>
        </w:rPr>
        <w:t xml:space="preserve">". </w:t>
      </w:r>
    </w:p>
    <w:p w14:paraId="0CDE5CC3" w14:textId="77777777" w:rsidR="0002059B" w:rsidRPr="00200888" w:rsidRDefault="0002059B" w:rsidP="0002059B">
      <w:pPr>
        <w:spacing w:after="200" w:line="360" w:lineRule="auto"/>
        <w:ind w:left="283"/>
        <w:contextualSpacing/>
        <w:jc w:val="both"/>
        <w:rPr>
          <w:rFonts w:ascii="David" w:hAnsi="David"/>
          <w:sz w:val="12"/>
          <w:szCs w:val="12"/>
          <w:rtl/>
        </w:rPr>
      </w:pPr>
    </w:p>
    <w:p w14:paraId="4999680D" w14:textId="77777777" w:rsidR="0002059B" w:rsidRPr="00200888" w:rsidRDefault="0002059B" w:rsidP="0002059B">
      <w:pPr>
        <w:pStyle w:val="a9"/>
        <w:numPr>
          <w:ilvl w:val="0"/>
          <w:numId w:val="1"/>
        </w:numPr>
        <w:spacing w:line="360" w:lineRule="auto"/>
        <w:ind w:left="425" w:hanging="425"/>
        <w:jc w:val="both"/>
        <w:rPr>
          <w:rFonts w:ascii="David" w:hAnsi="David"/>
          <w:rtl/>
        </w:rPr>
      </w:pPr>
      <w:r w:rsidRPr="00200888">
        <w:rPr>
          <w:rFonts w:ascii="David" w:hAnsi="David"/>
          <w:rtl/>
        </w:rPr>
        <w:t xml:space="preserve">כן יפים לענייננו הדברים שנקבעו במסגרת </w:t>
      </w:r>
      <w:hyperlink r:id="rId25" w:history="1">
        <w:r w:rsidR="00867A1F" w:rsidRPr="00867A1F">
          <w:rPr>
            <w:rFonts w:ascii="David" w:hAnsi="David"/>
            <w:color w:val="0000FF"/>
            <w:u w:val="single"/>
            <w:rtl/>
          </w:rPr>
          <w:t>ע"פ 8045/17</w:t>
        </w:r>
      </w:hyperlink>
      <w:r w:rsidRPr="00200888">
        <w:rPr>
          <w:rFonts w:ascii="David" w:hAnsi="David"/>
          <w:rtl/>
        </w:rPr>
        <w:t xml:space="preserve"> </w:t>
      </w:r>
      <w:r w:rsidRPr="00200888">
        <w:rPr>
          <w:rFonts w:ascii="David" w:hAnsi="David"/>
          <w:b/>
          <w:bCs/>
          <w:rtl/>
        </w:rPr>
        <w:t>מחמוד בראנסי נ' מדינת ישראל</w:t>
      </w:r>
      <w:r w:rsidRPr="00200888">
        <w:rPr>
          <w:rFonts w:ascii="David" w:hAnsi="David"/>
          <w:rtl/>
        </w:rPr>
        <w:t xml:space="preserve"> (ניתן ביום 16.8.18)</w:t>
      </w:r>
      <w:r>
        <w:rPr>
          <w:rFonts w:ascii="David" w:hAnsi="David" w:hint="cs"/>
          <w:rtl/>
        </w:rPr>
        <w:t>, מפי כב' השופט ד' מינץ</w:t>
      </w:r>
      <w:r w:rsidRPr="00200888">
        <w:rPr>
          <w:rFonts w:ascii="David" w:hAnsi="David"/>
          <w:rtl/>
        </w:rPr>
        <w:t>:</w:t>
      </w:r>
    </w:p>
    <w:p w14:paraId="1D3991F1" w14:textId="77777777" w:rsidR="0002059B" w:rsidRPr="00200888" w:rsidRDefault="0002059B" w:rsidP="0002059B">
      <w:pPr>
        <w:spacing w:before="120" w:after="120" w:line="360" w:lineRule="auto"/>
        <w:ind w:left="567" w:right="709"/>
        <w:contextualSpacing/>
        <w:jc w:val="both"/>
        <w:rPr>
          <w:rFonts w:ascii="Calibri" w:hAnsi="Calibri" w:cs="Arial"/>
          <w:b/>
          <w:bCs/>
          <w:rtl/>
        </w:rPr>
      </w:pPr>
      <w:r w:rsidRPr="00200888">
        <w:rPr>
          <w:rFonts w:ascii="David" w:hAnsi="David"/>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(עניין דהוד, פסקה 11; עניין חסן, פסקה 12; עניין עספור, פסקה 7).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w:t>
      </w:r>
      <w:hyperlink r:id="rId26" w:history="1">
        <w:r w:rsidR="00867A1F" w:rsidRPr="00867A1F">
          <w:rPr>
            <w:rFonts w:ascii="David" w:hAnsi="David"/>
            <w:b/>
            <w:bCs/>
            <w:color w:val="0000FF"/>
            <w:u w:val="single"/>
            <w:rtl/>
          </w:rPr>
          <w:t>ע"פ 5643/14</w:t>
        </w:r>
      </w:hyperlink>
      <w:r w:rsidRPr="00200888">
        <w:rPr>
          <w:rFonts w:ascii="David" w:hAnsi="David"/>
          <w:b/>
          <w:bCs/>
          <w:rtl/>
        </w:rPr>
        <w:t xml:space="preserve"> עיסא נ' מדינת ישראל (23.6.2015) (להלן: עניין עיסא), פסקה 13; עניין נפאע, פסקה 5)."</w:t>
      </w:r>
    </w:p>
    <w:p w14:paraId="44A08E83" w14:textId="77777777" w:rsidR="0002059B" w:rsidRPr="00200888" w:rsidRDefault="0002059B" w:rsidP="0002059B">
      <w:pPr>
        <w:spacing w:before="120" w:after="120" w:line="360" w:lineRule="auto"/>
        <w:ind w:right="709"/>
        <w:contextualSpacing/>
        <w:jc w:val="both"/>
        <w:rPr>
          <w:rFonts w:ascii="Calibri" w:hAnsi="Calibri" w:cs="Arial"/>
          <w:b/>
          <w:bCs/>
          <w:sz w:val="12"/>
          <w:szCs w:val="12"/>
        </w:rPr>
      </w:pPr>
    </w:p>
    <w:p w14:paraId="5E8807C3" w14:textId="77777777" w:rsidR="0002059B" w:rsidRPr="00200888" w:rsidRDefault="0002059B" w:rsidP="0002059B">
      <w:pPr>
        <w:pStyle w:val="a9"/>
        <w:numPr>
          <w:ilvl w:val="0"/>
          <w:numId w:val="1"/>
        </w:numPr>
        <w:spacing w:line="360" w:lineRule="auto"/>
        <w:ind w:left="425" w:hanging="425"/>
        <w:jc w:val="both"/>
        <w:rPr>
          <w:rFonts w:ascii="David" w:hAnsi="David"/>
        </w:rPr>
      </w:pPr>
      <w:r w:rsidRPr="00200888">
        <w:rPr>
          <w:rFonts w:ascii="David" w:hAnsi="David"/>
          <w:rtl/>
        </w:rPr>
        <w:t>מדיניות הענישה הנהוגה בעבירות בנשק היא מגוונת, ותלויה בנסיבותיו של כל מקרה ומקרה. כך למשל-</w:t>
      </w:r>
    </w:p>
    <w:p w14:paraId="239EAB51" w14:textId="77777777" w:rsidR="0002059B" w:rsidRPr="00200888" w:rsidRDefault="0002059B" w:rsidP="0002059B">
      <w:pPr>
        <w:numPr>
          <w:ilvl w:val="1"/>
          <w:numId w:val="2"/>
        </w:numPr>
        <w:spacing w:after="200" w:line="360" w:lineRule="auto"/>
        <w:contextualSpacing/>
        <w:jc w:val="both"/>
        <w:rPr>
          <w:rFonts w:ascii="David" w:hAnsi="David"/>
          <w:color w:val="000000"/>
          <w:sz w:val="12"/>
          <w:szCs w:val="12"/>
          <w:shd w:val="clear" w:color="auto" w:fill="FFFFFF"/>
        </w:rPr>
      </w:pPr>
      <w:r w:rsidRPr="00200888">
        <w:rPr>
          <w:rFonts w:ascii="David" w:hAnsi="David"/>
          <w:rtl/>
        </w:rPr>
        <w:t>ב</w:t>
      </w:r>
      <w:hyperlink r:id="rId27" w:history="1">
        <w:r w:rsidR="00867A1F" w:rsidRPr="00867A1F">
          <w:rPr>
            <w:rFonts w:ascii="David" w:hAnsi="David"/>
            <w:color w:val="0000FF"/>
            <w:u w:val="single"/>
            <w:rtl/>
          </w:rPr>
          <w:t>ע"פ 135/17</w:t>
        </w:r>
      </w:hyperlink>
      <w:r w:rsidRPr="00200888">
        <w:rPr>
          <w:rFonts w:ascii="David" w:hAnsi="David"/>
        </w:rPr>
        <w:t xml:space="preserve"> </w:t>
      </w:r>
      <w:r w:rsidRPr="00200888">
        <w:rPr>
          <w:rFonts w:ascii="David" w:hAnsi="David"/>
          <w:b/>
          <w:bCs/>
          <w:rtl/>
        </w:rPr>
        <w:t xml:space="preserve">מדינת </w:t>
      </w:r>
      <w:r w:rsidRPr="00200888">
        <w:rPr>
          <w:rFonts w:ascii="David" w:hAnsi="David"/>
          <w:b/>
          <w:bCs/>
          <w:color w:val="000000"/>
          <w:rtl/>
        </w:rPr>
        <w:t>ישראל נ' סמיר בסל</w:t>
      </w:r>
      <w:r>
        <w:rPr>
          <w:rFonts w:ascii="David" w:hAnsi="David"/>
          <w:color w:val="000000"/>
          <w:rtl/>
        </w:rPr>
        <w:t xml:space="preserve"> (08.03.</w:t>
      </w:r>
      <w:r>
        <w:rPr>
          <w:rFonts w:ascii="David" w:hAnsi="David" w:hint="cs"/>
          <w:color w:val="000000"/>
          <w:rtl/>
        </w:rPr>
        <w:t>1</w:t>
      </w:r>
      <w:r w:rsidRPr="00200888">
        <w:rPr>
          <w:rFonts w:ascii="David" w:hAnsi="David"/>
          <w:color w:val="000000"/>
          <w:rtl/>
        </w:rPr>
        <w:t>7</w:t>
      </w:r>
      <w:r w:rsidRPr="00200888">
        <w:rPr>
          <w:rFonts w:ascii="David" w:hAnsi="David"/>
          <w:color w:val="000000"/>
        </w:rPr>
        <w:t>(</w:t>
      </w:r>
      <w:r w:rsidRPr="00200888">
        <w:rPr>
          <w:rFonts w:ascii="David" w:hAnsi="David"/>
          <w:color w:val="000000"/>
          <w:shd w:val="clear" w:color="auto" w:fill="FFFFFF"/>
          <w:rtl/>
        </w:rPr>
        <w:t xml:space="preserve"> קיבל בית המשפט העליון את ערעורה של המדינה, והחמיר את עונשו של המשיב - שעמד על 12 חודשים בפועל בגין הרשעתו בביצוע עבירה אחת של נשיאה והחזקת נשק (תת מקלע מאולתר) ל-18 חודשי מאסר בפועל. בית המשפט העליון בדבריו עמד על חומרתן של עבירות הנשק והצורך בהרתעת היחיד והרבים מפני ביצוע עבירות מעין אלו. יצוין כי </w:t>
      </w:r>
      <w:r>
        <w:rPr>
          <w:rFonts w:ascii="David" w:hAnsi="David" w:hint="cs"/>
          <w:color w:val="000000"/>
          <w:shd w:val="clear" w:color="auto" w:fill="FFFFFF"/>
          <w:rtl/>
        </w:rPr>
        <w:t>הנאשם</w:t>
      </w:r>
      <w:r w:rsidRPr="00200888">
        <w:rPr>
          <w:rFonts w:ascii="David" w:hAnsi="David"/>
          <w:color w:val="000000"/>
          <w:shd w:val="clear" w:color="auto" w:fill="FFFFFF"/>
          <w:rtl/>
        </w:rPr>
        <w:t xml:space="preserve"> הורשע במסגרת הסדר טיעון, לחובתו עמדה הרשעה אחת וגילו היה צעיר (בן 20). </w:t>
      </w:r>
    </w:p>
    <w:p w14:paraId="191F1659" w14:textId="77777777" w:rsidR="0002059B" w:rsidRPr="00200888" w:rsidRDefault="0002059B" w:rsidP="0002059B">
      <w:pPr>
        <w:spacing w:after="200" w:line="360" w:lineRule="auto"/>
        <w:ind w:left="1440"/>
        <w:contextualSpacing/>
        <w:jc w:val="both"/>
        <w:rPr>
          <w:rFonts w:ascii="David" w:hAnsi="David"/>
          <w:color w:val="000000"/>
          <w:sz w:val="12"/>
          <w:szCs w:val="12"/>
          <w:shd w:val="clear" w:color="auto" w:fill="FFFFFF"/>
        </w:rPr>
      </w:pPr>
    </w:p>
    <w:p w14:paraId="58A91897" w14:textId="77777777" w:rsidR="0002059B" w:rsidRDefault="0002059B" w:rsidP="0002059B">
      <w:pPr>
        <w:numPr>
          <w:ilvl w:val="1"/>
          <w:numId w:val="2"/>
        </w:numPr>
        <w:spacing w:after="200" w:line="360" w:lineRule="auto"/>
        <w:contextualSpacing/>
        <w:jc w:val="both"/>
        <w:rPr>
          <w:rFonts w:ascii="David" w:hAnsi="David"/>
          <w:color w:val="000000"/>
        </w:rPr>
      </w:pPr>
      <w:r w:rsidRPr="00200888">
        <w:rPr>
          <w:rFonts w:ascii="David" w:hAnsi="David"/>
          <w:rtl/>
          <w:lang w:eastAsia="he-IL"/>
        </w:rPr>
        <w:t>ב</w:t>
      </w:r>
      <w:hyperlink r:id="rId28" w:history="1">
        <w:r w:rsidR="00867A1F" w:rsidRPr="00867A1F">
          <w:rPr>
            <w:rFonts w:ascii="David" w:hAnsi="David"/>
            <w:color w:val="0000FF"/>
            <w:u w:val="single"/>
            <w:rtl/>
          </w:rPr>
          <w:t>ע"פ 135/17</w:t>
        </w:r>
      </w:hyperlink>
      <w:r w:rsidRPr="00200888">
        <w:rPr>
          <w:rFonts w:ascii="David" w:hAnsi="David"/>
          <w:rtl/>
        </w:rPr>
        <w:t xml:space="preserve"> </w:t>
      </w:r>
      <w:r w:rsidRPr="00200888">
        <w:rPr>
          <w:rFonts w:ascii="David" w:hAnsi="David"/>
          <w:b/>
          <w:bCs/>
          <w:rtl/>
        </w:rPr>
        <w:t>מדינת ישראל נ' סמי בסל</w:t>
      </w:r>
      <w:r w:rsidRPr="00200888">
        <w:rPr>
          <w:rFonts w:ascii="David" w:hAnsi="David"/>
          <w:rtl/>
        </w:rPr>
        <w:t xml:space="preserve"> (8.3.17) קיבל בית המשפט העליון את ערעורה של המדינה  על גזר דינו של בית המשפט המחוזי בחיפה, במסגרתו הושת</w:t>
      </w:r>
      <w:r>
        <w:rPr>
          <w:rFonts w:ascii="David" w:hAnsi="David" w:hint="cs"/>
          <w:rtl/>
        </w:rPr>
        <w:t>ו</w:t>
      </w:r>
      <w:r w:rsidRPr="00200888">
        <w:rPr>
          <w:rFonts w:ascii="David" w:hAnsi="David"/>
          <w:rtl/>
        </w:rPr>
        <w:t xml:space="preserve"> על הנאשם 12 חודשי מאסר לריצוי בפועל, בגין ביצוע עבירות של החזקה ונשיאת נשק לפי </w:t>
      </w:r>
      <w:hyperlink r:id="rId29" w:history="1">
        <w:r w:rsidR="00E30D30" w:rsidRPr="00E30D30">
          <w:rPr>
            <w:rStyle w:val="Hyperlink"/>
            <w:rFonts w:ascii="David" w:hAnsi="David"/>
            <w:rtl/>
          </w:rPr>
          <w:t>סעיף 144(א)</w:t>
        </w:r>
      </w:hyperlink>
      <w:r w:rsidRPr="00867A1F">
        <w:rPr>
          <w:rFonts w:ascii="David" w:hAnsi="David"/>
          <w:color w:val="000000"/>
          <w:rtl/>
        </w:rPr>
        <w:t xml:space="preserve"> ו-</w:t>
      </w:r>
      <w:hyperlink r:id="rId30" w:history="1">
        <w:r w:rsidR="00E30D30" w:rsidRPr="00E30D30">
          <w:rPr>
            <w:rStyle w:val="Hyperlink"/>
            <w:rFonts w:ascii="David" w:hAnsi="David"/>
            <w:rtl/>
          </w:rPr>
          <w:t>144(ב)</w:t>
        </w:r>
      </w:hyperlink>
      <w:r w:rsidRPr="00200888">
        <w:rPr>
          <w:rFonts w:ascii="David" w:hAnsi="David"/>
          <w:rtl/>
        </w:rPr>
        <w:t xml:space="preserve"> ל</w:t>
      </w:r>
      <w:hyperlink r:id="rId31" w:history="1">
        <w:r w:rsidR="00867A1F" w:rsidRPr="00867A1F">
          <w:rPr>
            <w:rFonts w:ascii="David" w:hAnsi="David"/>
            <w:color w:val="0000FF"/>
            <w:u w:val="single"/>
            <w:rtl/>
          </w:rPr>
          <w:t>חוק העונשין</w:t>
        </w:r>
      </w:hyperlink>
      <w:r w:rsidRPr="00200888">
        <w:rPr>
          <w:rFonts w:ascii="David" w:hAnsi="David"/>
          <w:rtl/>
        </w:rPr>
        <w:t xml:space="preserve"> וגזר עליו 18 חודשי מאסר. במקרה דנן הנאשם היה כבן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6A2144E6" w14:textId="77777777" w:rsidR="0002059B" w:rsidRPr="00200888" w:rsidRDefault="0002059B" w:rsidP="0002059B">
      <w:pPr>
        <w:spacing w:after="200" w:line="360" w:lineRule="auto"/>
        <w:ind w:left="1440"/>
        <w:contextualSpacing/>
        <w:jc w:val="both"/>
        <w:rPr>
          <w:rFonts w:ascii="David" w:hAnsi="David"/>
          <w:color w:val="000000"/>
          <w:sz w:val="12"/>
          <w:szCs w:val="12"/>
        </w:rPr>
      </w:pPr>
    </w:p>
    <w:p w14:paraId="195D28EA" w14:textId="77777777" w:rsidR="0002059B" w:rsidRPr="00200888" w:rsidRDefault="0002059B" w:rsidP="0002059B">
      <w:pPr>
        <w:numPr>
          <w:ilvl w:val="1"/>
          <w:numId w:val="2"/>
        </w:numPr>
        <w:spacing w:after="200" w:line="360" w:lineRule="auto"/>
        <w:contextualSpacing/>
        <w:jc w:val="both"/>
        <w:rPr>
          <w:rFonts w:ascii="David" w:hAnsi="David"/>
        </w:rPr>
      </w:pPr>
      <w:r w:rsidRPr="00200888">
        <w:rPr>
          <w:rFonts w:ascii="David" w:hAnsi="David"/>
          <w:rtl/>
        </w:rPr>
        <w:t>ב</w:t>
      </w:r>
      <w:hyperlink r:id="rId32" w:history="1">
        <w:r w:rsidR="00867A1F" w:rsidRPr="00867A1F">
          <w:rPr>
            <w:rFonts w:ascii="David" w:hAnsi="David"/>
            <w:color w:val="0000FF"/>
            <w:u w:val="single"/>
            <w:rtl/>
          </w:rPr>
          <w:t>ע"פ 4945/13</w:t>
        </w:r>
      </w:hyperlink>
      <w:r w:rsidRPr="00200888">
        <w:rPr>
          <w:rFonts w:ascii="David" w:hAnsi="David"/>
          <w:rtl/>
        </w:rPr>
        <w:t xml:space="preserve"> </w:t>
      </w:r>
      <w:r w:rsidRPr="00200888">
        <w:rPr>
          <w:rFonts w:ascii="David" w:hAnsi="David"/>
          <w:b/>
          <w:bCs/>
          <w:rtl/>
        </w:rPr>
        <w:t>מדינת ישראל נ' סלימאן</w:t>
      </w:r>
      <w:r w:rsidRPr="00200888">
        <w:rPr>
          <w:rFonts w:ascii="David" w:hAnsi="David"/>
          <w:rtl/>
        </w:rPr>
        <w:t xml:space="preserve"> (19.1.14)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 שיקום, והטיל שישה חודשי מאסר שירוצו בעבודות שירות, שם דובר בצעיר שהיה בן 19 בעת ביצוע העבירות, והנסיבות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25F74811" w14:textId="77777777" w:rsidR="0002059B" w:rsidRDefault="0002059B" w:rsidP="0002059B">
      <w:pPr>
        <w:pStyle w:val="a9"/>
        <w:numPr>
          <w:ilvl w:val="0"/>
          <w:numId w:val="1"/>
        </w:numPr>
        <w:spacing w:line="360" w:lineRule="auto"/>
        <w:ind w:left="425" w:hanging="425"/>
        <w:jc w:val="both"/>
        <w:rPr>
          <w:rFonts w:ascii="David" w:hAnsi="David"/>
        </w:rPr>
      </w:pPr>
      <w:r w:rsidRPr="00200888">
        <w:rPr>
          <w:rFonts w:ascii="David" w:hAnsi="David"/>
          <w:rtl/>
        </w:rPr>
        <w:t>אשר לנסיבות הקשורות בביצוע העבירה</w:t>
      </w:r>
      <w:r w:rsidRPr="00200888">
        <w:rPr>
          <w:rFonts w:ascii="David" w:hAnsi="David"/>
          <w:b/>
          <w:bCs/>
          <w:rtl/>
        </w:rPr>
        <w:t xml:space="preserve"> </w:t>
      </w:r>
      <w:r w:rsidRPr="00200888">
        <w:rPr>
          <w:rFonts w:ascii="David" w:hAnsi="David"/>
          <w:rtl/>
        </w:rPr>
        <w:t>(</w:t>
      </w:r>
      <w:hyperlink w:history="1">
        <w:r w:rsidRPr="00E30D30">
          <w:rPr>
            <w:rFonts w:ascii="David" w:hAnsi="David"/>
            <w:rtl/>
          </w:rPr>
          <w:t>סעיף</w:t>
        </w:r>
      </w:hyperlink>
      <w:r w:rsidRPr="00DC7F77">
        <w:rPr>
          <w:rFonts w:ascii="David" w:hAnsi="David"/>
          <w:color w:val="000000"/>
          <w:rtl/>
        </w:rPr>
        <w:t xml:space="preserve"> </w:t>
      </w:r>
      <w:hyperlink r:id="rId33" w:history="1">
        <w:r w:rsidR="00E30D30" w:rsidRPr="00E30D30">
          <w:rPr>
            <w:rStyle w:val="Hyperlink"/>
            <w:rFonts w:ascii="David" w:hAnsi="David"/>
            <w:rtl/>
          </w:rPr>
          <w:t>40 ט'</w:t>
        </w:r>
      </w:hyperlink>
      <w:r w:rsidRPr="00200888">
        <w:rPr>
          <w:rFonts w:ascii="David" w:hAnsi="David"/>
          <w:rtl/>
        </w:rPr>
        <w:t xml:space="preserve"> לחוק), יש לתת את הדעת לשיקולים הבאים:</w:t>
      </w:r>
      <w:r w:rsidRPr="00200888">
        <w:rPr>
          <w:rFonts w:ascii="David" w:hAnsi="David" w:cs="Arial"/>
          <w:sz w:val="22"/>
          <w:szCs w:val="22"/>
          <w:rtl/>
        </w:rPr>
        <w:t xml:space="preserve"> </w:t>
      </w:r>
      <w:r>
        <w:rPr>
          <w:rFonts w:ascii="David" w:hAnsi="David"/>
          <w:rtl/>
        </w:rPr>
        <w:t xml:space="preserve">מחד גיסא, </w:t>
      </w:r>
      <w:r>
        <w:rPr>
          <w:rFonts w:ascii="David" w:hAnsi="David" w:hint="cs"/>
          <w:rtl/>
        </w:rPr>
        <w:t xml:space="preserve">מדובר בתת מקלע שפוטנציאל המסוכנות הנלמדת ממנו גבוה מזה של נשק קצר, אין מדובר בהחזקת נשק רגעית, אלא החזקה משותפת של הנאשמים לאורך מספר ימים, אשר אף הגיעו למקום בו הוסתר הנשק וניסו למוכרו. העסקה לא יצאה אל הפועל בשל חששו של הקונה מהמשטרה ולא בשל חרטתם של הנאשמים. </w:t>
      </w:r>
      <w:r w:rsidRPr="00200888">
        <w:rPr>
          <w:rFonts w:ascii="David" w:hAnsi="David"/>
          <w:rtl/>
        </w:rPr>
        <w:t>המטרה העומדת בבסיס פעולת</w:t>
      </w:r>
      <w:r>
        <w:rPr>
          <w:rFonts w:ascii="David" w:hAnsi="David" w:hint="cs"/>
          <w:rtl/>
        </w:rPr>
        <w:t>ם</w:t>
      </w:r>
      <w:r w:rsidRPr="00200888">
        <w:rPr>
          <w:rFonts w:ascii="David" w:hAnsi="David"/>
          <w:rtl/>
        </w:rPr>
        <w:t xml:space="preserve"> של הנאש</w:t>
      </w:r>
      <w:r>
        <w:rPr>
          <w:rFonts w:ascii="David" w:hAnsi="David" w:hint="cs"/>
          <w:rtl/>
        </w:rPr>
        <w:t>מי</w:t>
      </w:r>
      <w:r w:rsidRPr="00200888">
        <w:rPr>
          <w:rFonts w:ascii="David" w:hAnsi="David"/>
          <w:rtl/>
        </w:rPr>
        <w:t>ם ה</w:t>
      </w:r>
      <w:r>
        <w:rPr>
          <w:rFonts w:ascii="David" w:hAnsi="David" w:hint="cs"/>
          <w:rtl/>
        </w:rPr>
        <w:t>י</w:t>
      </w:r>
      <w:r w:rsidRPr="00200888">
        <w:rPr>
          <w:rFonts w:ascii="David" w:hAnsi="David"/>
          <w:rtl/>
        </w:rPr>
        <w:t xml:space="preserve">א בצע כסף. מאידך גיסא, </w:t>
      </w:r>
      <w:r>
        <w:rPr>
          <w:rFonts w:ascii="David" w:hAnsi="David" w:hint="cs"/>
          <w:rtl/>
        </w:rPr>
        <w:t xml:space="preserve">מדובר בנשק מאולתר ולא תיקני, </w:t>
      </w:r>
      <w:r w:rsidRPr="00200888">
        <w:rPr>
          <w:rFonts w:ascii="David" w:hAnsi="David"/>
          <w:rtl/>
        </w:rPr>
        <w:t>העסק</w:t>
      </w:r>
      <w:r>
        <w:rPr>
          <w:rFonts w:ascii="David" w:hAnsi="David" w:hint="cs"/>
          <w:rtl/>
        </w:rPr>
        <w:t>ה</w:t>
      </w:r>
      <w:r w:rsidRPr="00200888">
        <w:rPr>
          <w:rFonts w:ascii="David" w:hAnsi="David"/>
          <w:rtl/>
        </w:rPr>
        <w:t xml:space="preserve"> לא יצא אל הפועל, כך שפוטנציאל הנזק לא מומש, </w:t>
      </w:r>
      <w:r>
        <w:rPr>
          <w:rFonts w:ascii="David" w:hAnsi="David" w:hint="cs"/>
          <w:rtl/>
        </w:rPr>
        <w:t>המשטרה איתרה את הנשק</w:t>
      </w:r>
      <w:r w:rsidRPr="00200888">
        <w:rPr>
          <w:rFonts w:ascii="David" w:hAnsi="David"/>
          <w:rtl/>
        </w:rPr>
        <w:t xml:space="preserve">, </w:t>
      </w:r>
      <w:r>
        <w:rPr>
          <w:rFonts w:ascii="David" w:hAnsi="David" w:hint="cs"/>
          <w:rtl/>
        </w:rPr>
        <w:t>ו</w:t>
      </w:r>
      <w:r w:rsidRPr="00200888">
        <w:rPr>
          <w:rFonts w:ascii="David" w:hAnsi="David"/>
          <w:rtl/>
        </w:rPr>
        <w:t>הנאש</w:t>
      </w:r>
      <w:r>
        <w:rPr>
          <w:rFonts w:ascii="David" w:hAnsi="David" w:hint="cs"/>
          <w:rtl/>
        </w:rPr>
        <w:t>מי</w:t>
      </w:r>
      <w:r w:rsidRPr="00200888">
        <w:rPr>
          <w:rFonts w:ascii="David" w:hAnsi="David"/>
          <w:rtl/>
        </w:rPr>
        <w:t>ם לא קיבל</w:t>
      </w:r>
      <w:r>
        <w:rPr>
          <w:rFonts w:ascii="David" w:hAnsi="David" w:hint="cs"/>
          <w:rtl/>
        </w:rPr>
        <w:t>ו</w:t>
      </w:r>
      <w:r w:rsidRPr="00200888">
        <w:rPr>
          <w:rFonts w:ascii="David" w:hAnsi="David"/>
          <w:rtl/>
        </w:rPr>
        <w:t xml:space="preserve"> תמורה על מעשי</w:t>
      </w:r>
      <w:r>
        <w:rPr>
          <w:rFonts w:ascii="David" w:hAnsi="David" w:hint="cs"/>
          <w:rtl/>
        </w:rPr>
        <w:t>הם</w:t>
      </w:r>
      <w:r w:rsidRPr="00200888">
        <w:rPr>
          <w:rFonts w:ascii="David" w:hAnsi="David"/>
          <w:rtl/>
        </w:rPr>
        <w:t>.</w:t>
      </w:r>
    </w:p>
    <w:p w14:paraId="1A946A5A" w14:textId="77777777" w:rsidR="0002059B" w:rsidRPr="00200888" w:rsidRDefault="0002059B" w:rsidP="0002059B">
      <w:pPr>
        <w:pStyle w:val="a9"/>
        <w:spacing w:line="360" w:lineRule="auto"/>
        <w:ind w:left="425"/>
        <w:jc w:val="both"/>
        <w:rPr>
          <w:rFonts w:ascii="David" w:hAnsi="David"/>
          <w:sz w:val="12"/>
          <w:szCs w:val="12"/>
        </w:rPr>
      </w:pPr>
    </w:p>
    <w:p w14:paraId="4AC0BEAF" w14:textId="77777777" w:rsidR="0002059B" w:rsidRPr="00200888" w:rsidRDefault="0002059B" w:rsidP="0002059B">
      <w:pPr>
        <w:pStyle w:val="a9"/>
        <w:numPr>
          <w:ilvl w:val="0"/>
          <w:numId w:val="1"/>
        </w:numPr>
        <w:spacing w:line="360" w:lineRule="auto"/>
        <w:ind w:left="425" w:hanging="425"/>
        <w:jc w:val="both"/>
        <w:rPr>
          <w:rFonts w:ascii="David" w:hAnsi="David"/>
        </w:rPr>
      </w:pPr>
      <w:r w:rsidRPr="00200888">
        <w:rPr>
          <w:rFonts w:ascii="David" w:hAnsi="David"/>
          <w:rtl/>
        </w:rPr>
        <w:t xml:space="preserve">לאחר שבחנתי את הערך החברתי שנפגע כתוצאה מביצוע העבירה שלפניי, את נסיבות ביצוע העבירות ואת מדיניות הענישה הנהוגה, הגעתי לכלל מסקנה כי מתחם העונש ההולם את העבירות שלפניי, נע בין עונש של מאסר בפועל לתקופה של </w:t>
      </w:r>
      <w:r>
        <w:rPr>
          <w:rFonts w:ascii="David" w:hAnsi="David" w:hint="cs"/>
          <w:rtl/>
        </w:rPr>
        <w:t xml:space="preserve">16 </w:t>
      </w:r>
      <w:r w:rsidRPr="00200888">
        <w:rPr>
          <w:rFonts w:ascii="David" w:hAnsi="David"/>
          <w:rtl/>
        </w:rPr>
        <w:t xml:space="preserve">חודשי מאסר בפועל לבין עונש של </w:t>
      </w:r>
      <w:r>
        <w:rPr>
          <w:rFonts w:ascii="David" w:hAnsi="David" w:hint="cs"/>
          <w:rtl/>
        </w:rPr>
        <w:t>36</w:t>
      </w:r>
      <w:r w:rsidRPr="00200888">
        <w:rPr>
          <w:rFonts w:ascii="David" w:hAnsi="David"/>
          <w:rtl/>
        </w:rPr>
        <w:t xml:space="preserve"> חודשי מאסר בפועל, זאת לצד רכיבי ענישה נלווים. </w:t>
      </w:r>
    </w:p>
    <w:p w14:paraId="5F601E0F" w14:textId="77777777" w:rsidR="0002059B" w:rsidRPr="00200888" w:rsidRDefault="0002059B" w:rsidP="0002059B">
      <w:pPr>
        <w:spacing w:line="360" w:lineRule="auto"/>
        <w:jc w:val="both"/>
        <w:rPr>
          <w:rFonts w:ascii="David" w:hAnsi="David"/>
          <w:b/>
          <w:bCs/>
        </w:rPr>
      </w:pPr>
    </w:p>
    <w:p w14:paraId="056E012A" w14:textId="77777777" w:rsidR="0002059B" w:rsidRPr="00200888" w:rsidRDefault="0002059B" w:rsidP="0002059B">
      <w:pPr>
        <w:spacing w:line="360" w:lineRule="auto"/>
        <w:jc w:val="both"/>
        <w:rPr>
          <w:rFonts w:ascii="David" w:hAnsi="David"/>
          <w:b/>
          <w:bCs/>
          <w:u w:val="single"/>
        </w:rPr>
      </w:pPr>
      <w:r w:rsidRPr="00200888">
        <w:rPr>
          <w:rFonts w:ascii="David" w:hAnsi="David"/>
          <w:b/>
          <w:bCs/>
          <w:u w:val="single"/>
          <w:rtl/>
        </w:rPr>
        <w:t>העונש המתאים</w:t>
      </w:r>
    </w:p>
    <w:p w14:paraId="682F6852" w14:textId="77777777" w:rsidR="0002059B" w:rsidRDefault="0002059B" w:rsidP="0002059B">
      <w:pPr>
        <w:pStyle w:val="a9"/>
        <w:numPr>
          <w:ilvl w:val="0"/>
          <w:numId w:val="1"/>
        </w:numPr>
        <w:spacing w:line="360" w:lineRule="auto"/>
        <w:ind w:left="425" w:hanging="425"/>
        <w:jc w:val="both"/>
        <w:rPr>
          <w:rFonts w:ascii="David" w:hAnsi="David"/>
        </w:rPr>
      </w:pPr>
      <w:r w:rsidRPr="00200888">
        <w:rPr>
          <w:rFonts w:ascii="David" w:hAnsi="David"/>
          <w:rtl/>
        </w:rPr>
        <w:t>בתיק זה לא מצאתי לחרוג לחומרה ממתחם העונש ההולם מטעמי הגנה על הציבור, בהתחשב בעבר</w:t>
      </w:r>
      <w:r>
        <w:rPr>
          <w:rFonts w:ascii="David" w:hAnsi="David" w:hint="cs"/>
          <w:rtl/>
        </w:rPr>
        <w:t>ם הנקי של הנאשמים</w:t>
      </w:r>
      <w:r w:rsidRPr="00200888">
        <w:rPr>
          <w:rFonts w:ascii="David" w:hAnsi="David"/>
          <w:rtl/>
        </w:rPr>
        <w:t xml:space="preserve">. בנוסף, לא מצאתי לחרוג לקולה ממתחם העונש ההולם מטעמי שיקום וזאת </w:t>
      </w:r>
      <w:r>
        <w:rPr>
          <w:rFonts w:ascii="David" w:hAnsi="David"/>
          <w:rtl/>
        </w:rPr>
        <w:t>נוכח העובדה, כי אין אופק שיקומי</w:t>
      </w:r>
      <w:r>
        <w:rPr>
          <w:rFonts w:ascii="David" w:hAnsi="David" w:hint="cs"/>
          <w:rtl/>
        </w:rPr>
        <w:t>-</w:t>
      </w:r>
      <w:r w:rsidRPr="00200888">
        <w:rPr>
          <w:rFonts w:ascii="David" w:hAnsi="David"/>
          <w:rtl/>
        </w:rPr>
        <w:t>טיפולי שהוצג לפניי במסגרת הליך זה</w:t>
      </w:r>
      <w:r>
        <w:rPr>
          <w:rFonts w:ascii="David" w:hAnsi="David" w:hint="cs"/>
          <w:rtl/>
        </w:rPr>
        <w:t>, וגילם הצעיר וחוסר בשלות אין די בהם על מנת לקבוע מתחם עונש הולם נמוך יותר מזה שנקבע, כפי שעתר בא כוחם ואין בו גם להצדיק חריגה ממתחם העונש ההולם מטעמי צדק או שיקום</w:t>
      </w:r>
      <w:r w:rsidRPr="00200888">
        <w:rPr>
          <w:rFonts w:ascii="David" w:hAnsi="David"/>
          <w:rtl/>
        </w:rPr>
        <w:t xml:space="preserve">. </w:t>
      </w:r>
    </w:p>
    <w:p w14:paraId="7DC1F73D" w14:textId="77777777" w:rsidR="0002059B" w:rsidRPr="00200888" w:rsidRDefault="0002059B" w:rsidP="0002059B">
      <w:pPr>
        <w:shd w:val="clear" w:color="auto" w:fill="FFFFFF"/>
        <w:spacing w:line="360" w:lineRule="auto"/>
        <w:ind w:left="697"/>
        <w:jc w:val="both"/>
        <w:rPr>
          <w:rFonts w:ascii="David" w:hAnsi="David"/>
          <w:sz w:val="12"/>
          <w:szCs w:val="12"/>
        </w:rPr>
      </w:pPr>
    </w:p>
    <w:p w14:paraId="1536DD1E" w14:textId="77777777" w:rsidR="0002059B" w:rsidRPr="007541C2" w:rsidRDefault="0002059B" w:rsidP="0002059B">
      <w:pPr>
        <w:pStyle w:val="a9"/>
        <w:numPr>
          <w:ilvl w:val="0"/>
          <w:numId w:val="1"/>
        </w:numPr>
        <w:shd w:val="clear" w:color="auto" w:fill="FFFFFF"/>
        <w:spacing w:line="360" w:lineRule="auto"/>
        <w:ind w:left="360" w:hanging="425"/>
        <w:jc w:val="both"/>
        <w:rPr>
          <w:rFonts w:ascii="David" w:hAnsi="David"/>
          <w:sz w:val="12"/>
          <w:szCs w:val="12"/>
        </w:rPr>
      </w:pPr>
      <w:r w:rsidRPr="00200888">
        <w:rPr>
          <w:rFonts w:ascii="David" w:hAnsi="David"/>
          <w:rtl/>
        </w:rPr>
        <w:t>בגזירת העונש המתאים לנאש</w:t>
      </w:r>
      <w:r>
        <w:rPr>
          <w:rFonts w:ascii="David" w:hAnsi="David" w:hint="cs"/>
          <w:rtl/>
        </w:rPr>
        <w:t>מי</w:t>
      </w:r>
      <w:r w:rsidRPr="00200888">
        <w:rPr>
          <w:rFonts w:ascii="David" w:hAnsi="David"/>
          <w:rtl/>
        </w:rPr>
        <w:t>ם, בגדרי מתחם העונש ההולם, יש להתחשב בנסיבות שאינן קשורות בביצוע העבירה (</w:t>
      </w:r>
      <w:hyperlink r:id="rId34" w:history="1">
        <w:r w:rsidR="00E30D30" w:rsidRPr="00E30D30">
          <w:rPr>
            <w:rStyle w:val="Hyperlink"/>
            <w:rFonts w:ascii="David" w:hAnsi="David"/>
            <w:rtl/>
          </w:rPr>
          <w:t>סעיף 40 יא</w:t>
        </w:r>
      </w:hyperlink>
      <w:r w:rsidRPr="00867A1F">
        <w:rPr>
          <w:rFonts w:ascii="David" w:hAnsi="David"/>
          <w:color w:val="000000"/>
          <w:rtl/>
        </w:rPr>
        <w:t>'</w:t>
      </w:r>
      <w:r w:rsidRPr="00200888">
        <w:rPr>
          <w:rFonts w:ascii="David" w:hAnsi="David"/>
          <w:rtl/>
        </w:rPr>
        <w:t>). במסגרת זו מן הר</w:t>
      </w:r>
      <w:r w:rsidRPr="007541C2">
        <w:rPr>
          <w:rFonts w:ascii="David" w:hAnsi="David"/>
          <w:rtl/>
        </w:rPr>
        <w:t xml:space="preserve">אוי לתת את הדעת לנסיבות שלהלן: </w:t>
      </w:r>
      <w:r w:rsidRPr="00200888">
        <w:rPr>
          <w:rFonts w:ascii="David" w:hAnsi="David"/>
          <w:rtl/>
        </w:rPr>
        <w:t xml:space="preserve">נאשם </w:t>
      </w:r>
      <w:r w:rsidRPr="007541C2">
        <w:rPr>
          <w:rFonts w:ascii="David" w:hAnsi="David" w:hint="cs"/>
          <w:rtl/>
        </w:rPr>
        <w:t xml:space="preserve">1 </w:t>
      </w:r>
      <w:r w:rsidRPr="00200888">
        <w:rPr>
          <w:rFonts w:ascii="David" w:hAnsi="David"/>
          <w:rtl/>
        </w:rPr>
        <w:t xml:space="preserve">רווק, </w:t>
      </w:r>
      <w:r w:rsidRPr="007541C2">
        <w:rPr>
          <w:rFonts w:ascii="David" w:hAnsi="David" w:hint="cs"/>
          <w:rtl/>
        </w:rPr>
        <w:t>בן 19 נעדר עבר פלילי</w:t>
      </w:r>
      <w:r>
        <w:rPr>
          <w:rFonts w:ascii="David" w:hAnsi="David" w:hint="cs"/>
          <w:rtl/>
        </w:rPr>
        <w:t xml:space="preserve"> בן למשפחה נורמטיבית המגנה את מעשיו</w:t>
      </w:r>
      <w:r w:rsidRPr="00200888">
        <w:rPr>
          <w:rFonts w:ascii="David" w:hAnsi="David"/>
          <w:rtl/>
        </w:rPr>
        <w:t xml:space="preserve">. </w:t>
      </w:r>
      <w:r>
        <w:rPr>
          <w:rFonts w:ascii="David" w:hAnsi="David" w:hint="cs"/>
          <w:rtl/>
        </w:rPr>
        <w:t xml:space="preserve">נאשם 1 </w:t>
      </w:r>
      <w:r w:rsidRPr="00200888">
        <w:rPr>
          <w:rFonts w:ascii="David" w:hAnsi="David"/>
          <w:rtl/>
        </w:rPr>
        <w:t xml:space="preserve">השלים 12 שנות לימוד, </w:t>
      </w:r>
      <w:r>
        <w:rPr>
          <w:rFonts w:ascii="David" w:hAnsi="David" w:hint="cs"/>
          <w:rtl/>
        </w:rPr>
        <w:t xml:space="preserve">וניהל אורח </w:t>
      </w:r>
      <w:r w:rsidRPr="007541C2">
        <w:rPr>
          <w:rFonts w:ascii="David" w:hAnsi="David" w:hint="cs"/>
          <w:rtl/>
        </w:rPr>
        <w:t>ח</w:t>
      </w:r>
      <w:r>
        <w:rPr>
          <w:rFonts w:ascii="David" w:hAnsi="David" w:hint="cs"/>
          <w:rtl/>
        </w:rPr>
        <w:t>יים נורמטיבי טרם מעצרו</w:t>
      </w:r>
      <w:r w:rsidRPr="00200888">
        <w:rPr>
          <w:rFonts w:ascii="David" w:hAnsi="David"/>
          <w:sz w:val="12"/>
          <w:szCs w:val="12"/>
        </w:rPr>
        <w:t xml:space="preserve"> </w:t>
      </w:r>
      <w:r>
        <w:rPr>
          <w:rFonts w:ascii="David" w:hAnsi="David" w:hint="cs"/>
          <w:sz w:val="12"/>
          <w:szCs w:val="12"/>
          <w:rtl/>
        </w:rPr>
        <w:t xml:space="preserve">. </w:t>
      </w:r>
      <w:r w:rsidRPr="00200888">
        <w:rPr>
          <w:rFonts w:ascii="David" w:hAnsi="David"/>
          <w:sz w:val="12"/>
          <w:szCs w:val="12"/>
          <w:rtl/>
        </w:rPr>
        <w:t xml:space="preserve"> </w:t>
      </w:r>
      <w:r w:rsidRPr="00200888">
        <w:rPr>
          <w:rFonts w:ascii="David" w:hAnsi="David"/>
          <w:rtl/>
        </w:rPr>
        <w:t xml:space="preserve">נאשם </w:t>
      </w:r>
      <w:r>
        <w:rPr>
          <w:rFonts w:ascii="David" w:hAnsi="David" w:hint="cs"/>
          <w:rtl/>
        </w:rPr>
        <w:t xml:space="preserve">1 </w:t>
      </w:r>
      <w:r>
        <w:rPr>
          <w:rFonts w:ascii="David" w:hAnsi="David"/>
          <w:rtl/>
        </w:rPr>
        <w:t>שוהה ב</w:t>
      </w:r>
      <w:r w:rsidRPr="00200888">
        <w:rPr>
          <w:rFonts w:ascii="David" w:hAnsi="David"/>
          <w:rtl/>
        </w:rPr>
        <w:t xml:space="preserve">מעצר מזה </w:t>
      </w:r>
      <w:r w:rsidRPr="007541C2">
        <w:rPr>
          <w:rFonts w:ascii="David" w:hAnsi="David" w:hint="cs"/>
          <w:rtl/>
        </w:rPr>
        <w:t>ארבעה חודשים</w:t>
      </w:r>
      <w:r w:rsidRPr="00200888">
        <w:rPr>
          <w:rFonts w:ascii="David" w:hAnsi="David"/>
          <w:rtl/>
        </w:rPr>
        <w:t xml:space="preserve"> וידוע כי תנאי מעצר קשים מתנאי מאסר</w:t>
      </w:r>
      <w:r w:rsidRPr="007541C2">
        <w:rPr>
          <w:rFonts w:ascii="David" w:hAnsi="David" w:hint="cs"/>
          <w:rtl/>
        </w:rPr>
        <w:t>, במיוחד תנאים אלה קשיים נוכח הגבלות החלות בשל מגפת הקורונה</w:t>
      </w:r>
      <w:r w:rsidRPr="00200888">
        <w:rPr>
          <w:rFonts w:ascii="David" w:hAnsi="David"/>
          <w:rtl/>
        </w:rPr>
        <w:t xml:space="preserve">. </w:t>
      </w:r>
      <w:r>
        <w:rPr>
          <w:rFonts w:ascii="David" w:hAnsi="David" w:hint="cs"/>
          <w:rtl/>
        </w:rPr>
        <w:t>בנוסף, נאשם 1 התקשה להסתגל לתנאי המעצר ושירות המבחן התרשם, כי המעצר וההליך הפלילי גרמו להרתעתו</w:t>
      </w:r>
      <w:r w:rsidRPr="00F37F9E">
        <w:rPr>
          <w:rFonts w:ascii="David" w:hAnsi="David" w:hint="cs"/>
          <w:rtl/>
        </w:rPr>
        <w:t xml:space="preserve"> </w:t>
      </w:r>
      <w:r>
        <w:rPr>
          <w:rFonts w:ascii="David" w:hAnsi="David" w:hint="cs"/>
          <w:rtl/>
        </w:rPr>
        <w:t>וכן התרשם מכך שהוא נעדר דפוסי חשיבה עבריינים מושרשים. אימו חולה במחלה קשה, ובשל כך סייע לה נאשם 1 בעבודות הבית וכן סייע בפרנסת המשפחה.</w:t>
      </w:r>
      <w:r w:rsidRPr="005028B9">
        <w:rPr>
          <w:rFonts w:ascii="David" w:hAnsi="David"/>
          <w:rtl/>
        </w:rPr>
        <w:t xml:space="preserve"> </w:t>
      </w:r>
      <w:r>
        <w:rPr>
          <w:rFonts w:ascii="David" w:hAnsi="David"/>
          <w:rtl/>
        </w:rPr>
        <w:t>עוד התחשבתי בכך ש</w:t>
      </w:r>
      <w:r w:rsidRPr="007541C2">
        <w:rPr>
          <w:rFonts w:ascii="David" w:hAnsi="David"/>
          <w:rtl/>
        </w:rPr>
        <w:t xml:space="preserve">נאשם </w:t>
      </w:r>
      <w:r>
        <w:rPr>
          <w:rFonts w:ascii="David" w:hAnsi="David" w:hint="cs"/>
          <w:rtl/>
        </w:rPr>
        <w:t xml:space="preserve">1 </w:t>
      </w:r>
      <w:r w:rsidRPr="007541C2">
        <w:rPr>
          <w:rFonts w:ascii="David" w:hAnsi="David"/>
          <w:rtl/>
        </w:rPr>
        <w:t>הודה בביצו</w:t>
      </w:r>
      <w:r>
        <w:rPr>
          <w:rFonts w:ascii="David" w:hAnsi="David"/>
          <w:rtl/>
        </w:rPr>
        <w:t>ע העבירות, חסך בזמן שיפוטי יקר</w:t>
      </w:r>
      <w:r w:rsidRPr="007541C2">
        <w:rPr>
          <w:rFonts w:ascii="David" w:hAnsi="David"/>
          <w:rtl/>
        </w:rPr>
        <w:t>, והביע לפניי חרטה וצער על מעשיו ואת שאיפתו לנ</w:t>
      </w:r>
      <w:r>
        <w:rPr>
          <w:rFonts w:ascii="David" w:hAnsi="David"/>
          <w:rtl/>
        </w:rPr>
        <w:t>הל אורח חיים נורמטיבי עם שחרורו</w:t>
      </w:r>
      <w:r>
        <w:rPr>
          <w:rFonts w:ascii="David" w:hAnsi="David" w:hint="cs"/>
          <w:rtl/>
        </w:rPr>
        <w:t xml:space="preserve">. </w:t>
      </w:r>
    </w:p>
    <w:p w14:paraId="74CD8869" w14:textId="77777777" w:rsidR="0002059B" w:rsidRDefault="0002059B" w:rsidP="0002059B">
      <w:pPr>
        <w:pStyle w:val="a9"/>
        <w:shd w:val="clear" w:color="auto" w:fill="FFFFFF"/>
        <w:spacing w:line="360" w:lineRule="auto"/>
        <w:ind w:left="360"/>
        <w:jc w:val="both"/>
        <w:rPr>
          <w:rFonts w:ascii="David" w:hAnsi="David"/>
          <w:sz w:val="12"/>
          <w:szCs w:val="12"/>
        </w:rPr>
      </w:pPr>
    </w:p>
    <w:p w14:paraId="0BF70D0C" w14:textId="77777777" w:rsidR="0002059B" w:rsidRPr="007541C2" w:rsidRDefault="0002059B" w:rsidP="0002059B">
      <w:pPr>
        <w:pStyle w:val="a9"/>
        <w:numPr>
          <w:ilvl w:val="0"/>
          <w:numId w:val="1"/>
        </w:numPr>
        <w:shd w:val="clear" w:color="auto" w:fill="FFFFFF"/>
        <w:spacing w:line="360" w:lineRule="auto"/>
        <w:ind w:left="360" w:hanging="425"/>
        <w:jc w:val="both"/>
        <w:rPr>
          <w:rFonts w:ascii="David" w:hAnsi="David"/>
          <w:sz w:val="12"/>
          <w:szCs w:val="12"/>
        </w:rPr>
      </w:pPr>
      <w:r w:rsidRPr="00200888">
        <w:rPr>
          <w:rFonts w:ascii="David" w:hAnsi="David"/>
          <w:rtl/>
        </w:rPr>
        <w:t xml:space="preserve">נאשם </w:t>
      </w:r>
      <w:r>
        <w:rPr>
          <w:rFonts w:ascii="David" w:hAnsi="David" w:hint="cs"/>
          <w:rtl/>
        </w:rPr>
        <w:t>2</w:t>
      </w:r>
      <w:r w:rsidRPr="007541C2">
        <w:rPr>
          <w:rFonts w:ascii="David" w:hAnsi="David" w:hint="cs"/>
          <w:rtl/>
        </w:rPr>
        <w:t xml:space="preserve"> </w:t>
      </w:r>
      <w:r>
        <w:rPr>
          <w:rFonts w:ascii="David" w:hAnsi="David" w:hint="cs"/>
          <w:rtl/>
        </w:rPr>
        <w:t>מאורס</w:t>
      </w:r>
      <w:r w:rsidRPr="00200888">
        <w:rPr>
          <w:rFonts w:ascii="David" w:hAnsi="David"/>
          <w:rtl/>
        </w:rPr>
        <w:t xml:space="preserve">, </w:t>
      </w:r>
      <w:r>
        <w:rPr>
          <w:rFonts w:ascii="David" w:hAnsi="David" w:hint="cs"/>
          <w:rtl/>
        </w:rPr>
        <w:t xml:space="preserve">בן 20 </w:t>
      </w:r>
      <w:r w:rsidRPr="007541C2">
        <w:rPr>
          <w:rFonts w:ascii="David" w:hAnsi="David" w:hint="cs"/>
          <w:rtl/>
        </w:rPr>
        <w:t>נעדר עבר פלילי</w:t>
      </w:r>
      <w:r w:rsidRPr="00200888">
        <w:rPr>
          <w:rFonts w:ascii="David" w:hAnsi="David"/>
          <w:rtl/>
        </w:rPr>
        <w:t xml:space="preserve">. השלים </w:t>
      </w:r>
      <w:r>
        <w:rPr>
          <w:rFonts w:ascii="David" w:hAnsi="David" w:hint="cs"/>
          <w:rtl/>
        </w:rPr>
        <w:t>9</w:t>
      </w:r>
      <w:r w:rsidRPr="00200888">
        <w:rPr>
          <w:rFonts w:ascii="David" w:hAnsi="David"/>
          <w:rtl/>
        </w:rPr>
        <w:t xml:space="preserve"> שנות לימוד, </w:t>
      </w:r>
      <w:r>
        <w:rPr>
          <w:rFonts w:ascii="David" w:hAnsi="David" w:hint="cs"/>
          <w:rtl/>
        </w:rPr>
        <w:t xml:space="preserve">ניהל אורח </w:t>
      </w:r>
      <w:r w:rsidRPr="007541C2">
        <w:rPr>
          <w:rFonts w:ascii="David" w:hAnsi="David" w:hint="cs"/>
          <w:rtl/>
        </w:rPr>
        <w:t>ח</w:t>
      </w:r>
      <w:r>
        <w:rPr>
          <w:rFonts w:ascii="David" w:hAnsi="David" w:hint="cs"/>
          <w:rtl/>
        </w:rPr>
        <w:t>יים נורמטיבי טרם מעצרו</w:t>
      </w:r>
      <w:r w:rsidRPr="00200888">
        <w:rPr>
          <w:rFonts w:ascii="David" w:hAnsi="David"/>
          <w:sz w:val="12"/>
          <w:szCs w:val="12"/>
        </w:rPr>
        <w:t xml:space="preserve"> </w:t>
      </w:r>
      <w:r>
        <w:rPr>
          <w:rFonts w:ascii="David" w:hAnsi="David" w:hint="cs"/>
          <w:sz w:val="12"/>
          <w:szCs w:val="12"/>
          <w:rtl/>
        </w:rPr>
        <w:t xml:space="preserve">. </w:t>
      </w:r>
      <w:r w:rsidRPr="00200888">
        <w:rPr>
          <w:rFonts w:ascii="David" w:hAnsi="David"/>
          <w:sz w:val="12"/>
          <w:szCs w:val="12"/>
          <w:rtl/>
        </w:rPr>
        <w:t xml:space="preserve"> </w:t>
      </w:r>
      <w:r w:rsidRPr="00200888">
        <w:rPr>
          <w:rFonts w:ascii="David" w:hAnsi="David"/>
          <w:rtl/>
        </w:rPr>
        <w:t xml:space="preserve">נאשם </w:t>
      </w:r>
      <w:r>
        <w:rPr>
          <w:rFonts w:ascii="David" w:hAnsi="David" w:hint="cs"/>
          <w:rtl/>
        </w:rPr>
        <w:t xml:space="preserve">2 </w:t>
      </w:r>
      <w:r>
        <w:rPr>
          <w:rFonts w:ascii="David" w:hAnsi="David"/>
          <w:rtl/>
        </w:rPr>
        <w:t>שוהה ב</w:t>
      </w:r>
      <w:r w:rsidRPr="00200888">
        <w:rPr>
          <w:rFonts w:ascii="David" w:hAnsi="David"/>
          <w:rtl/>
        </w:rPr>
        <w:t xml:space="preserve">מעצר מזה </w:t>
      </w:r>
      <w:r w:rsidRPr="007541C2">
        <w:rPr>
          <w:rFonts w:ascii="David" w:hAnsi="David" w:hint="cs"/>
          <w:rtl/>
        </w:rPr>
        <w:t>ארבעה חודשים</w:t>
      </w:r>
      <w:r w:rsidRPr="00200888">
        <w:rPr>
          <w:rFonts w:ascii="David" w:hAnsi="David"/>
          <w:rtl/>
        </w:rPr>
        <w:t xml:space="preserve"> וידוע כי תנאי מעצר קשים מתנאי מאסר</w:t>
      </w:r>
      <w:r w:rsidRPr="007541C2">
        <w:rPr>
          <w:rFonts w:ascii="David" w:hAnsi="David" w:hint="cs"/>
          <w:rtl/>
        </w:rPr>
        <w:t>, במיוחד תנאים אלה קשיים נוכח הגבלות החלות בשל מגפת הקורונה</w:t>
      </w:r>
      <w:r w:rsidRPr="00200888">
        <w:rPr>
          <w:rFonts w:ascii="David" w:hAnsi="David"/>
          <w:rtl/>
        </w:rPr>
        <w:t xml:space="preserve">. </w:t>
      </w:r>
      <w:r>
        <w:rPr>
          <w:rFonts w:ascii="David" w:hAnsi="David" w:hint="cs"/>
          <w:rtl/>
        </w:rPr>
        <w:t>נאשם 2 הסתגל לתנאי מעצרו ואף החל להשתלב בקבוצה ראשונית בתחום ההתמודדות עם המעצר. אימו חולה, ונאשם 2 סייע בפרנסת המשפחה טרם מעצרו ומעסיקו העיד לפניי על תרומתו בעבודה ועל כך שהוא מוכן לקבלו לעבודה עם שחרורו מהמאסר.</w:t>
      </w:r>
      <w:r w:rsidRPr="00F37F9E">
        <w:rPr>
          <w:rFonts w:ascii="David" w:hAnsi="David"/>
          <w:rtl/>
        </w:rPr>
        <w:t xml:space="preserve"> </w:t>
      </w:r>
      <w:r>
        <w:rPr>
          <w:rFonts w:ascii="David" w:hAnsi="David"/>
          <w:rtl/>
        </w:rPr>
        <w:t>עוד התחשבתי בכך ש</w:t>
      </w:r>
      <w:r w:rsidRPr="007541C2">
        <w:rPr>
          <w:rFonts w:ascii="David" w:hAnsi="David"/>
          <w:rtl/>
        </w:rPr>
        <w:t xml:space="preserve">נאשם </w:t>
      </w:r>
      <w:r>
        <w:rPr>
          <w:rFonts w:ascii="David" w:hAnsi="David" w:hint="cs"/>
          <w:rtl/>
        </w:rPr>
        <w:t>2 ה</w:t>
      </w:r>
      <w:r w:rsidRPr="007541C2">
        <w:rPr>
          <w:rFonts w:ascii="David" w:hAnsi="David"/>
          <w:rtl/>
        </w:rPr>
        <w:t>ודה בביצו</w:t>
      </w:r>
      <w:r>
        <w:rPr>
          <w:rFonts w:ascii="David" w:hAnsi="David"/>
          <w:rtl/>
        </w:rPr>
        <w:t>ע העבירות, חסך בזמן שיפוטי יקר</w:t>
      </w:r>
      <w:r w:rsidRPr="007541C2">
        <w:rPr>
          <w:rFonts w:ascii="David" w:hAnsi="David"/>
          <w:rtl/>
        </w:rPr>
        <w:t>, והביע לפניי חרטה וצער על מעשיו ו</w:t>
      </w:r>
      <w:r>
        <w:rPr>
          <w:rFonts w:ascii="David" w:hAnsi="David" w:hint="cs"/>
          <w:rtl/>
        </w:rPr>
        <w:t>ציין כי בית המאסר אינו מתאים לו.</w:t>
      </w:r>
      <w:r w:rsidRPr="00F37F9E">
        <w:rPr>
          <w:rtl/>
        </w:rPr>
        <w:t xml:space="preserve"> </w:t>
      </w:r>
      <w:r>
        <w:rPr>
          <w:rFonts w:hint="cs"/>
          <w:rtl/>
        </w:rPr>
        <w:t xml:space="preserve">בנוסף, </w:t>
      </w:r>
      <w:r>
        <w:rPr>
          <w:rtl/>
        </w:rPr>
        <w:t>שירות המבחן התרשם מהיעדר דפוסי חשיבה עברייניים מושרשים.</w:t>
      </w:r>
      <w:r>
        <w:rPr>
          <w:rFonts w:hint="cs"/>
          <w:rtl/>
        </w:rPr>
        <w:t xml:space="preserve"> אך לצד זאת התרשם ש</w:t>
      </w:r>
      <w:r>
        <w:rPr>
          <w:rtl/>
        </w:rPr>
        <w:t xml:space="preserve">הוא משליך אחריות להתנהלותו על גורמים חיצוניים, אימפולסיבי ובודק גבולות. </w:t>
      </w:r>
      <w:r>
        <w:rPr>
          <w:rFonts w:ascii="David" w:hAnsi="David" w:hint="cs"/>
          <w:rtl/>
        </w:rPr>
        <w:t xml:space="preserve"> </w:t>
      </w:r>
    </w:p>
    <w:p w14:paraId="1FBC443A" w14:textId="77777777" w:rsidR="0002059B" w:rsidRPr="00200888" w:rsidRDefault="0002059B" w:rsidP="0002059B">
      <w:pPr>
        <w:shd w:val="clear" w:color="auto" w:fill="FFFFFF"/>
        <w:spacing w:line="360" w:lineRule="auto"/>
        <w:ind w:left="360"/>
        <w:jc w:val="both"/>
        <w:rPr>
          <w:rFonts w:ascii="David" w:hAnsi="David"/>
          <w:sz w:val="12"/>
          <w:szCs w:val="12"/>
        </w:rPr>
      </w:pPr>
    </w:p>
    <w:p w14:paraId="149227C2" w14:textId="77777777" w:rsidR="0002059B" w:rsidRPr="00200888" w:rsidRDefault="0002059B" w:rsidP="0002059B">
      <w:pPr>
        <w:pStyle w:val="a9"/>
        <w:numPr>
          <w:ilvl w:val="0"/>
          <w:numId w:val="1"/>
        </w:numPr>
        <w:shd w:val="clear" w:color="auto" w:fill="FFFFFF"/>
        <w:spacing w:line="360" w:lineRule="auto"/>
        <w:ind w:left="360" w:hanging="425"/>
        <w:jc w:val="both"/>
        <w:rPr>
          <w:rFonts w:ascii="Calibri" w:hAnsi="Calibri"/>
          <w:bCs/>
          <w:u w:val="single"/>
          <w:lang w:eastAsia="he-IL"/>
        </w:rPr>
      </w:pPr>
      <w:r w:rsidRPr="00200888">
        <w:rPr>
          <w:rFonts w:ascii="Calibri" w:hAnsi="Calibri" w:hint="eastAsia"/>
          <w:rtl/>
        </w:rPr>
        <w:t>עוד</w:t>
      </w:r>
      <w:r w:rsidRPr="00200888">
        <w:rPr>
          <w:rFonts w:ascii="Calibri" w:hAnsi="Calibri"/>
          <w:rtl/>
        </w:rPr>
        <w:t xml:space="preserve"> </w:t>
      </w:r>
      <w:r w:rsidRPr="00200888">
        <w:rPr>
          <w:rFonts w:ascii="Calibri" w:hAnsi="Calibri" w:hint="eastAsia"/>
          <w:rtl/>
        </w:rPr>
        <w:t>יש</w:t>
      </w:r>
      <w:r w:rsidRPr="00200888">
        <w:rPr>
          <w:rFonts w:ascii="Calibri" w:hAnsi="Calibri"/>
          <w:rtl/>
        </w:rPr>
        <w:t xml:space="preserve"> </w:t>
      </w:r>
      <w:r w:rsidRPr="00200888">
        <w:rPr>
          <w:rFonts w:ascii="Calibri" w:hAnsi="Calibri" w:hint="eastAsia"/>
          <w:rtl/>
        </w:rPr>
        <w:t>לתת</w:t>
      </w:r>
      <w:r w:rsidRPr="00200888">
        <w:rPr>
          <w:rFonts w:ascii="Calibri" w:hAnsi="Calibri"/>
          <w:rtl/>
        </w:rPr>
        <w:t xml:space="preserve"> </w:t>
      </w:r>
      <w:r w:rsidRPr="00200888">
        <w:rPr>
          <w:rFonts w:ascii="Calibri" w:hAnsi="Calibri" w:hint="eastAsia"/>
          <w:rtl/>
        </w:rPr>
        <w:t>דגש</w:t>
      </w:r>
      <w:r w:rsidRPr="00200888">
        <w:rPr>
          <w:rFonts w:ascii="Calibri" w:hAnsi="Calibri"/>
          <w:rtl/>
        </w:rPr>
        <w:t xml:space="preserve"> </w:t>
      </w:r>
      <w:r w:rsidRPr="00200888">
        <w:rPr>
          <w:rFonts w:ascii="Calibri" w:hAnsi="Calibri" w:hint="eastAsia"/>
          <w:rtl/>
        </w:rPr>
        <w:t>לצורך</w:t>
      </w:r>
      <w:r w:rsidRPr="00200888">
        <w:rPr>
          <w:rFonts w:ascii="Calibri" w:hAnsi="Calibri"/>
          <w:rtl/>
        </w:rPr>
        <w:t xml:space="preserve"> </w:t>
      </w:r>
      <w:r w:rsidRPr="00200888">
        <w:rPr>
          <w:rFonts w:ascii="Calibri" w:hAnsi="Calibri" w:hint="eastAsia"/>
          <w:rtl/>
        </w:rPr>
        <w:t>בהרתעת</w:t>
      </w:r>
      <w:r w:rsidRPr="00200888">
        <w:rPr>
          <w:rFonts w:ascii="Calibri" w:hAnsi="Calibri"/>
          <w:rtl/>
        </w:rPr>
        <w:t xml:space="preserve"> </w:t>
      </w:r>
      <w:r w:rsidRPr="00200888">
        <w:rPr>
          <w:rFonts w:ascii="Calibri" w:hAnsi="Calibri" w:hint="eastAsia"/>
          <w:rtl/>
        </w:rPr>
        <w:t>הרבים</w:t>
      </w:r>
      <w:r w:rsidRPr="00200888">
        <w:rPr>
          <w:rFonts w:ascii="Calibri" w:hAnsi="Calibri"/>
          <w:rtl/>
        </w:rPr>
        <w:t xml:space="preserve"> </w:t>
      </w:r>
      <w:r w:rsidRPr="00200888">
        <w:rPr>
          <w:rFonts w:ascii="Calibri" w:hAnsi="Calibri" w:hint="eastAsia"/>
          <w:rtl/>
        </w:rPr>
        <w:t>ובהרתעת</w:t>
      </w:r>
      <w:r w:rsidRPr="00200888">
        <w:rPr>
          <w:rFonts w:ascii="Calibri" w:hAnsi="Calibri"/>
          <w:rtl/>
        </w:rPr>
        <w:t xml:space="preserve"> </w:t>
      </w:r>
      <w:r w:rsidRPr="00200888">
        <w:rPr>
          <w:rFonts w:ascii="Calibri" w:hAnsi="Calibri" w:hint="eastAsia"/>
          <w:rtl/>
        </w:rPr>
        <w:t>היחיד</w:t>
      </w:r>
      <w:r w:rsidRPr="00200888">
        <w:rPr>
          <w:rFonts w:ascii="Calibri" w:hAnsi="Calibri"/>
          <w:rtl/>
        </w:rPr>
        <w:t xml:space="preserve">, </w:t>
      </w:r>
      <w:r w:rsidRPr="00200888">
        <w:rPr>
          <w:rFonts w:ascii="Calibri" w:hAnsi="Calibri" w:hint="eastAsia"/>
          <w:rtl/>
        </w:rPr>
        <w:t>כאמור</w:t>
      </w:r>
      <w:r w:rsidRPr="00200888">
        <w:rPr>
          <w:rFonts w:ascii="Calibri" w:hAnsi="Calibri"/>
          <w:rtl/>
        </w:rPr>
        <w:t xml:space="preserve">. </w:t>
      </w:r>
      <w:r w:rsidRPr="00200888">
        <w:rPr>
          <w:rtl/>
          <w:lang w:eastAsia="he-IL"/>
        </w:rPr>
        <w:t>בית המשפט העליון</w:t>
      </w:r>
      <w:r>
        <w:rPr>
          <w:rFonts w:hint="cs"/>
          <w:rtl/>
          <w:lang w:eastAsia="he-IL"/>
        </w:rPr>
        <w:t>, מפי כב' השופט א' רובינשטיין,</w:t>
      </w:r>
      <w:r w:rsidRPr="00200888">
        <w:rPr>
          <w:rtl/>
          <w:lang w:eastAsia="he-IL"/>
        </w:rPr>
        <w:t xml:space="preserve"> חזר על גישתו המחמירה בעבירות נשק במסגרת</w:t>
      </w:r>
      <w:r w:rsidRPr="00733356">
        <w:rPr>
          <w:rFonts w:hint="cs"/>
          <w:rtl/>
          <w:lang w:eastAsia="he-IL"/>
        </w:rPr>
        <w:t xml:space="preserve"> </w:t>
      </w:r>
      <w:hyperlink r:id="rId35" w:history="1">
        <w:r w:rsidR="00867A1F" w:rsidRPr="00867A1F">
          <w:rPr>
            <w:color w:val="0000FF"/>
            <w:u w:val="single"/>
            <w:rtl/>
            <w:lang w:eastAsia="he-IL"/>
          </w:rPr>
          <w:t>ע"פ 5681/14</w:t>
        </w:r>
      </w:hyperlink>
      <w:r w:rsidRPr="00733356">
        <w:rPr>
          <w:rFonts w:hint="cs"/>
          <w:rtl/>
        </w:rPr>
        <w:t xml:space="preserve"> </w:t>
      </w:r>
      <w:r w:rsidRPr="00733356">
        <w:rPr>
          <w:b/>
          <w:bCs/>
          <w:rtl/>
          <w:lang w:eastAsia="he-IL"/>
        </w:rPr>
        <w:t>מדינת ישראל נ' טאטור</w:t>
      </w:r>
      <w:r w:rsidRPr="00733356">
        <w:rPr>
          <w:rtl/>
          <w:lang w:eastAsia="he-IL"/>
        </w:rPr>
        <w:t xml:space="preserve">(1.2.15) </w:t>
      </w:r>
      <w:r w:rsidRPr="00200888">
        <w:rPr>
          <w:rtl/>
          <w:lang w:eastAsia="he-IL"/>
        </w:rPr>
        <w:t xml:space="preserve"> בקבעו, כי:</w:t>
      </w:r>
    </w:p>
    <w:p w14:paraId="460C0A47" w14:textId="77777777" w:rsidR="0002059B" w:rsidRPr="00200888" w:rsidRDefault="0002059B" w:rsidP="0002059B">
      <w:pPr>
        <w:spacing w:before="120" w:after="120" w:line="360" w:lineRule="auto"/>
        <w:ind w:left="1701" w:right="1560"/>
        <w:contextualSpacing/>
        <w:jc w:val="both"/>
        <w:rPr>
          <w:b/>
          <w:bCs/>
          <w:lang w:eastAsia="he-IL"/>
        </w:rPr>
      </w:pPr>
      <w:r w:rsidRPr="00200888">
        <w:rPr>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56F32699" w14:textId="77777777" w:rsidR="0002059B" w:rsidRPr="00200888" w:rsidRDefault="0002059B" w:rsidP="0002059B">
      <w:pPr>
        <w:shd w:val="clear" w:color="auto" w:fill="FFFFFF"/>
        <w:spacing w:line="360" w:lineRule="auto"/>
        <w:ind w:left="697"/>
        <w:jc w:val="both"/>
        <w:rPr>
          <w:rFonts w:ascii="David" w:hAnsi="David"/>
          <w:sz w:val="12"/>
          <w:szCs w:val="12"/>
        </w:rPr>
      </w:pPr>
    </w:p>
    <w:p w14:paraId="491CAF7F" w14:textId="77777777" w:rsidR="0002059B" w:rsidRPr="00200888" w:rsidRDefault="0002059B" w:rsidP="0002059B">
      <w:pPr>
        <w:pStyle w:val="a9"/>
        <w:numPr>
          <w:ilvl w:val="0"/>
          <w:numId w:val="1"/>
        </w:numPr>
        <w:shd w:val="clear" w:color="auto" w:fill="FFFFFF"/>
        <w:spacing w:line="360" w:lineRule="auto"/>
        <w:ind w:left="360" w:hanging="425"/>
        <w:jc w:val="both"/>
        <w:rPr>
          <w:rFonts w:ascii="David" w:hAnsi="David"/>
          <w:rtl/>
        </w:rPr>
      </w:pPr>
      <w:r w:rsidRPr="00200888">
        <w:rPr>
          <w:rFonts w:ascii="David" w:hAnsi="David"/>
          <w:rtl/>
        </w:rPr>
        <w:t>לאחר ששקלתי את הנסיבות לחומרה ולקולה, בהתחשב מחד</w:t>
      </w:r>
      <w:r>
        <w:rPr>
          <w:rFonts w:ascii="David" w:hAnsi="David" w:hint="cs"/>
          <w:rtl/>
        </w:rPr>
        <w:t xml:space="preserve"> גיסא,</w:t>
      </w:r>
      <w:r w:rsidRPr="00200888">
        <w:rPr>
          <w:rFonts w:ascii="David" w:hAnsi="David"/>
          <w:rtl/>
        </w:rPr>
        <w:t xml:space="preserve"> בכך ש</w:t>
      </w:r>
      <w:r>
        <w:rPr>
          <w:rFonts w:ascii="David" w:hAnsi="David" w:hint="cs"/>
          <w:rtl/>
        </w:rPr>
        <w:t>ה</w:t>
      </w:r>
      <w:r w:rsidRPr="00200888">
        <w:rPr>
          <w:rFonts w:ascii="David" w:hAnsi="David"/>
          <w:rtl/>
        </w:rPr>
        <w:t>נאש</w:t>
      </w:r>
      <w:r>
        <w:rPr>
          <w:rFonts w:ascii="David" w:hAnsi="David" w:hint="cs"/>
          <w:rtl/>
        </w:rPr>
        <w:t>מי</w:t>
      </w:r>
      <w:r w:rsidRPr="00200888">
        <w:rPr>
          <w:rFonts w:ascii="David" w:hAnsi="David"/>
          <w:rtl/>
        </w:rPr>
        <w:t>ם לקח</w:t>
      </w:r>
      <w:r>
        <w:rPr>
          <w:rFonts w:ascii="David" w:hAnsi="David" w:hint="cs"/>
          <w:rtl/>
        </w:rPr>
        <w:t>ו</w:t>
      </w:r>
      <w:r w:rsidRPr="00200888">
        <w:rPr>
          <w:rFonts w:ascii="David" w:hAnsi="David"/>
          <w:rtl/>
        </w:rPr>
        <w:t xml:space="preserve"> אחריות למעשי</w:t>
      </w:r>
      <w:r>
        <w:rPr>
          <w:rFonts w:ascii="David" w:hAnsi="David" w:hint="cs"/>
          <w:rtl/>
        </w:rPr>
        <w:t>הם</w:t>
      </w:r>
      <w:r w:rsidRPr="00200888">
        <w:rPr>
          <w:rFonts w:ascii="David" w:hAnsi="David"/>
          <w:rtl/>
        </w:rPr>
        <w:t>, חס</w:t>
      </w:r>
      <w:r>
        <w:rPr>
          <w:rFonts w:ascii="David" w:hAnsi="David" w:hint="cs"/>
          <w:rtl/>
        </w:rPr>
        <w:t>כו</w:t>
      </w:r>
      <w:r w:rsidRPr="00200888">
        <w:rPr>
          <w:rFonts w:ascii="David" w:hAnsi="David"/>
          <w:rtl/>
        </w:rPr>
        <w:t xml:space="preserve"> זמן שיפוטי משמעותי, ובנסיבות</w:t>
      </w:r>
      <w:r>
        <w:rPr>
          <w:rFonts w:ascii="David" w:hAnsi="David" w:hint="cs"/>
          <w:rtl/>
        </w:rPr>
        <w:t>יהם</w:t>
      </w:r>
      <w:r w:rsidRPr="00200888">
        <w:rPr>
          <w:rFonts w:ascii="David" w:hAnsi="David"/>
          <w:rtl/>
        </w:rPr>
        <w:t xml:space="preserve"> האישיות</w:t>
      </w:r>
      <w:r>
        <w:rPr>
          <w:rFonts w:ascii="David" w:hAnsi="David" w:hint="cs"/>
          <w:rtl/>
        </w:rPr>
        <w:t xml:space="preserve"> אינן פשוטות</w:t>
      </w:r>
      <w:r w:rsidRPr="00200888">
        <w:rPr>
          <w:rFonts w:ascii="David" w:hAnsi="David"/>
          <w:rtl/>
        </w:rPr>
        <w:t>, עבר</w:t>
      </w:r>
      <w:r>
        <w:rPr>
          <w:rFonts w:ascii="David" w:hAnsi="David" w:hint="cs"/>
          <w:rtl/>
        </w:rPr>
        <w:t>ם</w:t>
      </w:r>
      <w:r w:rsidRPr="00200888">
        <w:rPr>
          <w:rFonts w:ascii="David" w:hAnsi="David"/>
          <w:rtl/>
        </w:rPr>
        <w:t xml:space="preserve"> הפלילי</w:t>
      </w:r>
      <w:r>
        <w:rPr>
          <w:rFonts w:ascii="David" w:hAnsi="David" w:hint="cs"/>
          <w:rtl/>
        </w:rPr>
        <w:t xml:space="preserve"> הנקי,</w:t>
      </w:r>
      <w:r w:rsidRPr="00200888">
        <w:rPr>
          <w:rFonts w:ascii="David" w:hAnsi="David"/>
          <w:rtl/>
        </w:rPr>
        <w:t xml:space="preserve"> </w:t>
      </w:r>
      <w:r>
        <w:rPr>
          <w:rFonts w:ascii="David" w:hAnsi="David" w:hint="cs"/>
          <w:rtl/>
        </w:rPr>
        <w:t>ומאידך גיסא</w:t>
      </w:r>
      <w:r w:rsidRPr="00200888">
        <w:rPr>
          <w:rFonts w:ascii="David" w:hAnsi="David"/>
          <w:rtl/>
        </w:rPr>
        <w:t xml:space="preserve">, בהתחשב בצורך בהרתעת הרבים </w:t>
      </w:r>
      <w:r>
        <w:rPr>
          <w:rFonts w:ascii="David" w:hAnsi="David" w:hint="cs"/>
          <w:rtl/>
        </w:rPr>
        <w:t xml:space="preserve">והיחיד </w:t>
      </w:r>
      <w:r w:rsidRPr="00200888">
        <w:rPr>
          <w:rFonts w:ascii="David" w:hAnsi="David"/>
          <w:rtl/>
        </w:rPr>
        <w:t>בעבירות הנשק, החלטתי לגזור על הנאש</w:t>
      </w:r>
      <w:r>
        <w:rPr>
          <w:rFonts w:ascii="David" w:hAnsi="David" w:hint="cs"/>
          <w:rtl/>
        </w:rPr>
        <w:t>מי</w:t>
      </w:r>
      <w:r w:rsidRPr="00200888">
        <w:rPr>
          <w:rFonts w:ascii="David" w:hAnsi="David"/>
          <w:rtl/>
        </w:rPr>
        <w:t>ם עונש ברף הנמוך של המתחם.</w:t>
      </w:r>
    </w:p>
    <w:p w14:paraId="6C8574E6" w14:textId="77777777" w:rsidR="0002059B" w:rsidRPr="00B34E76" w:rsidRDefault="0002059B" w:rsidP="0002059B">
      <w:pPr>
        <w:pStyle w:val="a9"/>
        <w:shd w:val="clear" w:color="auto" w:fill="FFFFFF"/>
        <w:spacing w:line="360" w:lineRule="auto"/>
        <w:ind w:left="360"/>
        <w:jc w:val="both"/>
        <w:rPr>
          <w:rFonts w:ascii="David" w:hAnsi="David"/>
          <w:sz w:val="12"/>
          <w:szCs w:val="12"/>
        </w:rPr>
      </w:pPr>
    </w:p>
    <w:p w14:paraId="56E28C9F" w14:textId="77777777" w:rsidR="0002059B" w:rsidRPr="00200888" w:rsidRDefault="0002059B" w:rsidP="0002059B">
      <w:pPr>
        <w:pStyle w:val="a9"/>
        <w:numPr>
          <w:ilvl w:val="0"/>
          <w:numId w:val="1"/>
        </w:numPr>
        <w:shd w:val="clear" w:color="auto" w:fill="FFFFFF"/>
        <w:spacing w:line="360" w:lineRule="auto"/>
        <w:ind w:left="360" w:hanging="425"/>
        <w:jc w:val="both"/>
        <w:rPr>
          <w:rFonts w:ascii="David" w:hAnsi="David"/>
        </w:rPr>
      </w:pPr>
      <w:r w:rsidRPr="00200888">
        <w:rPr>
          <w:rFonts w:ascii="David" w:hAnsi="David"/>
          <w:rtl/>
        </w:rPr>
        <w:t>אשר על כן, מצאתי לגזור על הנאש</w:t>
      </w:r>
      <w:r>
        <w:rPr>
          <w:rFonts w:ascii="David" w:hAnsi="David" w:hint="cs"/>
          <w:rtl/>
        </w:rPr>
        <w:t>מי</w:t>
      </w:r>
      <w:r w:rsidRPr="00200888">
        <w:rPr>
          <w:rFonts w:ascii="David" w:hAnsi="David"/>
          <w:rtl/>
        </w:rPr>
        <w:t xml:space="preserve">ם את העונשים כדלהלן:   </w:t>
      </w:r>
    </w:p>
    <w:p w14:paraId="4C398D59" w14:textId="77777777" w:rsidR="0002059B" w:rsidRPr="00200888" w:rsidRDefault="0002059B" w:rsidP="0002059B">
      <w:pPr>
        <w:shd w:val="clear" w:color="auto" w:fill="FFFFFF"/>
        <w:spacing w:line="360" w:lineRule="auto"/>
        <w:ind w:left="697"/>
        <w:jc w:val="both"/>
        <w:rPr>
          <w:rFonts w:ascii="David" w:hAnsi="David"/>
          <w:sz w:val="12"/>
          <w:szCs w:val="12"/>
        </w:rPr>
      </w:pPr>
    </w:p>
    <w:p w14:paraId="56F06426" w14:textId="77777777" w:rsidR="0002059B" w:rsidRPr="00200888" w:rsidRDefault="0002059B" w:rsidP="0002059B">
      <w:pPr>
        <w:numPr>
          <w:ilvl w:val="0"/>
          <w:numId w:val="3"/>
        </w:numPr>
        <w:spacing w:line="360" w:lineRule="auto"/>
        <w:ind w:left="1434" w:hanging="357"/>
        <w:jc w:val="both"/>
        <w:rPr>
          <w:rFonts w:ascii="David" w:hAnsi="David"/>
          <w:rtl/>
        </w:rPr>
      </w:pPr>
      <w:r>
        <w:rPr>
          <w:rFonts w:ascii="David" w:hAnsi="David" w:hint="cs"/>
          <w:rtl/>
        </w:rPr>
        <w:t>18</w:t>
      </w:r>
      <w:r w:rsidRPr="00200888">
        <w:rPr>
          <w:rFonts w:ascii="David" w:hAnsi="David"/>
          <w:rtl/>
        </w:rPr>
        <w:t xml:space="preserve"> חודשי מאסר </w:t>
      </w:r>
      <w:r>
        <w:rPr>
          <w:rFonts w:ascii="David" w:hAnsi="David" w:hint="cs"/>
          <w:rtl/>
        </w:rPr>
        <w:t>אשר ירוצו מיום מעצרם 2.4.20.</w:t>
      </w:r>
    </w:p>
    <w:p w14:paraId="5F3EF752" w14:textId="77777777" w:rsidR="0002059B" w:rsidRPr="00200888" w:rsidRDefault="0002059B" w:rsidP="0002059B">
      <w:pPr>
        <w:spacing w:line="360" w:lineRule="auto"/>
        <w:jc w:val="both"/>
        <w:rPr>
          <w:rFonts w:ascii="David" w:hAnsi="David"/>
          <w:sz w:val="12"/>
          <w:szCs w:val="12"/>
        </w:rPr>
      </w:pPr>
    </w:p>
    <w:p w14:paraId="0DA2E5C0" w14:textId="77777777" w:rsidR="0002059B" w:rsidRPr="00200888" w:rsidRDefault="0002059B" w:rsidP="0002059B">
      <w:pPr>
        <w:numPr>
          <w:ilvl w:val="0"/>
          <w:numId w:val="3"/>
        </w:numPr>
        <w:spacing w:line="360" w:lineRule="auto"/>
        <w:ind w:left="1434" w:hanging="357"/>
        <w:jc w:val="both"/>
        <w:rPr>
          <w:rFonts w:ascii="David" w:hAnsi="David"/>
        </w:rPr>
      </w:pPr>
      <w:r w:rsidRPr="00200888">
        <w:rPr>
          <w:rFonts w:ascii="David" w:hAnsi="David"/>
          <w:rtl/>
        </w:rPr>
        <w:t>12 חודשי מאסר. הנאש</w:t>
      </w:r>
      <w:r>
        <w:rPr>
          <w:rFonts w:ascii="David" w:hAnsi="David" w:hint="cs"/>
          <w:rtl/>
        </w:rPr>
        <w:t>מי</w:t>
      </w:r>
      <w:r w:rsidRPr="00200888">
        <w:rPr>
          <w:rFonts w:ascii="David" w:hAnsi="David"/>
          <w:rtl/>
        </w:rPr>
        <w:t>ם לא ירצ</w:t>
      </w:r>
      <w:r>
        <w:rPr>
          <w:rFonts w:ascii="David" w:hAnsi="David" w:hint="cs"/>
          <w:rtl/>
        </w:rPr>
        <w:t>ו</w:t>
      </w:r>
      <w:r>
        <w:rPr>
          <w:rFonts w:ascii="David" w:hAnsi="David"/>
          <w:rtl/>
        </w:rPr>
        <w:t xml:space="preserve"> עונש זה, אלא אם יעב</w:t>
      </w:r>
      <w:r w:rsidRPr="00200888">
        <w:rPr>
          <w:rFonts w:ascii="David" w:hAnsi="David"/>
          <w:rtl/>
        </w:rPr>
        <w:t>ר</w:t>
      </w:r>
      <w:r>
        <w:rPr>
          <w:rFonts w:ascii="David" w:hAnsi="David" w:hint="cs"/>
          <w:rtl/>
        </w:rPr>
        <w:t>ו</w:t>
      </w:r>
      <w:r w:rsidRPr="00200888">
        <w:rPr>
          <w:rFonts w:ascii="David" w:hAnsi="David"/>
          <w:rtl/>
        </w:rPr>
        <w:t xml:space="preserve"> בתוך שנתיים מיום שחרור</w:t>
      </w:r>
      <w:r>
        <w:rPr>
          <w:rFonts w:ascii="David" w:hAnsi="David" w:hint="cs"/>
          <w:rtl/>
        </w:rPr>
        <w:t>ם</w:t>
      </w:r>
      <w:r w:rsidRPr="00200888">
        <w:rPr>
          <w:rFonts w:ascii="David" w:hAnsi="David"/>
          <w:rtl/>
        </w:rPr>
        <w:t xml:space="preserve"> על כל עבירת נשק מסוג פשע.</w:t>
      </w:r>
    </w:p>
    <w:p w14:paraId="3D54ABE0" w14:textId="77777777" w:rsidR="0002059B" w:rsidRPr="00200888" w:rsidRDefault="0002059B" w:rsidP="0002059B">
      <w:pPr>
        <w:spacing w:line="360" w:lineRule="auto"/>
        <w:ind w:left="1434"/>
        <w:jc w:val="both"/>
        <w:rPr>
          <w:rFonts w:ascii="David" w:hAnsi="David"/>
          <w:sz w:val="12"/>
          <w:szCs w:val="12"/>
        </w:rPr>
      </w:pPr>
    </w:p>
    <w:p w14:paraId="745281E5" w14:textId="77777777" w:rsidR="0002059B" w:rsidRPr="00200888" w:rsidRDefault="0002059B" w:rsidP="0002059B">
      <w:pPr>
        <w:numPr>
          <w:ilvl w:val="0"/>
          <w:numId w:val="3"/>
        </w:numPr>
        <w:spacing w:line="360" w:lineRule="auto"/>
        <w:ind w:left="1434" w:hanging="357"/>
        <w:jc w:val="both"/>
        <w:rPr>
          <w:rFonts w:ascii="David" w:hAnsi="David"/>
        </w:rPr>
      </w:pPr>
      <w:r w:rsidRPr="00200888">
        <w:rPr>
          <w:rFonts w:ascii="David" w:hAnsi="David"/>
          <w:rtl/>
        </w:rPr>
        <w:t>6 חודשי מאסר. הנאש</w:t>
      </w:r>
      <w:r>
        <w:rPr>
          <w:rFonts w:ascii="David" w:hAnsi="David" w:hint="cs"/>
          <w:rtl/>
        </w:rPr>
        <w:t>מי</w:t>
      </w:r>
      <w:r>
        <w:rPr>
          <w:rFonts w:ascii="David" w:hAnsi="David"/>
          <w:rtl/>
        </w:rPr>
        <w:t>ם לא ירצה עונש זה, אלא אם יעב</w:t>
      </w:r>
      <w:r w:rsidRPr="00200888">
        <w:rPr>
          <w:rFonts w:ascii="David" w:hAnsi="David"/>
          <w:rtl/>
        </w:rPr>
        <w:t>ר</w:t>
      </w:r>
      <w:r>
        <w:rPr>
          <w:rFonts w:ascii="David" w:hAnsi="David" w:hint="cs"/>
          <w:rtl/>
        </w:rPr>
        <w:t>ו</w:t>
      </w:r>
      <w:r w:rsidRPr="00200888">
        <w:rPr>
          <w:rFonts w:ascii="David" w:hAnsi="David"/>
          <w:rtl/>
        </w:rPr>
        <w:t xml:space="preserve"> בתוך שנתיים מיום שחרור</w:t>
      </w:r>
      <w:r>
        <w:rPr>
          <w:rFonts w:ascii="David" w:hAnsi="David" w:hint="cs"/>
          <w:rtl/>
        </w:rPr>
        <w:t>ם</w:t>
      </w:r>
      <w:r w:rsidRPr="00200888">
        <w:rPr>
          <w:rFonts w:ascii="David" w:hAnsi="David"/>
          <w:rtl/>
        </w:rPr>
        <w:t xml:space="preserve"> על עבירה של קשירת קשר לביצוע פשע או כל עבירת נשק מסוג עוון.</w:t>
      </w:r>
    </w:p>
    <w:p w14:paraId="1C4E2003" w14:textId="77777777" w:rsidR="0002059B" w:rsidRPr="00200888" w:rsidRDefault="0002059B" w:rsidP="0002059B">
      <w:pPr>
        <w:spacing w:line="360" w:lineRule="auto"/>
        <w:ind w:left="1434"/>
        <w:jc w:val="both"/>
        <w:rPr>
          <w:rFonts w:ascii="David" w:hAnsi="David"/>
          <w:sz w:val="12"/>
          <w:szCs w:val="12"/>
        </w:rPr>
      </w:pPr>
    </w:p>
    <w:p w14:paraId="7C2EC344" w14:textId="77777777" w:rsidR="0002059B" w:rsidRPr="00200888" w:rsidRDefault="0002059B" w:rsidP="0002059B">
      <w:pPr>
        <w:numPr>
          <w:ilvl w:val="0"/>
          <w:numId w:val="3"/>
        </w:numPr>
        <w:spacing w:line="360" w:lineRule="auto"/>
        <w:ind w:left="1434" w:hanging="357"/>
        <w:jc w:val="both"/>
        <w:rPr>
          <w:rFonts w:ascii="David" w:hAnsi="David"/>
        </w:rPr>
      </w:pPr>
      <w:r w:rsidRPr="00200888">
        <w:rPr>
          <w:rFonts w:ascii="David" w:hAnsi="David"/>
          <w:rtl/>
        </w:rPr>
        <w:t>לאור תקופת המאסר שהוטלה, ובהתחשב בכך שבפועל הנאש</w:t>
      </w:r>
      <w:r>
        <w:rPr>
          <w:rFonts w:ascii="David" w:hAnsi="David" w:hint="cs"/>
          <w:rtl/>
        </w:rPr>
        <w:t>מי</w:t>
      </w:r>
      <w:r w:rsidRPr="00200888">
        <w:rPr>
          <w:rFonts w:ascii="David" w:hAnsi="David"/>
          <w:rtl/>
        </w:rPr>
        <w:t>ם לא קיבל</w:t>
      </w:r>
      <w:r>
        <w:rPr>
          <w:rFonts w:ascii="David" w:hAnsi="David" w:hint="cs"/>
          <w:rtl/>
        </w:rPr>
        <w:t>ו</w:t>
      </w:r>
      <w:r>
        <w:rPr>
          <w:rFonts w:ascii="David" w:hAnsi="David"/>
          <w:rtl/>
        </w:rPr>
        <w:t xml:space="preserve"> תמורה בשל המעשים המיוחסים ל</w:t>
      </w:r>
      <w:r>
        <w:rPr>
          <w:rFonts w:ascii="David" w:hAnsi="David" w:hint="cs"/>
          <w:rtl/>
        </w:rPr>
        <w:t>הם</w:t>
      </w:r>
      <w:r>
        <w:rPr>
          <w:rFonts w:ascii="David" w:hAnsi="David"/>
          <w:rtl/>
        </w:rPr>
        <w:t>, לא מצאתי להטיל עלי</w:t>
      </w:r>
      <w:r>
        <w:rPr>
          <w:rFonts w:ascii="David" w:hAnsi="David" w:hint="cs"/>
          <w:rtl/>
        </w:rPr>
        <w:t xml:space="preserve">הם </w:t>
      </w:r>
      <w:r w:rsidRPr="00200888">
        <w:rPr>
          <w:rFonts w:ascii="David" w:hAnsi="David"/>
          <w:rtl/>
        </w:rPr>
        <w:t>קנס.</w:t>
      </w:r>
    </w:p>
    <w:p w14:paraId="2906000A" w14:textId="77777777" w:rsidR="0002059B" w:rsidRPr="00200888" w:rsidRDefault="0002059B" w:rsidP="0002059B">
      <w:pPr>
        <w:spacing w:line="360" w:lineRule="auto"/>
        <w:ind w:left="1434"/>
        <w:jc w:val="both"/>
        <w:rPr>
          <w:rFonts w:ascii="David" w:hAnsi="David"/>
          <w:sz w:val="12"/>
          <w:szCs w:val="12"/>
        </w:rPr>
      </w:pPr>
    </w:p>
    <w:p w14:paraId="663C4EAE" w14:textId="77777777" w:rsidR="0002059B" w:rsidRDefault="0002059B" w:rsidP="0002059B">
      <w:pPr>
        <w:rPr>
          <w:b/>
          <w:bCs/>
          <w:rtl/>
        </w:rPr>
      </w:pPr>
      <w:r>
        <w:rPr>
          <w:rFonts w:hint="cs"/>
          <w:b/>
          <w:bCs/>
          <w:rtl/>
        </w:rPr>
        <w:t>העתק גזר הדין ישלח לשירות המבחן.</w:t>
      </w:r>
    </w:p>
    <w:p w14:paraId="32A35B41" w14:textId="77777777" w:rsidR="0002059B" w:rsidRPr="00200888" w:rsidRDefault="0002059B" w:rsidP="0002059B">
      <w:pPr>
        <w:rPr>
          <w:b/>
          <w:bCs/>
          <w:rtl/>
        </w:rPr>
      </w:pPr>
    </w:p>
    <w:p w14:paraId="3FF0919F" w14:textId="77777777" w:rsidR="0002059B" w:rsidRPr="00200888" w:rsidRDefault="0002059B" w:rsidP="0002059B">
      <w:pPr>
        <w:rPr>
          <w:b/>
          <w:bCs/>
          <w:rtl/>
        </w:rPr>
      </w:pPr>
      <w:r w:rsidRPr="00200888">
        <w:rPr>
          <w:b/>
          <w:bCs/>
          <w:rtl/>
        </w:rPr>
        <w:t>זכות ערעור לבית משפט העליון תוך 45 יום מהיום.</w:t>
      </w:r>
    </w:p>
    <w:p w14:paraId="0B0F65C5" w14:textId="77777777" w:rsidR="0002059B" w:rsidRPr="00B05847" w:rsidRDefault="0002059B" w:rsidP="0002059B">
      <w:pPr>
        <w:rPr>
          <w:rtl/>
        </w:rPr>
      </w:pPr>
    </w:p>
    <w:p w14:paraId="68BFE458" w14:textId="77777777" w:rsidR="0002059B" w:rsidRDefault="00867A1F" w:rsidP="0002059B">
      <w:pPr>
        <w:spacing w:line="360" w:lineRule="auto"/>
        <w:jc w:val="both"/>
        <w:rPr>
          <w:rFonts w:ascii="Arial" w:hAnsi="Arial"/>
        </w:rPr>
      </w:pPr>
      <w:bookmarkStart w:id="8" w:name="Nitan"/>
      <w:r w:rsidRPr="00867A1F">
        <w:rPr>
          <w:rFonts w:ascii="Arial" w:hAnsi="Arial"/>
          <w:color w:val="FFFFFF"/>
          <w:sz w:val="2"/>
          <w:szCs w:val="2"/>
          <w:rtl/>
        </w:rPr>
        <w:t>5129371</w:t>
      </w:r>
      <w:r>
        <w:rPr>
          <w:rFonts w:ascii="Arial" w:hAnsi="Arial"/>
          <w:rtl/>
        </w:rPr>
        <w:t xml:space="preserve">ניתן היום,  י"ט אב תש"פ, 09 אוגוסט 2020, במעמד ב"כ הצדדים והנאשמים באמצעות התוועדות </w:t>
      </w:r>
      <w:bookmarkEnd w:id="8"/>
      <w:r w:rsidR="0002059B">
        <w:rPr>
          <w:rFonts w:ascii="Arial" w:hAnsi="Arial" w:hint="cs"/>
          <w:rtl/>
        </w:rPr>
        <w:t>חזותית בשל מצב החירום.</w:t>
      </w:r>
    </w:p>
    <w:p w14:paraId="24A80380" w14:textId="77777777" w:rsidR="0002059B" w:rsidRPr="00867A1F" w:rsidRDefault="00867A1F" w:rsidP="0002059B">
      <w:pPr>
        <w:rPr>
          <w:rFonts w:cs="FrankRuehl"/>
          <w:color w:val="FFFFFF"/>
          <w:sz w:val="2"/>
          <w:szCs w:val="2"/>
          <w:rtl/>
        </w:rPr>
      </w:pPr>
      <w:r w:rsidRPr="00867A1F">
        <w:rPr>
          <w:rFonts w:cs="FrankRuehl"/>
          <w:color w:val="FFFFFF"/>
          <w:sz w:val="2"/>
          <w:szCs w:val="2"/>
          <w:rtl/>
        </w:rPr>
        <w:t>54678313</w:t>
      </w:r>
    </w:p>
    <w:p w14:paraId="5C9AFED2" w14:textId="77777777" w:rsidR="0002059B" w:rsidRDefault="0002059B" w:rsidP="00867A1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12E9668" w14:textId="77777777" w:rsidR="0002059B" w:rsidRDefault="0002059B" w:rsidP="0002059B">
      <w:pPr>
        <w:jc w:val="center"/>
        <w:rPr>
          <w:rFonts w:ascii="Arial" w:hAnsi="Arial" w:cs="FrankRuehl"/>
          <w:sz w:val="28"/>
          <w:szCs w:val="28"/>
          <w:rtl/>
        </w:rPr>
      </w:pPr>
    </w:p>
    <w:p w14:paraId="334CDEA3" w14:textId="77777777" w:rsidR="0002059B" w:rsidRDefault="00A25205" w:rsidP="0002059B">
      <w:pPr>
        <w:rPr>
          <w:rFonts w:cs="FrankRuehl"/>
          <w:sz w:val="28"/>
          <w:szCs w:val="28"/>
          <w:rtl/>
        </w:rPr>
      </w:pPr>
      <w:r>
        <w:rPr>
          <w:rFonts w:cs="FrankRuehl" w:hint="cs"/>
          <w:sz w:val="28"/>
          <w:szCs w:val="28"/>
          <w:rtl/>
        </w:rPr>
        <w:t xml:space="preserve">             </w:t>
      </w:r>
    </w:p>
    <w:p w14:paraId="2705D84D" w14:textId="77777777" w:rsidR="0002059B" w:rsidRDefault="0002059B" w:rsidP="0002059B">
      <w:pPr>
        <w:pStyle w:val="a3"/>
        <w:jc w:val="center"/>
        <w:rPr>
          <w:rtl/>
        </w:rPr>
      </w:pPr>
    </w:p>
    <w:p w14:paraId="2647C795" w14:textId="77777777" w:rsidR="000304EA" w:rsidRPr="00867A1F" w:rsidRDefault="000304EA" w:rsidP="00867A1F">
      <w:pPr>
        <w:keepNext/>
        <w:rPr>
          <w:rFonts w:ascii="David" w:hAnsi="David"/>
          <w:color w:val="000000"/>
          <w:sz w:val="22"/>
          <w:szCs w:val="22"/>
          <w:rtl/>
        </w:rPr>
      </w:pPr>
    </w:p>
    <w:p w14:paraId="2AC06F27" w14:textId="77777777" w:rsidR="00867A1F" w:rsidRPr="00867A1F" w:rsidRDefault="00867A1F" w:rsidP="00867A1F">
      <w:pPr>
        <w:keepNext/>
        <w:rPr>
          <w:rFonts w:ascii="David" w:hAnsi="David"/>
          <w:color w:val="000000"/>
          <w:sz w:val="22"/>
          <w:szCs w:val="22"/>
          <w:rtl/>
        </w:rPr>
      </w:pPr>
      <w:r w:rsidRPr="00867A1F">
        <w:rPr>
          <w:rFonts w:ascii="David" w:hAnsi="David"/>
          <w:color w:val="000000"/>
          <w:sz w:val="22"/>
          <w:szCs w:val="22"/>
          <w:rtl/>
        </w:rPr>
        <w:t>חנה מרים לומפ 54678313</w:t>
      </w:r>
    </w:p>
    <w:p w14:paraId="337504B5" w14:textId="77777777" w:rsidR="00867A1F" w:rsidRDefault="00867A1F" w:rsidP="00867A1F">
      <w:r w:rsidRPr="00867A1F">
        <w:rPr>
          <w:color w:val="000000"/>
          <w:rtl/>
        </w:rPr>
        <w:t>נוסח מסמך זה כפוף לשינויי ניסוח ועריכה</w:t>
      </w:r>
    </w:p>
    <w:p w14:paraId="2B426FEB" w14:textId="77777777" w:rsidR="00867A1F" w:rsidRDefault="00867A1F" w:rsidP="00867A1F">
      <w:pPr>
        <w:rPr>
          <w:rtl/>
        </w:rPr>
      </w:pPr>
    </w:p>
    <w:p w14:paraId="2ECC4DE2" w14:textId="77777777" w:rsidR="00867A1F" w:rsidRDefault="00867A1F" w:rsidP="00867A1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ED4A3D3" w14:textId="77777777" w:rsidR="00867A1F" w:rsidRPr="00867A1F" w:rsidRDefault="00414319" w:rsidP="00867A1F">
      <w:pPr>
        <w:jc w:val="center"/>
        <w:rPr>
          <w:color w:val="0000FF"/>
          <w:u w:val="single"/>
        </w:rPr>
      </w:pPr>
      <w:r>
        <w:rPr>
          <w:rFonts w:hint="cs"/>
          <w:color w:val="0000FF"/>
          <w:u w:val="single"/>
          <w:rtl/>
        </w:rPr>
        <w:t xml:space="preserve">              </w:t>
      </w:r>
    </w:p>
    <w:sectPr w:rsidR="00867A1F" w:rsidRPr="00867A1F" w:rsidSect="00867A1F">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EEC53" w14:textId="77777777" w:rsidR="00B33115" w:rsidRDefault="00B33115" w:rsidP="00713792">
      <w:r>
        <w:separator/>
      </w:r>
    </w:p>
  </w:endnote>
  <w:endnote w:type="continuationSeparator" w:id="0">
    <w:p w14:paraId="65DC506E" w14:textId="77777777" w:rsidR="00B33115" w:rsidRDefault="00B33115" w:rsidP="00713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50AC5" w14:textId="77777777" w:rsidR="00867A1F" w:rsidRDefault="00867A1F" w:rsidP="00867A1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9B2F43" w14:textId="77777777" w:rsidR="00875796" w:rsidRPr="00867A1F" w:rsidRDefault="00867A1F" w:rsidP="00867A1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2747D" w14:textId="77777777" w:rsidR="00867A1F" w:rsidRDefault="00867A1F" w:rsidP="00867A1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4AF8">
      <w:rPr>
        <w:rFonts w:ascii="FrankRuehl" w:hAnsi="FrankRuehl" w:cs="FrankRuehl"/>
        <w:noProof/>
        <w:rtl/>
      </w:rPr>
      <w:t>1</w:t>
    </w:r>
    <w:r>
      <w:rPr>
        <w:rFonts w:ascii="FrankRuehl" w:hAnsi="FrankRuehl" w:cs="FrankRuehl"/>
        <w:rtl/>
      </w:rPr>
      <w:fldChar w:fldCharType="end"/>
    </w:r>
  </w:p>
  <w:p w14:paraId="4FBBA89D" w14:textId="77777777" w:rsidR="00875796" w:rsidRPr="00867A1F" w:rsidRDefault="00867A1F" w:rsidP="00867A1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244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2044E" w14:textId="77777777" w:rsidR="00B33115" w:rsidRDefault="00B33115" w:rsidP="00713792">
      <w:r>
        <w:separator/>
      </w:r>
    </w:p>
  </w:footnote>
  <w:footnote w:type="continuationSeparator" w:id="0">
    <w:p w14:paraId="441FCAA4" w14:textId="77777777" w:rsidR="00B33115" w:rsidRDefault="00B33115" w:rsidP="00713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F5B55" w14:textId="77777777" w:rsidR="00867A1F" w:rsidRPr="00867A1F" w:rsidRDefault="00867A1F" w:rsidP="00867A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14593-04-20</w:t>
    </w:r>
    <w:r>
      <w:rPr>
        <w:rFonts w:ascii="David" w:hAnsi="David"/>
        <w:color w:val="000000"/>
        <w:sz w:val="22"/>
        <w:szCs w:val="22"/>
        <w:rtl/>
      </w:rPr>
      <w:tab/>
      <w:t xml:space="preserve"> מדינת ישראל נ' נסראללה -מוניר עאסי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1727D" w14:textId="77777777" w:rsidR="00867A1F" w:rsidRPr="00867A1F" w:rsidRDefault="00867A1F" w:rsidP="00867A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14593-04-20</w:t>
    </w:r>
    <w:r>
      <w:rPr>
        <w:rFonts w:ascii="David" w:hAnsi="David"/>
        <w:color w:val="000000"/>
        <w:sz w:val="22"/>
        <w:szCs w:val="22"/>
        <w:rtl/>
      </w:rPr>
      <w:tab/>
      <w:t xml:space="preserve"> מדינת ישראל נ' נסראללה -מוניר עאסי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40CD"/>
    <w:multiLevelType w:val="hybridMultilevel"/>
    <w:tmpl w:val="C68A1010"/>
    <w:lvl w:ilvl="0" w:tplc="73504232">
      <w:start w:val="1"/>
      <w:numFmt w:val="decimal"/>
      <w:lvlText w:val="%1."/>
      <w:lvlJc w:val="left"/>
      <w:pPr>
        <w:ind w:left="360" w:hanging="360"/>
      </w:pPr>
      <w:rPr>
        <w:rFonts w:ascii="David" w:hAnsi="David" w:cs="David" w:hint="default"/>
        <w:b w:val="0"/>
        <w:bCs w:val="0"/>
        <w:sz w:val="24"/>
        <w:szCs w:val="24"/>
      </w:rPr>
    </w:lvl>
    <w:lvl w:ilvl="1" w:tplc="A1860B48">
      <w:start w:val="1"/>
      <w:numFmt w:val="hebrew1"/>
      <w:lvlText w:val="%2."/>
      <w:lvlJc w:val="center"/>
      <w:pPr>
        <w:ind w:left="1440" w:hanging="360"/>
      </w:pPr>
      <w:rPr>
        <w:rFonts w:ascii="David" w:hAnsi="David" w:cs="David" w:hint="default"/>
        <w:sz w:val="24"/>
        <w:szCs w:val="24"/>
      </w:rPr>
    </w:lvl>
    <w:lvl w:ilvl="2" w:tplc="641AB07A" w:tentative="1">
      <w:start w:val="1"/>
      <w:numFmt w:val="lowerRoman"/>
      <w:lvlText w:val="%3."/>
      <w:lvlJc w:val="right"/>
      <w:pPr>
        <w:ind w:left="2160" w:hanging="180"/>
      </w:pPr>
      <w:rPr>
        <w:rFonts w:cs="Times New Roman"/>
      </w:rPr>
    </w:lvl>
    <w:lvl w:ilvl="3" w:tplc="ADCAB962" w:tentative="1">
      <w:start w:val="1"/>
      <w:numFmt w:val="decimal"/>
      <w:lvlText w:val="%4."/>
      <w:lvlJc w:val="left"/>
      <w:pPr>
        <w:ind w:left="2880" w:hanging="360"/>
      </w:pPr>
      <w:rPr>
        <w:rFonts w:cs="Times New Roman"/>
      </w:rPr>
    </w:lvl>
    <w:lvl w:ilvl="4" w:tplc="57B2AE92" w:tentative="1">
      <w:start w:val="1"/>
      <w:numFmt w:val="lowerLetter"/>
      <w:lvlText w:val="%5."/>
      <w:lvlJc w:val="left"/>
      <w:pPr>
        <w:ind w:left="3600" w:hanging="360"/>
      </w:pPr>
      <w:rPr>
        <w:rFonts w:cs="Times New Roman"/>
      </w:rPr>
    </w:lvl>
    <w:lvl w:ilvl="5" w:tplc="BA085A8E" w:tentative="1">
      <w:start w:val="1"/>
      <w:numFmt w:val="lowerRoman"/>
      <w:lvlText w:val="%6."/>
      <w:lvlJc w:val="right"/>
      <w:pPr>
        <w:ind w:left="4320" w:hanging="180"/>
      </w:pPr>
      <w:rPr>
        <w:rFonts w:cs="Times New Roman"/>
      </w:rPr>
    </w:lvl>
    <w:lvl w:ilvl="6" w:tplc="7F86BBF6" w:tentative="1">
      <w:start w:val="1"/>
      <w:numFmt w:val="decimal"/>
      <w:lvlText w:val="%7."/>
      <w:lvlJc w:val="left"/>
      <w:pPr>
        <w:ind w:left="5040" w:hanging="360"/>
      </w:pPr>
      <w:rPr>
        <w:rFonts w:cs="Times New Roman"/>
      </w:rPr>
    </w:lvl>
    <w:lvl w:ilvl="7" w:tplc="5B4E184A" w:tentative="1">
      <w:start w:val="1"/>
      <w:numFmt w:val="lowerLetter"/>
      <w:lvlText w:val="%8."/>
      <w:lvlJc w:val="left"/>
      <w:pPr>
        <w:ind w:left="5760" w:hanging="360"/>
      </w:pPr>
      <w:rPr>
        <w:rFonts w:cs="Times New Roman"/>
      </w:rPr>
    </w:lvl>
    <w:lvl w:ilvl="8" w:tplc="2E1C4FF4" w:tentative="1">
      <w:start w:val="1"/>
      <w:numFmt w:val="lowerRoman"/>
      <w:lvlText w:val="%9."/>
      <w:lvlJc w:val="right"/>
      <w:pPr>
        <w:ind w:left="6480" w:hanging="180"/>
      </w:pPr>
      <w:rPr>
        <w:rFonts w:cs="Times New Roman"/>
      </w:rPr>
    </w:lvl>
  </w:abstractNum>
  <w:abstractNum w:abstractNumId="1"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15:restartNumberingAfterBreak="0">
    <w:nsid w:val="797B263D"/>
    <w:multiLevelType w:val="hybridMultilevel"/>
    <w:tmpl w:val="26389BF8"/>
    <w:lvl w:ilvl="0" w:tplc="04D49544">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69739">
    <w:abstractNumId w:val="2"/>
  </w:num>
  <w:num w:numId="2" w16cid:durableId="33625683">
    <w:abstractNumId w:val="0"/>
  </w:num>
  <w:num w:numId="3" w16cid:durableId="7999540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059B"/>
    <w:rsid w:val="0002059B"/>
    <w:rsid w:val="000304EA"/>
    <w:rsid w:val="001A655E"/>
    <w:rsid w:val="00414319"/>
    <w:rsid w:val="00713792"/>
    <w:rsid w:val="00867A1F"/>
    <w:rsid w:val="00875796"/>
    <w:rsid w:val="00A25205"/>
    <w:rsid w:val="00A41BCE"/>
    <w:rsid w:val="00B33115"/>
    <w:rsid w:val="00BC7D6C"/>
    <w:rsid w:val="00C501AB"/>
    <w:rsid w:val="00DD4AF8"/>
    <w:rsid w:val="00DD5AF2"/>
    <w:rsid w:val="00E11F94"/>
    <w:rsid w:val="00E30D30"/>
    <w:rsid w:val="00FD2A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49D9EA"/>
  <w15:chartTrackingRefBased/>
  <w15:docId w15:val="{38DA3033-2F8B-4035-B7D6-1060A852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059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059B"/>
    <w:pPr>
      <w:tabs>
        <w:tab w:val="center" w:pos="4153"/>
        <w:tab w:val="right" w:pos="8306"/>
      </w:tabs>
    </w:pPr>
  </w:style>
  <w:style w:type="character" w:customStyle="1" w:styleId="a4">
    <w:name w:val="כותרת עליונה תו"/>
    <w:link w:val="a3"/>
    <w:rsid w:val="0002059B"/>
    <w:rPr>
      <w:rFonts w:ascii="Times New Roman" w:eastAsia="Times New Roman" w:hAnsi="Times New Roman" w:cs="David"/>
      <w:sz w:val="24"/>
      <w:szCs w:val="24"/>
    </w:rPr>
  </w:style>
  <w:style w:type="paragraph" w:styleId="a5">
    <w:name w:val="footer"/>
    <w:basedOn w:val="a"/>
    <w:link w:val="a6"/>
    <w:rsid w:val="0002059B"/>
    <w:pPr>
      <w:tabs>
        <w:tab w:val="center" w:pos="4153"/>
        <w:tab w:val="right" w:pos="8306"/>
      </w:tabs>
    </w:pPr>
  </w:style>
  <w:style w:type="character" w:customStyle="1" w:styleId="a6">
    <w:name w:val="כותרת תחתונה תו"/>
    <w:link w:val="a5"/>
    <w:rsid w:val="0002059B"/>
    <w:rPr>
      <w:rFonts w:ascii="Times New Roman" w:eastAsia="Times New Roman" w:hAnsi="Times New Roman" w:cs="David"/>
      <w:sz w:val="24"/>
      <w:szCs w:val="24"/>
    </w:rPr>
  </w:style>
  <w:style w:type="table" w:styleId="a7">
    <w:name w:val="Table Grid"/>
    <w:basedOn w:val="a1"/>
    <w:rsid w:val="0002059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059B"/>
  </w:style>
  <w:style w:type="paragraph" w:styleId="a9">
    <w:name w:val="List Paragraph"/>
    <w:basedOn w:val="a"/>
    <w:qFormat/>
    <w:rsid w:val="0002059B"/>
    <w:pPr>
      <w:ind w:left="720"/>
      <w:contextualSpacing/>
    </w:pPr>
  </w:style>
  <w:style w:type="character" w:styleId="Hyperlink">
    <w:name w:val="Hyperlink"/>
    <w:rsid w:val="00867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7954235" TargetMode="External"/><Relationship Id="rId39" Type="http://schemas.openxmlformats.org/officeDocument/2006/relationships/footer" Target="footer1.xml"/><Relationship Id="rId21" Type="http://schemas.openxmlformats.org/officeDocument/2006/relationships/hyperlink" Target="http://www.nevo.co.il/case/5578534" TargetMode="External"/><Relationship Id="rId34" Type="http://schemas.openxmlformats.org/officeDocument/2006/relationships/hyperlink" Target="http://www.nevo.co.il/law/70301/40ja"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878682" TargetMode="External"/><Relationship Id="rId29" Type="http://schemas.openxmlformats.org/officeDocument/2006/relationships/hyperlink" Target="http://www.nevo.co.il/law/70301/144.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5821327" TargetMode="External"/><Relationship Id="rId32" Type="http://schemas.openxmlformats.org/officeDocument/2006/relationships/hyperlink" Target="http://www.nevo.co.il/case/779149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2200650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8291683"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601503" TargetMode="External"/><Relationship Id="rId27" Type="http://schemas.openxmlformats.org/officeDocument/2006/relationships/hyperlink" Target="http://www.nevo.co.il/case/22006503"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case/17954222"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40b" TargetMode="External"/><Relationship Id="rId25" Type="http://schemas.openxmlformats.org/officeDocument/2006/relationships/hyperlink" Target="http://www.nevo.co.il/case/23750625" TargetMode="External"/><Relationship Id="rId33" Type="http://schemas.openxmlformats.org/officeDocument/2006/relationships/hyperlink" Target="http://www.nevo.co.il/law/70301/40i"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3319</Words>
  <Characters>16597</Characters>
  <Application>Microsoft Office Word</Application>
  <DocSecurity>0</DocSecurity>
  <Lines>138</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19877</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4063348</vt:i4>
      </vt:variant>
      <vt:variant>
        <vt:i4>87</vt:i4>
      </vt:variant>
      <vt:variant>
        <vt:i4>0</vt:i4>
      </vt:variant>
      <vt:variant>
        <vt:i4>5</vt:i4>
      </vt:variant>
      <vt:variant>
        <vt:lpwstr>http://www.nevo.co.il/case/17954222</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3407987</vt:i4>
      </vt:variant>
      <vt:variant>
        <vt:i4>63</vt:i4>
      </vt:variant>
      <vt:variant>
        <vt:i4>0</vt:i4>
      </vt:variant>
      <vt:variant>
        <vt:i4>5</vt:i4>
      </vt:variant>
      <vt:variant>
        <vt:lpwstr>http://www.nevo.co.il/case/22006503</vt:lpwstr>
      </vt:variant>
      <vt:variant>
        <vt:lpwstr/>
      </vt:variant>
      <vt:variant>
        <vt:i4>3407987</vt:i4>
      </vt:variant>
      <vt:variant>
        <vt:i4>60</vt:i4>
      </vt:variant>
      <vt:variant>
        <vt:i4>0</vt:i4>
      </vt:variant>
      <vt:variant>
        <vt:i4>5</vt:i4>
      </vt:variant>
      <vt:variant>
        <vt:lpwstr>http://www.nevo.co.il/case/22006503</vt:lpwstr>
      </vt:variant>
      <vt:variant>
        <vt:lpwstr/>
      </vt:variant>
      <vt:variant>
        <vt:i4>4128884</vt:i4>
      </vt:variant>
      <vt:variant>
        <vt:i4>57</vt:i4>
      </vt:variant>
      <vt:variant>
        <vt:i4>0</vt:i4>
      </vt:variant>
      <vt:variant>
        <vt:i4>5</vt:i4>
      </vt:variant>
      <vt:variant>
        <vt:lpwstr>http://www.nevo.co.il/case/17954235</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3342463</vt:i4>
      </vt:variant>
      <vt:variant>
        <vt:i4>51</vt:i4>
      </vt:variant>
      <vt:variant>
        <vt:i4>0</vt:i4>
      </vt:variant>
      <vt:variant>
        <vt:i4>5</vt:i4>
      </vt:variant>
      <vt:variant>
        <vt:lpwstr>http://www.nevo.co.il/case/5821327</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3342451</vt:i4>
      </vt:variant>
      <vt:variant>
        <vt:i4>45</vt:i4>
      </vt:variant>
      <vt:variant>
        <vt:i4>0</vt:i4>
      </vt:variant>
      <vt:variant>
        <vt:i4>5</vt:i4>
      </vt:variant>
      <vt:variant>
        <vt:lpwstr>http://www.nevo.co.il/case/5601503</vt:lpwstr>
      </vt:variant>
      <vt:variant>
        <vt:lpwstr/>
      </vt:variant>
      <vt:variant>
        <vt:i4>3342458</vt:i4>
      </vt:variant>
      <vt:variant>
        <vt:i4>42</vt:i4>
      </vt:variant>
      <vt:variant>
        <vt:i4>0</vt:i4>
      </vt:variant>
      <vt:variant>
        <vt:i4>5</vt:i4>
      </vt:variant>
      <vt:variant>
        <vt:lpwstr>http://www.nevo.co.il/case/5578534</vt:lpwstr>
      </vt:variant>
      <vt:variant>
        <vt:lpwstr/>
      </vt:variant>
      <vt:variant>
        <vt:i4>3539068</vt:i4>
      </vt:variant>
      <vt:variant>
        <vt:i4>39</vt:i4>
      </vt:variant>
      <vt:variant>
        <vt:i4>0</vt:i4>
      </vt:variant>
      <vt:variant>
        <vt:i4>5</vt:i4>
      </vt:variant>
      <vt:variant>
        <vt:lpwstr>http://www.nevo.co.il/case/5878682</vt:lpwstr>
      </vt:variant>
      <vt:variant>
        <vt:lpwstr/>
      </vt:variant>
      <vt:variant>
        <vt:i4>3407999</vt:i4>
      </vt:variant>
      <vt:variant>
        <vt:i4>36</vt:i4>
      </vt:variant>
      <vt:variant>
        <vt:i4>0</vt:i4>
      </vt:variant>
      <vt:variant>
        <vt:i4>5</vt:i4>
      </vt:variant>
      <vt:variant>
        <vt:lpwstr>http://www.nevo.co.il/case/8291683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14593</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נסראללה -מוניר עאסי;בהאא אלדין אבו תאיה</vt:lpwstr>
  </property>
  <property fmtid="{D5CDD505-2E9C-101B-9397-08002B2CF9AE}" pid="10" name="LAWYER">
    <vt:lpwstr>אריאלה נבון;ריאד סוואעד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20200809</vt:lpwstr>
  </property>
  <property fmtid="{D5CDD505-2E9C-101B-9397-08002B2CF9AE}" pid="14" name="TYPE_N_DATE">
    <vt:lpwstr>39020200809</vt:lpwstr>
  </property>
  <property fmtid="{D5CDD505-2E9C-101B-9397-08002B2CF9AE}" pid="15" name="WORDNUMPAGES">
    <vt:lpwstr>10</vt:lpwstr>
  </property>
  <property fmtid="{D5CDD505-2E9C-101B-9397-08002B2CF9AE}" pid="16" name="TYPE_ABS_DATE">
    <vt:lpwstr>390020200809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8291683;5878682;5578534;5601503;6473037;5821327;23750625;17954235;22006503:2;7791493;17954222</vt:lpwstr>
  </property>
  <property fmtid="{D5CDD505-2E9C-101B-9397-08002B2CF9AE}" pid="36" name="LAWLISTTMP1">
    <vt:lpwstr>70301/144.b:2;499.a.1;040b;144.a;040i;40ja</vt:lpwstr>
  </property>
</Properties>
</file>